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03AF6C">
      <w:pPr>
        <w:spacing w:line="360" w:lineRule="auto"/>
        <w:jc w:val="center"/>
        <w:rPr>
          <w:rFonts w:hint="eastAsia" w:ascii="宋体" w:hAnsi="宋体" w:cs="宋体"/>
          <w:b/>
          <w:bCs/>
          <w:color w:val="auto"/>
          <w:sz w:val="72"/>
          <w:szCs w:val="72"/>
          <w:highlight w:val="none"/>
        </w:rPr>
      </w:pPr>
    </w:p>
    <w:p w14:paraId="1478DC47">
      <w:pPr>
        <w:spacing w:line="360" w:lineRule="auto"/>
        <w:jc w:val="center"/>
        <w:rPr>
          <w:rFonts w:hint="eastAsia" w:ascii="宋体" w:hAnsi="宋体" w:cs="宋体"/>
          <w:b/>
          <w:bCs/>
          <w:color w:val="auto"/>
          <w:sz w:val="72"/>
          <w:szCs w:val="72"/>
          <w:highlight w:val="none"/>
        </w:rPr>
      </w:pPr>
      <w:r>
        <w:rPr>
          <w:rFonts w:hint="eastAsia" w:ascii="宋体" w:hAnsi="宋体" w:cs="宋体"/>
          <w:b/>
          <w:bCs/>
          <w:color w:val="auto"/>
          <w:sz w:val="72"/>
          <w:szCs w:val="72"/>
          <w:highlight w:val="none"/>
        </w:rPr>
        <w:t>广西中启招标咨询有限公司</w:t>
      </w:r>
    </w:p>
    <w:p w14:paraId="55E306CE">
      <w:pPr>
        <w:rPr>
          <w:rFonts w:hint="eastAsia" w:ascii="宋体" w:hAnsi="宋体" w:cs="宋体"/>
          <w:color w:val="auto"/>
          <w:highlight w:val="none"/>
        </w:rPr>
      </w:pPr>
      <w:r>
        <w:rPr>
          <w:rFonts w:hint="eastAsia" w:ascii="宋体" w:hAnsi="宋体" w:cs="宋体"/>
          <w:b/>
          <w:color w:val="auto"/>
          <w:sz w:val="48"/>
          <w:szCs w:val="48"/>
          <w:highlight w:val="none"/>
        </w:rPr>
        <w:drawing>
          <wp:anchor distT="0" distB="0" distL="114300" distR="114300" simplePos="0" relativeHeight="251659264" behindDoc="0" locked="0" layoutInCell="1" allowOverlap="1">
            <wp:simplePos x="0" y="0"/>
            <wp:positionH relativeFrom="column">
              <wp:posOffset>1963420</wp:posOffset>
            </wp:positionH>
            <wp:positionV relativeFrom="paragraph">
              <wp:posOffset>1003935</wp:posOffset>
            </wp:positionV>
            <wp:extent cx="1891665" cy="1891665"/>
            <wp:effectExtent l="0" t="0" r="13335" b="13335"/>
            <wp:wrapSquare wrapText="bothSides"/>
            <wp:docPr id="1" name="图片 7" descr="57b69ef081d63843b0d783392390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7" descr="57b69ef081d63843b0d783392390110"/>
                    <pic:cNvPicPr>
                      <a:picLocks noChangeAspect="1"/>
                    </pic:cNvPicPr>
                  </pic:nvPicPr>
                  <pic:blipFill>
                    <a:blip r:embed="rId18"/>
                    <a:stretch>
                      <a:fillRect/>
                    </a:stretch>
                  </pic:blipFill>
                  <pic:spPr>
                    <a:xfrm>
                      <a:off x="0" y="0"/>
                      <a:ext cx="1891665" cy="1891665"/>
                    </a:xfrm>
                    <a:prstGeom prst="rect">
                      <a:avLst/>
                    </a:prstGeom>
                    <a:noFill/>
                    <a:ln>
                      <a:noFill/>
                    </a:ln>
                  </pic:spPr>
                </pic:pic>
              </a:graphicData>
            </a:graphic>
          </wp:anchor>
        </w:drawing>
      </w:r>
    </w:p>
    <w:p w14:paraId="2F6D8535">
      <w:pPr>
        <w:pStyle w:val="39"/>
        <w:rPr>
          <w:rFonts w:hint="eastAsia" w:ascii="宋体" w:hAnsi="宋体" w:cs="宋体"/>
          <w:color w:val="auto"/>
          <w:highlight w:val="none"/>
        </w:rPr>
      </w:pPr>
    </w:p>
    <w:p w14:paraId="40184A8A">
      <w:pPr>
        <w:pStyle w:val="32"/>
        <w:spacing w:line="360" w:lineRule="auto"/>
        <w:rPr>
          <w:rFonts w:hint="eastAsia" w:hAnsi="宋体" w:cs="宋体"/>
          <w:b/>
          <w:color w:val="auto"/>
          <w:sz w:val="84"/>
          <w:szCs w:val="84"/>
          <w:highlight w:val="none"/>
        </w:rPr>
      </w:pPr>
    </w:p>
    <w:p w14:paraId="181DA1BE">
      <w:pPr>
        <w:pStyle w:val="32"/>
        <w:spacing w:line="360" w:lineRule="auto"/>
        <w:jc w:val="center"/>
        <w:rPr>
          <w:rFonts w:hint="eastAsia" w:hAnsi="宋体" w:cs="宋体"/>
          <w:b/>
          <w:bCs/>
          <w:color w:val="auto"/>
          <w:sz w:val="72"/>
          <w:szCs w:val="72"/>
          <w:highlight w:val="none"/>
        </w:rPr>
      </w:pPr>
      <w:bookmarkStart w:id="149" w:name="_GoBack"/>
      <w:bookmarkEnd w:id="149"/>
    </w:p>
    <w:p w14:paraId="5366834F">
      <w:pPr>
        <w:pStyle w:val="32"/>
        <w:spacing w:line="360" w:lineRule="auto"/>
        <w:jc w:val="center"/>
        <w:rPr>
          <w:rFonts w:hint="eastAsia" w:hAnsi="宋体" w:cs="宋体"/>
          <w:b/>
          <w:bCs/>
          <w:color w:val="auto"/>
          <w:sz w:val="72"/>
          <w:szCs w:val="72"/>
          <w:highlight w:val="none"/>
        </w:rPr>
      </w:pPr>
    </w:p>
    <w:p w14:paraId="3E0A9453">
      <w:pPr>
        <w:pStyle w:val="32"/>
        <w:spacing w:line="360" w:lineRule="auto"/>
        <w:jc w:val="center"/>
        <w:rPr>
          <w:rFonts w:hint="eastAsia" w:hAnsi="宋体" w:cs="宋体"/>
          <w:b/>
          <w:bCs/>
          <w:color w:val="auto"/>
          <w:sz w:val="72"/>
          <w:szCs w:val="72"/>
          <w:highlight w:val="none"/>
        </w:rPr>
      </w:pPr>
      <w:r>
        <w:rPr>
          <w:rFonts w:hint="eastAsia" w:hAnsi="宋体" w:cs="宋体"/>
          <w:b/>
          <w:bCs/>
          <w:color w:val="auto"/>
          <w:sz w:val="72"/>
          <w:szCs w:val="72"/>
          <w:highlight w:val="none"/>
        </w:rPr>
        <w:t>招标文件</w:t>
      </w:r>
    </w:p>
    <w:p w14:paraId="2E906DEF">
      <w:pPr>
        <w:snapToGrid w:val="0"/>
        <w:spacing w:before="165" w:beforeLines="50" w:line="360" w:lineRule="auto"/>
        <w:ind w:firstLine="1205" w:firstLineChars="400"/>
        <w:rPr>
          <w:rFonts w:hint="eastAsia" w:ascii="宋体" w:hAnsi="宋体" w:cs="宋体"/>
          <w:b/>
          <w:bCs/>
          <w:color w:val="auto"/>
          <w:sz w:val="30"/>
          <w:szCs w:val="30"/>
          <w:highlight w:val="none"/>
        </w:rPr>
      </w:pPr>
    </w:p>
    <w:p w14:paraId="59547897">
      <w:pPr>
        <w:snapToGrid w:val="0"/>
        <w:spacing w:before="165" w:beforeLines="50" w:line="360" w:lineRule="auto"/>
        <w:ind w:firstLine="1205" w:firstLineChars="400"/>
        <w:rPr>
          <w:rFonts w:hint="eastAsia" w:ascii="宋体" w:hAnsi="宋体" w:cs="宋体"/>
          <w:b/>
          <w:bCs/>
          <w:color w:val="auto"/>
          <w:sz w:val="30"/>
          <w:szCs w:val="30"/>
          <w:highlight w:val="none"/>
        </w:rPr>
      </w:pPr>
    </w:p>
    <w:p w14:paraId="0DA75C36">
      <w:pPr>
        <w:snapToGrid w:val="0"/>
        <w:spacing w:before="50" w:after="120" w:line="360" w:lineRule="auto"/>
        <w:ind w:firstLine="1145" w:firstLineChars="400"/>
        <w:rPr>
          <w:rFonts w:hint="eastAsia" w:ascii="宋体" w:hAnsi="宋体" w:eastAsia="宋体" w:cs="宋体"/>
          <w:b/>
          <w:bCs/>
          <w:color w:val="auto"/>
          <w:w w:val="95"/>
          <w:kern w:val="1"/>
          <w:sz w:val="30"/>
          <w:szCs w:val="30"/>
          <w:highlight w:val="none"/>
          <w:lang w:eastAsia="zh-CN"/>
        </w:rPr>
      </w:pPr>
      <w:r>
        <w:rPr>
          <w:rFonts w:hint="eastAsia" w:ascii="宋体" w:hAnsi="宋体" w:cs="宋体"/>
          <w:b/>
          <w:bCs/>
          <w:color w:val="auto"/>
          <w:w w:val="95"/>
          <w:kern w:val="1"/>
          <w:sz w:val="30"/>
          <w:szCs w:val="30"/>
          <w:highlight w:val="none"/>
        </w:rPr>
        <w:t>项目名称：</w:t>
      </w:r>
      <w:r>
        <w:rPr>
          <w:rFonts w:hint="eastAsia" w:ascii="宋体" w:hAnsi="宋体" w:cs="宋体"/>
          <w:b/>
          <w:bCs/>
          <w:color w:val="auto"/>
          <w:w w:val="95"/>
          <w:kern w:val="1"/>
          <w:sz w:val="30"/>
          <w:szCs w:val="30"/>
          <w:highlight w:val="none"/>
          <w:lang w:eastAsia="zh-CN"/>
        </w:rPr>
        <w:t>2025年农业速测技术推广试点服务采购</w:t>
      </w:r>
    </w:p>
    <w:p w14:paraId="75003805">
      <w:pPr>
        <w:snapToGrid w:val="0"/>
        <w:spacing w:before="50" w:after="120" w:line="360" w:lineRule="auto"/>
        <w:ind w:firstLine="1125" w:firstLineChars="393"/>
        <w:rPr>
          <w:rFonts w:hint="eastAsia" w:ascii="宋体" w:hAnsi="宋体" w:cs="宋体"/>
          <w:b/>
          <w:bCs/>
          <w:color w:val="auto"/>
          <w:w w:val="95"/>
          <w:kern w:val="1"/>
          <w:sz w:val="30"/>
          <w:szCs w:val="30"/>
          <w:highlight w:val="none"/>
        </w:rPr>
      </w:pPr>
      <w:r>
        <w:rPr>
          <w:rFonts w:hint="eastAsia" w:ascii="宋体" w:hAnsi="宋体" w:cs="宋体"/>
          <w:b/>
          <w:bCs/>
          <w:color w:val="auto"/>
          <w:w w:val="95"/>
          <w:kern w:val="1"/>
          <w:sz w:val="30"/>
          <w:szCs w:val="30"/>
          <w:highlight w:val="none"/>
        </w:rPr>
        <w:t xml:space="preserve">项目编号：GXZC2025-G3-001894-ZQZB      </w:t>
      </w:r>
    </w:p>
    <w:p w14:paraId="73B0BDD8">
      <w:pPr>
        <w:snapToGrid w:val="0"/>
        <w:spacing w:before="50" w:after="120" w:line="360" w:lineRule="auto"/>
        <w:ind w:firstLine="1125" w:firstLineChars="393"/>
        <w:rPr>
          <w:rFonts w:hint="eastAsia" w:ascii="宋体" w:hAnsi="宋体" w:cs="宋体"/>
          <w:b/>
          <w:bCs/>
          <w:color w:val="auto"/>
          <w:w w:val="95"/>
          <w:kern w:val="1"/>
          <w:sz w:val="30"/>
          <w:szCs w:val="30"/>
          <w:highlight w:val="none"/>
        </w:rPr>
      </w:pPr>
      <w:r>
        <w:rPr>
          <w:rFonts w:hint="eastAsia" w:ascii="宋体" w:hAnsi="宋体" w:cs="宋体"/>
          <w:b/>
          <w:bCs/>
          <w:color w:val="auto"/>
          <w:w w:val="95"/>
          <w:kern w:val="1"/>
          <w:sz w:val="30"/>
          <w:szCs w:val="30"/>
          <w:highlight w:val="none"/>
        </w:rPr>
        <w:t>采 购 人：广西壮族自治区农业农村厅</w:t>
      </w:r>
    </w:p>
    <w:p w14:paraId="71A6B490">
      <w:pPr>
        <w:snapToGrid w:val="0"/>
        <w:spacing w:before="50" w:after="120" w:line="360" w:lineRule="auto"/>
        <w:ind w:firstLine="1125" w:firstLineChars="393"/>
        <w:rPr>
          <w:rFonts w:hint="eastAsia" w:ascii="宋体" w:hAnsi="宋体" w:cs="宋体"/>
          <w:b/>
          <w:bCs/>
          <w:color w:val="auto"/>
          <w:w w:val="95"/>
          <w:kern w:val="1"/>
          <w:sz w:val="30"/>
          <w:szCs w:val="30"/>
          <w:highlight w:val="none"/>
        </w:rPr>
      </w:pPr>
      <w:r>
        <w:rPr>
          <w:rFonts w:hint="eastAsia" w:ascii="宋体" w:hAnsi="宋体" w:cs="宋体"/>
          <w:b/>
          <w:bCs/>
          <w:color w:val="auto"/>
          <w:w w:val="95"/>
          <w:kern w:val="1"/>
          <w:sz w:val="30"/>
          <w:szCs w:val="30"/>
          <w:highlight w:val="none"/>
        </w:rPr>
        <w:t>采购代理机构：广西中启招标咨询有限公司</w:t>
      </w:r>
    </w:p>
    <w:p w14:paraId="208B7DDA">
      <w:pPr>
        <w:snapToGrid w:val="0"/>
        <w:spacing w:before="50" w:after="120" w:line="360" w:lineRule="auto"/>
        <w:ind w:firstLine="841" w:firstLineChars="294"/>
        <w:rPr>
          <w:rFonts w:hint="eastAsia" w:ascii="宋体" w:hAnsi="宋体" w:cs="宋体"/>
          <w:b/>
          <w:bCs/>
          <w:color w:val="auto"/>
          <w:w w:val="95"/>
          <w:kern w:val="1"/>
          <w:sz w:val="30"/>
          <w:szCs w:val="30"/>
          <w:highlight w:val="none"/>
        </w:rPr>
        <w:sectPr>
          <w:headerReference r:id="rId3" w:type="default"/>
          <w:footerReference r:id="rId4" w:type="default"/>
          <w:footerReference r:id="rId5" w:type="even"/>
          <w:pgSz w:w="11906" w:h="16838"/>
          <w:pgMar w:top="1134" w:right="1134" w:bottom="1134" w:left="1134" w:header="720" w:footer="720" w:gutter="0"/>
          <w:pgNumType w:start="1"/>
          <w:cols w:space="720" w:num="1"/>
          <w:docGrid w:type="lines" w:linePitch="331" w:charSpace="0"/>
        </w:sectPr>
      </w:pPr>
      <w:r>
        <w:rPr>
          <w:rFonts w:hint="eastAsia" w:ascii="宋体" w:hAnsi="宋体" w:cs="宋体"/>
          <w:b/>
          <w:bCs/>
          <w:color w:val="auto"/>
          <w:w w:val="95"/>
          <w:kern w:val="1"/>
          <w:sz w:val="30"/>
          <w:szCs w:val="30"/>
          <w:highlight w:val="none"/>
        </w:rPr>
        <w:t xml:space="preserve">                     2025年</w:t>
      </w:r>
      <w:r>
        <w:rPr>
          <w:rFonts w:hint="eastAsia" w:ascii="宋体" w:hAnsi="宋体" w:cs="宋体"/>
          <w:b/>
          <w:bCs/>
          <w:color w:val="auto"/>
          <w:w w:val="95"/>
          <w:kern w:val="1"/>
          <w:sz w:val="30"/>
          <w:szCs w:val="30"/>
          <w:highlight w:val="none"/>
          <w:lang w:val="en-US" w:eastAsia="zh-CN"/>
        </w:rPr>
        <w:t>7</w:t>
      </w:r>
      <w:r>
        <w:rPr>
          <w:rFonts w:hint="eastAsia" w:ascii="宋体" w:hAnsi="宋体" w:cs="宋体"/>
          <w:b/>
          <w:bCs/>
          <w:color w:val="auto"/>
          <w:w w:val="95"/>
          <w:kern w:val="1"/>
          <w:sz w:val="30"/>
          <w:szCs w:val="30"/>
          <w:highlight w:val="none"/>
        </w:rPr>
        <w:t>月</w:t>
      </w:r>
      <w:r>
        <w:rPr>
          <w:rFonts w:hint="eastAsia" w:ascii="宋体" w:hAnsi="宋体" w:cs="宋体"/>
          <w:b/>
          <w:bCs/>
          <w:color w:val="auto"/>
          <w:w w:val="95"/>
          <w:kern w:val="1"/>
          <w:sz w:val="30"/>
          <w:szCs w:val="30"/>
          <w:highlight w:val="none"/>
          <w:lang w:val="en-US" w:eastAsia="zh-CN"/>
        </w:rPr>
        <w:t>11</w:t>
      </w:r>
      <w:r>
        <w:rPr>
          <w:rFonts w:hint="eastAsia" w:ascii="宋体" w:hAnsi="宋体" w:cs="宋体"/>
          <w:b/>
          <w:bCs/>
          <w:color w:val="auto"/>
          <w:w w:val="95"/>
          <w:kern w:val="1"/>
          <w:sz w:val="30"/>
          <w:szCs w:val="30"/>
          <w:highlight w:val="none"/>
        </w:rPr>
        <w:t>日</w:t>
      </w:r>
    </w:p>
    <w:p w14:paraId="01128FA2">
      <w:pPr>
        <w:spacing w:line="360" w:lineRule="auto"/>
        <w:jc w:val="center"/>
        <w:rPr>
          <w:rFonts w:hint="eastAsia" w:ascii="宋体" w:hAnsi="宋体" w:cs="宋体"/>
          <w:b/>
          <w:color w:val="auto"/>
          <w:sz w:val="44"/>
          <w:szCs w:val="44"/>
          <w:highlight w:val="none"/>
        </w:rPr>
      </w:pPr>
    </w:p>
    <w:p w14:paraId="620B1664">
      <w:pPr>
        <w:spacing w:line="360" w:lineRule="auto"/>
        <w:jc w:val="center"/>
        <w:rPr>
          <w:rFonts w:hint="eastAsia" w:ascii="宋体" w:hAnsi="宋体" w:cs="宋体"/>
          <w:b/>
          <w:color w:val="auto"/>
          <w:sz w:val="44"/>
          <w:szCs w:val="44"/>
          <w:highlight w:val="none"/>
        </w:rPr>
      </w:pPr>
      <w:r>
        <w:rPr>
          <w:rFonts w:hint="eastAsia" w:ascii="宋体" w:hAnsi="宋体" w:cs="宋体"/>
          <w:b/>
          <w:color w:val="auto"/>
          <w:sz w:val="44"/>
          <w:szCs w:val="44"/>
          <w:highlight w:val="none"/>
        </w:rPr>
        <w:t>目  录</w:t>
      </w:r>
    </w:p>
    <w:p w14:paraId="474EDC40">
      <w:pPr>
        <w:spacing w:line="400" w:lineRule="exact"/>
        <w:jc w:val="center"/>
        <w:rPr>
          <w:rFonts w:hint="eastAsia" w:ascii="宋体" w:hAnsi="宋体" w:cs="宋体"/>
          <w:b/>
          <w:color w:val="auto"/>
          <w:sz w:val="44"/>
          <w:szCs w:val="44"/>
          <w:highlight w:val="none"/>
        </w:rPr>
      </w:pPr>
    </w:p>
    <w:p w14:paraId="4AF73ED1">
      <w:pPr>
        <w:pStyle w:val="41"/>
        <w:tabs>
          <w:tab w:val="right" w:leader="dot" w:pos="9642"/>
          <w:tab w:val="clear" w:pos="8398"/>
        </w:tabs>
        <w:spacing w:line="480" w:lineRule="auto"/>
        <w:ind w:firstLine="241"/>
        <w:rPr>
          <w:rFonts w:hint="eastAsia" w:cs="宋体"/>
          <w:color w:val="auto"/>
          <w:sz w:val="28"/>
          <w:szCs w:val="28"/>
          <w:highlight w:val="none"/>
        </w:rPr>
      </w:pPr>
      <w:r>
        <w:rPr>
          <w:rFonts w:hint="eastAsia" w:cs="宋体"/>
          <w:color w:val="auto"/>
          <w:highlight w:val="none"/>
        </w:rPr>
        <w:fldChar w:fldCharType="begin"/>
      </w:r>
      <w:r>
        <w:rPr>
          <w:rFonts w:hint="eastAsia" w:cs="宋体"/>
          <w:color w:val="auto"/>
          <w:highlight w:val="none"/>
        </w:rPr>
        <w:instrText xml:space="preserve">TOC \o "1-2" \h \u </w:instrText>
      </w:r>
      <w:r>
        <w:rPr>
          <w:rFonts w:hint="eastAsia" w:cs="宋体"/>
          <w:color w:val="auto"/>
          <w:highlight w:val="none"/>
        </w:rPr>
        <w:fldChar w:fldCharType="separate"/>
      </w:r>
      <w:r>
        <w:rPr>
          <w:color w:val="auto"/>
          <w:highlight w:val="none"/>
        </w:rPr>
        <w:fldChar w:fldCharType="begin"/>
      </w:r>
      <w:r>
        <w:rPr>
          <w:color w:val="auto"/>
          <w:highlight w:val="none"/>
        </w:rPr>
        <w:instrText xml:space="preserve"> HYPERLINK \l "_Toc12659" </w:instrText>
      </w:r>
      <w:r>
        <w:rPr>
          <w:color w:val="auto"/>
          <w:highlight w:val="none"/>
        </w:rPr>
        <w:fldChar w:fldCharType="separate"/>
      </w:r>
      <w:r>
        <w:rPr>
          <w:rFonts w:hint="eastAsia" w:cs="宋体"/>
          <w:color w:val="auto"/>
          <w:sz w:val="28"/>
          <w:szCs w:val="28"/>
          <w:highlight w:val="none"/>
        </w:rPr>
        <w:t>第一章  招标公告</w:t>
      </w:r>
      <w:r>
        <w:rPr>
          <w:rFonts w:hint="eastAsia" w:cs="宋体"/>
          <w:color w:val="auto"/>
          <w:sz w:val="28"/>
          <w:szCs w:val="28"/>
          <w:highlight w:val="none"/>
        </w:rPr>
        <w:tab/>
      </w:r>
      <w:r>
        <w:rPr>
          <w:rFonts w:hint="eastAsia" w:cs="宋体"/>
          <w:color w:val="auto"/>
          <w:sz w:val="28"/>
          <w:szCs w:val="28"/>
          <w:highlight w:val="none"/>
        </w:rPr>
        <w:fldChar w:fldCharType="begin"/>
      </w:r>
      <w:r>
        <w:rPr>
          <w:rFonts w:hint="eastAsia" w:cs="宋体"/>
          <w:color w:val="auto"/>
          <w:sz w:val="28"/>
          <w:szCs w:val="28"/>
          <w:highlight w:val="none"/>
        </w:rPr>
        <w:instrText xml:space="preserve"> PAGEREF _Toc12659 \h </w:instrText>
      </w:r>
      <w:r>
        <w:rPr>
          <w:rFonts w:hint="eastAsia" w:cs="宋体"/>
          <w:color w:val="auto"/>
          <w:sz w:val="28"/>
          <w:szCs w:val="28"/>
          <w:highlight w:val="none"/>
        </w:rPr>
        <w:fldChar w:fldCharType="separate"/>
      </w:r>
      <w:r>
        <w:rPr>
          <w:rFonts w:hint="eastAsia" w:cs="宋体"/>
          <w:color w:val="auto"/>
          <w:sz w:val="28"/>
          <w:szCs w:val="28"/>
          <w:highlight w:val="none"/>
        </w:rPr>
        <w:t>1</w:t>
      </w:r>
      <w:r>
        <w:rPr>
          <w:rFonts w:hint="eastAsia" w:cs="宋体"/>
          <w:color w:val="auto"/>
          <w:sz w:val="28"/>
          <w:szCs w:val="28"/>
          <w:highlight w:val="none"/>
        </w:rPr>
        <w:fldChar w:fldCharType="end"/>
      </w:r>
      <w:r>
        <w:rPr>
          <w:rFonts w:hint="eastAsia" w:cs="宋体"/>
          <w:color w:val="auto"/>
          <w:sz w:val="28"/>
          <w:szCs w:val="28"/>
          <w:highlight w:val="none"/>
        </w:rPr>
        <w:fldChar w:fldCharType="end"/>
      </w:r>
    </w:p>
    <w:p w14:paraId="5D8E63FC">
      <w:pPr>
        <w:pStyle w:val="41"/>
        <w:tabs>
          <w:tab w:val="right" w:leader="dot" w:pos="9642"/>
          <w:tab w:val="clear" w:pos="8398"/>
        </w:tabs>
        <w:spacing w:line="480" w:lineRule="auto"/>
        <w:ind w:firstLine="241"/>
        <w:rPr>
          <w:rFonts w:hint="eastAsia" w:cs="宋体"/>
          <w:color w:val="auto"/>
          <w:sz w:val="28"/>
          <w:szCs w:val="28"/>
          <w:highlight w:val="none"/>
        </w:rPr>
      </w:pPr>
      <w:r>
        <w:rPr>
          <w:color w:val="auto"/>
          <w:highlight w:val="none"/>
        </w:rPr>
        <w:fldChar w:fldCharType="begin"/>
      </w:r>
      <w:r>
        <w:rPr>
          <w:color w:val="auto"/>
          <w:highlight w:val="none"/>
        </w:rPr>
        <w:instrText xml:space="preserve"> HYPERLINK \l "_Toc6541" </w:instrText>
      </w:r>
      <w:r>
        <w:rPr>
          <w:color w:val="auto"/>
          <w:highlight w:val="none"/>
        </w:rPr>
        <w:fldChar w:fldCharType="separate"/>
      </w:r>
      <w:r>
        <w:rPr>
          <w:rFonts w:hint="eastAsia" w:cs="宋体"/>
          <w:color w:val="auto"/>
          <w:kern w:val="44"/>
          <w:sz w:val="28"/>
          <w:szCs w:val="28"/>
          <w:highlight w:val="none"/>
        </w:rPr>
        <w:t>第二章  采购需求</w:t>
      </w:r>
      <w:r>
        <w:rPr>
          <w:rFonts w:hint="eastAsia" w:cs="宋体"/>
          <w:color w:val="auto"/>
          <w:sz w:val="28"/>
          <w:szCs w:val="28"/>
          <w:highlight w:val="none"/>
        </w:rPr>
        <w:tab/>
      </w:r>
      <w:r>
        <w:rPr>
          <w:rFonts w:hint="eastAsia" w:cs="宋体"/>
          <w:color w:val="auto"/>
          <w:sz w:val="28"/>
          <w:szCs w:val="28"/>
          <w:highlight w:val="none"/>
        </w:rPr>
        <w:fldChar w:fldCharType="begin"/>
      </w:r>
      <w:r>
        <w:rPr>
          <w:rFonts w:hint="eastAsia" w:cs="宋体"/>
          <w:color w:val="auto"/>
          <w:sz w:val="28"/>
          <w:szCs w:val="28"/>
          <w:highlight w:val="none"/>
        </w:rPr>
        <w:instrText xml:space="preserve"> PAGEREF _Toc6541 \h </w:instrText>
      </w:r>
      <w:r>
        <w:rPr>
          <w:rFonts w:hint="eastAsia" w:cs="宋体"/>
          <w:color w:val="auto"/>
          <w:sz w:val="28"/>
          <w:szCs w:val="28"/>
          <w:highlight w:val="none"/>
        </w:rPr>
        <w:fldChar w:fldCharType="separate"/>
      </w:r>
      <w:r>
        <w:rPr>
          <w:rFonts w:hint="eastAsia" w:cs="宋体"/>
          <w:color w:val="auto"/>
          <w:sz w:val="28"/>
          <w:szCs w:val="28"/>
          <w:highlight w:val="none"/>
        </w:rPr>
        <w:t>4</w:t>
      </w:r>
      <w:r>
        <w:rPr>
          <w:rFonts w:hint="eastAsia" w:cs="宋体"/>
          <w:color w:val="auto"/>
          <w:sz w:val="28"/>
          <w:szCs w:val="28"/>
          <w:highlight w:val="none"/>
        </w:rPr>
        <w:fldChar w:fldCharType="end"/>
      </w:r>
      <w:r>
        <w:rPr>
          <w:rFonts w:hint="eastAsia" w:cs="宋体"/>
          <w:color w:val="auto"/>
          <w:sz w:val="28"/>
          <w:szCs w:val="28"/>
          <w:highlight w:val="none"/>
        </w:rPr>
        <w:fldChar w:fldCharType="end"/>
      </w:r>
    </w:p>
    <w:p w14:paraId="683C7F42">
      <w:pPr>
        <w:pStyle w:val="41"/>
        <w:tabs>
          <w:tab w:val="right" w:leader="dot" w:pos="9642"/>
          <w:tab w:val="clear" w:pos="8398"/>
        </w:tabs>
        <w:spacing w:line="480" w:lineRule="auto"/>
        <w:ind w:firstLine="241"/>
        <w:rPr>
          <w:rFonts w:hint="eastAsia" w:cs="宋体"/>
          <w:color w:val="auto"/>
          <w:sz w:val="28"/>
          <w:szCs w:val="28"/>
          <w:highlight w:val="none"/>
        </w:rPr>
      </w:pPr>
      <w:r>
        <w:rPr>
          <w:color w:val="auto"/>
          <w:highlight w:val="none"/>
        </w:rPr>
        <w:fldChar w:fldCharType="begin"/>
      </w:r>
      <w:r>
        <w:rPr>
          <w:color w:val="auto"/>
          <w:highlight w:val="none"/>
        </w:rPr>
        <w:instrText xml:space="preserve"> HYPERLINK \l "_Toc18664" </w:instrText>
      </w:r>
      <w:r>
        <w:rPr>
          <w:color w:val="auto"/>
          <w:highlight w:val="none"/>
        </w:rPr>
        <w:fldChar w:fldCharType="separate"/>
      </w:r>
      <w:r>
        <w:rPr>
          <w:rFonts w:hint="eastAsia" w:cs="宋体"/>
          <w:color w:val="auto"/>
          <w:sz w:val="28"/>
          <w:szCs w:val="28"/>
          <w:highlight w:val="none"/>
        </w:rPr>
        <w:t>第三章  投标人须知</w:t>
      </w:r>
      <w:r>
        <w:rPr>
          <w:rFonts w:hint="eastAsia" w:cs="宋体"/>
          <w:color w:val="auto"/>
          <w:sz w:val="28"/>
          <w:szCs w:val="28"/>
          <w:highlight w:val="none"/>
        </w:rPr>
        <w:tab/>
      </w:r>
      <w:r>
        <w:rPr>
          <w:rFonts w:hint="eastAsia" w:cs="宋体"/>
          <w:color w:val="auto"/>
          <w:sz w:val="28"/>
          <w:szCs w:val="28"/>
          <w:highlight w:val="none"/>
        </w:rPr>
        <w:fldChar w:fldCharType="begin"/>
      </w:r>
      <w:r>
        <w:rPr>
          <w:rFonts w:hint="eastAsia" w:cs="宋体"/>
          <w:color w:val="auto"/>
          <w:sz w:val="28"/>
          <w:szCs w:val="28"/>
          <w:highlight w:val="none"/>
        </w:rPr>
        <w:instrText xml:space="preserve"> PAGEREF _Toc18664 \h </w:instrText>
      </w:r>
      <w:r>
        <w:rPr>
          <w:rFonts w:hint="eastAsia" w:cs="宋体"/>
          <w:color w:val="auto"/>
          <w:sz w:val="28"/>
          <w:szCs w:val="28"/>
          <w:highlight w:val="none"/>
        </w:rPr>
        <w:fldChar w:fldCharType="separate"/>
      </w:r>
      <w:r>
        <w:rPr>
          <w:rFonts w:hint="eastAsia" w:cs="宋体"/>
          <w:color w:val="auto"/>
          <w:sz w:val="28"/>
          <w:szCs w:val="28"/>
          <w:highlight w:val="none"/>
        </w:rPr>
        <w:t>22</w:t>
      </w:r>
      <w:r>
        <w:rPr>
          <w:rFonts w:hint="eastAsia" w:cs="宋体"/>
          <w:color w:val="auto"/>
          <w:sz w:val="28"/>
          <w:szCs w:val="28"/>
          <w:highlight w:val="none"/>
        </w:rPr>
        <w:fldChar w:fldCharType="end"/>
      </w:r>
      <w:r>
        <w:rPr>
          <w:rFonts w:hint="eastAsia" w:cs="宋体"/>
          <w:color w:val="auto"/>
          <w:sz w:val="28"/>
          <w:szCs w:val="28"/>
          <w:highlight w:val="none"/>
        </w:rPr>
        <w:fldChar w:fldCharType="end"/>
      </w:r>
    </w:p>
    <w:p w14:paraId="5F260E28">
      <w:pPr>
        <w:pStyle w:val="41"/>
        <w:tabs>
          <w:tab w:val="right" w:leader="dot" w:pos="9642"/>
          <w:tab w:val="clear" w:pos="8398"/>
        </w:tabs>
        <w:spacing w:line="480" w:lineRule="auto"/>
        <w:ind w:firstLine="241"/>
        <w:rPr>
          <w:rFonts w:hint="eastAsia" w:cs="宋体"/>
          <w:color w:val="auto"/>
          <w:sz w:val="28"/>
          <w:szCs w:val="28"/>
          <w:highlight w:val="none"/>
        </w:rPr>
      </w:pPr>
      <w:r>
        <w:rPr>
          <w:color w:val="auto"/>
          <w:highlight w:val="none"/>
        </w:rPr>
        <w:fldChar w:fldCharType="begin"/>
      </w:r>
      <w:r>
        <w:rPr>
          <w:color w:val="auto"/>
          <w:highlight w:val="none"/>
        </w:rPr>
        <w:instrText xml:space="preserve"> HYPERLINK \l "_Toc27918" </w:instrText>
      </w:r>
      <w:r>
        <w:rPr>
          <w:color w:val="auto"/>
          <w:highlight w:val="none"/>
        </w:rPr>
        <w:fldChar w:fldCharType="separate"/>
      </w:r>
      <w:r>
        <w:rPr>
          <w:rFonts w:hint="eastAsia" w:cs="宋体"/>
          <w:color w:val="auto"/>
          <w:sz w:val="28"/>
          <w:szCs w:val="28"/>
          <w:highlight w:val="none"/>
        </w:rPr>
        <w:t>第四章  评标方法及评标标准</w:t>
      </w:r>
      <w:r>
        <w:rPr>
          <w:rFonts w:hint="eastAsia" w:cs="宋体"/>
          <w:color w:val="auto"/>
          <w:sz w:val="28"/>
          <w:szCs w:val="28"/>
          <w:highlight w:val="none"/>
        </w:rPr>
        <w:tab/>
      </w:r>
      <w:r>
        <w:rPr>
          <w:rFonts w:hint="eastAsia" w:cs="宋体"/>
          <w:color w:val="auto"/>
          <w:sz w:val="28"/>
          <w:szCs w:val="28"/>
          <w:highlight w:val="none"/>
        </w:rPr>
        <w:fldChar w:fldCharType="begin"/>
      </w:r>
      <w:r>
        <w:rPr>
          <w:rFonts w:hint="eastAsia" w:cs="宋体"/>
          <w:color w:val="auto"/>
          <w:sz w:val="28"/>
          <w:szCs w:val="28"/>
          <w:highlight w:val="none"/>
        </w:rPr>
        <w:instrText xml:space="preserve"> PAGEREF _Toc27918 \h </w:instrText>
      </w:r>
      <w:r>
        <w:rPr>
          <w:rFonts w:hint="eastAsia" w:cs="宋体"/>
          <w:color w:val="auto"/>
          <w:sz w:val="28"/>
          <w:szCs w:val="28"/>
          <w:highlight w:val="none"/>
        </w:rPr>
        <w:fldChar w:fldCharType="separate"/>
      </w:r>
      <w:r>
        <w:rPr>
          <w:rFonts w:hint="eastAsia" w:cs="宋体"/>
          <w:color w:val="auto"/>
          <w:sz w:val="28"/>
          <w:szCs w:val="28"/>
          <w:highlight w:val="none"/>
        </w:rPr>
        <w:t>41</w:t>
      </w:r>
      <w:r>
        <w:rPr>
          <w:rFonts w:hint="eastAsia" w:cs="宋体"/>
          <w:color w:val="auto"/>
          <w:sz w:val="28"/>
          <w:szCs w:val="28"/>
          <w:highlight w:val="none"/>
        </w:rPr>
        <w:fldChar w:fldCharType="end"/>
      </w:r>
      <w:r>
        <w:rPr>
          <w:rFonts w:hint="eastAsia" w:cs="宋体"/>
          <w:color w:val="auto"/>
          <w:sz w:val="28"/>
          <w:szCs w:val="28"/>
          <w:highlight w:val="none"/>
        </w:rPr>
        <w:fldChar w:fldCharType="end"/>
      </w:r>
    </w:p>
    <w:p w14:paraId="6672FA8E">
      <w:pPr>
        <w:pStyle w:val="41"/>
        <w:tabs>
          <w:tab w:val="right" w:leader="dot" w:pos="9642"/>
          <w:tab w:val="clear" w:pos="8398"/>
        </w:tabs>
        <w:spacing w:line="480" w:lineRule="auto"/>
        <w:ind w:firstLine="241"/>
        <w:rPr>
          <w:rFonts w:hint="eastAsia" w:cs="宋体"/>
          <w:color w:val="auto"/>
          <w:sz w:val="28"/>
          <w:szCs w:val="28"/>
          <w:highlight w:val="none"/>
        </w:rPr>
      </w:pPr>
      <w:r>
        <w:rPr>
          <w:color w:val="auto"/>
          <w:highlight w:val="none"/>
        </w:rPr>
        <w:fldChar w:fldCharType="begin"/>
      </w:r>
      <w:r>
        <w:rPr>
          <w:color w:val="auto"/>
          <w:highlight w:val="none"/>
        </w:rPr>
        <w:instrText xml:space="preserve"> HYPERLINK \l "_Toc28267" </w:instrText>
      </w:r>
      <w:r>
        <w:rPr>
          <w:color w:val="auto"/>
          <w:highlight w:val="none"/>
        </w:rPr>
        <w:fldChar w:fldCharType="separate"/>
      </w:r>
      <w:r>
        <w:rPr>
          <w:rFonts w:hint="eastAsia" w:cs="宋体"/>
          <w:color w:val="auto"/>
          <w:sz w:val="28"/>
          <w:szCs w:val="28"/>
          <w:highlight w:val="none"/>
        </w:rPr>
        <w:t>第五章  拟签订的合同文本</w:t>
      </w:r>
      <w:r>
        <w:rPr>
          <w:rFonts w:hint="eastAsia" w:cs="宋体"/>
          <w:color w:val="auto"/>
          <w:sz w:val="28"/>
          <w:szCs w:val="28"/>
          <w:highlight w:val="none"/>
        </w:rPr>
        <w:tab/>
      </w:r>
      <w:r>
        <w:rPr>
          <w:rFonts w:hint="eastAsia" w:cs="宋体"/>
          <w:color w:val="auto"/>
          <w:sz w:val="28"/>
          <w:szCs w:val="28"/>
          <w:highlight w:val="none"/>
        </w:rPr>
        <w:fldChar w:fldCharType="begin"/>
      </w:r>
      <w:r>
        <w:rPr>
          <w:rFonts w:hint="eastAsia" w:cs="宋体"/>
          <w:color w:val="auto"/>
          <w:sz w:val="28"/>
          <w:szCs w:val="28"/>
          <w:highlight w:val="none"/>
        </w:rPr>
        <w:instrText xml:space="preserve"> PAGEREF _Toc28267 \h </w:instrText>
      </w:r>
      <w:r>
        <w:rPr>
          <w:rFonts w:hint="eastAsia" w:cs="宋体"/>
          <w:color w:val="auto"/>
          <w:sz w:val="28"/>
          <w:szCs w:val="28"/>
          <w:highlight w:val="none"/>
        </w:rPr>
        <w:fldChar w:fldCharType="separate"/>
      </w:r>
      <w:r>
        <w:rPr>
          <w:rFonts w:hint="eastAsia" w:cs="宋体"/>
          <w:color w:val="auto"/>
          <w:sz w:val="28"/>
          <w:szCs w:val="28"/>
          <w:highlight w:val="none"/>
        </w:rPr>
        <w:t>50</w:t>
      </w:r>
      <w:r>
        <w:rPr>
          <w:rFonts w:hint="eastAsia" w:cs="宋体"/>
          <w:color w:val="auto"/>
          <w:sz w:val="28"/>
          <w:szCs w:val="28"/>
          <w:highlight w:val="none"/>
        </w:rPr>
        <w:fldChar w:fldCharType="end"/>
      </w:r>
      <w:r>
        <w:rPr>
          <w:rFonts w:hint="eastAsia" w:cs="宋体"/>
          <w:color w:val="auto"/>
          <w:sz w:val="28"/>
          <w:szCs w:val="28"/>
          <w:highlight w:val="none"/>
        </w:rPr>
        <w:fldChar w:fldCharType="end"/>
      </w:r>
    </w:p>
    <w:p w14:paraId="6D02AB0D">
      <w:pPr>
        <w:pStyle w:val="41"/>
        <w:tabs>
          <w:tab w:val="right" w:leader="dot" w:pos="9642"/>
          <w:tab w:val="clear" w:pos="8398"/>
        </w:tabs>
        <w:spacing w:line="480" w:lineRule="auto"/>
        <w:ind w:firstLine="241"/>
        <w:rPr>
          <w:rFonts w:hint="eastAsia" w:cs="宋体"/>
          <w:color w:val="auto"/>
          <w:highlight w:val="none"/>
        </w:rPr>
      </w:pPr>
      <w:r>
        <w:rPr>
          <w:color w:val="auto"/>
          <w:highlight w:val="none"/>
        </w:rPr>
        <w:fldChar w:fldCharType="begin"/>
      </w:r>
      <w:r>
        <w:rPr>
          <w:color w:val="auto"/>
          <w:highlight w:val="none"/>
        </w:rPr>
        <w:instrText xml:space="preserve"> HYPERLINK \l "_Toc21405" </w:instrText>
      </w:r>
      <w:r>
        <w:rPr>
          <w:color w:val="auto"/>
          <w:highlight w:val="none"/>
        </w:rPr>
        <w:fldChar w:fldCharType="separate"/>
      </w:r>
      <w:r>
        <w:rPr>
          <w:rFonts w:hint="eastAsia" w:cs="宋体"/>
          <w:color w:val="auto"/>
          <w:sz w:val="28"/>
          <w:szCs w:val="28"/>
          <w:highlight w:val="none"/>
        </w:rPr>
        <w:t>第六章　投标文件格式</w:t>
      </w:r>
      <w:r>
        <w:rPr>
          <w:rFonts w:hint="eastAsia" w:cs="宋体"/>
          <w:color w:val="auto"/>
          <w:sz w:val="28"/>
          <w:szCs w:val="28"/>
          <w:highlight w:val="none"/>
        </w:rPr>
        <w:tab/>
      </w:r>
      <w:r>
        <w:rPr>
          <w:rFonts w:hint="eastAsia" w:cs="宋体"/>
          <w:color w:val="auto"/>
          <w:sz w:val="28"/>
          <w:szCs w:val="28"/>
          <w:highlight w:val="none"/>
        </w:rPr>
        <w:fldChar w:fldCharType="begin"/>
      </w:r>
      <w:r>
        <w:rPr>
          <w:rFonts w:hint="eastAsia" w:cs="宋体"/>
          <w:color w:val="auto"/>
          <w:sz w:val="28"/>
          <w:szCs w:val="28"/>
          <w:highlight w:val="none"/>
        </w:rPr>
        <w:instrText xml:space="preserve"> PAGEREF _Toc21405 \h </w:instrText>
      </w:r>
      <w:r>
        <w:rPr>
          <w:rFonts w:hint="eastAsia" w:cs="宋体"/>
          <w:color w:val="auto"/>
          <w:sz w:val="28"/>
          <w:szCs w:val="28"/>
          <w:highlight w:val="none"/>
        </w:rPr>
        <w:fldChar w:fldCharType="separate"/>
      </w:r>
      <w:r>
        <w:rPr>
          <w:rFonts w:hint="eastAsia" w:cs="宋体"/>
          <w:color w:val="auto"/>
          <w:sz w:val="28"/>
          <w:szCs w:val="28"/>
          <w:highlight w:val="none"/>
        </w:rPr>
        <w:t>57</w:t>
      </w:r>
      <w:r>
        <w:rPr>
          <w:rFonts w:hint="eastAsia" w:cs="宋体"/>
          <w:color w:val="auto"/>
          <w:sz w:val="28"/>
          <w:szCs w:val="28"/>
          <w:highlight w:val="none"/>
        </w:rPr>
        <w:fldChar w:fldCharType="end"/>
      </w:r>
      <w:r>
        <w:rPr>
          <w:rFonts w:hint="eastAsia" w:cs="宋体"/>
          <w:color w:val="auto"/>
          <w:sz w:val="28"/>
          <w:szCs w:val="28"/>
          <w:highlight w:val="none"/>
        </w:rPr>
        <w:fldChar w:fldCharType="end"/>
      </w:r>
    </w:p>
    <w:p w14:paraId="340E0E86">
      <w:pPr>
        <w:tabs>
          <w:tab w:val="right" w:leader="dot" w:pos="8789"/>
        </w:tabs>
        <w:snapToGrid w:val="0"/>
        <w:spacing w:line="360" w:lineRule="auto"/>
        <w:rPr>
          <w:rFonts w:hint="eastAsia" w:ascii="宋体" w:hAnsi="宋体" w:cs="宋体"/>
          <w:color w:val="auto"/>
          <w:sz w:val="24"/>
          <w:highlight w:val="none"/>
        </w:rPr>
      </w:pPr>
      <w:r>
        <w:rPr>
          <w:rFonts w:hint="eastAsia" w:ascii="宋体" w:hAnsi="宋体" w:cs="宋体"/>
          <w:color w:val="auto"/>
          <w:highlight w:val="none"/>
        </w:rPr>
        <w:fldChar w:fldCharType="end"/>
      </w:r>
    </w:p>
    <w:p w14:paraId="7FA11240">
      <w:pPr>
        <w:spacing w:before="120" w:beforeLines="50" w:line="480" w:lineRule="exact"/>
        <w:rPr>
          <w:rFonts w:hint="eastAsia" w:ascii="宋体" w:hAnsi="宋体" w:cs="宋体"/>
          <w:color w:val="auto"/>
          <w:sz w:val="30"/>
          <w:highlight w:val="none"/>
        </w:rPr>
      </w:pPr>
    </w:p>
    <w:p w14:paraId="6551DC63">
      <w:pPr>
        <w:rPr>
          <w:rFonts w:hint="eastAsia" w:ascii="宋体" w:hAnsi="宋体" w:cs="宋体"/>
          <w:color w:val="auto"/>
          <w:highlight w:val="none"/>
        </w:rPr>
      </w:pPr>
    </w:p>
    <w:p w14:paraId="53746F6E">
      <w:pPr>
        <w:spacing w:before="120" w:beforeLines="50" w:line="480" w:lineRule="exact"/>
        <w:rPr>
          <w:rFonts w:hint="eastAsia" w:ascii="宋体" w:hAnsi="宋体" w:cs="宋体"/>
          <w:color w:val="auto"/>
          <w:sz w:val="30"/>
          <w:highlight w:val="none"/>
        </w:rPr>
      </w:pPr>
    </w:p>
    <w:p w14:paraId="135DFB92">
      <w:pPr>
        <w:spacing w:before="120" w:beforeLines="50" w:line="480" w:lineRule="exact"/>
        <w:rPr>
          <w:rFonts w:hint="eastAsia" w:ascii="宋体" w:hAnsi="宋体" w:cs="宋体"/>
          <w:color w:val="auto"/>
          <w:sz w:val="30"/>
          <w:highlight w:val="none"/>
        </w:rPr>
      </w:pPr>
    </w:p>
    <w:p w14:paraId="248B2955">
      <w:pPr>
        <w:pStyle w:val="19"/>
        <w:rPr>
          <w:rFonts w:hint="eastAsia" w:ascii="宋体" w:hAnsi="宋体" w:cs="宋体"/>
          <w:b/>
          <w:bCs/>
          <w:color w:val="auto"/>
          <w:highlight w:val="none"/>
        </w:rPr>
      </w:pPr>
      <w:bookmarkStart w:id="0" w:name="_Toc254970489"/>
      <w:bookmarkStart w:id="1" w:name="_Toc254970630"/>
    </w:p>
    <w:p w14:paraId="2E8EA9D5">
      <w:pPr>
        <w:pStyle w:val="2"/>
        <w:keepNext w:val="0"/>
        <w:keepLines w:val="0"/>
        <w:tabs>
          <w:tab w:val="left" w:pos="0"/>
          <w:tab w:val="left" w:pos="3165"/>
          <w:tab w:val="center" w:pos="4153"/>
        </w:tabs>
        <w:autoSpaceDE w:val="0"/>
        <w:autoSpaceDN w:val="0"/>
        <w:adjustRightInd w:val="0"/>
        <w:spacing w:before="0" w:after="0" w:line="360" w:lineRule="auto"/>
        <w:jc w:val="center"/>
        <w:rPr>
          <w:rFonts w:hint="eastAsia" w:ascii="宋体" w:hAnsi="宋体" w:cs="宋体"/>
          <w:color w:val="auto"/>
          <w:highlight w:val="none"/>
        </w:rPr>
      </w:pPr>
      <w:r>
        <w:rPr>
          <w:rFonts w:hint="eastAsia" w:ascii="宋体" w:hAnsi="宋体" w:cs="宋体"/>
          <w:b w:val="0"/>
          <w:bCs w:val="0"/>
          <w:color w:val="auto"/>
          <w:highlight w:val="none"/>
        </w:rPr>
        <w:br w:type="page"/>
      </w:r>
      <w:bookmarkStart w:id="2" w:name="_Toc29748"/>
      <w:bookmarkStart w:id="3" w:name="_Toc12659"/>
      <w:r>
        <w:rPr>
          <w:rFonts w:hint="eastAsia" w:ascii="宋体" w:hAnsi="宋体" w:cs="宋体"/>
          <w:color w:val="auto"/>
          <w:highlight w:val="none"/>
        </w:rPr>
        <w:t>第一章</w:t>
      </w:r>
      <w:bookmarkEnd w:id="0"/>
      <w:bookmarkEnd w:id="1"/>
      <w:bookmarkStart w:id="4" w:name="_Toc28359001"/>
      <w:bookmarkStart w:id="5" w:name="_Toc35393789"/>
      <w:r>
        <w:rPr>
          <w:rFonts w:hint="eastAsia" w:ascii="宋体" w:hAnsi="宋体" w:cs="宋体"/>
          <w:color w:val="auto"/>
          <w:highlight w:val="none"/>
        </w:rPr>
        <w:t xml:space="preserve">  招标公告</w:t>
      </w:r>
      <w:bookmarkEnd w:id="2"/>
      <w:bookmarkEnd w:id="3"/>
      <w:bookmarkEnd w:id="4"/>
      <w:bookmarkEnd w:id="5"/>
    </w:p>
    <w:p w14:paraId="39EF934A">
      <w:pPr>
        <w:pBdr>
          <w:top w:val="single" w:color="auto" w:sz="4" w:space="1"/>
          <w:left w:val="single" w:color="auto" w:sz="4" w:space="4"/>
          <w:bottom w:val="single" w:color="auto" w:sz="4" w:space="1"/>
          <w:right w:val="single" w:color="auto" w:sz="4" w:space="4"/>
        </w:pBdr>
        <w:spacing w:line="360" w:lineRule="auto"/>
        <w:rPr>
          <w:rFonts w:hint="eastAsia" w:ascii="宋体" w:hAnsi="宋体" w:cs="宋体"/>
          <w:b/>
          <w:bCs/>
          <w:color w:val="auto"/>
          <w:szCs w:val="21"/>
          <w:highlight w:val="none"/>
        </w:rPr>
      </w:pPr>
      <w:r>
        <w:rPr>
          <w:rFonts w:hint="eastAsia" w:ascii="宋体" w:hAnsi="宋体" w:cs="宋体"/>
          <w:b/>
          <w:bCs/>
          <w:color w:val="auto"/>
          <w:szCs w:val="21"/>
          <w:highlight w:val="none"/>
        </w:rPr>
        <w:t>项目概况:</w:t>
      </w:r>
    </w:p>
    <w:p w14:paraId="287FA77F">
      <w:pPr>
        <w:pBdr>
          <w:top w:val="single" w:color="auto" w:sz="4" w:space="1"/>
          <w:left w:val="single" w:color="auto" w:sz="4" w:space="4"/>
          <w:bottom w:val="single" w:color="auto" w:sz="4" w:space="1"/>
          <w:right w:val="single" w:color="auto" w:sz="4" w:space="4"/>
        </w:pBdr>
        <w:spacing w:line="360" w:lineRule="auto"/>
        <w:ind w:firstLine="422" w:firstLineChars="200"/>
        <w:rPr>
          <w:rFonts w:hint="eastAsia" w:ascii="宋体" w:hAnsi="宋体" w:eastAsia="宋体" w:cs="宋体"/>
          <w:color w:val="auto"/>
          <w:szCs w:val="21"/>
          <w:highlight w:val="none"/>
          <w:lang w:eastAsia="zh-CN"/>
        </w:rPr>
      </w:pPr>
      <w:r>
        <w:rPr>
          <w:rFonts w:hint="eastAsia" w:ascii="宋体" w:hAnsi="宋体" w:cs="宋体"/>
          <w:b/>
          <w:bCs/>
          <w:color w:val="auto"/>
          <w:szCs w:val="21"/>
          <w:highlight w:val="none"/>
          <w:u w:val="single"/>
          <w:lang w:eastAsia="zh-CN"/>
        </w:rPr>
        <w:t>2025年农业速测技术推广试点服务采购</w:t>
      </w:r>
      <w:r>
        <w:rPr>
          <w:rFonts w:hint="eastAsia" w:ascii="宋体" w:hAnsi="宋体" w:cs="宋体"/>
          <w:color w:val="auto"/>
          <w:szCs w:val="21"/>
          <w:highlight w:val="none"/>
        </w:rPr>
        <w:t>的潜在投标人应在“广西政府采购云平台”（https://www.gcy.zfcg.gxzf.gov.cn/）获取（下载）招标文件，并于</w:t>
      </w:r>
      <w:r>
        <w:rPr>
          <w:rFonts w:hint="eastAsia" w:ascii="宋体" w:hAnsi="宋体" w:cs="宋体"/>
          <w:b/>
          <w:bCs/>
          <w:color w:val="auto"/>
          <w:szCs w:val="21"/>
          <w:highlight w:val="none"/>
          <w:u w:val="single"/>
        </w:rPr>
        <w:t>2025年</w:t>
      </w:r>
      <w:r>
        <w:rPr>
          <w:rFonts w:hint="eastAsia" w:ascii="宋体" w:hAnsi="宋体" w:cs="宋体"/>
          <w:b/>
          <w:bCs/>
          <w:color w:val="auto"/>
          <w:szCs w:val="21"/>
          <w:highlight w:val="none"/>
          <w:u w:val="single"/>
          <w:lang w:val="en-US" w:eastAsia="zh-CN"/>
        </w:rPr>
        <w:t>8</w:t>
      </w:r>
      <w:r>
        <w:rPr>
          <w:rFonts w:hint="eastAsia" w:ascii="宋体" w:hAnsi="宋体" w:cs="宋体"/>
          <w:b/>
          <w:bCs/>
          <w:color w:val="auto"/>
          <w:szCs w:val="21"/>
          <w:highlight w:val="none"/>
          <w:u w:val="single"/>
        </w:rPr>
        <w:t>月</w:t>
      </w:r>
      <w:r>
        <w:rPr>
          <w:rFonts w:hint="eastAsia" w:ascii="宋体" w:hAnsi="宋体" w:cs="宋体"/>
          <w:b/>
          <w:bCs/>
          <w:color w:val="auto"/>
          <w:szCs w:val="21"/>
          <w:highlight w:val="none"/>
          <w:u w:val="single"/>
          <w:lang w:val="en-US" w:eastAsia="zh-CN"/>
        </w:rPr>
        <w:t>1</w:t>
      </w:r>
      <w:r>
        <w:rPr>
          <w:rFonts w:hint="eastAsia" w:ascii="宋体" w:hAnsi="宋体" w:cs="宋体"/>
          <w:b/>
          <w:bCs/>
          <w:color w:val="auto"/>
          <w:szCs w:val="21"/>
          <w:highlight w:val="none"/>
          <w:u w:val="single"/>
        </w:rPr>
        <w:t>日9时30分</w:t>
      </w:r>
      <w:r>
        <w:rPr>
          <w:rFonts w:hint="eastAsia" w:ascii="宋体" w:hAnsi="宋体" w:cs="宋体"/>
          <w:bCs/>
          <w:color w:val="auto"/>
          <w:szCs w:val="21"/>
          <w:highlight w:val="none"/>
          <w:u w:val="single"/>
        </w:rPr>
        <w:t>（</w:t>
      </w:r>
      <w:r>
        <w:rPr>
          <w:rFonts w:hint="eastAsia" w:ascii="宋体" w:hAnsi="宋体" w:cs="宋体"/>
          <w:bCs/>
          <w:color w:val="auto"/>
          <w:szCs w:val="21"/>
          <w:highlight w:val="none"/>
        </w:rPr>
        <w:t>北京时间）前按要求递交（上传）投标文件</w:t>
      </w:r>
      <w:r>
        <w:rPr>
          <w:rFonts w:hint="eastAsia" w:ascii="宋体" w:hAnsi="宋体" w:cs="宋体"/>
          <w:bCs/>
          <w:color w:val="auto"/>
          <w:szCs w:val="21"/>
          <w:highlight w:val="none"/>
          <w:lang w:eastAsia="zh-CN"/>
        </w:rPr>
        <w:t>。</w:t>
      </w:r>
    </w:p>
    <w:p w14:paraId="508932B6">
      <w:pPr>
        <w:spacing w:line="360" w:lineRule="auto"/>
        <w:rPr>
          <w:rFonts w:hint="eastAsia" w:ascii="宋体" w:hAnsi="宋体" w:cs="宋体"/>
          <w:b/>
          <w:bCs/>
          <w:color w:val="auto"/>
          <w:sz w:val="24"/>
          <w:highlight w:val="none"/>
        </w:rPr>
      </w:pPr>
      <w:bookmarkStart w:id="6" w:name="_Toc35393790"/>
      <w:bookmarkStart w:id="7" w:name="_Toc35393621"/>
      <w:bookmarkStart w:id="8" w:name="_Toc28359002"/>
      <w:bookmarkStart w:id="9" w:name="_Toc28359079"/>
      <w:bookmarkStart w:id="10" w:name="_Hlk24379207"/>
      <w:r>
        <w:rPr>
          <w:rFonts w:hint="eastAsia" w:ascii="宋体" w:hAnsi="宋体" w:cs="宋体"/>
          <w:b/>
          <w:bCs/>
          <w:color w:val="auto"/>
          <w:sz w:val="24"/>
          <w:highlight w:val="none"/>
        </w:rPr>
        <w:t>一、项目基本情况</w:t>
      </w:r>
      <w:bookmarkEnd w:id="6"/>
      <w:bookmarkEnd w:id="7"/>
      <w:bookmarkEnd w:id="8"/>
      <w:bookmarkEnd w:id="9"/>
      <w:r>
        <w:rPr>
          <w:rFonts w:hint="eastAsia" w:ascii="宋体" w:hAnsi="宋体" w:cs="宋体"/>
          <w:b/>
          <w:bCs/>
          <w:color w:val="auto"/>
          <w:sz w:val="24"/>
          <w:highlight w:val="none"/>
        </w:rPr>
        <w:t>：</w:t>
      </w:r>
    </w:p>
    <w:bookmarkEnd w:id="10"/>
    <w:p w14:paraId="692C96F1">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项目编号：GXZC2025-G3-001894-ZQZB    </w:t>
      </w:r>
    </w:p>
    <w:p w14:paraId="4B5E1078">
      <w:pPr>
        <w:spacing w:line="360" w:lineRule="auto"/>
        <w:ind w:firstLine="420" w:firstLineChars="200"/>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项目名称：</w:t>
      </w:r>
      <w:r>
        <w:rPr>
          <w:rFonts w:hint="eastAsia" w:ascii="宋体" w:hAnsi="宋体" w:cs="宋体"/>
          <w:color w:val="auto"/>
          <w:szCs w:val="21"/>
          <w:highlight w:val="none"/>
          <w:lang w:eastAsia="zh-CN"/>
        </w:rPr>
        <w:t>2025年农业速测技术推广试点服务采购</w:t>
      </w:r>
    </w:p>
    <w:p w14:paraId="50605E50">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预算金额：1000.00万元（其中</w:t>
      </w:r>
      <w:r>
        <w:rPr>
          <w:rFonts w:hint="eastAsia" w:ascii="宋体" w:hAnsi="宋体" w:cs="宋体"/>
          <w:color w:val="auto"/>
          <w:kern w:val="0"/>
          <w:szCs w:val="21"/>
          <w:highlight w:val="none"/>
        </w:rPr>
        <w:t>其中A分标：250.00万元； B分标：250.00万元；C分标：250.00万元；D分标：250.00万元</w:t>
      </w:r>
      <w:r>
        <w:rPr>
          <w:rFonts w:hint="eastAsia" w:ascii="宋体" w:hAnsi="宋体" w:cs="宋体"/>
          <w:color w:val="auto"/>
          <w:szCs w:val="21"/>
          <w:highlight w:val="none"/>
        </w:rPr>
        <w:t>）</w:t>
      </w:r>
    </w:p>
    <w:p w14:paraId="0F9274CA">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采购需求：</w:t>
      </w:r>
    </w:p>
    <w:tbl>
      <w:tblPr>
        <w:tblStyle w:val="62"/>
        <w:tblW w:w="9652" w:type="dxa"/>
        <w:jc w:val="center"/>
        <w:tblLayout w:type="fixed"/>
        <w:tblCellMar>
          <w:top w:w="0" w:type="dxa"/>
          <w:left w:w="10" w:type="dxa"/>
          <w:bottom w:w="0" w:type="dxa"/>
          <w:right w:w="10" w:type="dxa"/>
        </w:tblCellMar>
      </w:tblPr>
      <w:tblGrid>
        <w:gridCol w:w="942"/>
        <w:gridCol w:w="3022"/>
        <w:gridCol w:w="946"/>
        <w:gridCol w:w="981"/>
        <w:gridCol w:w="2960"/>
        <w:gridCol w:w="801"/>
      </w:tblGrid>
      <w:tr w14:paraId="1C83C65C">
        <w:tblPrEx>
          <w:tblCellMar>
            <w:top w:w="0" w:type="dxa"/>
            <w:left w:w="10" w:type="dxa"/>
            <w:bottom w:w="0" w:type="dxa"/>
            <w:right w:w="10" w:type="dxa"/>
          </w:tblCellMar>
        </w:tblPrEx>
        <w:trPr>
          <w:trHeight w:val="605" w:hRule="atLeast"/>
          <w:jc w:val="center"/>
        </w:trPr>
        <w:tc>
          <w:tcPr>
            <w:tcW w:w="942"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vAlign w:val="center"/>
          </w:tcPr>
          <w:p w14:paraId="3DD32D78">
            <w:pPr>
              <w:widowControl/>
              <w:pBdr>
                <w:top w:val="none" w:color="000000" w:sz="0" w:space="0"/>
                <w:left w:val="none" w:color="000000" w:sz="0" w:space="0"/>
                <w:bottom w:val="none" w:color="000000" w:sz="0" w:space="0"/>
                <w:right w:val="none" w:color="000000" w:sz="0" w:space="0"/>
                <w:between w:val="none" w:color="000000" w:sz="0" w:space="0"/>
              </w:pBdr>
              <w:spacing w:line="336" w:lineRule="auto"/>
              <w:jc w:val="center"/>
              <w:rPr>
                <w:rFonts w:hint="eastAsia" w:ascii="宋体" w:hAnsi="宋体" w:cs="宋体"/>
                <w:b/>
                <w:bCs/>
                <w:color w:val="auto"/>
                <w:kern w:val="1"/>
                <w:szCs w:val="21"/>
                <w:highlight w:val="none"/>
              </w:rPr>
            </w:pPr>
            <w:r>
              <w:rPr>
                <w:rFonts w:hint="eastAsia" w:ascii="宋体" w:hAnsi="宋体" w:cs="宋体"/>
                <w:b/>
                <w:bCs/>
                <w:color w:val="auto"/>
                <w:kern w:val="1"/>
                <w:szCs w:val="21"/>
                <w:highlight w:val="none"/>
              </w:rPr>
              <w:t>分标号</w:t>
            </w:r>
          </w:p>
        </w:tc>
        <w:tc>
          <w:tcPr>
            <w:tcW w:w="3022"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vAlign w:val="center"/>
          </w:tcPr>
          <w:p w14:paraId="5CACB7D4">
            <w:pPr>
              <w:widowControl/>
              <w:pBdr>
                <w:top w:val="none" w:color="000000" w:sz="0" w:space="0"/>
                <w:left w:val="none" w:color="000000" w:sz="0" w:space="0"/>
                <w:bottom w:val="none" w:color="000000" w:sz="0" w:space="0"/>
                <w:right w:val="none" w:color="000000" w:sz="0" w:space="0"/>
                <w:between w:val="none" w:color="000000" w:sz="0" w:space="0"/>
              </w:pBdr>
              <w:spacing w:line="336" w:lineRule="auto"/>
              <w:jc w:val="center"/>
              <w:rPr>
                <w:rFonts w:hint="eastAsia" w:ascii="宋体" w:hAnsi="宋体" w:cs="宋体"/>
                <w:b/>
                <w:bCs/>
                <w:color w:val="auto"/>
                <w:kern w:val="1"/>
                <w:szCs w:val="21"/>
                <w:highlight w:val="none"/>
              </w:rPr>
            </w:pPr>
            <w:r>
              <w:rPr>
                <w:rFonts w:hint="eastAsia" w:ascii="宋体" w:hAnsi="宋体" w:cs="宋体"/>
                <w:b/>
                <w:bCs/>
                <w:color w:val="auto"/>
                <w:kern w:val="1"/>
                <w:szCs w:val="21"/>
                <w:highlight w:val="none"/>
              </w:rPr>
              <w:t>采购项目名称</w:t>
            </w:r>
          </w:p>
        </w:tc>
        <w:tc>
          <w:tcPr>
            <w:tcW w:w="946"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vAlign w:val="center"/>
          </w:tcPr>
          <w:p w14:paraId="7913EC00">
            <w:pPr>
              <w:widowControl/>
              <w:pBdr>
                <w:top w:val="none" w:color="000000" w:sz="0" w:space="0"/>
                <w:left w:val="none" w:color="000000" w:sz="0" w:space="0"/>
                <w:bottom w:val="none" w:color="000000" w:sz="0" w:space="0"/>
                <w:right w:val="none" w:color="000000" w:sz="0" w:space="0"/>
                <w:between w:val="none" w:color="000000" w:sz="0" w:space="0"/>
              </w:pBdr>
              <w:spacing w:line="336" w:lineRule="auto"/>
              <w:jc w:val="center"/>
              <w:rPr>
                <w:rFonts w:hint="eastAsia" w:ascii="宋体" w:hAnsi="宋体" w:cs="宋体"/>
                <w:b/>
                <w:bCs/>
                <w:color w:val="auto"/>
                <w:kern w:val="1"/>
                <w:szCs w:val="21"/>
                <w:highlight w:val="none"/>
              </w:rPr>
            </w:pPr>
            <w:r>
              <w:rPr>
                <w:rFonts w:hint="eastAsia" w:ascii="宋体" w:hAnsi="宋体" w:cs="宋体"/>
                <w:b/>
                <w:bCs/>
                <w:color w:val="auto"/>
                <w:kern w:val="1"/>
                <w:szCs w:val="21"/>
                <w:highlight w:val="none"/>
              </w:rPr>
              <w:t>数量</w:t>
            </w:r>
          </w:p>
        </w:tc>
        <w:tc>
          <w:tcPr>
            <w:tcW w:w="981"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vAlign w:val="center"/>
          </w:tcPr>
          <w:p w14:paraId="14F2C687">
            <w:pPr>
              <w:widowControl/>
              <w:pBdr>
                <w:top w:val="none" w:color="000000" w:sz="0" w:space="0"/>
                <w:left w:val="none" w:color="000000" w:sz="0" w:space="0"/>
                <w:bottom w:val="none" w:color="000000" w:sz="0" w:space="0"/>
                <w:right w:val="none" w:color="000000" w:sz="0" w:space="0"/>
                <w:between w:val="none" w:color="000000" w:sz="0" w:space="0"/>
              </w:pBdr>
              <w:spacing w:line="336" w:lineRule="auto"/>
              <w:jc w:val="center"/>
              <w:rPr>
                <w:rFonts w:hint="eastAsia" w:ascii="宋体" w:hAnsi="宋体" w:cs="宋体"/>
                <w:b/>
                <w:bCs/>
                <w:color w:val="auto"/>
                <w:kern w:val="1"/>
                <w:szCs w:val="21"/>
                <w:highlight w:val="none"/>
              </w:rPr>
            </w:pPr>
            <w:r>
              <w:rPr>
                <w:rFonts w:hint="eastAsia" w:ascii="宋体" w:hAnsi="宋体" w:cs="宋体"/>
                <w:b/>
                <w:bCs/>
                <w:color w:val="auto"/>
                <w:kern w:val="1"/>
                <w:szCs w:val="21"/>
                <w:highlight w:val="none"/>
              </w:rPr>
              <w:t>单位</w:t>
            </w:r>
          </w:p>
        </w:tc>
        <w:tc>
          <w:tcPr>
            <w:tcW w:w="2960"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vAlign w:val="center"/>
          </w:tcPr>
          <w:p w14:paraId="0C53DF87">
            <w:pPr>
              <w:widowControl/>
              <w:pBdr>
                <w:top w:val="none" w:color="000000" w:sz="0" w:space="0"/>
                <w:left w:val="none" w:color="000000" w:sz="0" w:space="0"/>
                <w:bottom w:val="none" w:color="000000" w:sz="0" w:space="0"/>
                <w:right w:val="none" w:color="000000" w:sz="0" w:space="0"/>
                <w:between w:val="none" w:color="000000" w:sz="0" w:space="0"/>
              </w:pBdr>
              <w:spacing w:line="336" w:lineRule="auto"/>
              <w:jc w:val="center"/>
              <w:rPr>
                <w:rFonts w:hint="eastAsia" w:ascii="宋体" w:hAnsi="宋体" w:cs="宋体"/>
                <w:b/>
                <w:bCs/>
                <w:color w:val="auto"/>
                <w:kern w:val="1"/>
                <w:szCs w:val="21"/>
                <w:highlight w:val="none"/>
              </w:rPr>
            </w:pPr>
            <w:r>
              <w:rPr>
                <w:rFonts w:hint="eastAsia" w:ascii="宋体" w:hAnsi="宋体" w:cs="宋体"/>
                <w:b/>
                <w:bCs/>
                <w:color w:val="auto"/>
                <w:kern w:val="1"/>
                <w:szCs w:val="21"/>
                <w:highlight w:val="none"/>
              </w:rPr>
              <w:t>项目需求</w:t>
            </w:r>
          </w:p>
        </w:tc>
        <w:tc>
          <w:tcPr>
            <w:tcW w:w="801"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vAlign w:val="center"/>
          </w:tcPr>
          <w:p w14:paraId="53C3F97E">
            <w:pPr>
              <w:widowControl/>
              <w:pBdr>
                <w:top w:val="none" w:color="000000" w:sz="0" w:space="0"/>
                <w:left w:val="none" w:color="000000" w:sz="0" w:space="0"/>
                <w:bottom w:val="none" w:color="000000" w:sz="0" w:space="0"/>
                <w:right w:val="none" w:color="000000" w:sz="0" w:space="0"/>
                <w:between w:val="none" w:color="000000" w:sz="0" w:space="0"/>
              </w:pBdr>
              <w:spacing w:line="336" w:lineRule="auto"/>
              <w:jc w:val="center"/>
              <w:rPr>
                <w:rFonts w:hint="eastAsia" w:ascii="宋体" w:hAnsi="宋体" w:cs="宋体"/>
                <w:b/>
                <w:bCs/>
                <w:color w:val="auto"/>
                <w:kern w:val="1"/>
                <w:szCs w:val="21"/>
                <w:highlight w:val="none"/>
              </w:rPr>
            </w:pPr>
            <w:r>
              <w:rPr>
                <w:rFonts w:hint="eastAsia" w:ascii="宋体" w:hAnsi="宋体" w:cs="宋体"/>
                <w:b/>
                <w:bCs/>
                <w:color w:val="auto"/>
                <w:kern w:val="1"/>
                <w:szCs w:val="21"/>
                <w:highlight w:val="none"/>
              </w:rPr>
              <w:t>备注</w:t>
            </w:r>
          </w:p>
        </w:tc>
      </w:tr>
      <w:tr w14:paraId="7D26BD40">
        <w:tblPrEx>
          <w:tblCellMar>
            <w:top w:w="0" w:type="dxa"/>
            <w:left w:w="10" w:type="dxa"/>
            <w:bottom w:w="0" w:type="dxa"/>
            <w:right w:w="10" w:type="dxa"/>
          </w:tblCellMar>
        </w:tblPrEx>
        <w:trPr>
          <w:trHeight w:val="852" w:hRule="atLeast"/>
          <w:jc w:val="center"/>
        </w:trPr>
        <w:tc>
          <w:tcPr>
            <w:tcW w:w="942"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vAlign w:val="center"/>
          </w:tcPr>
          <w:p w14:paraId="73BB951E">
            <w:pPr>
              <w:widowControl/>
              <w:adjustRightInd w:val="0"/>
              <w:snapToGrid w:val="0"/>
              <w:spacing w:line="336" w:lineRule="auto"/>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A分标</w:t>
            </w:r>
          </w:p>
        </w:tc>
        <w:tc>
          <w:tcPr>
            <w:tcW w:w="3022"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vAlign w:val="center"/>
          </w:tcPr>
          <w:p w14:paraId="29D80600">
            <w:pPr>
              <w:widowControl/>
              <w:adjustRightInd w:val="0"/>
              <w:snapToGrid w:val="0"/>
              <w:spacing w:line="336" w:lineRule="auto"/>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豇豆等农产品胶体金快速检测试纸、仪器、设备及技术支持、培训</w:t>
            </w:r>
          </w:p>
        </w:tc>
        <w:tc>
          <w:tcPr>
            <w:tcW w:w="946"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vAlign w:val="center"/>
          </w:tcPr>
          <w:p w14:paraId="2DAFE3FD">
            <w:pPr>
              <w:widowControl/>
              <w:adjustRightInd w:val="0"/>
              <w:snapToGrid w:val="0"/>
              <w:spacing w:line="336" w:lineRule="auto"/>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1</w:t>
            </w:r>
          </w:p>
        </w:tc>
        <w:tc>
          <w:tcPr>
            <w:tcW w:w="981"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vAlign w:val="center"/>
          </w:tcPr>
          <w:p w14:paraId="60549BDD">
            <w:pPr>
              <w:widowControl/>
              <w:adjustRightInd w:val="0"/>
              <w:snapToGrid w:val="0"/>
              <w:spacing w:line="336" w:lineRule="auto"/>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项</w:t>
            </w:r>
          </w:p>
        </w:tc>
        <w:tc>
          <w:tcPr>
            <w:tcW w:w="2960"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vAlign w:val="center"/>
          </w:tcPr>
          <w:p w14:paraId="61A13713">
            <w:pPr>
              <w:widowControl/>
              <w:adjustRightInd w:val="0"/>
              <w:snapToGrid w:val="0"/>
              <w:spacing w:line="336" w:lineRule="auto"/>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具体内容详见第二章招标项目采购需求。</w:t>
            </w:r>
          </w:p>
        </w:tc>
        <w:tc>
          <w:tcPr>
            <w:tcW w:w="801"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vAlign w:val="center"/>
          </w:tcPr>
          <w:p w14:paraId="01B5C4A8">
            <w:pPr>
              <w:widowControl/>
              <w:pBdr>
                <w:top w:val="none" w:color="000000" w:sz="0" w:space="0"/>
                <w:left w:val="none" w:color="000000" w:sz="0" w:space="0"/>
                <w:bottom w:val="none" w:color="000000" w:sz="0" w:space="0"/>
                <w:right w:val="none" w:color="000000" w:sz="0" w:space="0"/>
                <w:between w:val="none" w:color="000000" w:sz="0" w:space="0"/>
              </w:pBdr>
              <w:spacing w:line="336" w:lineRule="auto"/>
              <w:jc w:val="right"/>
              <w:rPr>
                <w:rFonts w:hint="eastAsia" w:ascii="宋体" w:hAnsi="宋体" w:cs="宋体"/>
                <w:b/>
                <w:bCs/>
                <w:color w:val="auto"/>
                <w:kern w:val="1"/>
                <w:szCs w:val="21"/>
                <w:highlight w:val="none"/>
              </w:rPr>
            </w:pPr>
            <w:r>
              <w:rPr>
                <w:rFonts w:hint="eastAsia" w:ascii="宋体" w:hAnsi="宋体" w:cs="宋体"/>
                <w:b/>
                <w:bCs/>
                <w:color w:val="auto"/>
                <w:kern w:val="1"/>
                <w:szCs w:val="21"/>
                <w:highlight w:val="none"/>
              </w:rPr>
              <w:t>　</w:t>
            </w:r>
          </w:p>
        </w:tc>
      </w:tr>
      <w:tr w14:paraId="213A1F5B">
        <w:tblPrEx>
          <w:tblCellMar>
            <w:top w:w="0" w:type="dxa"/>
            <w:left w:w="10" w:type="dxa"/>
            <w:bottom w:w="0" w:type="dxa"/>
            <w:right w:w="10" w:type="dxa"/>
          </w:tblCellMar>
        </w:tblPrEx>
        <w:trPr>
          <w:trHeight w:val="473" w:hRule="atLeast"/>
          <w:jc w:val="center"/>
        </w:trPr>
        <w:tc>
          <w:tcPr>
            <w:tcW w:w="942"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vAlign w:val="center"/>
          </w:tcPr>
          <w:p w14:paraId="010AE9DB">
            <w:pPr>
              <w:widowControl/>
              <w:adjustRightInd w:val="0"/>
              <w:snapToGrid w:val="0"/>
              <w:spacing w:line="336" w:lineRule="auto"/>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B分标</w:t>
            </w:r>
          </w:p>
        </w:tc>
        <w:tc>
          <w:tcPr>
            <w:tcW w:w="3022"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vAlign w:val="center"/>
          </w:tcPr>
          <w:p w14:paraId="78A0769B">
            <w:pPr>
              <w:widowControl/>
              <w:adjustRightInd w:val="0"/>
              <w:snapToGrid w:val="0"/>
              <w:spacing w:line="336" w:lineRule="auto"/>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豇豆等农产品胶体金快速检测试纸、仪器、设备及技术支持、培训</w:t>
            </w:r>
          </w:p>
        </w:tc>
        <w:tc>
          <w:tcPr>
            <w:tcW w:w="946"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vAlign w:val="center"/>
          </w:tcPr>
          <w:p w14:paraId="56CE25BF">
            <w:pPr>
              <w:widowControl/>
              <w:adjustRightInd w:val="0"/>
              <w:snapToGrid w:val="0"/>
              <w:spacing w:line="336" w:lineRule="auto"/>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1</w:t>
            </w:r>
          </w:p>
        </w:tc>
        <w:tc>
          <w:tcPr>
            <w:tcW w:w="981"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vAlign w:val="center"/>
          </w:tcPr>
          <w:p w14:paraId="31281A02">
            <w:pPr>
              <w:widowControl/>
              <w:adjustRightInd w:val="0"/>
              <w:snapToGrid w:val="0"/>
              <w:spacing w:line="336" w:lineRule="auto"/>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项</w:t>
            </w:r>
          </w:p>
        </w:tc>
        <w:tc>
          <w:tcPr>
            <w:tcW w:w="2960"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vAlign w:val="center"/>
          </w:tcPr>
          <w:p w14:paraId="4D6B4D48">
            <w:pPr>
              <w:widowControl/>
              <w:adjustRightInd w:val="0"/>
              <w:snapToGrid w:val="0"/>
              <w:spacing w:line="336" w:lineRule="auto"/>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具体内容详见第二章招标项目采购需求。</w:t>
            </w:r>
          </w:p>
        </w:tc>
        <w:tc>
          <w:tcPr>
            <w:tcW w:w="801"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vAlign w:val="center"/>
          </w:tcPr>
          <w:p w14:paraId="0DED5EED">
            <w:pPr>
              <w:widowControl/>
              <w:pBdr>
                <w:top w:val="none" w:color="000000" w:sz="0" w:space="0"/>
                <w:left w:val="none" w:color="000000" w:sz="0" w:space="0"/>
                <w:bottom w:val="none" w:color="000000" w:sz="0" w:space="0"/>
                <w:right w:val="none" w:color="000000" w:sz="0" w:space="0"/>
                <w:between w:val="none" w:color="000000" w:sz="0" w:space="0"/>
              </w:pBdr>
              <w:spacing w:line="336" w:lineRule="auto"/>
              <w:jc w:val="right"/>
              <w:rPr>
                <w:rFonts w:hint="eastAsia" w:ascii="宋体" w:hAnsi="宋体" w:cs="宋体"/>
                <w:b/>
                <w:bCs/>
                <w:color w:val="auto"/>
                <w:kern w:val="1"/>
                <w:szCs w:val="21"/>
                <w:highlight w:val="none"/>
              </w:rPr>
            </w:pPr>
          </w:p>
        </w:tc>
      </w:tr>
      <w:tr w14:paraId="7DC41492">
        <w:tblPrEx>
          <w:tblCellMar>
            <w:top w:w="0" w:type="dxa"/>
            <w:left w:w="10" w:type="dxa"/>
            <w:bottom w:w="0" w:type="dxa"/>
            <w:right w:w="10" w:type="dxa"/>
          </w:tblCellMar>
        </w:tblPrEx>
        <w:trPr>
          <w:trHeight w:val="987" w:hRule="atLeast"/>
          <w:jc w:val="center"/>
        </w:trPr>
        <w:tc>
          <w:tcPr>
            <w:tcW w:w="942"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vAlign w:val="center"/>
          </w:tcPr>
          <w:p w14:paraId="1D206AB3">
            <w:pPr>
              <w:widowControl/>
              <w:adjustRightInd w:val="0"/>
              <w:snapToGrid w:val="0"/>
              <w:spacing w:line="336" w:lineRule="auto"/>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C分标</w:t>
            </w:r>
          </w:p>
        </w:tc>
        <w:tc>
          <w:tcPr>
            <w:tcW w:w="3022"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vAlign w:val="center"/>
          </w:tcPr>
          <w:p w14:paraId="78C33045">
            <w:pPr>
              <w:widowControl/>
              <w:adjustRightInd w:val="0"/>
              <w:snapToGrid w:val="0"/>
              <w:spacing w:line="336" w:lineRule="auto"/>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豇豆等农产品胶体金快速检测试纸、仪器、设备及技术支持、培训</w:t>
            </w:r>
          </w:p>
        </w:tc>
        <w:tc>
          <w:tcPr>
            <w:tcW w:w="946"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vAlign w:val="center"/>
          </w:tcPr>
          <w:p w14:paraId="08219DCC">
            <w:pPr>
              <w:widowControl/>
              <w:adjustRightInd w:val="0"/>
              <w:snapToGrid w:val="0"/>
              <w:spacing w:line="336" w:lineRule="auto"/>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1</w:t>
            </w:r>
          </w:p>
        </w:tc>
        <w:tc>
          <w:tcPr>
            <w:tcW w:w="981"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vAlign w:val="center"/>
          </w:tcPr>
          <w:p w14:paraId="7FE79C20">
            <w:pPr>
              <w:widowControl/>
              <w:adjustRightInd w:val="0"/>
              <w:snapToGrid w:val="0"/>
              <w:spacing w:line="336" w:lineRule="auto"/>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项</w:t>
            </w:r>
          </w:p>
        </w:tc>
        <w:tc>
          <w:tcPr>
            <w:tcW w:w="2960"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vAlign w:val="center"/>
          </w:tcPr>
          <w:p w14:paraId="1A15F768">
            <w:pPr>
              <w:widowControl/>
              <w:adjustRightInd w:val="0"/>
              <w:snapToGrid w:val="0"/>
              <w:spacing w:line="336" w:lineRule="auto"/>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具体内容详见第二章招标项目采购需求。</w:t>
            </w:r>
          </w:p>
        </w:tc>
        <w:tc>
          <w:tcPr>
            <w:tcW w:w="801"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vAlign w:val="center"/>
          </w:tcPr>
          <w:p w14:paraId="4350F927">
            <w:pPr>
              <w:widowControl/>
              <w:pBdr>
                <w:top w:val="none" w:color="000000" w:sz="0" w:space="0"/>
                <w:left w:val="none" w:color="000000" w:sz="0" w:space="0"/>
                <w:bottom w:val="none" w:color="000000" w:sz="0" w:space="0"/>
                <w:right w:val="none" w:color="000000" w:sz="0" w:space="0"/>
                <w:between w:val="none" w:color="000000" w:sz="0" w:space="0"/>
              </w:pBdr>
              <w:spacing w:line="336" w:lineRule="auto"/>
              <w:jc w:val="right"/>
              <w:rPr>
                <w:rFonts w:hint="eastAsia" w:ascii="宋体" w:hAnsi="宋体" w:cs="宋体"/>
                <w:b/>
                <w:bCs/>
                <w:color w:val="auto"/>
                <w:kern w:val="1"/>
                <w:szCs w:val="21"/>
                <w:highlight w:val="none"/>
              </w:rPr>
            </w:pPr>
          </w:p>
        </w:tc>
      </w:tr>
      <w:tr w14:paraId="5A9D5F06">
        <w:tblPrEx>
          <w:tblCellMar>
            <w:top w:w="0" w:type="dxa"/>
            <w:left w:w="10" w:type="dxa"/>
            <w:bottom w:w="0" w:type="dxa"/>
            <w:right w:w="10" w:type="dxa"/>
          </w:tblCellMar>
        </w:tblPrEx>
        <w:trPr>
          <w:trHeight w:val="987" w:hRule="atLeast"/>
          <w:jc w:val="center"/>
        </w:trPr>
        <w:tc>
          <w:tcPr>
            <w:tcW w:w="942"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vAlign w:val="center"/>
          </w:tcPr>
          <w:p w14:paraId="7F54B2B1">
            <w:pPr>
              <w:widowControl/>
              <w:adjustRightInd w:val="0"/>
              <w:snapToGrid w:val="0"/>
              <w:spacing w:line="336" w:lineRule="auto"/>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D分标</w:t>
            </w:r>
          </w:p>
        </w:tc>
        <w:tc>
          <w:tcPr>
            <w:tcW w:w="3022"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vAlign w:val="center"/>
          </w:tcPr>
          <w:p w14:paraId="391D8F74">
            <w:pPr>
              <w:widowControl/>
              <w:adjustRightInd w:val="0"/>
              <w:snapToGrid w:val="0"/>
              <w:spacing w:line="336" w:lineRule="auto"/>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豇豆等农产品胶体金快速检测试纸、仪器、设备及技术支持、培训</w:t>
            </w:r>
          </w:p>
        </w:tc>
        <w:tc>
          <w:tcPr>
            <w:tcW w:w="946"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vAlign w:val="center"/>
          </w:tcPr>
          <w:p w14:paraId="71F37913">
            <w:pPr>
              <w:widowControl/>
              <w:adjustRightInd w:val="0"/>
              <w:snapToGrid w:val="0"/>
              <w:spacing w:line="336" w:lineRule="auto"/>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1</w:t>
            </w:r>
          </w:p>
        </w:tc>
        <w:tc>
          <w:tcPr>
            <w:tcW w:w="981"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vAlign w:val="center"/>
          </w:tcPr>
          <w:p w14:paraId="02D817F9">
            <w:pPr>
              <w:widowControl/>
              <w:adjustRightInd w:val="0"/>
              <w:snapToGrid w:val="0"/>
              <w:spacing w:line="336" w:lineRule="auto"/>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项</w:t>
            </w:r>
          </w:p>
        </w:tc>
        <w:tc>
          <w:tcPr>
            <w:tcW w:w="2960"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vAlign w:val="center"/>
          </w:tcPr>
          <w:p w14:paraId="55329EC9">
            <w:pPr>
              <w:widowControl/>
              <w:adjustRightInd w:val="0"/>
              <w:snapToGrid w:val="0"/>
              <w:spacing w:line="336" w:lineRule="auto"/>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具体内容详见第二章招标项目采购需求。</w:t>
            </w:r>
          </w:p>
        </w:tc>
        <w:tc>
          <w:tcPr>
            <w:tcW w:w="801"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vAlign w:val="center"/>
          </w:tcPr>
          <w:p w14:paraId="7406DBA1">
            <w:pPr>
              <w:widowControl/>
              <w:pBdr>
                <w:top w:val="none" w:color="000000" w:sz="0" w:space="0"/>
                <w:left w:val="none" w:color="000000" w:sz="0" w:space="0"/>
                <w:bottom w:val="none" w:color="000000" w:sz="0" w:space="0"/>
                <w:right w:val="none" w:color="000000" w:sz="0" w:space="0"/>
                <w:between w:val="none" w:color="000000" w:sz="0" w:space="0"/>
              </w:pBdr>
              <w:spacing w:line="336" w:lineRule="auto"/>
              <w:jc w:val="right"/>
              <w:rPr>
                <w:rFonts w:hint="eastAsia" w:ascii="宋体" w:hAnsi="宋体" w:cs="宋体"/>
                <w:b/>
                <w:bCs/>
                <w:color w:val="auto"/>
                <w:kern w:val="1"/>
                <w:szCs w:val="21"/>
                <w:highlight w:val="none"/>
              </w:rPr>
            </w:pPr>
          </w:p>
        </w:tc>
      </w:tr>
    </w:tbl>
    <w:p w14:paraId="2D392FCC">
      <w:pPr>
        <w:pStyle w:val="22"/>
        <w:spacing w:line="360" w:lineRule="auto"/>
        <w:ind w:firstLine="211" w:firstLineChars="100"/>
        <w:rPr>
          <w:rFonts w:hint="eastAsia" w:ascii="宋体" w:hAnsi="宋体" w:cs="宋体"/>
          <w:b/>
          <w:color w:val="auto"/>
          <w:kern w:val="2"/>
          <w:sz w:val="21"/>
          <w:szCs w:val="21"/>
          <w:highlight w:val="none"/>
        </w:rPr>
      </w:pPr>
      <w:r>
        <w:rPr>
          <w:rFonts w:hint="eastAsia" w:ascii="宋体" w:hAnsi="宋体" w:cs="宋体"/>
          <w:b/>
          <w:color w:val="auto"/>
          <w:sz w:val="21"/>
          <w:szCs w:val="21"/>
          <w:highlight w:val="none"/>
        </w:rPr>
        <w:t>注：投标人可以对所有分标进行投标，也可以选择某个分标或某几个分标进行投标并报价。为保证履约质量，一个投标人只能中 A、B、C、D分标其中一个分标。评标/中标顺序按 A→B→C→D分标顺推。(即中A分标后不能再中 B、C、D分标;中B分标后不能再中 C、D分标，中C分标后不能再中 D分标，以此类推)。采购人应当按评审委员会推荐的排名顺序，按前述原则确定中标候选人作为中标人。</w:t>
      </w:r>
    </w:p>
    <w:p w14:paraId="6DA995E0">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服务期限：自合同签订之日起一年内。</w:t>
      </w:r>
    </w:p>
    <w:p w14:paraId="27841F28">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本项目不接受联合体投标。</w:t>
      </w:r>
    </w:p>
    <w:p w14:paraId="7C3392B5">
      <w:pPr>
        <w:spacing w:line="360" w:lineRule="auto"/>
        <w:rPr>
          <w:rFonts w:hint="eastAsia" w:ascii="宋体" w:hAnsi="宋体" w:cs="宋体"/>
          <w:b/>
          <w:bCs/>
          <w:color w:val="auto"/>
          <w:sz w:val="24"/>
          <w:highlight w:val="none"/>
        </w:rPr>
      </w:pPr>
      <w:bookmarkStart w:id="11" w:name="_Toc28359003"/>
      <w:bookmarkStart w:id="12" w:name="_Toc35393791"/>
      <w:bookmarkStart w:id="13" w:name="_Toc35393622"/>
      <w:bookmarkStart w:id="14" w:name="_Toc28359080"/>
      <w:r>
        <w:rPr>
          <w:rFonts w:hint="eastAsia" w:ascii="宋体" w:hAnsi="宋体" w:cs="宋体"/>
          <w:b/>
          <w:bCs/>
          <w:color w:val="auto"/>
          <w:sz w:val="24"/>
          <w:highlight w:val="none"/>
        </w:rPr>
        <w:t>二、申请人的资格要求：</w:t>
      </w:r>
      <w:bookmarkEnd w:id="11"/>
      <w:bookmarkEnd w:id="12"/>
      <w:bookmarkEnd w:id="13"/>
      <w:bookmarkEnd w:id="14"/>
    </w:p>
    <w:p w14:paraId="37FE2D90">
      <w:pPr>
        <w:spacing w:line="360" w:lineRule="auto"/>
        <w:ind w:firstLine="420" w:firstLineChars="200"/>
        <w:rPr>
          <w:rFonts w:hint="eastAsia" w:ascii="宋体" w:hAnsi="宋体" w:cs="宋体"/>
          <w:color w:val="auto"/>
          <w:szCs w:val="21"/>
          <w:highlight w:val="none"/>
        </w:rPr>
      </w:pPr>
      <w:bookmarkStart w:id="15" w:name="_Hlk51746371"/>
      <w:bookmarkStart w:id="16" w:name="_Toc28359004"/>
      <w:bookmarkStart w:id="17" w:name="_Toc28359081"/>
      <w:bookmarkStart w:id="18" w:name="_Toc35393623"/>
      <w:bookmarkStart w:id="19" w:name="_Toc35393792"/>
      <w:r>
        <w:rPr>
          <w:rFonts w:hint="eastAsia" w:ascii="宋体" w:hAnsi="宋体" w:cs="宋体"/>
          <w:color w:val="auto"/>
          <w:szCs w:val="21"/>
          <w:highlight w:val="none"/>
        </w:rPr>
        <w:t>1.满足《中华人民共和国政府采购法》第二十二条规定；</w:t>
      </w:r>
    </w:p>
    <w:p w14:paraId="4858D722">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2.落实政府采购政策需满足的资格要求：</w:t>
      </w:r>
    </w:p>
    <w:p w14:paraId="2BF53574">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□专门面向中小企业采购的项目（供应商应为中小微企业、监狱企业、残疾人福利性单位）</w:t>
      </w:r>
    </w:p>
    <w:p w14:paraId="030DA017">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☑非专门面向中小企业采购的项目</w:t>
      </w:r>
    </w:p>
    <w:p w14:paraId="1EC708AB">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3.本项目的特定资格要求：无。 </w:t>
      </w:r>
    </w:p>
    <w:bookmarkEnd w:id="15"/>
    <w:p w14:paraId="6EEF43BD">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三、获取招标文件</w:t>
      </w:r>
      <w:bookmarkEnd w:id="16"/>
      <w:bookmarkEnd w:id="17"/>
      <w:bookmarkEnd w:id="18"/>
      <w:bookmarkEnd w:id="19"/>
      <w:r>
        <w:rPr>
          <w:rFonts w:hint="eastAsia" w:ascii="宋体" w:hAnsi="宋体" w:cs="宋体"/>
          <w:b/>
          <w:bCs/>
          <w:color w:val="auto"/>
          <w:sz w:val="24"/>
          <w:highlight w:val="none"/>
        </w:rPr>
        <w:t>：</w:t>
      </w:r>
    </w:p>
    <w:p w14:paraId="6F58F971">
      <w:pPr>
        <w:spacing w:line="360" w:lineRule="auto"/>
        <w:ind w:firstLine="540"/>
        <w:rPr>
          <w:rFonts w:hint="eastAsia" w:ascii="宋体" w:hAnsi="宋体" w:cs="宋体"/>
          <w:bCs/>
          <w:color w:val="auto"/>
          <w:kern w:val="0"/>
          <w:szCs w:val="21"/>
          <w:highlight w:val="none"/>
        </w:rPr>
      </w:pPr>
      <w:r>
        <w:rPr>
          <w:rFonts w:hint="eastAsia" w:ascii="宋体" w:hAnsi="宋体" w:cs="宋体"/>
          <w:bCs/>
          <w:color w:val="auto"/>
          <w:kern w:val="0"/>
          <w:szCs w:val="21"/>
          <w:highlight w:val="none"/>
        </w:rPr>
        <w:t>时间：</w:t>
      </w:r>
      <w:r>
        <w:rPr>
          <w:rFonts w:hint="eastAsia" w:ascii="宋体" w:hAnsi="宋体" w:cs="宋体"/>
          <w:bCs/>
          <w:color w:val="auto"/>
          <w:kern w:val="0"/>
          <w:szCs w:val="21"/>
          <w:highlight w:val="none"/>
          <w:u w:val="single"/>
        </w:rPr>
        <w:t>2025</w:t>
      </w:r>
      <w:r>
        <w:rPr>
          <w:rFonts w:hint="eastAsia" w:ascii="宋体" w:hAnsi="宋体" w:cs="宋体"/>
          <w:bCs/>
          <w:color w:val="auto"/>
          <w:kern w:val="0"/>
          <w:szCs w:val="21"/>
          <w:highlight w:val="none"/>
        </w:rPr>
        <w:t>年</w:t>
      </w:r>
      <w:r>
        <w:rPr>
          <w:rFonts w:hint="eastAsia" w:ascii="宋体" w:hAnsi="宋体" w:cs="宋体"/>
          <w:bCs/>
          <w:color w:val="auto"/>
          <w:kern w:val="0"/>
          <w:szCs w:val="21"/>
          <w:highlight w:val="none"/>
          <w:u w:val="single"/>
          <w:lang w:val="en-US" w:eastAsia="zh-CN"/>
        </w:rPr>
        <w:t>7</w:t>
      </w:r>
      <w:r>
        <w:rPr>
          <w:rFonts w:hint="eastAsia" w:ascii="宋体" w:hAnsi="宋体" w:cs="宋体"/>
          <w:bCs/>
          <w:color w:val="auto"/>
          <w:kern w:val="0"/>
          <w:szCs w:val="21"/>
          <w:highlight w:val="none"/>
        </w:rPr>
        <w:t>月</w:t>
      </w:r>
      <w:r>
        <w:rPr>
          <w:rFonts w:hint="eastAsia" w:ascii="宋体" w:hAnsi="宋体" w:cs="宋体"/>
          <w:bCs/>
          <w:color w:val="auto"/>
          <w:kern w:val="0"/>
          <w:szCs w:val="21"/>
          <w:highlight w:val="none"/>
          <w:u w:val="single"/>
          <w:lang w:val="en-US" w:eastAsia="zh-CN"/>
        </w:rPr>
        <w:t>12</w:t>
      </w:r>
      <w:r>
        <w:rPr>
          <w:rFonts w:hint="eastAsia" w:ascii="宋体" w:hAnsi="宋体" w:cs="宋体"/>
          <w:bCs/>
          <w:color w:val="auto"/>
          <w:kern w:val="0"/>
          <w:szCs w:val="21"/>
          <w:highlight w:val="none"/>
        </w:rPr>
        <w:t>日至</w:t>
      </w:r>
      <w:r>
        <w:rPr>
          <w:rFonts w:hint="eastAsia" w:ascii="宋体" w:hAnsi="宋体" w:cs="宋体"/>
          <w:bCs/>
          <w:color w:val="auto"/>
          <w:kern w:val="0"/>
          <w:szCs w:val="21"/>
          <w:highlight w:val="none"/>
          <w:u w:val="single"/>
        </w:rPr>
        <w:t>2025</w:t>
      </w:r>
      <w:r>
        <w:rPr>
          <w:rFonts w:hint="eastAsia" w:ascii="宋体" w:hAnsi="宋体" w:cs="宋体"/>
          <w:bCs/>
          <w:color w:val="auto"/>
          <w:kern w:val="0"/>
          <w:szCs w:val="21"/>
          <w:highlight w:val="none"/>
        </w:rPr>
        <w:t>年</w:t>
      </w:r>
      <w:r>
        <w:rPr>
          <w:rFonts w:hint="eastAsia" w:ascii="宋体" w:hAnsi="宋体" w:cs="宋体"/>
          <w:bCs/>
          <w:color w:val="auto"/>
          <w:kern w:val="0"/>
          <w:szCs w:val="21"/>
          <w:highlight w:val="none"/>
          <w:u w:val="single"/>
          <w:lang w:val="en-US" w:eastAsia="zh-CN"/>
        </w:rPr>
        <w:t>7</w:t>
      </w:r>
      <w:r>
        <w:rPr>
          <w:rFonts w:hint="eastAsia" w:ascii="宋体" w:hAnsi="宋体" w:cs="宋体"/>
          <w:bCs/>
          <w:color w:val="auto"/>
          <w:kern w:val="0"/>
          <w:szCs w:val="21"/>
          <w:highlight w:val="none"/>
        </w:rPr>
        <w:t>月</w:t>
      </w:r>
      <w:r>
        <w:rPr>
          <w:rFonts w:hint="eastAsia" w:ascii="宋体" w:hAnsi="宋体" w:cs="宋体"/>
          <w:bCs/>
          <w:color w:val="auto"/>
          <w:kern w:val="0"/>
          <w:szCs w:val="21"/>
          <w:highlight w:val="none"/>
          <w:u w:val="single"/>
          <w:lang w:val="en-US" w:eastAsia="zh-CN"/>
        </w:rPr>
        <w:t>18</w:t>
      </w:r>
      <w:r>
        <w:rPr>
          <w:rFonts w:hint="eastAsia" w:ascii="宋体" w:hAnsi="宋体" w:cs="宋体"/>
          <w:bCs/>
          <w:color w:val="auto"/>
          <w:kern w:val="0"/>
          <w:szCs w:val="21"/>
          <w:highlight w:val="none"/>
        </w:rPr>
        <w:t>日，每天上午</w:t>
      </w:r>
      <w:r>
        <w:rPr>
          <w:rFonts w:hint="eastAsia" w:ascii="宋体" w:hAnsi="宋体" w:cs="宋体"/>
          <w:bCs/>
          <w:color w:val="auto"/>
          <w:kern w:val="0"/>
          <w:szCs w:val="21"/>
          <w:highlight w:val="none"/>
          <w:u w:val="single"/>
        </w:rPr>
        <w:t>9:00至12:00</w:t>
      </w:r>
      <w:r>
        <w:rPr>
          <w:rFonts w:hint="eastAsia" w:ascii="宋体" w:hAnsi="宋体" w:cs="宋体"/>
          <w:bCs/>
          <w:color w:val="auto"/>
          <w:kern w:val="0"/>
          <w:szCs w:val="21"/>
          <w:highlight w:val="none"/>
        </w:rPr>
        <w:t>，</w:t>
      </w:r>
      <w:r>
        <w:rPr>
          <w:rFonts w:hint="eastAsia" w:ascii="宋体" w:hAnsi="宋体" w:cs="宋体"/>
          <w:bCs/>
          <w:color w:val="auto"/>
          <w:kern w:val="0"/>
          <w:szCs w:val="21"/>
          <w:highlight w:val="none"/>
          <w:u w:val="single"/>
        </w:rPr>
        <w:t>下午15:00至18:00</w:t>
      </w:r>
      <w:r>
        <w:rPr>
          <w:rFonts w:hint="eastAsia" w:ascii="宋体" w:hAnsi="宋体" w:cs="宋体"/>
          <w:bCs/>
          <w:color w:val="auto"/>
          <w:kern w:val="0"/>
          <w:szCs w:val="21"/>
          <w:highlight w:val="none"/>
        </w:rPr>
        <w:t>（北京时间）</w:t>
      </w:r>
    </w:p>
    <w:p w14:paraId="650FF7CD">
      <w:pPr>
        <w:spacing w:line="360" w:lineRule="auto"/>
        <w:ind w:firstLine="540"/>
        <w:rPr>
          <w:rFonts w:hint="eastAsia" w:ascii="宋体" w:hAnsi="宋体" w:cs="宋体"/>
          <w:bCs/>
          <w:color w:val="auto"/>
          <w:kern w:val="0"/>
          <w:szCs w:val="21"/>
          <w:highlight w:val="none"/>
        </w:rPr>
      </w:pPr>
      <w:r>
        <w:rPr>
          <w:rFonts w:hint="eastAsia" w:ascii="宋体" w:hAnsi="宋体" w:cs="宋体"/>
          <w:bCs/>
          <w:color w:val="auto"/>
          <w:kern w:val="0"/>
          <w:szCs w:val="21"/>
          <w:highlight w:val="none"/>
        </w:rPr>
        <w:t>地点：</w:t>
      </w:r>
      <w:r>
        <w:rPr>
          <w:rFonts w:hint="eastAsia" w:ascii="宋体" w:hAnsi="宋体" w:cs="宋体"/>
          <w:color w:val="auto"/>
          <w:szCs w:val="21"/>
          <w:highlight w:val="none"/>
        </w:rPr>
        <w:t>“广西政府采购云平台”（https://www.gcy.zfcg.gxzf.gov.cn/）</w:t>
      </w:r>
    </w:p>
    <w:p w14:paraId="53E33345">
      <w:pPr>
        <w:spacing w:line="360" w:lineRule="auto"/>
        <w:ind w:firstLine="540"/>
        <w:rPr>
          <w:rFonts w:hint="eastAsia" w:ascii="宋体" w:hAnsi="宋体" w:cs="宋体"/>
          <w:bCs/>
          <w:color w:val="auto"/>
          <w:kern w:val="0"/>
          <w:szCs w:val="21"/>
          <w:highlight w:val="none"/>
        </w:rPr>
      </w:pPr>
      <w:r>
        <w:rPr>
          <w:rFonts w:hint="eastAsia" w:ascii="宋体" w:hAnsi="宋体" w:cs="宋体"/>
          <w:color w:val="auto"/>
          <w:highlight w:val="none"/>
        </w:rPr>
        <w:t>方式：网上下载。本项目不提供纸质文件，潜在供应商需使用账号登录或者使用CA登录“广西政府采购云平台”（https://www.gcy.zfcg.gxzf.gov.cn）-进入“项目采购”应用，在获取采购文件菜单中选择项目，获取招标文件（或在“广西政府采购客户端-获取采购文件”）。电子投标文件制作需要基于“广西政府采购云平台”获取的招标文件编制，通过其他方式获取招标文件的，将有可能导致供应商无法在“广西政府采购云平台”编制及上传投标文件。</w:t>
      </w:r>
    </w:p>
    <w:p w14:paraId="757F1797">
      <w:pPr>
        <w:spacing w:line="360" w:lineRule="auto"/>
        <w:ind w:firstLine="540"/>
        <w:rPr>
          <w:rFonts w:hint="eastAsia" w:ascii="宋体" w:hAnsi="宋体" w:cs="宋体"/>
          <w:color w:val="auto"/>
          <w:szCs w:val="21"/>
          <w:highlight w:val="none"/>
        </w:rPr>
      </w:pPr>
      <w:r>
        <w:rPr>
          <w:rFonts w:hint="eastAsia" w:ascii="宋体" w:hAnsi="宋体" w:cs="宋体"/>
          <w:bCs/>
          <w:color w:val="auto"/>
          <w:kern w:val="0"/>
          <w:szCs w:val="21"/>
          <w:highlight w:val="none"/>
        </w:rPr>
        <w:t>售价：</w:t>
      </w:r>
      <w:r>
        <w:rPr>
          <w:rFonts w:hint="eastAsia" w:ascii="宋体" w:hAnsi="宋体" w:cs="宋体"/>
          <w:color w:val="auto"/>
          <w:szCs w:val="21"/>
          <w:highlight w:val="none"/>
          <w:u w:val="single"/>
        </w:rPr>
        <w:t>0</w:t>
      </w:r>
      <w:r>
        <w:rPr>
          <w:rFonts w:hint="eastAsia" w:ascii="宋体" w:hAnsi="宋体" w:cs="宋体"/>
          <w:color w:val="auto"/>
          <w:szCs w:val="21"/>
          <w:highlight w:val="none"/>
        </w:rPr>
        <w:t>元</w:t>
      </w:r>
    </w:p>
    <w:p w14:paraId="47BE8674">
      <w:pPr>
        <w:spacing w:line="360" w:lineRule="auto"/>
        <w:rPr>
          <w:rFonts w:hint="eastAsia" w:ascii="宋体" w:hAnsi="宋体" w:cs="宋体"/>
          <w:b/>
          <w:bCs/>
          <w:color w:val="auto"/>
          <w:sz w:val="24"/>
          <w:highlight w:val="none"/>
        </w:rPr>
      </w:pPr>
      <w:bookmarkStart w:id="20" w:name="_Toc28359005"/>
      <w:bookmarkStart w:id="21" w:name="_Toc28359082"/>
      <w:bookmarkStart w:id="22" w:name="_Toc35393624"/>
      <w:bookmarkStart w:id="23" w:name="_Toc35393793"/>
      <w:r>
        <w:rPr>
          <w:rFonts w:hint="eastAsia" w:ascii="宋体" w:hAnsi="宋体" w:cs="宋体"/>
          <w:b/>
          <w:bCs/>
          <w:color w:val="auto"/>
          <w:sz w:val="24"/>
          <w:highlight w:val="none"/>
        </w:rPr>
        <w:t>四、提交投标文件</w:t>
      </w:r>
      <w:bookmarkEnd w:id="20"/>
      <w:bookmarkEnd w:id="21"/>
      <w:r>
        <w:rPr>
          <w:rFonts w:hint="eastAsia" w:ascii="宋体" w:hAnsi="宋体" w:cs="宋体"/>
          <w:b/>
          <w:bCs/>
          <w:color w:val="auto"/>
          <w:sz w:val="24"/>
          <w:highlight w:val="none"/>
        </w:rPr>
        <w:t>截止时间、开标时间和地点</w:t>
      </w:r>
      <w:bookmarkEnd w:id="22"/>
      <w:bookmarkEnd w:id="23"/>
      <w:r>
        <w:rPr>
          <w:rFonts w:hint="eastAsia" w:ascii="宋体" w:hAnsi="宋体" w:cs="宋体"/>
          <w:b/>
          <w:bCs/>
          <w:color w:val="auto"/>
          <w:sz w:val="24"/>
          <w:highlight w:val="none"/>
        </w:rPr>
        <w:t>：</w:t>
      </w:r>
    </w:p>
    <w:p w14:paraId="4D928E1D">
      <w:pPr>
        <w:spacing w:line="360" w:lineRule="auto"/>
        <w:ind w:firstLine="420" w:firstLineChars="200"/>
        <w:rPr>
          <w:rFonts w:hint="eastAsia" w:ascii="宋体" w:hAnsi="宋体" w:cs="宋体"/>
          <w:bCs/>
          <w:color w:val="auto"/>
          <w:szCs w:val="21"/>
          <w:highlight w:val="none"/>
        </w:rPr>
      </w:pPr>
      <w:bookmarkStart w:id="24" w:name="_Toc28359084"/>
      <w:bookmarkStart w:id="25" w:name="_Toc28359007"/>
      <w:bookmarkStart w:id="26" w:name="_Toc35393625"/>
      <w:bookmarkStart w:id="27" w:name="_Toc35393794"/>
      <w:r>
        <w:rPr>
          <w:rFonts w:hint="eastAsia" w:ascii="宋体" w:hAnsi="宋体" w:cs="宋体"/>
          <w:bCs/>
          <w:color w:val="auto"/>
          <w:szCs w:val="21"/>
          <w:highlight w:val="none"/>
          <w:u w:val="single"/>
        </w:rPr>
        <w:t>2025年</w:t>
      </w:r>
      <w:r>
        <w:rPr>
          <w:rFonts w:hint="eastAsia" w:ascii="宋体" w:hAnsi="宋体" w:cs="宋体"/>
          <w:bCs/>
          <w:color w:val="auto"/>
          <w:szCs w:val="21"/>
          <w:highlight w:val="none"/>
          <w:u w:val="single"/>
          <w:lang w:val="en-US" w:eastAsia="zh-CN"/>
        </w:rPr>
        <w:t>8</w:t>
      </w:r>
      <w:r>
        <w:rPr>
          <w:rFonts w:hint="eastAsia" w:ascii="宋体" w:hAnsi="宋体" w:cs="宋体"/>
          <w:bCs/>
          <w:color w:val="auto"/>
          <w:szCs w:val="21"/>
          <w:highlight w:val="none"/>
          <w:u w:val="single"/>
        </w:rPr>
        <w:t>月</w:t>
      </w:r>
      <w:r>
        <w:rPr>
          <w:rFonts w:hint="eastAsia" w:ascii="宋体" w:hAnsi="宋体" w:cs="宋体"/>
          <w:bCs/>
          <w:color w:val="auto"/>
          <w:szCs w:val="21"/>
          <w:highlight w:val="none"/>
          <w:u w:val="single"/>
          <w:lang w:val="en-US" w:eastAsia="zh-CN"/>
        </w:rPr>
        <w:t>1</w:t>
      </w:r>
      <w:r>
        <w:rPr>
          <w:rFonts w:hint="eastAsia" w:ascii="宋体" w:hAnsi="宋体" w:cs="宋体"/>
          <w:bCs/>
          <w:color w:val="auto"/>
          <w:szCs w:val="21"/>
          <w:highlight w:val="none"/>
          <w:u w:val="single"/>
        </w:rPr>
        <w:t>日9时30分</w:t>
      </w:r>
      <w:r>
        <w:rPr>
          <w:rFonts w:hint="eastAsia" w:ascii="宋体" w:hAnsi="宋体" w:cs="宋体"/>
          <w:bCs/>
          <w:color w:val="auto"/>
          <w:szCs w:val="21"/>
          <w:highlight w:val="none"/>
        </w:rPr>
        <w:t>（北京时间）</w:t>
      </w:r>
    </w:p>
    <w:p w14:paraId="15E27F04">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投标地点：“广西政府采购云平台”（https://www.gcy.zfcg.gxzf.gov.cn/）</w:t>
      </w:r>
    </w:p>
    <w:p w14:paraId="55CB88A2">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开标地点：“广西政府采购云平台”电子开标大厅</w:t>
      </w:r>
    </w:p>
    <w:p w14:paraId="310913D5">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五、公告期限</w:t>
      </w:r>
      <w:bookmarkEnd w:id="24"/>
      <w:bookmarkEnd w:id="25"/>
      <w:bookmarkEnd w:id="26"/>
      <w:bookmarkEnd w:id="27"/>
      <w:r>
        <w:rPr>
          <w:rFonts w:hint="eastAsia" w:ascii="宋体" w:hAnsi="宋体" w:cs="宋体"/>
          <w:b/>
          <w:bCs/>
          <w:color w:val="auto"/>
          <w:sz w:val="24"/>
          <w:highlight w:val="none"/>
        </w:rPr>
        <w:t>：</w:t>
      </w:r>
    </w:p>
    <w:p w14:paraId="78C1D630">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自本公告发布之日起5个工作日。</w:t>
      </w:r>
    </w:p>
    <w:p w14:paraId="5E236E9C">
      <w:pPr>
        <w:spacing w:line="360" w:lineRule="auto"/>
        <w:rPr>
          <w:rFonts w:hint="eastAsia" w:ascii="宋体" w:hAnsi="宋体" w:cs="宋体"/>
          <w:b/>
          <w:bCs/>
          <w:color w:val="auto"/>
          <w:sz w:val="24"/>
          <w:highlight w:val="none"/>
        </w:rPr>
      </w:pPr>
      <w:bookmarkStart w:id="28" w:name="_Toc35393795"/>
      <w:bookmarkStart w:id="29" w:name="_Toc35393626"/>
      <w:r>
        <w:rPr>
          <w:rFonts w:hint="eastAsia" w:ascii="宋体" w:hAnsi="宋体" w:cs="宋体"/>
          <w:b/>
          <w:bCs/>
          <w:color w:val="auto"/>
          <w:sz w:val="24"/>
          <w:highlight w:val="none"/>
        </w:rPr>
        <w:t>六、其他补充事宜</w:t>
      </w:r>
      <w:bookmarkEnd w:id="28"/>
      <w:bookmarkEnd w:id="29"/>
      <w:r>
        <w:rPr>
          <w:rFonts w:hint="eastAsia" w:ascii="宋体" w:hAnsi="宋体" w:cs="宋体"/>
          <w:b/>
          <w:bCs/>
          <w:color w:val="auto"/>
          <w:sz w:val="24"/>
          <w:highlight w:val="none"/>
        </w:rPr>
        <w:t>：</w:t>
      </w:r>
    </w:p>
    <w:p w14:paraId="6DFCFC77">
      <w:pPr>
        <w:spacing w:line="360" w:lineRule="auto"/>
        <w:ind w:firstLine="210" w:firstLineChars="100"/>
        <w:rPr>
          <w:rFonts w:hint="eastAsia" w:ascii="宋体" w:hAnsi="宋体" w:cs="宋体"/>
          <w:color w:val="auto"/>
          <w:kern w:val="0"/>
          <w:szCs w:val="21"/>
          <w:highlight w:val="none"/>
        </w:rPr>
      </w:pPr>
      <w:bookmarkStart w:id="30" w:name="_Hlk37429595"/>
      <w:bookmarkStart w:id="31" w:name="_Hlk37429585"/>
      <w:bookmarkStart w:id="32" w:name="_Toc28359008"/>
      <w:bookmarkStart w:id="33" w:name="_Toc28359085"/>
      <w:bookmarkStart w:id="34" w:name="_Toc35393627"/>
      <w:bookmarkStart w:id="35" w:name="_Toc35393796"/>
      <w:r>
        <w:rPr>
          <w:rFonts w:hint="eastAsia" w:ascii="宋体" w:hAnsi="宋体" w:cs="宋体"/>
          <w:color w:val="auto"/>
          <w:kern w:val="0"/>
          <w:szCs w:val="21"/>
          <w:highlight w:val="none"/>
        </w:rPr>
        <w:t>1.网上查询地址</w:t>
      </w:r>
    </w:p>
    <w:bookmarkEnd w:id="30"/>
    <w:bookmarkEnd w:id="31"/>
    <w:p w14:paraId="6E046AF9">
      <w:pPr>
        <w:spacing w:line="360" w:lineRule="auto"/>
        <w:ind w:left="210" w:leftChars="100"/>
        <w:rPr>
          <w:rFonts w:hint="eastAsia" w:ascii="宋体" w:hAnsi="宋体" w:cs="宋体"/>
          <w:color w:val="auto"/>
          <w:kern w:val="0"/>
          <w:szCs w:val="21"/>
          <w:highlight w:val="none"/>
        </w:rPr>
      </w:pPr>
      <w:bookmarkStart w:id="36" w:name="_Hlk37429674"/>
      <w:r>
        <w:rPr>
          <w:rFonts w:hint="eastAsia" w:ascii="宋体" w:hAnsi="宋体" w:cs="宋体"/>
          <w:color w:val="auto"/>
          <w:highlight w:val="none"/>
        </w:rPr>
        <w:t>中国政府采购网（http://www.ccgp.gov.cn）、广西壮族自治区政府采购网（http://zfcg.gxzf.gov.cn）、广西壮族自治区公共资源交易中心网（gxggzy.gxzf.gov.cn）</w:t>
      </w:r>
      <w:r>
        <w:rPr>
          <w:rFonts w:hint="eastAsia" w:ascii="宋体" w:hAnsi="宋体" w:cs="宋体"/>
          <w:color w:val="auto"/>
          <w:highlight w:val="none"/>
          <w:lang w:eastAsia="zh-CN"/>
        </w:rPr>
        <w:t>、</w:t>
      </w:r>
      <w:r>
        <w:rPr>
          <w:rFonts w:hint="eastAsia" w:ascii="宋体" w:hAnsi="宋体" w:cs="宋体"/>
          <w:color w:val="auto"/>
          <w:highlight w:val="none"/>
        </w:rPr>
        <w:t>全国公共资源交易平台(广西·柳州)</w:t>
      </w:r>
      <w:r>
        <w:rPr>
          <w:rFonts w:hint="eastAsia" w:ascii="宋体" w:hAnsi="宋体" w:cs="宋体"/>
          <w:color w:val="auto"/>
          <w:highlight w:val="none"/>
          <w:lang w:eastAsia="zh-CN"/>
        </w:rPr>
        <w:t>（http://ggzy.jgswj.gxzf.gov.cn/lzggzy/）</w:t>
      </w:r>
      <w:r>
        <w:rPr>
          <w:rFonts w:hint="eastAsia" w:ascii="宋体" w:hAnsi="宋体" w:cs="宋体"/>
          <w:color w:val="auto"/>
          <w:highlight w:val="none"/>
        </w:rPr>
        <w:t>。</w:t>
      </w:r>
      <w:r>
        <w:rPr>
          <w:rFonts w:hint="eastAsia" w:ascii="宋体" w:hAnsi="宋体" w:cs="宋体"/>
          <w:color w:val="auto"/>
          <w:highlight w:val="none"/>
        </w:rPr>
        <w:br w:type="textWrapping"/>
      </w:r>
      <w:r>
        <w:rPr>
          <w:rFonts w:hint="eastAsia" w:ascii="宋体" w:hAnsi="宋体" w:cs="宋体"/>
          <w:color w:val="auto"/>
          <w:kern w:val="0"/>
          <w:szCs w:val="21"/>
          <w:highlight w:val="none"/>
        </w:rPr>
        <w:t>2.本项目需要落实的政府采购政策</w:t>
      </w:r>
    </w:p>
    <w:p w14:paraId="193620E7">
      <w:pPr>
        <w:spacing w:line="360" w:lineRule="auto"/>
        <w:ind w:firstLine="210" w:firstLineChars="100"/>
        <w:rPr>
          <w:rFonts w:hint="eastAsia" w:ascii="宋体" w:hAnsi="宋体" w:cs="宋体"/>
          <w:color w:val="auto"/>
          <w:kern w:val="0"/>
          <w:szCs w:val="21"/>
          <w:highlight w:val="none"/>
        </w:rPr>
      </w:pPr>
      <w:r>
        <w:rPr>
          <w:rFonts w:hint="eastAsia" w:ascii="宋体" w:hAnsi="宋体" w:cs="宋体"/>
          <w:color w:val="auto"/>
          <w:kern w:val="0"/>
          <w:szCs w:val="21"/>
          <w:highlight w:val="none"/>
        </w:rPr>
        <w:t>（1）政府采购促进中小企业发展。</w:t>
      </w:r>
    </w:p>
    <w:p w14:paraId="6FDF10F4">
      <w:pPr>
        <w:spacing w:line="360" w:lineRule="auto"/>
        <w:ind w:firstLine="210" w:firstLineChars="100"/>
        <w:rPr>
          <w:rFonts w:hint="eastAsia" w:ascii="宋体" w:hAnsi="宋体" w:cs="宋体"/>
          <w:color w:val="auto"/>
          <w:kern w:val="0"/>
          <w:szCs w:val="21"/>
          <w:highlight w:val="none"/>
        </w:rPr>
      </w:pPr>
      <w:r>
        <w:rPr>
          <w:rFonts w:hint="eastAsia" w:ascii="宋体" w:hAnsi="宋体" w:cs="宋体"/>
          <w:color w:val="auto"/>
          <w:kern w:val="0"/>
          <w:szCs w:val="21"/>
          <w:highlight w:val="none"/>
        </w:rPr>
        <w:t>（2）政府采购支持采用本国产品的政策。</w:t>
      </w:r>
    </w:p>
    <w:p w14:paraId="7E05B22D">
      <w:pPr>
        <w:spacing w:line="360" w:lineRule="auto"/>
        <w:ind w:firstLine="210" w:firstLineChars="100"/>
        <w:rPr>
          <w:rFonts w:hint="eastAsia" w:ascii="宋体" w:hAnsi="宋体" w:cs="宋体"/>
          <w:color w:val="auto"/>
          <w:kern w:val="0"/>
          <w:szCs w:val="21"/>
          <w:highlight w:val="none"/>
        </w:rPr>
      </w:pPr>
      <w:r>
        <w:rPr>
          <w:rFonts w:hint="eastAsia" w:ascii="宋体" w:hAnsi="宋体" w:cs="宋体"/>
          <w:color w:val="auto"/>
          <w:kern w:val="0"/>
          <w:szCs w:val="21"/>
          <w:highlight w:val="none"/>
        </w:rPr>
        <w:t>（3）政府采购促进残疾人就业政策。</w:t>
      </w:r>
    </w:p>
    <w:p w14:paraId="0611966E">
      <w:pPr>
        <w:spacing w:line="360" w:lineRule="auto"/>
        <w:ind w:firstLine="210" w:firstLineChars="100"/>
        <w:rPr>
          <w:rFonts w:hint="eastAsia" w:ascii="宋体" w:hAnsi="宋体" w:cs="宋体"/>
          <w:color w:val="auto"/>
          <w:kern w:val="0"/>
          <w:szCs w:val="21"/>
          <w:highlight w:val="none"/>
        </w:rPr>
      </w:pPr>
      <w:r>
        <w:rPr>
          <w:rFonts w:hint="eastAsia" w:ascii="宋体" w:hAnsi="宋体" w:cs="宋体"/>
          <w:color w:val="auto"/>
          <w:kern w:val="0"/>
          <w:szCs w:val="21"/>
          <w:highlight w:val="none"/>
        </w:rPr>
        <w:t>（4）政府采购支持监狱企业发展。</w:t>
      </w:r>
    </w:p>
    <w:bookmarkEnd w:id="36"/>
    <w:p w14:paraId="751CC383">
      <w:pPr>
        <w:widowControl/>
        <w:spacing w:line="360" w:lineRule="auto"/>
        <w:ind w:firstLine="210" w:firstLineChars="100"/>
        <w:jc w:val="left"/>
        <w:rPr>
          <w:rFonts w:hint="eastAsia" w:ascii="宋体" w:hAnsi="宋体" w:cs="宋体"/>
          <w:color w:val="auto"/>
          <w:szCs w:val="21"/>
          <w:highlight w:val="none"/>
        </w:rPr>
      </w:pPr>
      <w:r>
        <w:rPr>
          <w:rFonts w:hint="eastAsia" w:ascii="宋体" w:hAnsi="宋体" w:cs="宋体"/>
          <w:color w:val="auto"/>
          <w:kern w:val="0"/>
          <w:szCs w:val="21"/>
          <w:highlight w:val="none"/>
        </w:rPr>
        <w:t>3.投标人</w:t>
      </w:r>
      <w:r>
        <w:rPr>
          <w:rFonts w:hint="eastAsia" w:ascii="宋体" w:hAnsi="宋体" w:cs="宋体"/>
          <w:color w:val="auto"/>
          <w:szCs w:val="21"/>
          <w:highlight w:val="none"/>
        </w:rPr>
        <w:t>投标注意事项</w:t>
      </w:r>
    </w:p>
    <w:p w14:paraId="2DE0B13D">
      <w:pPr>
        <w:widowControl/>
        <w:spacing w:line="360" w:lineRule="auto"/>
        <w:ind w:firstLine="210" w:firstLineChars="100"/>
        <w:jc w:val="left"/>
        <w:rPr>
          <w:rFonts w:hint="eastAsia" w:ascii="宋体" w:hAnsi="宋体" w:cs="宋体"/>
          <w:b/>
          <w:color w:val="auto"/>
          <w:szCs w:val="21"/>
          <w:highlight w:val="none"/>
        </w:rPr>
      </w:pPr>
      <w:r>
        <w:rPr>
          <w:rFonts w:hint="eastAsia" w:ascii="宋体" w:hAnsi="宋体" w:cs="宋体"/>
          <w:color w:val="auto"/>
          <w:szCs w:val="21"/>
          <w:highlight w:val="none"/>
        </w:rPr>
        <w:t>（1）本项目为全流程电子化采购项目，通过“广西政府采购云平台”（https://www.gcy.zfcg.gxzf.gov.cn/）实行在线电子投标，投标人应先安装“广西政府采购云平台”电子投标客户端（请自行前往“广西政府采购云平台”进行下载），并按照本项目招标文件和“广西政府采购云平台”的要求编制、加密后在投标截止时间前通过网络上传至 “广西政府采购云平台”（加密的电子投标文件是指</w:t>
      </w:r>
      <w:r>
        <w:rPr>
          <w:rFonts w:hint="eastAsia" w:ascii="宋体" w:hAnsi="宋体" w:cs="宋体"/>
          <w:color w:val="auto"/>
          <w:highlight w:val="none"/>
        </w:rPr>
        <w:t>后缀名为“jmbs”的文件</w:t>
      </w:r>
      <w:r>
        <w:rPr>
          <w:rFonts w:hint="eastAsia" w:ascii="宋体" w:hAnsi="宋体" w:cs="宋体"/>
          <w:color w:val="auto"/>
          <w:szCs w:val="21"/>
          <w:highlight w:val="none"/>
        </w:rPr>
        <w:t>），投标人在“广西政府采购云平台”提交电子投标文件时，请填写参加远程开标活动经办人联系方式。</w:t>
      </w:r>
      <w:r>
        <w:rPr>
          <w:rFonts w:hint="eastAsia" w:ascii="宋体" w:hAnsi="宋体" w:cs="宋体"/>
          <w:color w:val="auto"/>
          <w:highlight w:val="none"/>
        </w:rPr>
        <w:t>投标人登录“广西政府采购云平台”，依次进入“服务中心-帮助文档-操作流程-电子招投标-政府采购项目电子交易管理操作指南-供应商”查看电子投标具体操作流程。</w:t>
      </w:r>
    </w:p>
    <w:p w14:paraId="47323987">
      <w:pPr>
        <w:widowControl/>
        <w:spacing w:line="360" w:lineRule="auto"/>
        <w:ind w:firstLine="210" w:firstLineChars="100"/>
        <w:jc w:val="left"/>
        <w:rPr>
          <w:rFonts w:hint="eastAsia" w:ascii="宋体" w:hAnsi="宋体" w:cs="宋体"/>
          <w:color w:val="auto"/>
          <w:szCs w:val="21"/>
          <w:highlight w:val="none"/>
        </w:rPr>
      </w:pPr>
      <w:r>
        <w:rPr>
          <w:rFonts w:hint="eastAsia" w:ascii="宋体" w:hAnsi="宋体" w:cs="宋体"/>
          <w:color w:val="auto"/>
          <w:szCs w:val="21"/>
          <w:highlight w:val="none"/>
        </w:rPr>
        <w:t>（2）未进行网上注册并办理数字证书（CA认证）的投标人将无法参与本项目政府采购活动，投标人应当在投标截止时间前，完成电子交易平台上的CA数字证书办理及投标文件的提交（投标人可登录“广西政府采购网”，依次进入“办事服务-下载专区”或者登录“广西政府采购云平台”</w:t>
      </w:r>
      <w:r>
        <w:rPr>
          <w:rFonts w:hint="eastAsia" w:ascii="宋体" w:hAnsi="宋体" w:cs="宋体"/>
          <w:color w:val="auto"/>
          <w:kern w:val="0"/>
          <w:szCs w:val="21"/>
          <w:highlight w:val="none"/>
        </w:rPr>
        <w:t>，</w:t>
      </w:r>
      <w:r>
        <w:rPr>
          <w:rFonts w:hint="eastAsia" w:ascii="宋体" w:hAnsi="宋体" w:cs="宋体"/>
          <w:color w:val="auto"/>
          <w:szCs w:val="21"/>
          <w:highlight w:val="none"/>
        </w:rPr>
        <w:t>依次进入“服务中心-入驻与配置”中查看CA数字证书办理操作流程。</w:t>
      </w:r>
      <w:r>
        <w:rPr>
          <w:rFonts w:hint="eastAsia" w:ascii="宋体" w:hAnsi="宋体" w:cs="宋体"/>
          <w:bCs/>
          <w:color w:val="auto"/>
          <w:kern w:val="0"/>
          <w:szCs w:val="21"/>
          <w:highlight w:val="none"/>
        </w:rPr>
        <w:t>如在操作过程中遇到问题或者需要技术支持，请致电政府采购平台客服电话：95763</w:t>
      </w:r>
      <w:r>
        <w:rPr>
          <w:rFonts w:hint="eastAsia" w:ascii="宋体" w:hAnsi="宋体" w:cs="宋体"/>
          <w:color w:val="auto"/>
          <w:szCs w:val="21"/>
          <w:highlight w:val="none"/>
        </w:rPr>
        <w:t>）。</w:t>
      </w:r>
    </w:p>
    <w:p w14:paraId="5F58C87C">
      <w:pPr>
        <w:snapToGrid w:val="0"/>
        <w:spacing w:line="360" w:lineRule="auto"/>
        <w:ind w:firstLine="210" w:firstLineChars="100"/>
        <w:rPr>
          <w:rFonts w:hint="eastAsia" w:ascii="宋体" w:hAnsi="宋体" w:cs="宋体"/>
          <w:color w:val="auto"/>
          <w:kern w:val="0"/>
          <w:szCs w:val="21"/>
          <w:highlight w:val="none"/>
        </w:rPr>
      </w:pPr>
      <w:r>
        <w:rPr>
          <w:rFonts w:hint="eastAsia" w:ascii="宋体" w:hAnsi="宋体" w:cs="宋体"/>
          <w:color w:val="auto"/>
          <w:kern w:val="0"/>
          <w:szCs w:val="21"/>
          <w:highlight w:val="none"/>
        </w:rPr>
        <w:t>（3）CA证书在线解密：投标人投标时，需凭制作投标文件时用来加密的有效数字证书（CA认证）登录</w:t>
      </w:r>
      <w:r>
        <w:rPr>
          <w:rFonts w:hint="eastAsia" w:ascii="宋体" w:hAnsi="宋体" w:cs="宋体"/>
          <w:color w:val="auto"/>
          <w:szCs w:val="21"/>
          <w:highlight w:val="none"/>
        </w:rPr>
        <w:t>“广西政府采购云平台”</w:t>
      </w:r>
      <w:r>
        <w:rPr>
          <w:rFonts w:hint="eastAsia" w:ascii="宋体" w:hAnsi="宋体" w:cs="宋体"/>
          <w:color w:val="auto"/>
          <w:kern w:val="0"/>
          <w:szCs w:val="21"/>
          <w:highlight w:val="none"/>
        </w:rPr>
        <w:t>电子开标大厅现场按规定时间对加密的投标文件进行解密，否则后果自负。</w:t>
      </w:r>
    </w:p>
    <w:p w14:paraId="394FF186">
      <w:pPr>
        <w:spacing w:line="360" w:lineRule="auto"/>
        <w:ind w:firstLine="211" w:firstLineChars="100"/>
        <w:rPr>
          <w:rFonts w:hint="eastAsia" w:ascii="宋体" w:hAnsi="宋体" w:cs="宋体"/>
          <w:color w:val="auto"/>
          <w:szCs w:val="21"/>
          <w:highlight w:val="none"/>
        </w:rPr>
      </w:pPr>
      <w:r>
        <w:rPr>
          <w:rFonts w:hint="eastAsia" w:ascii="宋体" w:hAnsi="宋体" w:cs="宋体"/>
          <w:b/>
          <w:bCs/>
          <w:color w:val="auto"/>
          <w:szCs w:val="21"/>
          <w:highlight w:val="none"/>
        </w:rPr>
        <w:t>注：</w:t>
      </w:r>
      <w:r>
        <w:rPr>
          <w:rFonts w:hint="eastAsia" w:ascii="宋体" w:hAnsi="宋体" w:cs="宋体"/>
          <w:color w:val="auto"/>
          <w:szCs w:val="21"/>
          <w:highlight w:val="none"/>
        </w:rPr>
        <w:t>1）为确保网上操作合法、有效和安全，请投标人确保在电子投标过程中能够对相关数据电文进行加密和使用电子签章，妥善保管CA数字证书并使用有效的CA数字证书参与整个招标活动。</w:t>
      </w:r>
    </w:p>
    <w:p w14:paraId="59C5684B">
      <w:pPr>
        <w:spacing w:line="360" w:lineRule="auto"/>
        <w:ind w:firstLine="420" w:firstLineChars="200"/>
        <w:rPr>
          <w:rFonts w:hint="eastAsia" w:ascii="宋体" w:hAnsi="宋体" w:cs="宋体"/>
          <w:bCs/>
          <w:color w:val="auto"/>
          <w:szCs w:val="21"/>
          <w:highlight w:val="none"/>
        </w:rPr>
      </w:pPr>
      <w:r>
        <w:rPr>
          <w:rFonts w:hint="eastAsia" w:ascii="宋体" w:hAnsi="宋体" w:cs="宋体"/>
          <w:color w:val="auto"/>
          <w:szCs w:val="21"/>
          <w:highlight w:val="none"/>
        </w:rPr>
        <w:t>2）</w:t>
      </w:r>
      <w:r>
        <w:rPr>
          <w:rFonts w:hint="eastAsia" w:ascii="宋体" w:hAnsi="宋体" w:cs="宋体"/>
          <w:bCs/>
          <w:color w:val="auto"/>
          <w:szCs w:val="21"/>
          <w:highlight w:val="none"/>
        </w:rPr>
        <w:t>投标人应当在投标截止时间前完成电子投标文件的上传、提交，投标截止时间前可以补充、修改或者撤回投标文件。补充或者修改投标文件的，应当先行撤回原投标文件，补充、修改后重新上传、提交，投标截止时间前未完成上传、提交的，视为撤回投标文件。投标截止时间以后上传递交的投标文件，</w:t>
      </w:r>
      <w:r>
        <w:rPr>
          <w:rFonts w:hint="eastAsia" w:ascii="宋体" w:hAnsi="宋体" w:cs="宋体"/>
          <w:color w:val="auto"/>
          <w:szCs w:val="21"/>
          <w:highlight w:val="none"/>
        </w:rPr>
        <w:t>“广西政府采购云平台”</w:t>
      </w:r>
      <w:r>
        <w:rPr>
          <w:rFonts w:hint="eastAsia" w:ascii="宋体" w:hAnsi="宋体" w:cs="宋体"/>
          <w:bCs/>
          <w:color w:val="auto"/>
          <w:szCs w:val="21"/>
          <w:highlight w:val="none"/>
        </w:rPr>
        <w:t>将予以拒收。</w:t>
      </w:r>
    </w:p>
    <w:p w14:paraId="38A40021">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七、对本次招标提出询问，请按以下方式联系</w:t>
      </w:r>
      <w:bookmarkEnd w:id="32"/>
      <w:bookmarkEnd w:id="33"/>
      <w:bookmarkEnd w:id="34"/>
      <w:bookmarkEnd w:id="35"/>
      <w:r>
        <w:rPr>
          <w:rFonts w:hint="eastAsia" w:ascii="宋体" w:hAnsi="宋体" w:cs="宋体"/>
          <w:b/>
          <w:bCs/>
          <w:color w:val="auto"/>
          <w:sz w:val="24"/>
          <w:highlight w:val="none"/>
        </w:rPr>
        <w:t>：</w:t>
      </w:r>
    </w:p>
    <w:p w14:paraId="70512AC5">
      <w:pPr>
        <w:spacing w:line="360" w:lineRule="auto"/>
        <w:ind w:firstLine="424" w:firstLineChars="202"/>
        <w:jc w:val="left"/>
        <w:rPr>
          <w:rFonts w:hint="eastAsia" w:ascii="宋体" w:hAnsi="宋体" w:cs="宋体"/>
          <w:color w:val="auto"/>
          <w:szCs w:val="21"/>
          <w:highlight w:val="none"/>
        </w:rPr>
      </w:pPr>
      <w:r>
        <w:rPr>
          <w:rFonts w:hint="eastAsia" w:ascii="宋体" w:hAnsi="宋体" w:cs="宋体"/>
          <w:color w:val="auto"/>
          <w:szCs w:val="21"/>
          <w:highlight w:val="none"/>
        </w:rPr>
        <w:t>1.采购人信息</w:t>
      </w:r>
    </w:p>
    <w:p w14:paraId="79EFF0CC">
      <w:pPr>
        <w:spacing w:line="360" w:lineRule="auto"/>
        <w:ind w:firstLine="424" w:firstLineChars="202"/>
        <w:jc w:val="left"/>
        <w:rPr>
          <w:rFonts w:hint="eastAsia" w:ascii="宋体" w:hAnsi="宋体" w:cs="宋体"/>
          <w:color w:val="auto"/>
          <w:szCs w:val="21"/>
          <w:highlight w:val="none"/>
        </w:rPr>
      </w:pPr>
      <w:r>
        <w:rPr>
          <w:rFonts w:hint="eastAsia" w:ascii="宋体" w:hAnsi="宋体" w:cs="宋体"/>
          <w:color w:val="auto"/>
          <w:szCs w:val="21"/>
          <w:highlight w:val="none"/>
        </w:rPr>
        <w:t>名称：广西壮族自治区农业农村厅</w:t>
      </w:r>
    </w:p>
    <w:p w14:paraId="22D20071">
      <w:pPr>
        <w:spacing w:line="360" w:lineRule="auto"/>
        <w:ind w:firstLine="424" w:firstLineChars="202"/>
        <w:jc w:val="left"/>
        <w:rPr>
          <w:rFonts w:hint="eastAsia" w:ascii="宋体" w:hAnsi="宋体" w:cs="宋体"/>
          <w:color w:val="auto"/>
          <w:szCs w:val="21"/>
          <w:highlight w:val="none"/>
        </w:rPr>
      </w:pPr>
      <w:r>
        <w:rPr>
          <w:rFonts w:hint="eastAsia" w:ascii="宋体" w:hAnsi="宋体" w:cs="宋体"/>
          <w:color w:val="auto"/>
          <w:szCs w:val="21"/>
          <w:highlight w:val="none"/>
        </w:rPr>
        <w:t>地址：</w:t>
      </w:r>
      <w:r>
        <w:rPr>
          <w:rFonts w:hint="eastAsia" w:ascii="宋体" w:hAnsi="宋体" w:cs="宋体"/>
          <w:bCs/>
          <w:color w:val="auto"/>
          <w:szCs w:val="21"/>
          <w:highlight w:val="none"/>
        </w:rPr>
        <w:t>广西壮族自治区南宁市青秀区青山路8号</w:t>
      </w:r>
    </w:p>
    <w:p w14:paraId="05A8F03D">
      <w:pPr>
        <w:snapToGrid w:val="0"/>
        <w:spacing w:line="360" w:lineRule="auto"/>
        <w:ind w:firstLine="424" w:firstLineChars="202"/>
        <w:rPr>
          <w:rFonts w:hint="eastAsia" w:ascii="宋体" w:hAnsi="宋体" w:cs="宋体"/>
          <w:color w:val="auto"/>
          <w:szCs w:val="21"/>
          <w:highlight w:val="none"/>
        </w:rPr>
      </w:pPr>
      <w:r>
        <w:rPr>
          <w:rFonts w:hint="eastAsia" w:ascii="宋体" w:hAnsi="宋体" w:cs="宋体"/>
          <w:color w:val="auto"/>
          <w:szCs w:val="21"/>
          <w:highlight w:val="none"/>
        </w:rPr>
        <w:t>联系方式：</w:t>
      </w:r>
      <w:bookmarkStart w:id="37" w:name="_Toc28359086"/>
      <w:bookmarkStart w:id="38" w:name="_Toc28359009"/>
      <w:r>
        <w:rPr>
          <w:rFonts w:hint="eastAsia" w:ascii="宋体" w:hAnsi="宋体" w:cs="宋体"/>
          <w:color w:val="auto"/>
          <w:szCs w:val="21"/>
          <w:highlight w:val="none"/>
        </w:rPr>
        <w:t xml:space="preserve">0771-2182772 </w:t>
      </w:r>
      <w:bookmarkEnd w:id="37"/>
      <w:bookmarkEnd w:id="38"/>
    </w:p>
    <w:p w14:paraId="6C877677">
      <w:pPr>
        <w:spacing w:line="360" w:lineRule="auto"/>
        <w:ind w:firstLine="424" w:firstLineChars="202"/>
        <w:jc w:val="left"/>
        <w:rPr>
          <w:rFonts w:hint="eastAsia" w:ascii="宋体" w:hAnsi="宋体" w:cs="宋体"/>
          <w:color w:val="auto"/>
          <w:szCs w:val="21"/>
          <w:highlight w:val="none"/>
        </w:rPr>
      </w:pPr>
      <w:r>
        <w:rPr>
          <w:rFonts w:hint="eastAsia" w:ascii="宋体" w:hAnsi="宋体" w:cs="宋体"/>
          <w:color w:val="auto"/>
          <w:szCs w:val="21"/>
          <w:highlight w:val="none"/>
        </w:rPr>
        <w:t>2.采购代理机构信息</w:t>
      </w:r>
    </w:p>
    <w:p w14:paraId="5CF5E3F7">
      <w:pPr>
        <w:spacing w:line="360" w:lineRule="auto"/>
        <w:ind w:firstLine="424" w:firstLineChars="202"/>
        <w:jc w:val="left"/>
        <w:rPr>
          <w:rFonts w:hint="eastAsia" w:ascii="宋体" w:hAnsi="宋体" w:cs="宋体"/>
          <w:color w:val="auto"/>
          <w:szCs w:val="21"/>
          <w:highlight w:val="none"/>
        </w:rPr>
      </w:pPr>
      <w:r>
        <w:rPr>
          <w:rFonts w:hint="eastAsia" w:ascii="宋体" w:hAnsi="宋体" w:cs="宋体"/>
          <w:color w:val="auto"/>
          <w:szCs w:val="21"/>
          <w:highlight w:val="none"/>
        </w:rPr>
        <w:t>名    称：广西中启招标咨询有限公司</w:t>
      </w:r>
    </w:p>
    <w:p w14:paraId="2532F777">
      <w:pPr>
        <w:spacing w:line="360" w:lineRule="auto"/>
        <w:ind w:firstLine="424" w:firstLineChars="202"/>
        <w:jc w:val="left"/>
        <w:rPr>
          <w:rFonts w:hint="eastAsia" w:ascii="宋体" w:hAnsi="宋体" w:cs="宋体"/>
          <w:color w:val="auto"/>
          <w:szCs w:val="21"/>
          <w:highlight w:val="none"/>
        </w:rPr>
      </w:pPr>
      <w:r>
        <w:rPr>
          <w:rFonts w:hint="eastAsia" w:ascii="宋体" w:hAnsi="宋体" w:cs="宋体"/>
          <w:color w:val="auto"/>
          <w:szCs w:val="21"/>
          <w:highlight w:val="none"/>
        </w:rPr>
        <w:t xml:space="preserve">地　　址：广西南宁市那洪大道7号研祥智谷A1栋7楼   </w:t>
      </w:r>
    </w:p>
    <w:p w14:paraId="5D1AACB3">
      <w:pPr>
        <w:spacing w:line="360" w:lineRule="auto"/>
        <w:ind w:firstLine="424" w:firstLineChars="202"/>
        <w:jc w:val="left"/>
        <w:rPr>
          <w:rFonts w:hint="eastAsia" w:ascii="宋体" w:hAnsi="宋体" w:cs="宋体"/>
          <w:color w:val="auto"/>
          <w:szCs w:val="21"/>
          <w:highlight w:val="none"/>
        </w:rPr>
      </w:pPr>
      <w:r>
        <w:rPr>
          <w:rFonts w:hint="eastAsia" w:ascii="宋体" w:hAnsi="宋体" w:cs="宋体"/>
          <w:color w:val="auto"/>
          <w:szCs w:val="21"/>
          <w:highlight w:val="none"/>
        </w:rPr>
        <w:t xml:space="preserve">联系方式：雷鸣春  </w:t>
      </w:r>
    </w:p>
    <w:p w14:paraId="31BB1F6E">
      <w:pPr>
        <w:spacing w:line="360" w:lineRule="auto"/>
        <w:ind w:firstLine="424" w:firstLineChars="202"/>
        <w:jc w:val="left"/>
        <w:rPr>
          <w:rFonts w:hint="eastAsia" w:ascii="宋体" w:hAnsi="宋体" w:cs="宋体"/>
          <w:color w:val="auto"/>
          <w:szCs w:val="21"/>
          <w:highlight w:val="none"/>
        </w:rPr>
      </w:pPr>
      <w:r>
        <w:rPr>
          <w:rFonts w:hint="eastAsia" w:ascii="宋体" w:hAnsi="宋体" w:cs="宋体"/>
          <w:color w:val="auto"/>
          <w:szCs w:val="21"/>
          <w:highlight w:val="none"/>
        </w:rPr>
        <w:t xml:space="preserve">电话：0771-3154419                                                   </w:t>
      </w:r>
    </w:p>
    <w:p w14:paraId="31485BEC">
      <w:pPr>
        <w:spacing w:line="360" w:lineRule="auto"/>
        <w:jc w:val="right"/>
        <w:rPr>
          <w:rFonts w:hint="eastAsia" w:ascii="宋体" w:hAnsi="宋体" w:cs="宋体"/>
          <w:color w:val="auto"/>
          <w:szCs w:val="21"/>
          <w:highlight w:val="none"/>
        </w:rPr>
      </w:pPr>
      <w:r>
        <w:rPr>
          <w:rFonts w:hint="eastAsia" w:ascii="宋体" w:hAnsi="宋体" w:cs="宋体"/>
          <w:color w:val="auto"/>
          <w:szCs w:val="21"/>
          <w:highlight w:val="none"/>
        </w:rPr>
        <w:t>广西中启招标咨询有限公司</w:t>
      </w:r>
    </w:p>
    <w:p w14:paraId="3312531D">
      <w:pPr>
        <w:snapToGrid w:val="0"/>
        <w:spacing w:line="360" w:lineRule="auto"/>
        <w:ind w:firstLine="424" w:firstLineChars="202"/>
        <w:jc w:val="right"/>
        <w:rPr>
          <w:rFonts w:hint="eastAsia" w:ascii="宋体" w:hAnsi="宋体" w:cs="宋体"/>
          <w:color w:val="auto"/>
          <w:szCs w:val="21"/>
          <w:highlight w:val="none"/>
        </w:rPr>
      </w:pPr>
      <w:r>
        <w:rPr>
          <w:rFonts w:hint="eastAsia" w:ascii="宋体" w:hAnsi="宋体" w:cs="宋体"/>
          <w:color w:val="auto"/>
          <w:szCs w:val="21"/>
          <w:highlight w:val="none"/>
        </w:rPr>
        <w:t>2025年</w:t>
      </w:r>
      <w:r>
        <w:rPr>
          <w:rFonts w:hint="eastAsia" w:ascii="宋体" w:hAnsi="宋体" w:cs="宋体"/>
          <w:color w:val="auto"/>
          <w:szCs w:val="21"/>
          <w:highlight w:val="none"/>
          <w:lang w:val="en-US" w:eastAsia="zh-CN"/>
        </w:rPr>
        <w:t>7</w:t>
      </w:r>
      <w:r>
        <w:rPr>
          <w:rFonts w:hint="eastAsia" w:ascii="宋体" w:hAnsi="宋体" w:cs="宋体"/>
          <w:color w:val="auto"/>
          <w:szCs w:val="21"/>
          <w:highlight w:val="none"/>
        </w:rPr>
        <w:t>月</w:t>
      </w:r>
      <w:r>
        <w:rPr>
          <w:rFonts w:hint="eastAsia" w:ascii="宋体" w:hAnsi="宋体" w:cs="宋体"/>
          <w:color w:val="auto"/>
          <w:szCs w:val="21"/>
          <w:highlight w:val="none"/>
          <w:lang w:val="en-US" w:eastAsia="zh-CN"/>
        </w:rPr>
        <w:t>11</w:t>
      </w:r>
      <w:r>
        <w:rPr>
          <w:rFonts w:hint="eastAsia" w:ascii="宋体" w:hAnsi="宋体" w:cs="宋体"/>
          <w:color w:val="auto"/>
          <w:szCs w:val="21"/>
          <w:highlight w:val="none"/>
        </w:rPr>
        <w:t>日</w:t>
      </w:r>
    </w:p>
    <w:p w14:paraId="1171DCC8">
      <w:pPr>
        <w:snapToGrid w:val="0"/>
        <w:spacing w:line="360" w:lineRule="auto"/>
        <w:ind w:firstLine="484" w:firstLineChars="202"/>
        <w:jc w:val="center"/>
        <w:outlineLvl w:val="0"/>
        <w:rPr>
          <w:rFonts w:hint="eastAsia" w:ascii="宋体" w:hAnsi="宋体" w:cs="宋体"/>
          <w:color w:val="auto"/>
          <w:szCs w:val="21"/>
          <w:highlight w:val="none"/>
        </w:rPr>
      </w:pPr>
      <w:r>
        <w:rPr>
          <w:rFonts w:hint="eastAsia" w:ascii="宋体" w:hAnsi="宋体" w:cs="宋体"/>
          <w:color w:val="auto"/>
          <w:sz w:val="24"/>
          <w:szCs w:val="20"/>
          <w:highlight w:val="none"/>
        </w:rPr>
        <w:br w:type="page"/>
      </w:r>
      <w:bookmarkStart w:id="39" w:name="_Toc16724"/>
      <w:bookmarkStart w:id="40" w:name="_Toc6541"/>
      <w:r>
        <w:rPr>
          <w:rFonts w:hint="eastAsia" w:ascii="宋体" w:hAnsi="宋体" w:cs="宋体"/>
          <w:b/>
          <w:bCs/>
          <w:color w:val="auto"/>
          <w:kern w:val="44"/>
          <w:sz w:val="44"/>
          <w:szCs w:val="44"/>
          <w:highlight w:val="none"/>
        </w:rPr>
        <w:t>第二章  采购需求</w:t>
      </w:r>
      <w:bookmarkEnd w:id="39"/>
      <w:bookmarkEnd w:id="40"/>
      <w:bookmarkStart w:id="41" w:name="_Toc254970490"/>
      <w:bookmarkStart w:id="42" w:name="_Toc254970631"/>
    </w:p>
    <w:p w14:paraId="5B99971D">
      <w:pPr>
        <w:spacing w:line="360" w:lineRule="auto"/>
        <w:jc w:val="left"/>
        <w:rPr>
          <w:rFonts w:hint="eastAsia" w:ascii="宋体" w:hAnsi="宋体" w:cs="宋体"/>
          <w:color w:val="auto"/>
          <w:szCs w:val="21"/>
          <w:highlight w:val="none"/>
        </w:rPr>
      </w:pPr>
      <w:r>
        <w:rPr>
          <w:rFonts w:hint="eastAsia" w:ascii="宋体" w:hAnsi="宋体" w:cs="宋体"/>
          <w:color w:val="auto"/>
          <w:szCs w:val="21"/>
          <w:highlight w:val="none"/>
        </w:rPr>
        <w:t>说明：</w:t>
      </w:r>
    </w:p>
    <w:p w14:paraId="06EA673A">
      <w:pPr>
        <w:spacing w:line="360" w:lineRule="auto"/>
        <w:ind w:firstLine="420" w:firstLineChars="200"/>
        <w:jc w:val="left"/>
        <w:rPr>
          <w:rFonts w:hint="eastAsia" w:ascii="宋体" w:hAnsi="宋体" w:cs="宋体"/>
          <w:color w:val="auto"/>
          <w:highlight w:val="none"/>
        </w:rPr>
      </w:pPr>
      <w:r>
        <w:rPr>
          <w:rFonts w:hint="eastAsia" w:ascii="宋体" w:hAnsi="宋体" w:cs="宋体"/>
          <w:color w:val="auto"/>
          <w:highlight w:val="none"/>
        </w:rPr>
        <w:t>1. 为落实政府采购政策需满足的要求</w:t>
      </w:r>
    </w:p>
    <w:p w14:paraId="23FCE99A">
      <w:pPr>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（1）本招标文件所称中小企业必须符合《政府采购促进中小企业发展管理办法》（财库〔2020〕46号）的规定。</w:t>
      </w:r>
    </w:p>
    <w:p w14:paraId="64E79D77">
      <w:pPr>
        <w:spacing w:line="360" w:lineRule="auto"/>
        <w:ind w:firstLine="420" w:firstLineChars="200"/>
        <w:jc w:val="left"/>
        <w:rPr>
          <w:rFonts w:hint="eastAsia" w:ascii="宋体" w:hAnsi="宋体" w:cs="宋体"/>
          <w:color w:val="auto"/>
          <w:highlight w:val="none"/>
        </w:rPr>
      </w:pPr>
      <w:r>
        <w:rPr>
          <w:rFonts w:hint="eastAsia" w:ascii="宋体" w:hAnsi="宋体" w:cs="宋体"/>
          <w:color w:val="auto"/>
          <w:highlight w:val="none"/>
        </w:rPr>
        <w:t>（2）根据《财政部 发展改革委 生态环境部 市场监管总局关于调整优化节能产品、环境标志产品政府采购执行机制的通知》（财库〔2019〕9号）和《关于印发节能产品政府采购品目清单的通知》（财库〔2019〕19号）的规定，采购需求中的产品属于节能产品政府采购品目清单内标注“★”的（详见本章后附的节能产品政府采购品目清单），投标人的投标货物必须使用政府强制采购的节能产品，投标人必须在投标文件（商务及技术文件）中提供所投标产品的节能产品认证证书扫描件（加盖投标人电子签章），否则按无效投标处理。如本项目包含的货物属于品目清单内非标注“★”的产品时，应优先采购，具体详见“第四章 评标方法及评标标准”。</w:t>
      </w:r>
    </w:p>
    <w:p w14:paraId="04625BF5">
      <w:pPr>
        <w:spacing w:line="360" w:lineRule="auto"/>
        <w:ind w:firstLine="420" w:firstLineChars="200"/>
        <w:jc w:val="left"/>
        <w:rPr>
          <w:rFonts w:hint="eastAsia" w:ascii="宋体" w:hAnsi="宋体" w:cs="宋体"/>
          <w:color w:val="auto"/>
          <w:highlight w:val="none"/>
        </w:rPr>
      </w:pPr>
      <w:r>
        <w:rPr>
          <w:rFonts w:hint="eastAsia" w:ascii="宋体" w:hAnsi="宋体" w:cs="宋体"/>
          <w:color w:val="auto"/>
          <w:highlight w:val="none"/>
        </w:rPr>
        <w:t>（3）根据《关于调整网络安全专用产品安全管理有关事项的公告》（2023年1号）规定，本项目采购需求中的产品如果包括《网络关键设备和网络安全专用产品目录》的网络安全专用产品，投标人在投标文件中应主动列明供货范围中属于网络安全专用产品的投标产品，并在投标文件（商务及技术文件）中提供由中国网信网（http://www.cac.gov.cn/index.htm）最新发布的《网络关键设备和网络安全专用产品安全认证和安全检测结果》截图证明材料，不在《网络关键设备和网络安全专用产品安全认证和安全检测结果》中或不在有效期内或未提供有效的《计算机信息系统安全专用产品销售许可证》的，按无效投标处理。如属于《网络关键设备和网络安全专用产品目录》中“二、网络安全专用产品”内“产品类别”中的所描述的产品，但不属于所列“产品描述”情形的，应提供相应的说明及证明材料。</w:t>
      </w:r>
    </w:p>
    <w:p w14:paraId="4FA03E19">
      <w:pPr>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2.“实质性要求”是指招标文件中已经指明不满足则投标无效的条款，或者不能负偏离的条款，或者采购需求中带“▲”的条款。</w:t>
      </w:r>
    </w:p>
    <w:p w14:paraId="459F2487">
      <w:pPr>
        <w:spacing w:line="360" w:lineRule="auto"/>
        <w:ind w:firstLine="424" w:firstLineChars="202"/>
        <w:jc w:val="left"/>
        <w:rPr>
          <w:rFonts w:hint="eastAsia" w:ascii="宋体" w:hAnsi="宋体" w:cs="宋体"/>
          <w:color w:val="auto"/>
          <w:szCs w:val="21"/>
          <w:highlight w:val="none"/>
        </w:rPr>
      </w:pPr>
      <w:r>
        <w:rPr>
          <w:rFonts w:hint="eastAsia" w:ascii="宋体" w:hAnsi="宋体" w:cs="宋体"/>
          <w:color w:val="auto"/>
          <w:szCs w:val="21"/>
          <w:highlight w:val="none"/>
        </w:rPr>
        <w:t>3.采购需求中出现的品牌、型号或者生产厂家仅起参考作用，不属于指定品牌、型号或者生产厂家的情形。投标人可参照或者选用其他相当的品牌、型号或者生产厂家替代。</w:t>
      </w:r>
    </w:p>
    <w:p w14:paraId="498238E6">
      <w:pPr>
        <w:spacing w:line="360" w:lineRule="auto"/>
        <w:ind w:firstLine="424" w:firstLineChars="202"/>
        <w:jc w:val="left"/>
        <w:rPr>
          <w:rFonts w:hint="eastAsia" w:ascii="宋体" w:hAnsi="宋体" w:cs="宋体"/>
          <w:color w:val="auto"/>
          <w:highlight w:val="none"/>
        </w:rPr>
      </w:pPr>
      <w:r>
        <w:rPr>
          <w:rFonts w:hint="eastAsia" w:ascii="宋体" w:hAnsi="宋体" w:cs="宋体"/>
          <w:color w:val="auto"/>
          <w:szCs w:val="21"/>
          <w:highlight w:val="none"/>
        </w:rPr>
        <w:t>4. 投标人应根据自身实际情况如实响应招标文件，对招标文件提出的要求和条件作出明确响应，</w:t>
      </w:r>
      <w:r>
        <w:rPr>
          <w:rFonts w:hint="eastAsia" w:ascii="宋体" w:hAnsi="宋体" w:cs="宋体"/>
          <w:b/>
          <w:bCs/>
          <w:color w:val="auto"/>
          <w:szCs w:val="21"/>
          <w:highlight w:val="none"/>
        </w:rPr>
        <w:t>否则将作无效响应处理</w:t>
      </w:r>
      <w:r>
        <w:rPr>
          <w:rFonts w:hint="eastAsia" w:ascii="宋体" w:hAnsi="宋体" w:cs="宋体"/>
          <w:color w:val="auto"/>
          <w:szCs w:val="21"/>
          <w:highlight w:val="none"/>
        </w:rPr>
        <w:t>。</w:t>
      </w:r>
      <w:r>
        <w:rPr>
          <w:rFonts w:hint="eastAsia" w:ascii="宋体" w:hAnsi="宋体" w:cs="宋体"/>
          <w:color w:val="auto"/>
          <w:highlight w:val="none"/>
        </w:rPr>
        <w:t>对于重要技术条款或技术参数应当在投标文件中提供技术支持资料，技术支持资料以招标文件中规定的形式为准，</w:t>
      </w:r>
      <w:r>
        <w:rPr>
          <w:rFonts w:hint="eastAsia" w:ascii="宋体" w:hAnsi="宋体" w:cs="宋体"/>
          <w:b/>
          <w:bCs/>
          <w:color w:val="auto"/>
          <w:highlight w:val="none"/>
        </w:rPr>
        <w:t>否则将视为无效技术支持资料</w:t>
      </w:r>
      <w:r>
        <w:rPr>
          <w:rFonts w:hint="eastAsia" w:ascii="宋体" w:hAnsi="宋体" w:cs="宋体"/>
          <w:color w:val="auto"/>
          <w:highlight w:val="none"/>
        </w:rPr>
        <w:t>。</w:t>
      </w:r>
    </w:p>
    <w:p w14:paraId="70FA4EE0">
      <w:pPr>
        <w:spacing w:line="360" w:lineRule="auto"/>
        <w:ind w:firstLine="424" w:firstLineChars="202"/>
        <w:jc w:val="left"/>
        <w:rPr>
          <w:rFonts w:hint="eastAsia" w:ascii="宋体" w:hAnsi="宋体" w:cs="宋体"/>
          <w:color w:val="auto"/>
          <w:highlight w:val="none"/>
        </w:rPr>
      </w:pPr>
      <w:r>
        <w:rPr>
          <w:rFonts w:hint="eastAsia" w:ascii="宋体" w:hAnsi="宋体" w:cs="宋体"/>
          <w:color w:val="auto"/>
          <w:szCs w:val="21"/>
          <w:highlight w:val="none"/>
        </w:rPr>
        <w:t>5.</w:t>
      </w:r>
      <w:r>
        <w:rPr>
          <w:rFonts w:hint="eastAsia" w:ascii="宋体" w:hAnsi="宋体" w:cs="宋体"/>
          <w:color w:val="auto"/>
          <w:highlight w:val="none"/>
        </w:rPr>
        <w:t>投标人必须自行为其投标产品侵犯他人的知识产权或者专利成果的行为承担相应法律责任。</w:t>
      </w:r>
    </w:p>
    <w:p w14:paraId="78457AA4">
      <w:pPr>
        <w:spacing w:line="360" w:lineRule="auto"/>
        <w:ind w:firstLine="424" w:firstLineChars="202"/>
        <w:jc w:val="left"/>
        <w:rPr>
          <w:rFonts w:hint="eastAsia" w:ascii="宋体" w:hAnsi="宋体" w:cs="宋体"/>
          <w:color w:val="auto"/>
          <w:highlight w:val="none"/>
        </w:rPr>
      </w:pPr>
      <w:r>
        <w:rPr>
          <w:rFonts w:hint="eastAsia" w:ascii="宋体" w:hAnsi="宋体" w:cs="宋体"/>
          <w:color w:val="auto"/>
          <w:highlight w:val="none"/>
        </w:rPr>
        <w:t>6.项目所属行业：农、林、牧、渔业。</w:t>
      </w:r>
    </w:p>
    <w:bookmarkEnd w:id="41"/>
    <w:bookmarkEnd w:id="42"/>
    <w:tbl>
      <w:tblPr>
        <w:tblStyle w:val="62"/>
        <w:tblW w:w="966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89"/>
        <w:gridCol w:w="1341"/>
        <w:gridCol w:w="492"/>
        <w:gridCol w:w="348"/>
        <w:gridCol w:w="780"/>
        <w:gridCol w:w="6214"/>
      </w:tblGrid>
      <w:tr w14:paraId="13C6BC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4" w:hRule="atLeast"/>
        </w:trPr>
        <w:tc>
          <w:tcPr>
            <w:tcW w:w="489" w:type="dxa"/>
            <w:vAlign w:val="center"/>
          </w:tcPr>
          <w:p w14:paraId="4D3454FA">
            <w:pPr>
              <w:tabs>
                <w:tab w:val="left" w:pos="180"/>
                <w:tab w:val="left" w:pos="1620"/>
              </w:tabs>
              <w:spacing w:line="360" w:lineRule="auto"/>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分标</w:t>
            </w:r>
          </w:p>
        </w:tc>
        <w:tc>
          <w:tcPr>
            <w:tcW w:w="1341" w:type="dxa"/>
            <w:vAlign w:val="center"/>
          </w:tcPr>
          <w:p w14:paraId="6DC78DEE">
            <w:pPr>
              <w:tabs>
                <w:tab w:val="left" w:pos="180"/>
                <w:tab w:val="left" w:pos="1620"/>
              </w:tabs>
              <w:spacing w:line="360" w:lineRule="auto"/>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标的名称</w:t>
            </w:r>
          </w:p>
        </w:tc>
        <w:tc>
          <w:tcPr>
            <w:tcW w:w="840" w:type="dxa"/>
            <w:gridSpan w:val="2"/>
            <w:vAlign w:val="center"/>
          </w:tcPr>
          <w:p w14:paraId="7B6F90CF">
            <w:pPr>
              <w:tabs>
                <w:tab w:val="left" w:pos="180"/>
                <w:tab w:val="left" w:pos="1620"/>
              </w:tabs>
              <w:spacing w:line="360" w:lineRule="auto"/>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数量</w:t>
            </w:r>
          </w:p>
        </w:tc>
        <w:tc>
          <w:tcPr>
            <w:tcW w:w="780" w:type="dxa"/>
            <w:vAlign w:val="center"/>
          </w:tcPr>
          <w:p w14:paraId="061129C7">
            <w:pPr>
              <w:tabs>
                <w:tab w:val="left" w:pos="180"/>
                <w:tab w:val="left" w:pos="1620"/>
              </w:tabs>
              <w:spacing w:line="360" w:lineRule="auto"/>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单位</w:t>
            </w:r>
          </w:p>
        </w:tc>
        <w:tc>
          <w:tcPr>
            <w:tcW w:w="6214" w:type="dxa"/>
            <w:vAlign w:val="center"/>
          </w:tcPr>
          <w:p w14:paraId="2BF45F11">
            <w:pPr>
              <w:tabs>
                <w:tab w:val="left" w:pos="180"/>
                <w:tab w:val="left" w:pos="1620"/>
              </w:tabs>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采购需求</w:t>
            </w:r>
          </w:p>
        </w:tc>
      </w:tr>
      <w:tr w14:paraId="0EFAB3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8" w:hRule="atLeast"/>
        </w:trPr>
        <w:tc>
          <w:tcPr>
            <w:tcW w:w="489" w:type="dxa"/>
            <w:vAlign w:val="center"/>
          </w:tcPr>
          <w:p w14:paraId="6480582E">
            <w:pPr>
              <w:pStyle w:val="194"/>
              <w:spacing w:line="360" w:lineRule="auto"/>
              <w:ind w:left="0" w:leftChars="0" w:firstLine="0" w:firstLineChars="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A</w:t>
            </w:r>
            <w:r>
              <w:rPr>
                <w:rFonts w:hint="eastAsia" w:ascii="宋体" w:hAnsi="宋体" w:eastAsia="宋体" w:cs="宋体"/>
                <w:b/>
                <w:bCs/>
                <w:color w:val="auto"/>
                <w:sz w:val="21"/>
                <w:szCs w:val="21"/>
                <w:highlight w:val="none"/>
              </w:rPr>
              <w:t>分标</w:t>
            </w:r>
          </w:p>
        </w:tc>
        <w:tc>
          <w:tcPr>
            <w:tcW w:w="1341" w:type="dxa"/>
            <w:vAlign w:val="center"/>
          </w:tcPr>
          <w:p w14:paraId="4BB54317">
            <w:pPr>
              <w:spacing w:line="360" w:lineRule="auto"/>
              <w:jc w:val="center"/>
              <w:rPr>
                <w:rFonts w:hint="eastAsia" w:ascii="宋体" w:hAnsi="宋体" w:eastAsia="宋体" w:cs="宋体"/>
                <w:b/>
                <w:bCs/>
                <w:color w:val="auto"/>
                <w:szCs w:val="21"/>
                <w:highlight w:val="none"/>
              </w:rPr>
            </w:pPr>
            <w:r>
              <w:rPr>
                <w:rFonts w:hint="eastAsia" w:ascii="宋体" w:hAnsi="宋体" w:eastAsia="宋体" w:cs="宋体"/>
                <w:b/>
                <w:bCs/>
                <w:color w:val="auto"/>
                <w:kern w:val="0"/>
                <w:szCs w:val="21"/>
                <w:highlight w:val="none"/>
              </w:rPr>
              <w:t>豇豆等农产品胶体金快速检测试纸、仪器、设备及技术支持、培训</w:t>
            </w:r>
          </w:p>
        </w:tc>
        <w:tc>
          <w:tcPr>
            <w:tcW w:w="840" w:type="dxa"/>
            <w:gridSpan w:val="2"/>
            <w:vAlign w:val="center"/>
          </w:tcPr>
          <w:p w14:paraId="7A8AA82F">
            <w:pPr>
              <w:tabs>
                <w:tab w:val="left" w:pos="180"/>
                <w:tab w:val="left" w:pos="1620"/>
              </w:tabs>
              <w:spacing w:line="360" w:lineRule="auto"/>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≥2.5万</w:t>
            </w:r>
          </w:p>
        </w:tc>
        <w:tc>
          <w:tcPr>
            <w:tcW w:w="780" w:type="dxa"/>
            <w:vAlign w:val="center"/>
          </w:tcPr>
          <w:p w14:paraId="6ADCF22F">
            <w:pPr>
              <w:tabs>
                <w:tab w:val="left" w:pos="180"/>
                <w:tab w:val="left" w:pos="1620"/>
              </w:tabs>
              <w:spacing w:line="360" w:lineRule="auto"/>
              <w:jc w:val="center"/>
              <w:rPr>
                <w:rFonts w:hint="eastAsia" w:ascii="宋体" w:hAnsi="宋体" w:eastAsia="宋体" w:cs="宋体"/>
                <w:b/>
                <w:bCs/>
                <w:color w:val="auto"/>
                <w:szCs w:val="21"/>
                <w:highlight w:val="none"/>
              </w:rPr>
            </w:pPr>
            <w:r>
              <w:rPr>
                <w:rFonts w:hint="eastAsia" w:ascii="宋体" w:hAnsi="宋体" w:eastAsia="宋体" w:cs="宋体"/>
                <w:b/>
                <w:bCs/>
                <w:color w:val="auto"/>
                <w:kern w:val="0"/>
                <w:szCs w:val="21"/>
                <w:highlight w:val="none"/>
              </w:rPr>
              <w:t>批次</w:t>
            </w:r>
          </w:p>
        </w:tc>
        <w:tc>
          <w:tcPr>
            <w:tcW w:w="6214" w:type="dxa"/>
            <w:vAlign w:val="center"/>
          </w:tcPr>
          <w:p w14:paraId="39FCD9D8">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一、提供服务的内容</w:t>
            </w:r>
          </w:p>
          <w:p w14:paraId="508E9C25">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1、采购</w:t>
            </w:r>
            <w:r>
              <w:rPr>
                <w:rFonts w:hint="eastAsia" w:ascii="宋体" w:hAnsi="宋体" w:eastAsia="宋体" w:cs="宋体"/>
                <w:color w:val="auto"/>
                <w:kern w:val="0"/>
                <w:szCs w:val="21"/>
                <w:highlight w:val="none"/>
              </w:rPr>
              <w:t>豇豆等农产品</w:t>
            </w:r>
            <w:r>
              <w:rPr>
                <w:rFonts w:hint="eastAsia" w:ascii="宋体" w:hAnsi="宋体" w:eastAsia="宋体" w:cs="宋体"/>
                <w:color w:val="auto"/>
                <w:szCs w:val="21"/>
                <w:highlight w:val="none"/>
              </w:rPr>
              <w:t>胶体金快速检测服务2.5万批次，</w:t>
            </w:r>
            <w:r>
              <w:rPr>
                <w:rFonts w:hint="eastAsia" w:ascii="宋体" w:hAnsi="宋体" w:eastAsia="宋体" w:cs="宋体"/>
                <w:color w:val="auto"/>
                <w:kern w:val="0"/>
                <w:szCs w:val="21"/>
                <w:highlight w:val="none"/>
              </w:rPr>
              <w:t>每批次检测10个参数，需胶体金快速检测试纸共25万条；</w:t>
            </w:r>
            <w:r>
              <w:rPr>
                <w:rFonts w:hint="eastAsia" w:ascii="宋体" w:hAnsi="宋体" w:eastAsia="宋体" w:cs="宋体"/>
                <w:color w:val="auto"/>
                <w:szCs w:val="21"/>
                <w:highlight w:val="none"/>
              </w:rPr>
              <w:t>中标价格包含样品、试剂耗材、数据统计分析、技术培训、技术支持等所有相关费用。</w:t>
            </w:r>
          </w:p>
          <w:p w14:paraId="3362F975">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负责面对豇豆等农产品主产品区域内（或委托方指定的生产区域）的相关县（市、区），以工作任务所要求的检测项目为基准，结合各县（市、区）的实际情况，发放试纸、耗材、仪器、设备并提供快检服务技术支持与培训。培训监管、技术服务人员熟练掌握快速检测仪器、试纸等，抽样制样要求、快速检测技术、结果判读、数据统计上传、阳性样品处置等工作，并提供相应的技术支持。培训20场次以上，技术支持50次以上。</w:t>
            </w:r>
          </w:p>
          <w:p w14:paraId="09652EA3">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供应商需提供具有数据上传、统计分析和预警功能的仪器、信息平台或者APP，并对接、即时将检测结果统计上传到广西农产品质量安全监管与追溯信息平台，供采购人查阅、统计、输出快检结果、掌握质量安全风险状况。</w:t>
            </w:r>
          </w:p>
          <w:p w14:paraId="31B3BF31">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4、信息平台或APP通过拍照即可完成检测结果录入，不得人工录入结果，确保检测记录准确不可篡改。</w:t>
            </w:r>
          </w:p>
          <w:p w14:paraId="602B848B">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二、快速检测试纸技术参数： </w:t>
            </w:r>
          </w:p>
          <w:p w14:paraId="0CC64B5A">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参数覆盖：倍硫磷、灭蝇胺、啶虫脒、噻虫嗪、噻虫胺、克百威（3-羟基克百威）、甲氨基阿维菌素苯甲酸盐、毒死蜱、灭多威、氟虫腈，共25万条。适用于豇豆检测，检测限量（倍硫磷检测限：0.05mg/kg；灭蝇胺检测限：0.5mg/kg；啶虫脒检测限：0.4mg/kg；噻虫嗪检测限：0.3mg/kg；噻虫胺检测限：0.01mg/kg；克百威（3-羟基克百威）检测限：0.02mg/kg；甲氨基阿维菌素苯甲酸盐检测限：0.2mg/kg；毒死蜱检测限：0.02mg/kg；灭多威检测限：0.2mg/kg；氟虫腈检测限：0.02mg/kg）。</w:t>
            </w:r>
          </w:p>
          <w:p w14:paraId="164D7EB4">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（一）总体技术要求</w:t>
            </w:r>
          </w:p>
          <w:p w14:paraId="768A9BBC">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1、包装组成：</w:t>
            </w:r>
          </w:p>
          <w:p w14:paraId="486079CB">
            <w:pPr>
              <w:pStyle w:val="133"/>
              <w:spacing w:before="2" w:line="360" w:lineRule="auto"/>
              <w:ind w:right="160"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w:t>
            </w:r>
            <w:r>
              <w:rPr>
                <w:rFonts w:hint="eastAsia" w:ascii="宋体" w:hAnsi="宋体" w:eastAsia="宋体" w:cs="宋体"/>
                <w:color w:val="auto"/>
                <w:kern w:val="2"/>
                <w:sz w:val="21"/>
                <w:szCs w:val="21"/>
                <w:highlight w:val="none"/>
                <w:lang w:eastAsia="zh-CN"/>
              </w:rPr>
              <w:t>密封包装，密封包装上应直接印有产品名称、生产厂家、品牌、商标、生产日期、有效期、注意事项、储存条件等相关信息；</w:t>
            </w:r>
          </w:p>
          <w:p w14:paraId="31E67ABF">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（2）保存简便、室温操作，保质期1年以上。</w:t>
            </w:r>
          </w:p>
          <w:p w14:paraId="28ED25A6">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2、检测技术要求：</w:t>
            </w:r>
          </w:p>
          <w:p w14:paraId="71F3410E">
            <w:pPr>
              <w:pStyle w:val="133"/>
              <w:spacing w:line="360" w:lineRule="auto"/>
              <w:ind w:right="100"/>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sz w:val="21"/>
                <w:szCs w:val="21"/>
                <w:highlight w:val="none"/>
                <w:lang w:eastAsia="zh-CN"/>
              </w:rPr>
              <w:t xml:space="preserve">   </w:t>
            </w:r>
            <w:r>
              <w:rPr>
                <w:rFonts w:hint="eastAsia" w:ascii="宋体" w:hAnsi="宋体" w:eastAsia="宋体" w:cs="宋体"/>
                <w:color w:val="auto"/>
                <w:kern w:val="2"/>
                <w:sz w:val="21"/>
                <w:szCs w:val="21"/>
                <w:highlight w:val="none"/>
                <w:lang w:eastAsia="zh-CN"/>
              </w:rPr>
              <w:t xml:space="preserve">（1）各参数农残检测限完全匹配GB2763-2021和GB2763.1-2022食品中农药最大残留限量要求；假阴性率小于2%，假阳性率小于4%。             </w:t>
            </w:r>
          </w:p>
          <w:p w14:paraId="4E49DFB8">
            <w:pPr>
              <w:pStyle w:val="133"/>
              <w:spacing w:line="360" w:lineRule="auto"/>
              <w:ind w:right="100"/>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lang w:eastAsia="zh-CN"/>
              </w:rPr>
              <w:t>▲（2）胶体金检测卡本身具有质量控制对照线并附有专属二维码（不可贴标、需喷码；可用于检测时扫码识别统计及追溯）及产品名称、品牌信息；（初次报价时提供产品说明书或承诺函）；</w:t>
            </w:r>
          </w:p>
          <w:p w14:paraId="2215D6A0">
            <w:pPr>
              <w:pStyle w:val="133"/>
              <w:spacing w:line="360" w:lineRule="auto"/>
              <w:ind w:right="100"/>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lang w:eastAsia="zh-CN"/>
              </w:rPr>
              <w:t>▲（3）检测单个样品时，从样品前处理到结果判断 整个过程要求在20分钟内完成；</w:t>
            </w:r>
            <w:r>
              <w:rPr>
                <w:rFonts w:hint="eastAsia" w:ascii="宋体" w:hAnsi="宋体" w:eastAsia="宋体" w:cs="宋体"/>
                <w:color w:val="auto"/>
                <w:szCs w:val="21"/>
                <w:highlight w:val="none"/>
              </w:rPr>
              <w:t>判读结果时间：</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分钟内/条；</w:t>
            </w:r>
            <w:r>
              <w:rPr>
                <w:rFonts w:hint="eastAsia" w:ascii="宋体" w:hAnsi="宋体" w:eastAsia="宋体" w:cs="宋体"/>
                <w:color w:val="auto"/>
                <w:kern w:val="2"/>
                <w:sz w:val="21"/>
                <w:szCs w:val="21"/>
                <w:highlight w:val="none"/>
                <w:lang w:eastAsia="zh-CN"/>
              </w:rPr>
              <w:t>（提供产品说明书或承诺函）</w:t>
            </w:r>
          </w:p>
          <w:p w14:paraId="545A6A87">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（4）快速检测试纸条特异性强，与结构类似物交叉反应小。 </w:t>
            </w:r>
          </w:p>
          <w:p w14:paraId="369A56D8">
            <w:pPr>
              <w:pStyle w:val="133"/>
              <w:spacing w:line="360" w:lineRule="auto"/>
              <w:ind w:right="100" w:firstLine="420" w:firstLineChars="200"/>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lang w:eastAsia="zh-CN"/>
              </w:rPr>
              <w:t>（5）判读标准：以有无测试线为准，不需要设立 阴性、阳性对照，或采取检测线（T 线）与质量控 制线（C 线）颜色深浅对比进行判定；</w:t>
            </w:r>
          </w:p>
          <w:p w14:paraId="695E9CF3">
            <w:pPr>
              <w:pStyle w:val="133"/>
              <w:spacing w:line="360" w:lineRule="auto"/>
              <w:ind w:right="172" w:firstLine="420" w:firstLineChars="200"/>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lang w:val="en-US" w:eastAsia="zh-CN"/>
              </w:rPr>
              <w:t>6</w:t>
            </w:r>
            <w:r>
              <w:rPr>
                <w:rFonts w:hint="eastAsia" w:ascii="宋体" w:hAnsi="宋体" w:eastAsia="宋体" w:cs="宋体"/>
                <w:color w:val="auto"/>
                <w:kern w:val="2"/>
                <w:sz w:val="21"/>
                <w:szCs w:val="21"/>
                <w:highlight w:val="none"/>
                <w:lang w:eastAsia="zh-CN"/>
              </w:rPr>
              <w:t>）检测结果稳定，在 30 分钟后结果仍不发生变化；</w:t>
            </w:r>
          </w:p>
          <w:p w14:paraId="1C1E3B6E">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 xml:space="preserve">）胶体金试纸条检测结果通过移动终端（手机等）应用程序拍照自动判定，无需人工选择判读结果。 </w:t>
            </w:r>
          </w:p>
          <w:p w14:paraId="53553815">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 xml:space="preserve">）移动终端应用程序能够判读胶体金试纸条检测线（T线）和质控线（C线）的比值，即显示T/C值，并直接给出判定结果。  </w:t>
            </w:r>
          </w:p>
          <w:p w14:paraId="33B00A6D">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）判读数据通过移动终端（手机等）应用程序，对接至相关监管平台小程序，保证实时上传至指定的监管平台，确保数据安全有保证，只向客户指定的平台对接数据。</w:t>
            </w:r>
          </w:p>
          <w:p w14:paraId="1186ACD9">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10</w:t>
            </w:r>
            <w:r>
              <w:rPr>
                <w:rFonts w:hint="eastAsia" w:ascii="宋体" w:hAnsi="宋体" w:eastAsia="宋体" w:cs="宋体"/>
                <w:color w:val="auto"/>
                <w:szCs w:val="21"/>
                <w:highlight w:val="none"/>
              </w:rPr>
              <w:t xml:space="preserve">）胶体金试纸条检测结果判读和图片上传实时同步进行，结果可追溯，不可篡改。 </w:t>
            </w:r>
          </w:p>
          <w:p w14:paraId="72B11543">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11</w:t>
            </w:r>
            <w:r>
              <w:rPr>
                <w:rFonts w:hint="eastAsia" w:ascii="宋体" w:hAnsi="宋体" w:eastAsia="宋体" w:cs="宋体"/>
                <w:color w:val="auto"/>
                <w:szCs w:val="21"/>
                <w:highlight w:val="none"/>
              </w:rPr>
              <w:t xml:space="preserve">）试纸条出厂前针对不同基质中的不同检测限要求，进行批批标定，确保质量稳定。 </w:t>
            </w:r>
          </w:p>
          <w:p w14:paraId="11EDAB5B">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12</w:t>
            </w:r>
            <w:r>
              <w:rPr>
                <w:rFonts w:hint="eastAsia" w:ascii="宋体" w:hAnsi="宋体" w:eastAsia="宋体" w:cs="宋体"/>
                <w:color w:val="auto"/>
                <w:szCs w:val="21"/>
                <w:highlight w:val="none"/>
              </w:rPr>
              <w:t xml:space="preserve">）操作简便，按照试剂盒内说明书操作，即可获得检测结果，无需专业人员； </w:t>
            </w:r>
          </w:p>
          <w:p w14:paraId="359A1876">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）合适存储条件 4-30℃，保质期一年以上。</w:t>
            </w:r>
          </w:p>
        </w:tc>
      </w:tr>
      <w:tr w14:paraId="105CCF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8" w:hRule="atLeast"/>
        </w:trPr>
        <w:tc>
          <w:tcPr>
            <w:tcW w:w="489" w:type="dxa"/>
            <w:vAlign w:val="center"/>
          </w:tcPr>
          <w:p w14:paraId="19D7C3EF">
            <w:pPr>
              <w:pStyle w:val="194"/>
              <w:spacing w:line="360" w:lineRule="auto"/>
              <w:ind w:left="0" w:leftChars="0" w:firstLine="0" w:firstLineChars="0"/>
              <w:jc w:val="cente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B</w:t>
            </w:r>
            <w:r>
              <w:rPr>
                <w:rFonts w:hint="eastAsia" w:ascii="宋体" w:hAnsi="宋体" w:eastAsia="宋体" w:cs="宋体"/>
                <w:b/>
                <w:bCs/>
                <w:color w:val="auto"/>
                <w:sz w:val="21"/>
                <w:szCs w:val="21"/>
                <w:highlight w:val="none"/>
              </w:rPr>
              <w:t>分标</w:t>
            </w:r>
          </w:p>
        </w:tc>
        <w:tc>
          <w:tcPr>
            <w:tcW w:w="1341" w:type="dxa"/>
            <w:vAlign w:val="center"/>
          </w:tcPr>
          <w:p w14:paraId="2D741E92">
            <w:pPr>
              <w:spacing w:line="360" w:lineRule="auto"/>
              <w:jc w:val="center"/>
              <w:rPr>
                <w:rFonts w:hint="eastAsia"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豇豆等农产品胶体金快速检测试纸、仪器、设备及技术支持、培训</w:t>
            </w:r>
          </w:p>
        </w:tc>
        <w:tc>
          <w:tcPr>
            <w:tcW w:w="840" w:type="dxa"/>
            <w:gridSpan w:val="2"/>
            <w:vAlign w:val="center"/>
          </w:tcPr>
          <w:p w14:paraId="51520F7C">
            <w:pPr>
              <w:tabs>
                <w:tab w:val="left" w:pos="180"/>
                <w:tab w:val="left" w:pos="1620"/>
              </w:tabs>
              <w:spacing w:line="360" w:lineRule="auto"/>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≥2.5万</w:t>
            </w:r>
          </w:p>
        </w:tc>
        <w:tc>
          <w:tcPr>
            <w:tcW w:w="780" w:type="dxa"/>
            <w:vAlign w:val="center"/>
          </w:tcPr>
          <w:p w14:paraId="2A91B282">
            <w:pPr>
              <w:tabs>
                <w:tab w:val="left" w:pos="180"/>
                <w:tab w:val="left" w:pos="1620"/>
              </w:tabs>
              <w:spacing w:line="360" w:lineRule="auto"/>
              <w:jc w:val="center"/>
              <w:rPr>
                <w:rFonts w:hint="eastAsia" w:ascii="宋体" w:hAnsi="宋体" w:eastAsia="宋体" w:cs="宋体"/>
                <w:b/>
                <w:bCs/>
                <w:color w:val="auto"/>
                <w:szCs w:val="21"/>
                <w:highlight w:val="none"/>
              </w:rPr>
            </w:pPr>
            <w:r>
              <w:rPr>
                <w:rFonts w:hint="eastAsia" w:ascii="宋体" w:hAnsi="宋体" w:eastAsia="宋体" w:cs="宋体"/>
                <w:b/>
                <w:bCs/>
                <w:color w:val="auto"/>
                <w:kern w:val="0"/>
                <w:szCs w:val="21"/>
                <w:highlight w:val="none"/>
              </w:rPr>
              <w:t>批次</w:t>
            </w:r>
          </w:p>
        </w:tc>
        <w:tc>
          <w:tcPr>
            <w:tcW w:w="6214" w:type="dxa"/>
            <w:vAlign w:val="center"/>
          </w:tcPr>
          <w:p w14:paraId="168BFC1A">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一、提供服务的内容</w:t>
            </w:r>
          </w:p>
          <w:p w14:paraId="6D2841BF">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1、采购</w:t>
            </w:r>
            <w:r>
              <w:rPr>
                <w:rFonts w:hint="eastAsia" w:ascii="宋体" w:hAnsi="宋体" w:eastAsia="宋体" w:cs="宋体"/>
                <w:color w:val="auto"/>
                <w:kern w:val="0"/>
                <w:szCs w:val="21"/>
                <w:highlight w:val="none"/>
              </w:rPr>
              <w:t>豇豆等农产品</w:t>
            </w:r>
            <w:r>
              <w:rPr>
                <w:rFonts w:hint="eastAsia" w:ascii="宋体" w:hAnsi="宋体" w:eastAsia="宋体" w:cs="宋体"/>
                <w:color w:val="auto"/>
                <w:szCs w:val="21"/>
                <w:highlight w:val="none"/>
              </w:rPr>
              <w:t>胶体金快速检测服务2.5万批次，</w:t>
            </w:r>
            <w:r>
              <w:rPr>
                <w:rFonts w:hint="eastAsia" w:ascii="宋体" w:hAnsi="宋体" w:eastAsia="宋体" w:cs="宋体"/>
                <w:color w:val="auto"/>
                <w:kern w:val="0"/>
                <w:szCs w:val="21"/>
                <w:highlight w:val="none"/>
              </w:rPr>
              <w:t>每批次检测10个参数，需胶体金快速检测试纸共25万条；</w:t>
            </w:r>
            <w:r>
              <w:rPr>
                <w:rFonts w:hint="eastAsia" w:ascii="宋体" w:hAnsi="宋体" w:eastAsia="宋体" w:cs="宋体"/>
                <w:color w:val="auto"/>
                <w:szCs w:val="21"/>
                <w:highlight w:val="none"/>
              </w:rPr>
              <w:t>中标价格包含样品、试剂耗材、数据统计分析、技术培训、技术支持等所有相关费用。</w:t>
            </w:r>
          </w:p>
          <w:p w14:paraId="02780F53">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负责面对豇豆等农产品主产品区域内（或委托方指定的生产区域）的相关县（市、区），以工作任务所要求的检测项目为基准，结合各县（市、区）的实际情况，发放试纸、耗材、仪器、设备并提供快检服务技术支持与培训。培训监管、技术服务人员熟练掌握快速检测仪器、试纸等，抽样制样要求、快速检测技术、结果判读、数据统计上传、阳性样品处置等工作，并提供相应的技术支持。培训20场次以上，技术支持50次以上。</w:t>
            </w:r>
          </w:p>
          <w:p w14:paraId="1942A61F">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供应商需提供具有数据上传、统计分析和预警功能的仪器、信息平台或者APP，并对接、即时将检测结果统计上传到广西农产品质量安全监管与追溯信息平台，供采购人查阅、统计、输出快检结果、掌握质量安全风险状况。</w:t>
            </w:r>
          </w:p>
          <w:p w14:paraId="6F2140C8">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4、信息平台或APP通过拍照即可完成检测结果录入，不得人工录入结果，确保检测记录准确不可篡改。</w:t>
            </w:r>
          </w:p>
          <w:p w14:paraId="3D76B71C">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二、快速检测试纸技术参数： </w:t>
            </w:r>
          </w:p>
          <w:p w14:paraId="5BC27532">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参数覆盖：倍硫磷、灭蝇胺、啶虫脒、噻虫嗪、噻虫胺、克百威（3-羟基克百威）、甲氨基阿维菌素苯甲酸盐、毒死蜱、灭多威、氟虫腈，共25万条。适用于豇豆检测，检测限量（倍硫磷检测限：0.05mg/kg；灭蝇胺检测限：0.5mg/kg；啶虫脒检测限：0.4mg/kg；噻虫嗪检测限：0.3mg/kg；噻虫胺检测限：0.01mg/kg；克百威（3-羟基克百威）检测限：0.02mg/kg；甲氨基阿维菌素苯甲酸盐检测限：0.2mg/kg；毒死蜱检测限：0.02mg/kg；灭多威检测限：0.2mg/kg；氟虫腈检测限：0.02mg/kg）。</w:t>
            </w:r>
          </w:p>
          <w:p w14:paraId="6FC255EB">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（一）总体技术要求 </w:t>
            </w:r>
          </w:p>
          <w:p w14:paraId="10CBF1DF">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1、包装组成：</w:t>
            </w:r>
          </w:p>
          <w:p w14:paraId="388FD042">
            <w:pPr>
              <w:pStyle w:val="133"/>
              <w:spacing w:before="2" w:line="360" w:lineRule="auto"/>
              <w:ind w:right="160"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w:t>
            </w:r>
            <w:r>
              <w:rPr>
                <w:rFonts w:hint="eastAsia" w:ascii="宋体" w:hAnsi="宋体" w:eastAsia="宋体" w:cs="宋体"/>
                <w:color w:val="auto"/>
                <w:kern w:val="2"/>
                <w:sz w:val="21"/>
                <w:szCs w:val="21"/>
                <w:highlight w:val="none"/>
                <w:lang w:eastAsia="zh-CN"/>
              </w:rPr>
              <w:t>密封包装，密封包装上应直接印有产品名称、生产厂家、品牌、商标、生产日期、有效期、注意事项、储存条件等相关信息；</w:t>
            </w:r>
          </w:p>
          <w:p w14:paraId="036F3EA5">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（2）保存简便、室温操作，保质期1年以上。</w:t>
            </w:r>
          </w:p>
          <w:p w14:paraId="2ED9BE32">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2、检测技术要求：</w:t>
            </w:r>
          </w:p>
          <w:p w14:paraId="5CC7AB46">
            <w:pPr>
              <w:pStyle w:val="133"/>
              <w:spacing w:line="360" w:lineRule="auto"/>
              <w:ind w:right="100"/>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sz w:val="21"/>
                <w:szCs w:val="21"/>
                <w:highlight w:val="none"/>
                <w:lang w:eastAsia="zh-CN"/>
              </w:rPr>
              <w:t xml:space="preserve">   </w:t>
            </w:r>
            <w:r>
              <w:rPr>
                <w:rFonts w:hint="eastAsia" w:ascii="宋体" w:hAnsi="宋体" w:eastAsia="宋体" w:cs="宋体"/>
                <w:color w:val="auto"/>
                <w:kern w:val="2"/>
                <w:sz w:val="21"/>
                <w:szCs w:val="21"/>
                <w:highlight w:val="none"/>
                <w:lang w:eastAsia="zh-CN"/>
              </w:rPr>
              <w:t xml:space="preserve">（1）各参数农残检测限完全匹配GB2763-2021和GB2763.1-2022食品中农药最大残留限量要求；假阴性率小于2%，假阳性率小于4%。             </w:t>
            </w:r>
          </w:p>
          <w:p w14:paraId="77E19410">
            <w:pPr>
              <w:pStyle w:val="133"/>
              <w:spacing w:line="360" w:lineRule="auto"/>
              <w:ind w:right="100"/>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lang w:eastAsia="zh-CN"/>
              </w:rPr>
              <w:t>▲（2）胶体金检测卡本身具有质量控制对照线并附有专属二维码（不可贴标、需喷码；可用于检测时扫码识别统计及追溯）及产品名称、品牌信息；（初次报价时提供产品说明书或承诺函）；</w:t>
            </w:r>
          </w:p>
          <w:p w14:paraId="5873741A">
            <w:pPr>
              <w:pStyle w:val="133"/>
              <w:spacing w:line="360" w:lineRule="auto"/>
              <w:ind w:right="100"/>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lang w:eastAsia="zh-CN"/>
              </w:rPr>
              <w:t>▲（3）检测单个样品时，从样品前处理到结果判断整个过程要求在20分钟内完成；</w:t>
            </w:r>
            <w:r>
              <w:rPr>
                <w:rFonts w:hint="eastAsia" w:ascii="宋体" w:hAnsi="宋体" w:eastAsia="宋体" w:cs="宋体"/>
                <w:color w:val="auto"/>
                <w:szCs w:val="21"/>
                <w:highlight w:val="none"/>
              </w:rPr>
              <w:t>判读结果时间：</w:t>
            </w:r>
            <w:r>
              <w:rPr>
                <w:rFonts w:hint="eastAsia" w:ascii="宋体" w:hAnsi="宋体" w:eastAsia="宋体" w:cs="宋体"/>
                <w:color w:val="auto"/>
                <w:szCs w:val="21"/>
                <w:highlight w:val="none"/>
                <w:lang w:val="en-US" w:eastAsia="zh-CN"/>
              </w:rPr>
              <w:t>5-8</w:t>
            </w:r>
            <w:r>
              <w:rPr>
                <w:rFonts w:hint="eastAsia" w:ascii="宋体" w:hAnsi="宋体" w:eastAsia="宋体" w:cs="宋体"/>
                <w:color w:val="auto"/>
                <w:szCs w:val="21"/>
                <w:highlight w:val="none"/>
              </w:rPr>
              <w:t>分钟内/条；</w:t>
            </w:r>
            <w:r>
              <w:rPr>
                <w:rFonts w:hint="eastAsia" w:ascii="宋体" w:hAnsi="宋体" w:eastAsia="宋体" w:cs="宋体"/>
                <w:color w:val="auto"/>
                <w:kern w:val="2"/>
                <w:sz w:val="21"/>
                <w:szCs w:val="21"/>
                <w:highlight w:val="none"/>
                <w:lang w:eastAsia="zh-CN"/>
              </w:rPr>
              <w:t>（提供产品说明 书或承诺函）</w:t>
            </w:r>
          </w:p>
          <w:p w14:paraId="67E55832">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（4）快速检测试纸条特异性强，与结构类似物交叉反应小。 </w:t>
            </w:r>
          </w:p>
          <w:p w14:paraId="3C5D8890">
            <w:pPr>
              <w:pStyle w:val="133"/>
              <w:spacing w:line="360" w:lineRule="auto"/>
              <w:ind w:right="100" w:firstLine="420" w:firstLineChars="200"/>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lang w:eastAsia="zh-CN"/>
              </w:rPr>
              <w:t>（5）判读标准：以有无测试线为准，不需要设立 阴性、阳性对照，或采取检测线（T 线）与质量控 制线（C 线）颜色深浅对比进行判定；</w:t>
            </w:r>
          </w:p>
          <w:p w14:paraId="611E0C47">
            <w:pPr>
              <w:pStyle w:val="133"/>
              <w:spacing w:line="360" w:lineRule="auto"/>
              <w:ind w:right="172" w:firstLine="420" w:firstLineChars="200"/>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lang w:val="en-US" w:eastAsia="zh-CN"/>
              </w:rPr>
              <w:t>6</w:t>
            </w:r>
            <w:r>
              <w:rPr>
                <w:rFonts w:hint="eastAsia" w:ascii="宋体" w:hAnsi="宋体" w:eastAsia="宋体" w:cs="宋体"/>
                <w:color w:val="auto"/>
                <w:kern w:val="2"/>
                <w:sz w:val="21"/>
                <w:szCs w:val="21"/>
                <w:highlight w:val="none"/>
                <w:lang w:eastAsia="zh-CN"/>
              </w:rPr>
              <w:t>）检测结果稳定，在 30 分钟后结果仍不发生变化；</w:t>
            </w:r>
          </w:p>
          <w:p w14:paraId="606175D6">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 xml:space="preserve">）胶体金试纸条检测结果通过移动终端（手机等）应用程序拍照自动判定，无需人工选择判读结果。 </w:t>
            </w:r>
          </w:p>
          <w:p w14:paraId="6BA7DF46">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 xml:space="preserve">）移动终端应用程序能够判读胶体金试纸条检测线（T线）和质控线（C线）的比值，即显示T/C值，并直接给出判定结果。  </w:t>
            </w:r>
          </w:p>
          <w:p w14:paraId="1A6DCE37">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）判读数据通过移动终端（手机等）应用程序，对接至相关监管平台小程序，保证实时上传至指定的监管平台，确保数据安全有保证，只向客户指定的平台对接数据。</w:t>
            </w:r>
          </w:p>
          <w:p w14:paraId="4BCC1A0C">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0</w:t>
            </w:r>
            <w:r>
              <w:rPr>
                <w:rFonts w:hint="eastAsia" w:ascii="宋体" w:hAnsi="宋体" w:eastAsia="宋体" w:cs="宋体"/>
                <w:color w:val="auto"/>
                <w:szCs w:val="21"/>
                <w:highlight w:val="none"/>
              </w:rPr>
              <w:t xml:space="preserve">）胶体金试纸条检测结果判读和图片上传实时同步进行，结果可追溯，不可篡改。 </w:t>
            </w:r>
          </w:p>
          <w:p w14:paraId="7FD3BC66">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 xml:space="preserve">）试纸条出厂前针对不同基质中的不同检测限要求，进行批批标定，确保质量稳定。 </w:t>
            </w:r>
          </w:p>
          <w:p w14:paraId="52A97990">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 xml:space="preserve">）操作简便，按照试剂盒内说明书操作，即可获得检测结果，无需专业人员； </w:t>
            </w:r>
          </w:p>
          <w:p w14:paraId="7F2F52E0">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）合适存储条件 4-30℃，保质期一年以上。</w:t>
            </w:r>
          </w:p>
        </w:tc>
      </w:tr>
      <w:tr w14:paraId="47C510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8" w:hRule="atLeast"/>
        </w:trPr>
        <w:tc>
          <w:tcPr>
            <w:tcW w:w="489" w:type="dxa"/>
            <w:vAlign w:val="center"/>
          </w:tcPr>
          <w:p w14:paraId="640B521D">
            <w:pPr>
              <w:tabs>
                <w:tab w:val="left" w:pos="180"/>
                <w:tab w:val="left" w:pos="1620"/>
              </w:tabs>
              <w:spacing w:line="360" w:lineRule="auto"/>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C分标</w:t>
            </w:r>
          </w:p>
        </w:tc>
        <w:tc>
          <w:tcPr>
            <w:tcW w:w="1341" w:type="dxa"/>
            <w:vAlign w:val="center"/>
          </w:tcPr>
          <w:p w14:paraId="7A495F20">
            <w:pPr>
              <w:spacing w:line="360" w:lineRule="auto"/>
              <w:jc w:val="center"/>
              <w:rPr>
                <w:rFonts w:hint="eastAsia" w:ascii="宋体" w:hAnsi="宋体" w:eastAsia="宋体" w:cs="宋体"/>
                <w:b/>
                <w:bCs/>
                <w:color w:val="auto"/>
                <w:szCs w:val="21"/>
                <w:highlight w:val="none"/>
              </w:rPr>
            </w:pPr>
            <w:r>
              <w:rPr>
                <w:rFonts w:hint="eastAsia" w:ascii="宋体" w:hAnsi="宋体" w:eastAsia="宋体" w:cs="宋体"/>
                <w:b/>
                <w:bCs/>
                <w:color w:val="auto"/>
                <w:kern w:val="0"/>
                <w:szCs w:val="21"/>
                <w:highlight w:val="none"/>
              </w:rPr>
              <w:t>豇豆等农产品胶体金快速检测试纸、仪器、设备及技术支持、培训</w:t>
            </w:r>
          </w:p>
        </w:tc>
        <w:tc>
          <w:tcPr>
            <w:tcW w:w="840" w:type="dxa"/>
            <w:gridSpan w:val="2"/>
            <w:vAlign w:val="center"/>
          </w:tcPr>
          <w:p w14:paraId="675ECE37">
            <w:pPr>
              <w:tabs>
                <w:tab w:val="left" w:pos="180"/>
                <w:tab w:val="left" w:pos="1620"/>
              </w:tabs>
              <w:spacing w:line="360" w:lineRule="auto"/>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≥2.5万</w:t>
            </w:r>
          </w:p>
        </w:tc>
        <w:tc>
          <w:tcPr>
            <w:tcW w:w="780" w:type="dxa"/>
            <w:vAlign w:val="center"/>
          </w:tcPr>
          <w:p w14:paraId="60847848">
            <w:pPr>
              <w:tabs>
                <w:tab w:val="left" w:pos="180"/>
                <w:tab w:val="left" w:pos="1620"/>
              </w:tabs>
              <w:spacing w:line="360" w:lineRule="auto"/>
              <w:jc w:val="center"/>
              <w:rPr>
                <w:rFonts w:hint="eastAsia" w:ascii="宋体" w:hAnsi="宋体" w:eastAsia="宋体" w:cs="宋体"/>
                <w:b/>
                <w:bCs/>
                <w:color w:val="auto"/>
                <w:szCs w:val="21"/>
                <w:highlight w:val="none"/>
              </w:rPr>
            </w:pPr>
            <w:r>
              <w:rPr>
                <w:rFonts w:hint="eastAsia" w:ascii="宋体" w:hAnsi="宋体" w:eastAsia="宋体" w:cs="宋体"/>
                <w:b/>
                <w:bCs/>
                <w:color w:val="auto"/>
                <w:kern w:val="0"/>
                <w:szCs w:val="21"/>
                <w:highlight w:val="none"/>
              </w:rPr>
              <w:t>批次</w:t>
            </w:r>
          </w:p>
        </w:tc>
        <w:tc>
          <w:tcPr>
            <w:tcW w:w="6214" w:type="dxa"/>
            <w:vAlign w:val="center"/>
          </w:tcPr>
          <w:p w14:paraId="70E24084">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一、提供服务的内容</w:t>
            </w:r>
          </w:p>
          <w:p w14:paraId="08FDE12C">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1、采购</w:t>
            </w:r>
            <w:r>
              <w:rPr>
                <w:rFonts w:hint="eastAsia" w:ascii="宋体" w:hAnsi="宋体" w:eastAsia="宋体" w:cs="宋体"/>
                <w:color w:val="auto"/>
                <w:kern w:val="0"/>
                <w:szCs w:val="21"/>
                <w:highlight w:val="none"/>
              </w:rPr>
              <w:t>豇豆等农产品</w:t>
            </w:r>
            <w:r>
              <w:rPr>
                <w:rFonts w:hint="eastAsia" w:ascii="宋体" w:hAnsi="宋体" w:eastAsia="宋体" w:cs="宋体"/>
                <w:color w:val="auto"/>
                <w:szCs w:val="21"/>
                <w:highlight w:val="none"/>
              </w:rPr>
              <w:t>胶体金快速检测服务2.5万批次，</w:t>
            </w:r>
            <w:r>
              <w:rPr>
                <w:rFonts w:hint="eastAsia" w:ascii="宋体" w:hAnsi="宋体" w:eastAsia="宋体" w:cs="宋体"/>
                <w:color w:val="auto"/>
                <w:kern w:val="0"/>
                <w:szCs w:val="21"/>
                <w:highlight w:val="none"/>
              </w:rPr>
              <w:t>每批次检测10个参数，需胶体金快速检测试纸共25万条；</w:t>
            </w:r>
            <w:r>
              <w:rPr>
                <w:rFonts w:hint="eastAsia" w:ascii="宋体" w:hAnsi="宋体" w:eastAsia="宋体" w:cs="宋体"/>
                <w:color w:val="auto"/>
                <w:szCs w:val="21"/>
                <w:highlight w:val="none"/>
              </w:rPr>
              <w:t>中标价格包含样品、试剂耗材、数据统计分析、技术培训、技术支持等所有相关费用。</w:t>
            </w:r>
          </w:p>
          <w:p w14:paraId="5E18D87E">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负责面对豇豆等农产品主产品区域内（或委托方指定的生产区域）的相关县（市、区），以工作任务所要求的检测项目为基准，结合各县（市、区）的实际情况，发放试纸、耗材、仪器、设备并提供快检服务技术支持与培训。培训监管、技术服务人员熟练掌握快速检测仪器、试纸等，抽样制样要求、快速检测技术、结果判读、数据统计上传、阳性样品处置等工作，并提供相应的技术支持。培训20场次以上，技术支持50次以上。</w:t>
            </w:r>
          </w:p>
          <w:p w14:paraId="20FC5DE0">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供应商需提供具有数据上传、统计分析和预警功能的仪器、信息平台或者APP，并对接、即时将检测结果统计上传到广西农产品质量安全监管与追溯信息平台，供采购人查阅、统计、输出快检结果、掌握质量安全风险状况。</w:t>
            </w:r>
          </w:p>
          <w:p w14:paraId="3CBF90A5">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4、信息平台或APP通过拍照即可完成检测结果录入，不得人工录入结果，确保检测记录准确不可篡改。</w:t>
            </w:r>
          </w:p>
          <w:p w14:paraId="40C4B045">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二、快速检测试纸技术参数： </w:t>
            </w:r>
          </w:p>
          <w:p w14:paraId="08DA77B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参数覆盖：倍硫磷、灭蝇胺、啶虫脒、噻虫嗪、噻虫胺、克百威（3-羟基克百威）、甲氨基阿维菌素苯甲酸盐、毒死蜱、灭多威、氟虫腈，共25万条。适用于豇豆检测，检测限量（倍硫磷检测限：0.05mg/kg；灭蝇胺检测限：0.5mg/kg；啶虫脒检测限：0.4mg/kg；噻虫嗪检测限：0.3mg/kg；噻虫胺检测限：0.01mg/kg；克百威（3-羟基克百威）检测限：0.02mg/kg；甲氨基阿维菌素苯甲酸盐检测限：0.2mg/kg；毒死蜱检测限：0.02mg/kg；灭多威检测限：0.2mg/kg；氟虫腈检测限：0.02mg/kg）。</w:t>
            </w:r>
          </w:p>
          <w:p w14:paraId="6FC1B456">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（一）总体技术要求 </w:t>
            </w:r>
          </w:p>
          <w:p w14:paraId="2D599514">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1、包装组成：</w:t>
            </w:r>
          </w:p>
          <w:p w14:paraId="1D60A07F">
            <w:pPr>
              <w:pStyle w:val="133"/>
              <w:spacing w:before="2" w:line="360" w:lineRule="auto"/>
              <w:ind w:right="160"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w:t>
            </w:r>
            <w:r>
              <w:rPr>
                <w:rFonts w:hint="eastAsia" w:ascii="宋体" w:hAnsi="宋体" w:eastAsia="宋体" w:cs="宋体"/>
                <w:color w:val="auto"/>
                <w:kern w:val="2"/>
                <w:sz w:val="21"/>
                <w:szCs w:val="21"/>
                <w:highlight w:val="none"/>
                <w:lang w:eastAsia="zh-CN"/>
              </w:rPr>
              <w:t>密封包装，密封包装上应直接印有产品名称、生产厂家、品牌、商标、生产日期、有效期、注意事项、储存条件等相关信息；</w:t>
            </w:r>
          </w:p>
          <w:p w14:paraId="0433DC6F">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（2）保存简便、室温操作，保质期1年以上。</w:t>
            </w:r>
          </w:p>
          <w:p w14:paraId="5F94257B">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2、检测技术要求：</w:t>
            </w:r>
          </w:p>
          <w:p w14:paraId="6AFBC562">
            <w:pPr>
              <w:pStyle w:val="133"/>
              <w:spacing w:line="360" w:lineRule="auto"/>
              <w:ind w:right="100"/>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sz w:val="21"/>
                <w:szCs w:val="21"/>
                <w:highlight w:val="none"/>
                <w:lang w:eastAsia="zh-CN"/>
              </w:rPr>
              <w:t xml:space="preserve">   </w:t>
            </w:r>
            <w:r>
              <w:rPr>
                <w:rFonts w:hint="eastAsia" w:ascii="宋体" w:hAnsi="宋体" w:eastAsia="宋体" w:cs="宋体"/>
                <w:color w:val="auto"/>
                <w:kern w:val="2"/>
                <w:sz w:val="21"/>
                <w:szCs w:val="21"/>
                <w:highlight w:val="none"/>
                <w:lang w:eastAsia="zh-CN"/>
              </w:rPr>
              <w:t xml:space="preserve">（1）各参数农残检测限完全匹配GB2763-2021和GB2763.1-2022食品中农药最大残留限量要求；假阴性率小于2%，假阳性率小于4%。             </w:t>
            </w:r>
          </w:p>
          <w:p w14:paraId="729AF204">
            <w:pPr>
              <w:pStyle w:val="133"/>
              <w:spacing w:line="360" w:lineRule="auto"/>
              <w:ind w:right="100"/>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lang w:eastAsia="zh-CN"/>
              </w:rPr>
              <w:t>▲（2）胶体金检测卡本身具有质量控制对照线并附有专属二维码（不可贴标、需喷码；可用于检测时扫码识别统计及追溯）及产品名称、品牌信息；（初次报价时提供产品说明书或承诺函）；</w:t>
            </w:r>
          </w:p>
          <w:p w14:paraId="0B5FE1C4">
            <w:pPr>
              <w:pStyle w:val="133"/>
              <w:spacing w:line="360" w:lineRule="auto"/>
              <w:ind w:right="100"/>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lang w:eastAsia="zh-CN"/>
              </w:rPr>
              <w:t>▲（3）检测单个样品时，从样品前处理到结果判断 整个过程要求在20分钟内完成；</w:t>
            </w:r>
            <w:r>
              <w:rPr>
                <w:rFonts w:hint="eastAsia" w:ascii="宋体" w:hAnsi="宋体" w:eastAsia="宋体" w:cs="宋体"/>
                <w:color w:val="auto"/>
                <w:szCs w:val="21"/>
                <w:highlight w:val="none"/>
              </w:rPr>
              <w:t>判读结果时间：</w:t>
            </w:r>
            <w:r>
              <w:rPr>
                <w:rFonts w:hint="eastAsia" w:ascii="宋体" w:hAnsi="宋体" w:eastAsia="宋体" w:cs="宋体"/>
                <w:color w:val="auto"/>
                <w:szCs w:val="21"/>
                <w:highlight w:val="none"/>
                <w:lang w:val="en-US" w:eastAsia="zh-CN"/>
              </w:rPr>
              <w:t>5-8</w:t>
            </w:r>
            <w:r>
              <w:rPr>
                <w:rFonts w:hint="eastAsia" w:ascii="宋体" w:hAnsi="宋体" w:eastAsia="宋体" w:cs="宋体"/>
                <w:color w:val="auto"/>
                <w:szCs w:val="21"/>
                <w:highlight w:val="none"/>
              </w:rPr>
              <w:t>分钟内/条；</w:t>
            </w:r>
            <w:r>
              <w:rPr>
                <w:rFonts w:hint="eastAsia" w:ascii="宋体" w:hAnsi="宋体" w:eastAsia="宋体" w:cs="宋体"/>
                <w:color w:val="auto"/>
                <w:kern w:val="2"/>
                <w:sz w:val="21"/>
                <w:szCs w:val="21"/>
                <w:highlight w:val="none"/>
                <w:lang w:eastAsia="zh-CN"/>
              </w:rPr>
              <w:t>（提供产品说明书或承诺函）</w:t>
            </w:r>
          </w:p>
          <w:p w14:paraId="6877A92F">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（4）快速检测试纸条特异性强，与结构类似物交叉反应小。 </w:t>
            </w:r>
          </w:p>
          <w:p w14:paraId="1A9EAF96">
            <w:pPr>
              <w:pStyle w:val="133"/>
              <w:spacing w:line="360" w:lineRule="auto"/>
              <w:ind w:right="100" w:firstLine="420" w:firstLineChars="200"/>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lang w:eastAsia="zh-CN"/>
              </w:rPr>
              <w:t>（5）判读标准：以有无测试线为准，不需要设立 阴性、阳性对照，或采取检测线（T 线）与质量控 制线（C 线）颜色深浅对比进行判定；</w:t>
            </w:r>
          </w:p>
          <w:p w14:paraId="29477EEB">
            <w:pPr>
              <w:pStyle w:val="133"/>
              <w:spacing w:line="360" w:lineRule="auto"/>
              <w:ind w:right="172" w:firstLine="420" w:firstLineChars="200"/>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lang w:val="en-US" w:eastAsia="zh-CN"/>
              </w:rPr>
              <w:t>6</w:t>
            </w:r>
            <w:r>
              <w:rPr>
                <w:rFonts w:hint="eastAsia" w:ascii="宋体" w:hAnsi="宋体" w:eastAsia="宋体" w:cs="宋体"/>
                <w:color w:val="auto"/>
                <w:kern w:val="2"/>
                <w:sz w:val="21"/>
                <w:szCs w:val="21"/>
                <w:highlight w:val="none"/>
                <w:lang w:eastAsia="zh-CN"/>
              </w:rPr>
              <w:t>）检测结果稳定，在 30 分钟后结果仍不发生变化；</w:t>
            </w:r>
          </w:p>
          <w:p w14:paraId="4A72FBF5">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 xml:space="preserve">）胶体金试纸条检测结果通过移动终端（手机等）应用程序拍照自动判定，无需人工选择判读结果。 </w:t>
            </w:r>
          </w:p>
          <w:p w14:paraId="711EE85E">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 xml:space="preserve">）移动终端应用程序能够判读胶体金试纸条检测线（T线）和质控线（C线）的比值，即显示T/C值，并直接给出判定结果。  </w:t>
            </w:r>
          </w:p>
          <w:p w14:paraId="1AE8DD6E">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）判读数据通过移动终端（手机等）应用程序，对接至相关监管平台小程序，保证实时上传至指定的监管平台，确保数据安全有保证，只向客户指定的平台对接数据。</w:t>
            </w:r>
          </w:p>
          <w:p w14:paraId="30CC920C">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0</w:t>
            </w:r>
            <w:r>
              <w:rPr>
                <w:rFonts w:hint="eastAsia" w:ascii="宋体" w:hAnsi="宋体" w:eastAsia="宋体" w:cs="宋体"/>
                <w:color w:val="auto"/>
                <w:szCs w:val="21"/>
                <w:highlight w:val="none"/>
              </w:rPr>
              <w:t xml:space="preserve">）胶体金试纸条检测结果判读和图片上传实时同步进行，结果可追溯，不可篡改。 </w:t>
            </w:r>
          </w:p>
          <w:p w14:paraId="6B16632C">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 xml:space="preserve">）试纸条出厂前针对不同基质中的不同检测限要求，进行批批标定，确保质量稳定。 </w:t>
            </w:r>
          </w:p>
          <w:p w14:paraId="7E078A25">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 xml:space="preserve">）操作简便，按照试剂盒内说明书操作，即可获得检测结果，无需专业人员； </w:t>
            </w:r>
          </w:p>
          <w:p w14:paraId="703237F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）合适存储条件 4-30℃，保质期一年以上。</w:t>
            </w:r>
          </w:p>
        </w:tc>
      </w:tr>
      <w:tr w14:paraId="434681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8" w:hRule="atLeast"/>
        </w:trPr>
        <w:tc>
          <w:tcPr>
            <w:tcW w:w="489" w:type="dxa"/>
            <w:vAlign w:val="center"/>
          </w:tcPr>
          <w:p w14:paraId="7C0C1CEF">
            <w:pPr>
              <w:tabs>
                <w:tab w:val="left" w:pos="180"/>
                <w:tab w:val="left" w:pos="1620"/>
              </w:tabs>
              <w:spacing w:line="360" w:lineRule="auto"/>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D分标</w:t>
            </w:r>
          </w:p>
        </w:tc>
        <w:tc>
          <w:tcPr>
            <w:tcW w:w="1341" w:type="dxa"/>
            <w:vAlign w:val="center"/>
          </w:tcPr>
          <w:p w14:paraId="0D3D11DD">
            <w:pPr>
              <w:tabs>
                <w:tab w:val="left" w:pos="180"/>
                <w:tab w:val="left" w:pos="1620"/>
              </w:tabs>
              <w:spacing w:line="360" w:lineRule="auto"/>
              <w:jc w:val="center"/>
              <w:rPr>
                <w:rFonts w:hint="eastAsia" w:ascii="宋体" w:hAnsi="宋体" w:eastAsia="宋体" w:cs="宋体"/>
                <w:b/>
                <w:bCs/>
                <w:color w:val="auto"/>
                <w:szCs w:val="21"/>
                <w:highlight w:val="none"/>
              </w:rPr>
            </w:pPr>
            <w:r>
              <w:rPr>
                <w:rFonts w:hint="eastAsia" w:ascii="宋体" w:hAnsi="宋体" w:eastAsia="宋体" w:cs="宋体"/>
                <w:b/>
                <w:bCs/>
                <w:color w:val="auto"/>
                <w:kern w:val="0"/>
                <w:szCs w:val="21"/>
                <w:highlight w:val="none"/>
              </w:rPr>
              <w:t>豇豆等农产品胶体金快速检测试纸、仪器、设备及技术支持、培训</w:t>
            </w:r>
          </w:p>
        </w:tc>
        <w:tc>
          <w:tcPr>
            <w:tcW w:w="840" w:type="dxa"/>
            <w:gridSpan w:val="2"/>
            <w:vAlign w:val="center"/>
          </w:tcPr>
          <w:p w14:paraId="472082E9">
            <w:pPr>
              <w:tabs>
                <w:tab w:val="left" w:pos="180"/>
                <w:tab w:val="left" w:pos="1620"/>
              </w:tabs>
              <w:spacing w:line="360" w:lineRule="auto"/>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≥2.5万</w:t>
            </w:r>
          </w:p>
        </w:tc>
        <w:tc>
          <w:tcPr>
            <w:tcW w:w="780" w:type="dxa"/>
            <w:vAlign w:val="center"/>
          </w:tcPr>
          <w:p w14:paraId="77371EBC">
            <w:pPr>
              <w:tabs>
                <w:tab w:val="left" w:pos="180"/>
                <w:tab w:val="left" w:pos="1620"/>
              </w:tabs>
              <w:spacing w:line="360" w:lineRule="auto"/>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批次</w:t>
            </w:r>
          </w:p>
        </w:tc>
        <w:tc>
          <w:tcPr>
            <w:tcW w:w="6214" w:type="dxa"/>
            <w:vAlign w:val="center"/>
          </w:tcPr>
          <w:p w14:paraId="3B42FF05">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一、提供服务的内容</w:t>
            </w:r>
          </w:p>
          <w:p w14:paraId="0852AB23">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1、采购</w:t>
            </w:r>
            <w:r>
              <w:rPr>
                <w:rFonts w:hint="eastAsia" w:ascii="宋体" w:hAnsi="宋体" w:eastAsia="宋体" w:cs="宋体"/>
                <w:color w:val="auto"/>
                <w:kern w:val="0"/>
                <w:szCs w:val="21"/>
                <w:highlight w:val="none"/>
              </w:rPr>
              <w:t>豇豆等农产品</w:t>
            </w:r>
            <w:r>
              <w:rPr>
                <w:rFonts w:hint="eastAsia" w:ascii="宋体" w:hAnsi="宋体" w:eastAsia="宋体" w:cs="宋体"/>
                <w:color w:val="auto"/>
                <w:szCs w:val="21"/>
                <w:highlight w:val="none"/>
              </w:rPr>
              <w:t>胶体金快速检测服务2.5万批次，</w:t>
            </w:r>
            <w:r>
              <w:rPr>
                <w:rFonts w:hint="eastAsia" w:ascii="宋体" w:hAnsi="宋体" w:eastAsia="宋体" w:cs="宋体"/>
                <w:color w:val="auto"/>
                <w:kern w:val="0"/>
                <w:szCs w:val="21"/>
                <w:highlight w:val="none"/>
              </w:rPr>
              <w:t>每批次检测10个参数，需胶体金快速检测试纸共25万条；</w:t>
            </w:r>
            <w:r>
              <w:rPr>
                <w:rFonts w:hint="eastAsia" w:ascii="宋体" w:hAnsi="宋体" w:eastAsia="宋体" w:cs="宋体"/>
                <w:color w:val="auto"/>
                <w:szCs w:val="21"/>
                <w:highlight w:val="none"/>
              </w:rPr>
              <w:t>中标价格包含样品、试剂耗材、数据统计分析、技术培训、技术支持等所有相关费用。</w:t>
            </w:r>
          </w:p>
          <w:p w14:paraId="07C6D239">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负责面对豇豆等农产品主产品区域内（或委托方指定的生产区域）的相关县（市、区），以工作任务所要求的检测项目为基准，结合各县（市、区）的实际情况，发放试纸、耗材、仪器、设备并提供快检服务技术支持与培训。培训监管、技术服务人员熟练掌握快速检测仪器、试纸等，抽样制样要求、快速检测技术、结果判读、数据统计上传、阳性样品处置等工作，并提供检测操作、阳性样品定量复测等相应的技术支持。培训20场次以上，技术支持50次以上。</w:t>
            </w:r>
          </w:p>
          <w:p w14:paraId="4FC12794">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供应商需提供具有数据上传、统计分析和预警功能的仪器、信息平台或者APP，并对接、即时将检测结果统计上传到广西农产品质量安全监管与追溯信息平台，供采购人查阅、统计、输出快检结果、掌握质量安全风险状况。</w:t>
            </w:r>
          </w:p>
          <w:p w14:paraId="05D18C91">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4、信息平台或APP通过拍照即可完成检测结果录入，不得人工录入结果，确保检测记录准确不可篡改。</w:t>
            </w:r>
          </w:p>
          <w:p w14:paraId="2273A8CA">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二、快速检测试纸技术参数： </w:t>
            </w:r>
          </w:p>
          <w:p w14:paraId="2A8AA75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参数覆盖：倍硫磷、灭蝇胺、啶虫脒、噻虫嗪、噻虫胺、克百威（3-羟基克百威）、甲氨基阿维菌素苯甲酸盐、毒死蜱、灭多威、氟虫腈，共25万条。适用于豇豆检测，检测限量（倍硫磷检测限：0.05mg/kg；灭蝇胺检测限：0.5mg/kg；啶虫脒检测限：0.4mg/kg；噻虫嗪检测限：0.3mg/kg；噻虫胺检测限：0.01mg/kg；克百威（3-羟基克百威）检测限：0.02mg/kg；甲氨基阿维菌素苯甲酸盐检测限：0.2mg/kg；毒死蜱检测限：0.02mg/kg；灭多威检测限：0.2mg/kg；氟虫腈检测限：0.02mg/kg）。</w:t>
            </w:r>
          </w:p>
          <w:p w14:paraId="08516055">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（一）总体技术要求 </w:t>
            </w:r>
          </w:p>
          <w:p w14:paraId="6DE72C5F">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1、包装组成：</w:t>
            </w:r>
          </w:p>
          <w:p w14:paraId="54AB8DCF">
            <w:pPr>
              <w:pStyle w:val="133"/>
              <w:spacing w:before="2" w:line="360" w:lineRule="auto"/>
              <w:ind w:right="160"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w:t>
            </w:r>
            <w:r>
              <w:rPr>
                <w:rFonts w:hint="eastAsia" w:ascii="宋体" w:hAnsi="宋体" w:eastAsia="宋体" w:cs="宋体"/>
                <w:color w:val="auto"/>
                <w:kern w:val="2"/>
                <w:sz w:val="21"/>
                <w:szCs w:val="21"/>
                <w:highlight w:val="none"/>
                <w:lang w:eastAsia="zh-CN"/>
              </w:rPr>
              <w:t>密封包装，密封包装上应直接印有产品名称、生产厂家、品牌、商标、生产日期、有效期、注意事项、储存条件等相关信息；</w:t>
            </w:r>
          </w:p>
          <w:p w14:paraId="75ADE724">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（2）保存简便、室温操作，保质期1年以上。</w:t>
            </w:r>
          </w:p>
          <w:p w14:paraId="75768FAE">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2、检测技术要求：</w:t>
            </w:r>
          </w:p>
          <w:p w14:paraId="30C080CC">
            <w:pPr>
              <w:pStyle w:val="133"/>
              <w:spacing w:line="360" w:lineRule="auto"/>
              <w:ind w:right="100"/>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sz w:val="21"/>
                <w:szCs w:val="21"/>
                <w:highlight w:val="none"/>
                <w:lang w:eastAsia="zh-CN"/>
              </w:rPr>
              <w:t xml:space="preserve">   </w:t>
            </w:r>
            <w:r>
              <w:rPr>
                <w:rFonts w:hint="eastAsia" w:ascii="宋体" w:hAnsi="宋体" w:eastAsia="宋体" w:cs="宋体"/>
                <w:color w:val="auto"/>
                <w:kern w:val="2"/>
                <w:sz w:val="21"/>
                <w:szCs w:val="21"/>
                <w:highlight w:val="none"/>
                <w:lang w:eastAsia="zh-CN"/>
              </w:rPr>
              <w:t>（1）各参数农残检测限完全匹配GB2763-2021和GB2763.1-2022食品中农药最大残留限量要求；</w:t>
            </w:r>
          </w:p>
          <w:p w14:paraId="2D3ED461">
            <w:pPr>
              <w:pStyle w:val="133"/>
              <w:spacing w:line="360" w:lineRule="auto"/>
              <w:ind w:right="100"/>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lang w:eastAsia="zh-CN"/>
              </w:rPr>
              <w:t>▲（2）胶体金检测卡本身具有质量控制对照线并附有专属二维码（不可贴标、需喷码；可用于检测时扫码识别统计及追溯）及产品名称、品牌信息；（初次报价时提供产品说明书或承诺函）；</w:t>
            </w:r>
          </w:p>
          <w:p w14:paraId="5545D5F1">
            <w:pPr>
              <w:pStyle w:val="133"/>
              <w:spacing w:line="360" w:lineRule="auto"/>
              <w:ind w:right="100"/>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lang w:eastAsia="zh-CN"/>
              </w:rPr>
              <w:t>▲（3）检测单个样品时，从样品前处理到结果判断 整个过程要求在20分钟内完成；</w:t>
            </w:r>
            <w:r>
              <w:rPr>
                <w:rFonts w:hint="eastAsia" w:ascii="宋体" w:hAnsi="宋体" w:eastAsia="宋体" w:cs="宋体"/>
                <w:color w:val="auto"/>
                <w:szCs w:val="21"/>
                <w:highlight w:val="none"/>
              </w:rPr>
              <w:t>判读结果时间：</w:t>
            </w:r>
            <w:r>
              <w:rPr>
                <w:rFonts w:hint="eastAsia" w:ascii="宋体" w:hAnsi="宋体" w:eastAsia="宋体" w:cs="宋体"/>
                <w:color w:val="auto"/>
                <w:szCs w:val="21"/>
                <w:highlight w:val="none"/>
                <w:lang w:val="en-US" w:eastAsia="zh-CN"/>
              </w:rPr>
              <w:t>5-8</w:t>
            </w:r>
            <w:r>
              <w:rPr>
                <w:rFonts w:hint="eastAsia" w:ascii="宋体" w:hAnsi="宋体" w:eastAsia="宋体" w:cs="宋体"/>
                <w:color w:val="auto"/>
                <w:szCs w:val="21"/>
                <w:highlight w:val="none"/>
              </w:rPr>
              <w:t>分钟内/条；</w:t>
            </w:r>
            <w:r>
              <w:rPr>
                <w:rFonts w:hint="eastAsia" w:ascii="宋体" w:hAnsi="宋体" w:eastAsia="宋体" w:cs="宋体"/>
                <w:color w:val="auto"/>
                <w:kern w:val="2"/>
                <w:sz w:val="21"/>
                <w:szCs w:val="21"/>
                <w:highlight w:val="none"/>
                <w:lang w:eastAsia="zh-CN"/>
              </w:rPr>
              <w:t>（提供产品说明书或承诺函）</w:t>
            </w:r>
          </w:p>
          <w:p w14:paraId="40DD8A36">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（4）快速检测试纸条特异性强，与结构类似物交叉反应小。 </w:t>
            </w:r>
          </w:p>
          <w:p w14:paraId="0397DDAE">
            <w:pPr>
              <w:pStyle w:val="133"/>
              <w:spacing w:line="360" w:lineRule="auto"/>
              <w:ind w:right="100" w:firstLine="420" w:firstLineChars="200"/>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lang w:eastAsia="zh-CN"/>
              </w:rPr>
              <w:t>（5）判读标准：以有无测试线为准，不需要设立 阴性、阳性对照，或采取检测线（T 线）与质量控 制线（C 线）颜色深浅对比进行判定；</w:t>
            </w:r>
          </w:p>
          <w:p w14:paraId="208220D4">
            <w:pPr>
              <w:pStyle w:val="133"/>
              <w:spacing w:line="360" w:lineRule="auto"/>
              <w:ind w:right="172" w:firstLine="420" w:firstLineChars="200"/>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lang w:val="en-US" w:eastAsia="zh-CN"/>
              </w:rPr>
              <w:t>6</w:t>
            </w:r>
            <w:r>
              <w:rPr>
                <w:rFonts w:hint="eastAsia" w:ascii="宋体" w:hAnsi="宋体" w:eastAsia="宋体" w:cs="宋体"/>
                <w:color w:val="auto"/>
                <w:kern w:val="2"/>
                <w:sz w:val="21"/>
                <w:szCs w:val="21"/>
                <w:highlight w:val="none"/>
                <w:lang w:eastAsia="zh-CN"/>
              </w:rPr>
              <w:t>）检测结果稳定，在 30 分钟后结果仍不发生变化；</w:t>
            </w:r>
          </w:p>
          <w:p w14:paraId="2B6935FC">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 xml:space="preserve">）胶体金试纸条检测结果通过移动终端（手机等）应用程序拍照自动判定，无需人工选择判读结果。 </w:t>
            </w:r>
          </w:p>
          <w:p w14:paraId="28887093">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 xml:space="preserve">）移动终端应用程序能够判读胶体金试纸条检测线（T线）和质控线（C线）的比值，即显示T/C值，并直接给出判定结果。  </w:t>
            </w:r>
          </w:p>
          <w:p w14:paraId="0ABB2D81">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）判读数据通过移动终端（手机等）应用程序，对接至相关监管平台小程序，保证实时上传至指定的监管平台，确保数据安全有保证，只向客户指定的平台对接数据。</w:t>
            </w:r>
          </w:p>
          <w:p w14:paraId="23D39390">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0</w:t>
            </w:r>
            <w:r>
              <w:rPr>
                <w:rFonts w:hint="eastAsia" w:ascii="宋体" w:hAnsi="宋体" w:eastAsia="宋体" w:cs="宋体"/>
                <w:color w:val="auto"/>
                <w:szCs w:val="21"/>
                <w:highlight w:val="none"/>
              </w:rPr>
              <w:t xml:space="preserve">）胶体金试纸条检测结果判读和图片上传实时同步进行，结果可追溯，不可篡改。 </w:t>
            </w:r>
          </w:p>
          <w:p w14:paraId="34E302D8">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 xml:space="preserve">）试纸条出厂前针对不同基质中的不同检测限要求，进行批批标定，确保质量稳定。 </w:t>
            </w:r>
          </w:p>
          <w:p w14:paraId="663ADB09">
            <w:pPr>
              <w:widowControl/>
              <w:shd w:val="clear" w:color="auto" w:fill="FFFFFF"/>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 xml:space="preserve">）操作简便，按照试剂盒内说明书操作，即可获得检测结果，无需专业人员； </w:t>
            </w:r>
          </w:p>
          <w:p w14:paraId="6CC31C00">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）合适存储条件 4-30℃，保质期一年以上。</w:t>
            </w:r>
          </w:p>
        </w:tc>
      </w:tr>
      <w:tr w14:paraId="73BC255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664" w:type="dxa"/>
            <w:gridSpan w:val="6"/>
            <w:tcBorders>
              <w:top w:val="single" w:color="auto" w:sz="4" w:space="0"/>
              <w:left w:val="single" w:color="auto" w:sz="4" w:space="0"/>
              <w:bottom w:val="single" w:color="auto" w:sz="4" w:space="0"/>
              <w:right w:val="single" w:color="auto" w:sz="4" w:space="0"/>
            </w:tcBorders>
          </w:tcPr>
          <w:p w14:paraId="36638971">
            <w:pPr>
              <w:pStyle w:val="220"/>
              <w:tabs>
                <w:tab w:val="left" w:pos="1995"/>
                <w:tab w:val="left" w:pos="1996"/>
              </w:tabs>
              <w:spacing w:before="140" w:line="360" w:lineRule="auto"/>
              <w:ind w:firstLine="402"/>
              <w:rPr>
                <w:rFonts w:hint="eastAsia" w:ascii="宋体" w:hAnsi="宋体" w:eastAsia="宋体" w:cs="宋体"/>
                <w:color w:val="auto"/>
                <w:szCs w:val="21"/>
                <w:highlight w:val="none"/>
              </w:rPr>
            </w:pPr>
            <w:r>
              <w:rPr>
                <w:rFonts w:hint="eastAsia" w:ascii="宋体" w:hAnsi="宋体" w:eastAsia="宋体" w:cs="宋体"/>
                <w:b/>
                <w:bCs/>
                <w:color w:val="auto"/>
                <w:spacing w:val="-5"/>
                <w:szCs w:val="21"/>
                <w:highlight w:val="none"/>
              </w:rPr>
              <w:t>一、技术响应要求</w:t>
            </w:r>
          </w:p>
        </w:tc>
      </w:tr>
      <w:tr w14:paraId="714F1A4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09" w:hRule="atLeast"/>
        </w:trPr>
        <w:tc>
          <w:tcPr>
            <w:tcW w:w="9664" w:type="dxa"/>
            <w:gridSpan w:val="6"/>
            <w:tcBorders>
              <w:top w:val="single" w:color="auto" w:sz="4" w:space="0"/>
              <w:left w:val="single" w:color="auto" w:sz="4" w:space="0"/>
              <w:bottom w:val="single" w:color="auto" w:sz="4" w:space="0"/>
              <w:right w:val="single" w:color="auto" w:sz="4" w:space="0"/>
            </w:tcBorders>
          </w:tcPr>
          <w:p w14:paraId="4E714CA9">
            <w:pPr>
              <w:pStyle w:val="220"/>
              <w:tabs>
                <w:tab w:val="left" w:pos="1995"/>
                <w:tab w:val="left" w:pos="1996"/>
              </w:tabs>
              <w:spacing w:before="140" w:line="360" w:lineRule="auto"/>
              <w:ind w:firstLine="380"/>
              <w:rPr>
                <w:rFonts w:hint="eastAsia" w:ascii="宋体" w:hAnsi="宋体" w:eastAsia="宋体" w:cs="宋体"/>
                <w:color w:val="auto"/>
                <w:szCs w:val="21"/>
                <w:highlight w:val="none"/>
              </w:rPr>
            </w:pPr>
            <w:r>
              <w:rPr>
                <w:rFonts w:hint="eastAsia" w:ascii="宋体" w:hAnsi="宋体" w:eastAsia="宋体" w:cs="宋体"/>
                <w:color w:val="auto"/>
                <w:spacing w:val="-10"/>
                <w:szCs w:val="21"/>
                <w:highlight w:val="none"/>
              </w:rPr>
              <w:t>1.▲产品的假阴性率和假阳性率按</w:t>
            </w:r>
            <w:r>
              <w:rPr>
                <w:rFonts w:hint="eastAsia" w:ascii="宋体" w:hAnsi="宋体" w:eastAsia="宋体" w:cs="宋体"/>
                <w:color w:val="auto"/>
                <w:highlight w:val="none"/>
              </w:rPr>
              <w:t>《农药残留胶体金免疫层析定性快速检测产品评价及性能验证规范》（NY/T 2715-2025）规定的程序进行产品评价和性能验证，</w:t>
            </w:r>
            <w:r>
              <w:rPr>
                <w:rFonts w:hint="eastAsia" w:ascii="宋体" w:hAnsi="宋体" w:eastAsia="宋体" w:cs="宋体"/>
                <w:color w:val="auto"/>
                <w:spacing w:val="-3"/>
                <w:szCs w:val="21"/>
                <w:highlight w:val="none"/>
              </w:rPr>
              <w:t>评价判定指标</w:t>
            </w:r>
            <w:r>
              <w:rPr>
                <w:rFonts w:hint="eastAsia" w:ascii="宋体" w:hAnsi="宋体" w:eastAsia="宋体" w:cs="宋体"/>
                <w:color w:val="auto"/>
                <w:spacing w:val="-3"/>
                <w:szCs w:val="21"/>
                <w:highlight w:val="none"/>
                <w:lang w:val="en-US" w:eastAsia="zh-CN"/>
              </w:rPr>
              <w:t>标准</w:t>
            </w:r>
            <w:r>
              <w:rPr>
                <w:rFonts w:hint="eastAsia" w:ascii="宋体" w:hAnsi="宋体" w:eastAsia="宋体" w:cs="宋体"/>
                <w:color w:val="auto"/>
                <w:spacing w:val="-3"/>
                <w:szCs w:val="21"/>
                <w:highlight w:val="none"/>
              </w:rPr>
              <w:t>为全部满足空白样品检测假阳性率应小于等于4%，</w:t>
            </w:r>
            <w:r>
              <w:rPr>
                <w:rFonts w:hint="eastAsia" w:ascii="宋体" w:hAnsi="宋体" w:eastAsia="宋体" w:cs="宋体"/>
                <w:color w:val="auto"/>
                <w:spacing w:val="-5"/>
                <w:szCs w:val="21"/>
                <w:highlight w:val="none"/>
              </w:rPr>
              <w:t>按照农药残留最大残留限量添加水平下的样品</w:t>
            </w:r>
            <w:r>
              <w:rPr>
                <w:rFonts w:hint="eastAsia" w:ascii="宋体" w:hAnsi="宋体" w:eastAsia="宋体" w:cs="宋体"/>
                <w:color w:val="auto"/>
                <w:spacing w:val="-4"/>
                <w:szCs w:val="21"/>
                <w:highlight w:val="none"/>
              </w:rPr>
              <w:t>检测假阴性率应小于等于</w:t>
            </w:r>
            <w:r>
              <w:rPr>
                <w:rFonts w:hint="eastAsia" w:ascii="宋体" w:hAnsi="宋体" w:eastAsia="宋体" w:cs="宋体"/>
                <w:color w:val="auto"/>
                <w:szCs w:val="21"/>
                <w:highlight w:val="none"/>
              </w:rPr>
              <w:t>2</w:t>
            </w:r>
            <w:r>
              <w:rPr>
                <w:rFonts w:hint="eastAsia" w:ascii="宋体" w:hAnsi="宋体" w:eastAsia="宋体" w:cs="宋体"/>
                <w:color w:val="auto"/>
                <w:spacing w:val="-2"/>
                <w:szCs w:val="21"/>
                <w:highlight w:val="none"/>
              </w:rPr>
              <w:t>%，检测</w:t>
            </w:r>
            <w:r>
              <w:rPr>
                <w:rFonts w:hint="eastAsia" w:ascii="宋体" w:hAnsi="宋体" w:eastAsia="宋体" w:cs="宋体"/>
                <w:color w:val="auto"/>
                <w:szCs w:val="21"/>
                <w:highlight w:val="none"/>
              </w:rPr>
              <w:t>2</w:t>
            </w:r>
            <w:r>
              <w:rPr>
                <w:rFonts w:hint="eastAsia" w:ascii="宋体" w:hAnsi="宋体" w:eastAsia="宋体" w:cs="宋体"/>
                <w:color w:val="auto"/>
                <w:spacing w:val="-3"/>
                <w:szCs w:val="21"/>
                <w:highlight w:val="none"/>
              </w:rPr>
              <w:t>倍农药残留最大残留限量添加</w:t>
            </w:r>
            <w:r>
              <w:rPr>
                <w:rFonts w:hint="eastAsia" w:ascii="宋体" w:hAnsi="宋体" w:eastAsia="宋体" w:cs="宋体"/>
                <w:color w:val="auto"/>
                <w:spacing w:val="-13"/>
                <w:szCs w:val="21"/>
                <w:highlight w:val="none"/>
              </w:rPr>
              <w:t>水平的样品时不得有假阴性结果。</w:t>
            </w:r>
            <w:r>
              <w:rPr>
                <w:rFonts w:hint="eastAsia" w:ascii="宋体" w:hAnsi="宋体" w:eastAsia="宋体" w:cs="宋体"/>
                <w:color w:val="auto"/>
                <w:szCs w:val="21"/>
                <w:highlight w:val="none"/>
              </w:rPr>
              <w:t>（</w:t>
            </w:r>
            <w:r>
              <w:rPr>
                <w:rFonts w:hint="eastAsia" w:ascii="宋体" w:hAnsi="宋体" w:eastAsia="宋体" w:cs="宋体"/>
                <w:color w:val="auto"/>
                <w:spacing w:val="-3"/>
                <w:szCs w:val="21"/>
                <w:highlight w:val="none"/>
              </w:rPr>
              <w:t>提供承诺函，格式自拟</w:t>
            </w:r>
            <w:r>
              <w:rPr>
                <w:rFonts w:hint="eastAsia" w:ascii="宋体" w:hAnsi="宋体" w:eastAsia="宋体" w:cs="宋体"/>
                <w:color w:val="auto"/>
                <w:szCs w:val="21"/>
                <w:highlight w:val="none"/>
              </w:rPr>
              <w:t>）</w:t>
            </w:r>
          </w:p>
          <w:p w14:paraId="702897B1">
            <w:pPr>
              <w:pStyle w:val="220"/>
              <w:tabs>
                <w:tab w:val="left" w:pos="1995"/>
                <w:tab w:val="left" w:pos="1996"/>
              </w:tabs>
              <w:spacing w:before="140"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pacing w:val="-3"/>
                <w:szCs w:val="21"/>
                <w:highlight w:val="none"/>
              </w:rPr>
              <w:t>需要提供判读服务：供应商应提供胶</w:t>
            </w:r>
            <w:r>
              <w:rPr>
                <w:rFonts w:hint="eastAsia" w:ascii="宋体" w:hAnsi="宋体" w:eastAsia="宋体" w:cs="宋体"/>
                <w:color w:val="auto"/>
                <w:spacing w:val="-7"/>
                <w:szCs w:val="21"/>
                <w:highlight w:val="none"/>
              </w:rPr>
              <w:t>体金试剂条(卡)检测结果判读服务</w:t>
            </w:r>
            <w:r>
              <w:rPr>
                <w:rFonts w:hint="eastAsia" w:ascii="宋体" w:hAnsi="宋体" w:eastAsia="宋体" w:cs="宋体"/>
                <w:color w:val="auto"/>
                <w:spacing w:val="-3"/>
                <w:szCs w:val="21"/>
                <w:highlight w:val="none"/>
              </w:rPr>
              <w:t>（</w:t>
            </w:r>
            <w:r>
              <w:rPr>
                <w:rFonts w:hint="eastAsia" w:ascii="宋体" w:hAnsi="宋体" w:eastAsia="宋体" w:cs="宋体"/>
                <w:color w:val="auto"/>
                <w:spacing w:val="-2"/>
                <w:szCs w:val="21"/>
                <w:highlight w:val="none"/>
              </w:rPr>
              <w:t>系统软件</w:t>
            </w:r>
            <w:r>
              <w:rPr>
                <w:rFonts w:hint="eastAsia" w:ascii="宋体" w:hAnsi="宋体" w:eastAsia="宋体" w:cs="宋体"/>
                <w:color w:val="auto"/>
                <w:spacing w:val="-100"/>
                <w:szCs w:val="21"/>
                <w:highlight w:val="none"/>
              </w:rPr>
              <w:t>）</w:t>
            </w:r>
            <w:r>
              <w:rPr>
                <w:rFonts w:hint="eastAsia" w:ascii="宋体" w:hAnsi="宋体" w:eastAsia="宋体" w:cs="宋体"/>
                <w:color w:val="auto"/>
                <w:spacing w:val="-13"/>
                <w:szCs w:val="21"/>
                <w:highlight w:val="none"/>
              </w:rPr>
              <w:t>，</w:t>
            </w:r>
            <w:r>
              <w:rPr>
                <w:rFonts w:hint="eastAsia" w:ascii="宋体" w:hAnsi="宋体" w:eastAsia="宋体" w:cs="宋体"/>
                <w:color w:val="auto"/>
                <w:szCs w:val="21"/>
                <w:highlight w:val="none"/>
              </w:rPr>
              <w:t>数据格式应符合监管系统的要求，确保数据能够被系统准确识别和处理。数据内容应包括但不限于检测项目名称、检测样品编号、检测时间、判读结果（阳性/阴性/无效等）、检测人员信息等关键信息。</w:t>
            </w:r>
            <w:r>
              <w:rPr>
                <w:rFonts w:hint="eastAsia" w:ascii="宋体" w:hAnsi="宋体" w:eastAsia="宋体" w:cs="宋体"/>
                <w:color w:val="auto"/>
                <w:spacing w:val="-13"/>
                <w:szCs w:val="21"/>
                <w:highlight w:val="none"/>
              </w:rPr>
              <w:t>判读系统能自动汇总全区检测快检数据</w:t>
            </w:r>
            <w:r>
              <w:rPr>
                <w:rFonts w:hint="eastAsia" w:ascii="宋体" w:hAnsi="宋体" w:eastAsia="宋体" w:cs="宋体"/>
                <w:color w:val="auto"/>
                <w:spacing w:val="-17"/>
                <w:szCs w:val="21"/>
                <w:highlight w:val="none"/>
              </w:rPr>
              <w:t>。</w:t>
            </w:r>
            <w:r>
              <w:rPr>
                <w:rFonts w:hint="eastAsia" w:ascii="宋体" w:hAnsi="宋体" w:eastAsia="宋体" w:cs="宋体"/>
                <w:color w:val="auto"/>
                <w:szCs w:val="21"/>
                <w:highlight w:val="none"/>
              </w:rPr>
              <w:t>（</w:t>
            </w:r>
            <w:r>
              <w:rPr>
                <w:rFonts w:hint="eastAsia" w:ascii="宋体" w:hAnsi="宋体" w:eastAsia="宋体" w:cs="宋体"/>
                <w:color w:val="auto"/>
                <w:spacing w:val="-3"/>
                <w:szCs w:val="21"/>
                <w:highlight w:val="none"/>
              </w:rPr>
              <w:t>提供承诺函，格式自拟</w:t>
            </w:r>
            <w:r>
              <w:rPr>
                <w:rFonts w:hint="eastAsia" w:ascii="宋体" w:hAnsi="宋体" w:eastAsia="宋体" w:cs="宋体"/>
                <w:color w:val="auto"/>
                <w:szCs w:val="21"/>
                <w:highlight w:val="none"/>
              </w:rPr>
              <w:t>）</w:t>
            </w:r>
          </w:p>
          <w:p w14:paraId="7F1E8EA5">
            <w:pPr>
              <w:pStyle w:val="220"/>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上传的供应商应建立数据审核机制，在数据上传前对判读结果进行再次核对，确保上传数据的真实性、有效性。如因供应商原因导致数据上传错误或延误，供应商应承担相应的责任，并及时采取措施进行纠正。</w:t>
            </w:r>
          </w:p>
          <w:p w14:paraId="23A5E5D6">
            <w:pPr>
              <w:pStyle w:val="220"/>
              <w:tabs>
                <w:tab w:val="left" w:pos="1929"/>
              </w:tabs>
              <w:spacing w:line="360" w:lineRule="auto"/>
              <w:ind w:firstLine="404"/>
              <w:rPr>
                <w:rFonts w:hint="eastAsia" w:ascii="宋体" w:hAnsi="宋体" w:eastAsia="宋体" w:cs="宋体"/>
                <w:color w:val="auto"/>
                <w:szCs w:val="21"/>
                <w:highlight w:val="none"/>
              </w:rPr>
            </w:pPr>
            <w:r>
              <w:rPr>
                <w:rFonts w:hint="eastAsia" w:ascii="宋体" w:hAnsi="宋体" w:eastAsia="宋体" w:cs="宋体"/>
                <w:color w:val="auto"/>
                <w:spacing w:val="-4"/>
                <w:szCs w:val="21"/>
                <w:highlight w:val="none"/>
              </w:rPr>
              <w:t>4.</w:t>
            </w:r>
            <w:r>
              <w:rPr>
                <w:rFonts w:hint="eastAsia" w:ascii="宋体" w:hAnsi="宋体" w:eastAsia="宋体" w:cs="宋体"/>
                <w:color w:val="auto"/>
                <w:spacing w:val="-10"/>
                <w:szCs w:val="21"/>
                <w:highlight w:val="none"/>
              </w:rPr>
              <w:t xml:space="preserve"> ▲</w:t>
            </w:r>
            <w:r>
              <w:rPr>
                <w:rFonts w:hint="eastAsia" w:ascii="宋体" w:hAnsi="宋体" w:eastAsia="宋体" w:cs="宋体"/>
                <w:color w:val="auto"/>
                <w:spacing w:val="-4"/>
                <w:szCs w:val="21"/>
                <w:highlight w:val="none"/>
              </w:rPr>
              <w:t>一个样品1次拍照完成</w:t>
            </w:r>
            <w:r>
              <w:rPr>
                <w:rFonts w:hint="eastAsia" w:ascii="宋体" w:hAnsi="宋体" w:eastAsia="宋体" w:cs="宋体"/>
                <w:color w:val="auto"/>
                <w:spacing w:val="-4"/>
                <w:szCs w:val="21"/>
                <w:highlight w:val="none"/>
                <w:lang w:val="en-US" w:eastAsia="zh-CN"/>
              </w:rPr>
              <w:t>5</w:t>
            </w:r>
            <w:r>
              <w:rPr>
                <w:rFonts w:hint="eastAsia" w:ascii="宋体" w:hAnsi="宋体" w:eastAsia="宋体" w:cs="宋体"/>
                <w:color w:val="auto"/>
                <w:spacing w:val="-4"/>
                <w:szCs w:val="21"/>
                <w:highlight w:val="none"/>
              </w:rPr>
              <w:t>-</w:t>
            </w:r>
            <w:r>
              <w:rPr>
                <w:rFonts w:hint="eastAsia" w:ascii="宋体" w:hAnsi="宋体" w:eastAsia="宋体" w:cs="宋体"/>
                <w:color w:val="auto"/>
                <w:szCs w:val="21"/>
                <w:highlight w:val="none"/>
              </w:rPr>
              <w:t>10</w:t>
            </w:r>
            <w:r>
              <w:rPr>
                <w:rFonts w:hint="eastAsia" w:ascii="宋体" w:hAnsi="宋体" w:eastAsia="宋体" w:cs="宋体"/>
                <w:color w:val="auto"/>
                <w:spacing w:val="-3"/>
                <w:szCs w:val="21"/>
                <w:highlight w:val="none"/>
              </w:rPr>
              <w:t>条试纸条（</w:t>
            </w:r>
            <w:r>
              <w:rPr>
                <w:rFonts w:hint="eastAsia" w:ascii="宋体" w:hAnsi="宋体" w:eastAsia="宋体" w:cs="宋体"/>
                <w:color w:val="auto"/>
                <w:szCs w:val="21"/>
                <w:highlight w:val="none"/>
              </w:rPr>
              <w:t>卡）判读</w:t>
            </w:r>
            <w:r>
              <w:rPr>
                <w:rFonts w:hint="eastAsia" w:ascii="宋体" w:hAnsi="宋体" w:eastAsia="宋体" w:cs="宋体"/>
                <w:color w:val="auto"/>
                <w:spacing w:val="-48"/>
                <w:szCs w:val="21"/>
                <w:highlight w:val="none"/>
              </w:rPr>
              <w:t>。</w:t>
            </w:r>
            <w:r>
              <w:rPr>
                <w:rFonts w:hint="eastAsia" w:ascii="宋体" w:hAnsi="宋体" w:eastAsia="宋体" w:cs="宋体"/>
                <w:color w:val="auto"/>
                <w:szCs w:val="21"/>
                <w:highlight w:val="none"/>
              </w:rPr>
              <w:t>（</w:t>
            </w:r>
            <w:r>
              <w:rPr>
                <w:rFonts w:hint="eastAsia" w:ascii="宋体" w:hAnsi="宋体" w:eastAsia="宋体" w:cs="宋体"/>
                <w:color w:val="auto"/>
                <w:spacing w:val="-3"/>
                <w:szCs w:val="21"/>
                <w:highlight w:val="none"/>
              </w:rPr>
              <w:t>提供承诺函，格式自拟</w:t>
            </w:r>
            <w:r>
              <w:rPr>
                <w:rFonts w:hint="eastAsia" w:ascii="宋体" w:hAnsi="宋体" w:eastAsia="宋体" w:cs="宋体"/>
                <w:color w:val="auto"/>
                <w:szCs w:val="21"/>
                <w:highlight w:val="none"/>
              </w:rPr>
              <w:t>）</w:t>
            </w:r>
          </w:p>
          <w:p w14:paraId="1A225EDF">
            <w:pPr>
              <w:pStyle w:val="220"/>
              <w:tabs>
                <w:tab w:val="left" w:pos="1996"/>
              </w:tabs>
              <w:spacing w:line="360" w:lineRule="auto"/>
              <w:ind w:firstLine="408"/>
              <w:rPr>
                <w:rFonts w:hint="eastAsia" w:ascii="宋体" w:hAnsi="宋体" w:eastAsia="宋体" w:cs="宋体"/>
                <w:color w:val="auto"/>
                <w:spacing w:val="-3"/>
                <w:szCs w:val="21"/>
                <w:highlight w:val="none"/>
              </w:rPr>
            </w:pPr>
            <w:r>
              <w:rPr>
                <w:rFonts w:hint="eastAsia" w:ascii="宋体" w:hAnsi="宋体" w:eastAsia="宋体" w:cs="宋体"/>
                <w:color w:val="auto"/>
                <w:spacing w:val="-3"/>
                <w:szCs w:val="21"/>
                <w:highlight w:val="none"/>
              </w:rPr>
              <w:t>5.供应商提供的产品不得低于采购产品的技术标准和档次，且需列出详细技术参数响应表。供应商应对技术参数进行逐条响应，若未进行逐条响应，评标委员会将做出不利于供应商的评审。</w:t>
            </w:r>
          </w:p>
          <w:p w14:paraId="20BF6EA3">
            <w:pPr>
              <w:spacing w:before="17" w:line="360" w:lineRule="auto"/>
              <w:ind w:firstLine="408" w:firstLineChars="200"/>
              <w:rPr>
                <w:rFonts w:hint="eastAsia" w:ascii="宋体" w:hAnsi="宋体" w:eastAsia="宋体" w:cs="宋体"/>
                <w:color w:val="auto"/>
                <w:szCs w:val="21"/>
                <w:highlight w:val="none"/>
              </w:rPr>
            </w:pPr>
            <w:r>
              <w:rPr>
                <w:rFonts w:hint="eastAsia" w:ascii="宋体" w:hAnsi="宋体" w:eastAsia="宋体" w:cs="宋体"/>
                <w:color w:val="auto"/>
                <w:spacing w:val="-3"/>
                <w:szCs w:val="21"/>
                <w:highlight w:val="none"/>
              </w:rPr>
              <w:t>6.供应商应保证提供的产品必须是全新、未使用的，在国家</w:t>
            </w:r>
            <w:r>
              <w:rPr>
                <w:rFonts w:hint="eastAsia" w:ascii="宋体" w:hAnsi="宋体" w:eastAsia="宋体" w:cs="宋体"/>
                <w:color w:val="auto"/>
                <w:szCs w:val="21"/>
                <w:highlight w:val="none"/>
              </w:rPr>
              <w:t>标准规定的有效使用期限内应具有良好的性能。</w:t>
            </w:r>
          </w:p>
          <w:p w14:paraId="2FE6D9F0">
            <w:pPr>
              <w:pStyle w:val="220"/>
              <w:tabs>
                <w:tab w:val="left" w:pos="1926"/>
              </w:tabs>
              <w:spacing w:line="360" w:lineRule="auto"/>
              <w:ind w:firstLine="404"/>
              <w:rPr>
                <w:rFonts w:hint="eastAsia" w:ascii="宋体" w:hAnsi="宋体" w:eastAsia="宋体" w:cs="宋体"/>
                <w:color w:val="auto"/>
                <w:szCs w:val="21"/>
                <w:highlight w:val="none"/>
              </w:rPr>
            </w:pPr>
            <w:r>
              <w:rPr>
                <w:rFonts w:hint="eastAsia" w:ascii="宋体" w:hAnsi="宋体" w:eastAsia="宋体" w:cs="宋体"/>
                <w:color w:val="auto"/>
                <w:spacing w:val="-4"/>
                <w:szCs w:val="21"/>
                <w:highlight w:val="none"/>
              </w:rPr>
              <w:t>7.</w:t>
            </w:r>
            <w:r>
              <w:rPr>
                <w:rFonts w:hint="eastAsia" w:ascii="宋体" w:hAnsi="宋体" w:eastAsia="宋体" w:cs="宋体"/>
                <w:color w:val="auto"/>
                <w:szCs w:val="21"/>
                <w:highlight w:val="none"/>
              </w:rPr>
              <w:t xml:space="preserve"> ▲</w:t>
            </w:r>
            <w:r>
              <w:rPr>
                <w:rFonts w:hint="eastAsia" w:ascii="宋体" w:hAnsi="宋体" w:eastAsia="宋体" w:cs="宋体"/>
                <w:color w:val="auto"/>
                <w:spacing w:val="-4"/>
                <w:szCs w:val="21"/>
                <w:highlight w:val="none"/>
              </w:rPr>
              <w:t>产品为套装形式，</w:t>
            </w:r>
            <w:r>
              <w:rPr>
                <w:rFonts w:hint="eastAsia" w:ascii="宋体" w:hAnsi="宋体" w:eastAsia="宋体" w:cs="宋体"/>
                <w:color w:val="auto"/>
                <w:spacing w:val="-3"/>
                <w:szCs w:val="21"/>
                <w:highlight w:val="none"/>
              </w:rPr>
              <w:t>每盒农药残留检测套装内应配套与胶体金试纸条</w:t>
            </w:r>
            <w:r>
              <w:rPr>
                <w:rFonts w:hint="eastAsia" w:ascii="宋体" w:hAnsi="宋体" w:eastAsia="宋体" w:cs="宋体"/>
                <w:color w:val="auto"/>
                <w:szCs w:val="21"/>
                <w:highlight w:val="none"/>
              </w:rPr>
              <w:t>（</w:t>
            </w:r>
            <w:r>
              <w:rPr>
                <w:rFonts w:hint="eastAsia" w:ascii="宋体" w:hAnsi="宋体" w:eastAsia="宋体" w:cs="宋体"/>
                <w:color w:val="auto"/>
                <w:spacing w:val="-3"/>
                <w:szCs w:val="21"/>
                <w:highlight w:val="none"/>
              </w:rPr>
              <w:t>卡）匹配的耗材</w:t>
            </w:r>
            <w:r>
              <w:rPr>
                <w:rFonts w:hint="eastAsia" w:ascii="宋体" w:hAnsi="宋体" w:eastAsia="宋体" w:cs="宋体"/>
                <w:color w:val="auto"/>
                <w:spacing w:val="-19"/>
                <w:szCs w:val="21"/>
                <w:highlight w:val="none"/>
              </w:rPr>
              <w:t>（</w:t>
            </w:r>
            <w:r>
              <w:rPr>
                <w:rFonts w:hint="eastAsia" w:ascii="宋体" w:hAnsi="宋体" w:eastAsia="宋体" w:cs="宋体"/>
                <w:color w:val="auto"/>
                <w:spacing w:val="-4"/>
                <w:szCs w:val="21"/>
                <w:highlight w:val="none"/>
              </w:rPr>
              <w:t>其中提取液种类仅1</w:t>
            </w:r>
            <w:r>
              <w:rPr>
                <w:rFonts w:hint="eastAsia" w:ascii="宋体" w:hAnsi="宋体" w:eastAsia="宋体" w:cs="宋体"/>
                <w:color w:val="auto"/>
                <w:spacing w:val="-4"/>
                <w:szCs w:val="21"/>
                <w:highlight w:val="none"/>
                <w:lang w:val="en-US" w:eastAsia="zh-CN"/>
              </w:rPr>
              <w:t>-2</w:t>
            </w:r>
            <w:r>
              <w:rPr>
                <w:rFonts w:hint="eastAsia" w:ascii="宋体" w:hAnsi="宋体" w:eastAsia="宋体" w:cs="宋体"/>
                <w:color w:val="auto"/>
                <w:spacing w:val="-4"/>
                <w:szCs w:val="21"/>
                <w:highlight w:val="none"/>
              </w:rPr>
              <w:t>种</w:t>
            </w:r>
            <w:r>
              <w:rPr>
                <w:rFonts w:hint="eastAsia" w:ascii="宋体" w:hAnsi="宋体" w:eastAsia="宋体" w:cs="宋体"/>
                <w:color w:val="auto"/>
                <w:szCs w:val="21"/>
                <w:highlight w:val="none"/>
              </w:rPr>
              <w:t>），相应</w:t>
            </w:r>
            <w:r>
              <w:rPr>
                <w:rFonts w:hint="eastAsia" w:ascii="宋体" w:hAnsi="宋体" w:eastAsia="宋体" w:cs="宋体"/>
                <w:color w:val="auto"/>
                <w:spacing w:val="-3"/>
                <w:szCs w:val="21"/>
                <w:highlight w:val="none"/>
              </w:rPr>
              <w:t>数目的称样管、提取液吸管等，</w:t>
            </w:r>
            <w:r>
              <w:rPr>
                <w:rFonts w:hint="eastAsia" w:ascii="宋体" w:hAnsi="宋体" w:eastAsia="宋体" w:cs="宋体"/>
                <w:color w:val="auto"/>
                <w:szCs w:val="21"/>
                <w:highlight w:val="none"/>
              </w:rPr>
              <w:t>1份使用说明书</w:t>
            </w:r>
            <w:r>
              <w:rPr>
                <w:rFonts w:hint="eastAsia" w:ascii="宋体" w:hAnsi="宋体" w:eastAsia="宋体" w:cs="宋体"/>
                <w:color w:val="auto"/>
                <w:spacing w:val="-21"/>
                <w:szCs w:val="21"/>
                <w:highlight w:val="none"/>
              </w:rPr>
              <w:t>。</w:t>
            </w:r>
            <w:r>
              <w:rPr>
                <w:rFonts w:hint="eastAsia" w:ascii="宋体" w:hAnsi="宋体" w:eastAsia="宋体" w:cs="宋体"/>
                <w:color w:val="auto"/>
                <w:szCs w:val="21"/>
                <w:highlight w:val="none"/>
              </w:rPr>
              <w:t>（</w:t>
            </w:r>
            <w:r>
              <w:rPr>
                <w:rFonts w:hint="eastAsia" w:ascii="宋体" w:hAnsi="宋体" w:eastAsia="宋体" w:cs="宋体"/>
                <w:color w:val="auto"/>
                <w:spacing w:val="-3"/>
                <w:szCs w:val="21"/>
                <w:highlight w:val="none"/>
              </w:rPr>
              <w:t>提供承诺函，</w:t>
            </w:r>
            <w:r>
              <w:rPr>
                <w:rFonts w:hint="eastAsia" w:ascii="宋体" w:hAnsi="宋体" w:eastAsia="宋体" w:cs="宋体"/>
                <w:color w:val="auto"/>
                <w:spacing w:val="-2"/>
                <w:szCs w:val="21"/>
                <w:highlight w:val="none"/>
              </w:rPr>
              <w:t>格式自拟</w:t>
            </w:r>
            <w:r>
              <w:rPr>
                <w:rFonts w:hint="eastAsia" w:ascii="宋体" w:hAnsi="宋体" w:eastAsia="宋体" w:cs="宋体"/>
                <w:color w:val="auto"/>
                <w:szCs w:val="21"/>
                <w:highlight w:val="none"/>
              </w:rPr>
              <w:t>）</w:t>
            </w:r>
          </w:p>
          <w:p w14:paraId="68B1133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8.▲</w:t>
            </w:r>
            <w:r>
              <w:rPr>
                <w:rFonts w:hint="eastAsia" w:ascii="宋体" w:hAnsi="宋体" w:eastAsia="宋体" w:cs="宋体"/>
                <w:color w:val="auto"/>
                <w:spacing w:val="-3"/>
                <w:szCs w:val="21"/>
                <w:highlight w:val="none"/>
              </w:rPr>
              <w:t>供应商应在投标文件中提供</w:t>
            </w:r>
            <w:r>
              <w:rPr>
                <w:rFonts w:hint="eastAsia" w:ascii="宋体" w:hAnsi="宋体" w:eastAsia="宋体" w:cs="宋体"/>
                <w:color w:val="auto"/>
                <w:spacing w:val="-3"/>
                <w:szCs w:val="21"/>
                <w:highlight w:val="none"/>
                <w:lang w:val="en-US" w:eastAsia="zh-CN"/>
              </w:rPr>
              <w:t>加盖产品生产商公章的销售授权书和</w:t>
            </w:r>
            <w:r>
              <w:rPr>
                <w:rFonts w:hint="eastAsia" w:ascii="宋体" w:hAnsi="宋体" w:eastAsia="宋体" w:cs="宋体"/>
                <w:color w:val="auto"/>
                <w:spacing w:val="-3"/>
                <w:szCs w:val="21"/>
                <w:highlight w:val="none"/>
              </w:rPr>
              <w:t>能证明其所投产品符合国家标</w:t>
            </w:r>
            <w:r>
              <w:rPr>
                <w:rFonts w:hint="eastAsia" w:ascii="宋体" w:hAnsi="宋体" w:eastAsia="宋体" w:cs="宋体"/>
                <w:color w:val="auto"/>
                <w:spacing w:val="-15"/>
                <w:szCs w:val="21"/>
                <w:highlight w:val="none"/>
              </w:rPr>
              <w:t>准的相关证明文件</w:t>
            </w:r>
            <w:r>
              <w:rPr>
                <w:rFonts w:hint="eastAsia" w:ascii="宋体" w:hAnsi="宋体" w:eastAsia="宋体" w:cs="宋体"/>
                <w:color w:val="auto"/>
                <w:spacing w:val="-3"/>
                <w:szCs w:val="21"/>
                <w:highlight w:val="none"/>
              </w:rPr>
              <w:t>（如</w:t>
            </w:r>
            <w:r>
              <w:rPr>
                <w:rFonts w:hint="eastAsia" w:ascii="宋体" w:hAnsi="宋体" w:eastAsia="宋体" w:cs="宋体"/>
                <w:color w:val="auto"/>
                <w:spacing w:val="-3"/>
                <w:szCs w:val="21"/>
                <w:highlight w:val="none"/>
                <w:lang w:eastAsia="zh-CN"/>
              </w:rPr>
              <w:t>政府主管部门或下属机构</w:t>
            </w:r>
            <w:r>
              <w:rPr>
                <w:rFonts w:hint="eastAsia" w:ascii="宋体" w:hAnsi="宋体" w:eastAsia="宋体" w:cs="宋体"/>
                <w:color w:val="auto"/>
                <w:spacing w:val="-3"/>
                <w:szCs w:val="21"/>
                <w:highlight w:val="none"/>
              </w:rPr>
              <w:t>提供的产品评价报告或相关通报文件</w:t>
            </w:r>
            <w:r>
              <w:rPr>
                <w:rFonts w:hint="eastAsia" w:ascii="宋体" w:hAnsi="宋体" w:eastAsia="宋体" w:cs="宋体"/>
                <w:color w:val="auto"/>
                <w:spacing w:val="-142"/>
                <w:szCs w:val="21"/>
                <w:highlight w:val="none"/>
              </w:rPr>
              <w:t>）</w:t>
            </w:r>
          </w:p>
        </w:tc>
      </w:tr>
      <w:tr w14:paraId="0485F4D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664" w:type="dxa"/>
            <w:gridSpan w:val="6"/>
            <w:tcBorders>
              <w:top w:val="single" w:color="auto" w:sz="4" w:space="0"/>
              <w:left w:val="single" w:color="auto" w:sz="4" w:space="0"/>
              <w:bottom w:val="single" w:color="auto" w:sz="4" w:space="0"/>
              <w:right w:val="single" w:color="auto" w:sz="4" w:space="0"/>
            </w:tcBorders>
          </w:tcPr>
          <w:p w14:paraId="0EE4F7CD">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二、商务条款</w:t>
            </w:r>
          </w:p>
        </w:tc>
      </w:tr>
      <w:tr w14:paraId="2A8A0F3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322" w:type="dxa"/>
            <w:gridSpan w:val="3"/>
            <w:tcBorders>
              <w:top w:val="single" w:color="auto" w:sz="4" w:space="0"/>
              <w:left w:val="single" w:color="auto" w:sz="4" w:space="0"/>
              <w:bottom w:val="single" w:color="auto" w:sz="4" w:space="0"/>
              <w:right w:val="single" w:color="auto" w:sz="4" w:space="0"/>
            </w:tcBorders>
          </w:tcPr>
          <w:p w14:paraId="06D24792">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▲验收标准</w:t>
            </w:r>
          </w:p>
        </w:tc>
        <w:tc>
          <w:tcPr>
            <w:tcW w:w="7342" w:type="dxa"/>
            <w:gridSpan w:val="3"/>
            <w:tcBorders>
              <w:top w:val="single" w:color="auto" w:sz="4" w:space="0"/>
              <w:left w:val="single" w:color="auto" w:sz="4" w:space="0"/>
              <w:bottom w:val="single" w:color="auto" w:sz="4" w:space="0"/>
              <w:right w:val="single" w:color="auto" w:sz="4" w:space="0"/>
            </w:tcBorders>
          </w:tcPr>
          <w:p w14:paraId="155A93B8">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执行的国家标准、行业标准、地方标准或者其他标准、规范，及本文件“第二章  采购需求”规定的要求。</w:t>
            </w:r>
          </w:p>
        </w:tc>
      </w:tr>
      <w:tr w14:paraId="5FE8329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2322" w:type="dxa"/>
            <w:gridSpan w:val="3"/>
            <w:tcBorders>
              <w:top w:val="single" w:color="auto" w:sz="4" w:space="0"/>
              <w:left w:val="single" w:color="auto" w:sz="4" w:space="0"/>
              <w:bottom w:val="single" w:color="auto" w:sz="4" w:space="0"/>
              <w:right w:val="single" w:color="auto" w:sz="4" w:space="0"/>
            </w:tcBorders>
          </w:tcPr>
          <w:p w14:paraId="267367FC">
            <w:pPr>
              <w:spacing w:line="360" w:lineRule="auto"/>
              <w:jc w:val="center"/>
              <w:rPr>
                <w:rFonts w:hint="eastAsia" w:ascii="宋体" w:hAnsi="宋体" w:eastAsia="宋体" w:cs="宋体"/>
                <w:color w:val="auto"/>
                <w:szCs w:val="21"/>
                <w:highlight w:val="none"/>
              </w:rPr>
            </w:pPr>
          </w:p>
          <w:p w14:paraId="2913A3D9">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▲验收要求</w:t>
            </w:r>
          </w:p>
        </w:tc>
        <w:tc>
          <w:tcPr>
            <w:tcW w:w="7342" w:type="dxa"/>
            <w:gridSpan w:val="3"/>
            <w:tcBorders>
              <w:top w:val="single" w:color="auto" w:sz="4" w:space="0"/>
              <w:left w:val="single" w:color="auto" w:sz="4" w:space="0"/>
              <w:bottom w:val="single" w:color="auto" w:sz="4" w:space="0"/>
              <w:right w:val="single" w:color="auto" w:sz="4" w:space="0"/>
            </w:tcBorders>
          </w:tcPr>
          <w:p w14:paraId="72312AD1">
            <w:pPr>
              <w:tabs>
                <w:tab w:val="left" w:pos="180"/>
                <w:tab w:val="left" w:pos="1620"/>
              </w:tabs>
              <w:spacing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1.项目验收：在项目结束后进行。</w:t>
            </w:r>
          </w:p>
          <w:p w14:paraId="66A2AE80">
            <w:pPr>
              <w:tabs>
                <w:tab w:val="left" w:pos="180"/>
                <w:tab w:val="left" w:pos="1620"/>
              </w:tabs>
              <w:spacing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2.验收标准：按国家相关标准、行业标准、地方标准或者其他标准、规范，及本文件“第二章  采购需求”规定的要求。</w:t>
            </w:r>
          </w:p>
          <w:p w14:paraId="15154D2A">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3.验收过程中所产生的一切费用均由中标供应商承担，及本文件“第二章  采购需求”规定的要求。报价时应考虑相关费用。</w:t>
            </w:r>
          </w:p>
          <w:p w14:paraId="337445B3">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4.中标供应商在项目验收时由采购单位或采购单位委托的第三方验收小组对照招标文件及投标文件中的“采购需求”并结合工作方案进行验收，</w:t>
            </w:r>
            <w:r>
              <w:rPr>
                <w:rFonts w:hint="eastAsia" w:ascii="宋体" w:hAnsi="宋体" w:eastAsia="宋体" w:cs="宋体"/>
                <w:color w:val="auto"/>
                <w:kern w:val="0"/>
                <w:szCs w:val="21"/>
                <w:highlight w:val="none"/>
              </w:rPr>
              <w:t>对中标人履约情况进行评定，达到考核标准后无息退还履约保证金。若中标供应商未达到考评标准，将扣除履约保证金。</w:t>
            </w:r>
          </w:p>
        </w:tc>
      </w:tr>
      <w:tr w14:paraId="716C9EA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322" w:type="dxa"/>
            <w:gridSpan w:val="3"/>
            <w:tcBorders>
              <w:top w:val="single" w:color="auto" w:sz="4" w:space="0"/>
              <w:left w:val="single" w:color="auto" w:sz="4" w:space="0"/>
              <w:bottom w:val="single" w:color="auto" w:sz="4" w:space="0"/>
              <w:right w:val="single" w:color="auto" w:sz="4" w:space="0"/>
            </w:tcBorders>
            <w:vAlign w:val="center"/>
          </w:tcPr>
          <w:p w14:paraId="24101EED">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▲合同签订期</w:t>
            </w:r>
          </w:p>
        </w:tc>
        <w:tc>
          <w:tcPr>
            <w:tcW w:w="7342" w:type="dxa"/>
            <w:gridSpan w:val="3"/>
            <w:tcBorders>
              <w:top w:val="single" w:color="auto" w:sz="4" w:space="0"/>
              <w:left w:val="single" w:color="auto" w:sz="4" w:space="0"/>
              <w:bottom w:val="single" w:color="auto" w:sz="4" w:space="0"/>
              <w:right w:val="single" w:color="auto" w:sz="4" w:space="0"/>
            </w:tcBorders>
            <w:vAlign w:val="center"/>
          </w:tcPr>
          <w:p w14:paraId="5C10668C">
            <w:pPr>
              <w:spacing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自中标通知书发出之日起25日内。</w:t>
            </w:r>
          </w:p>
        </w:tc>
      </w:tr>
      <w:tr w14:paraId="7C64639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2322" w:type="dxa"/>
            <w:gridSpan w:val="3"/>
            <w:tcBorders>
              <w:top w:val="single" w:color="auto" w:sz="4" w:space="0"/>
              <w:left w:val="single" w:color="auto" w:sz="4" w:space="0"/>
              <w:bottom w:val="single" w:color="auto" w:sz="4" w:space="0"/>
              <w:right w:val="single" w:color="auto" w:sz="4" w:space="0"/>
            </w:tcBorders>
            <w:vAlign w:val="center"/>
          </w:tcPr>
          <w:p w14:paraId="0F1C4318">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▲服务期限及服务地点</w:t>
            </w:r>
          </w:p>
        </w:tc>
        <w:tc>
          <w:tcPr>
            <w:tcW w:w="7342" w:type="dxa"/>
            <w:gridSpan w:val="3"/>
            <w:tcBorders>
              <w:top w:val="single" w:color="auto" w:sz="4" w:space="0"/>
              <w:left w:val="single" w:color="auto" w:sz="4" w:space="0"/>
              <w:bottom w:val="single" w:color="auto" w:sz="4" w:space="0"/>
              <w:right w:val="single" w:color="auto" w:sz="4" w:space="0"/>
            </w:tcBorders>
          </w:tcPr>
          <w:p w14:paraId="7DF80957">
            <w:pPr>
              <w:spacing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服务期限：自合同签订之日起一年内；</w:t>
            </w:r>
          </w:p>
          <w:p w14:paraId="2A8E5B98">
            <w:pPr>
              <w:spacing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服务地点：广西14个市及所属的各县（市、区），具体在签订合同后另行约定。</w:t>
            </w:r>
          </w:p>
        </w:tc>
      </w:tr>
      <w:tr w14:paraId="49E7103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2322" w:type="dxa"/>
            <w:gridSpan w:val="3"/>
            <w:tcBorders>
              <w:top w:val="single" w:color="auto" w:sz="4" w:space="0"/>
              <w:left w:val="single" w:color="auto" w:sz="4" w:space="0"/>
              <w:bottom w:val="single" w:color="auto" w:sz="4" w:space="0"/>
              <w:right w:val="single" w:color="auto" w:sz="4" w:space="0"/>
            </w:tcBorders>
            <w:vAlign w:val="center"/>
          </w:tcPr>
          <w:p w14:paraId="7CD3DA8D">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▲投标报价</w:t>
            </w:r>
          </w:p>
        </w:tc>
        <w:tc>
          <w:tcPr>
            <w:tcW w:w="7342" w:type="dxa"/>
            <w:gridSpan w:val="3"/>
            <w:tcBorders>
              <w:top w:val="single" w:color="auto" w:sz="4" w:space="0"/>
              <w:left w:val="single" w:color="auto" w:sz="4" w:space="0"/>
              <w:bottom w:val="single" w:color="auto" w:sz="4" w:space="0"/>
              <w:right w:val="single" w:color="auto" w:sz="4" w:space="0"/>
            </w:tcBorders>
          </w:tcPr>
          <w:p w14:paraId="237DE57E">
            <w:pPr>
              <w:spacing w:line="360" w:lineRule="auto"/>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投标报价为采购人指定地点的现场交货价，包括：</w:t>
            </w:r>
          </w:p>
          <w:p w14:paraId="1641D331">
            <w:pPr>
              <w:spacing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（1）货物的价格：包括货款、验收费（含检定、校准费等）；</w:t>
            </w:r>
          </w:p>
          <w:p w14:paraId="0A2C031D">
            <w:pPr>
              <w:spacing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（2）货物的标准附件、备品备件、专用工具的价格；</w:t>
            </w:r>
          </w:p>
          <w:p w14:paraId="759FBFEB">
            <w:pPr>
              <w:spacing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（3）运输、装卸、售后服务费；</w:t>
            </w:r>
          </w:p>
          <w:p w14:paraId="0C78EAA4">
            <w:pPr>
              <w:spacing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（4）投标报价包含本次检测项目所需要的所有费用、招标代理服务费、保险费、验收费用和各项税金；</w:t>
            </w:r>
          </w:p>
          <w:p w14:paraId="0FF64881">
            <w:pPr>
              <w:tabs>
                <w:tab w:val="left" w:pos="180"/>
                <w:tab w:val="left" w:pos="1620"/>
              </w:tabs>
              <w:spacing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（5）技术支持、宣传培训、驻点检测、信息平台对接及其相关工作开展需要的其他费用；所检测样品的抽样、制备和各项检测指标的费用。</w:t>
            </w:r>
          </w:p>
          <w:p w14:paraId="0CBD011B">
            <w:pPr>
              <w:pStyle w:val="194"/>
              <w:spacing w:line="360" w:lineRule="auto"/>
              <w:ind w:left="0" w:leftChars="0" w:firstLine="0" w:firstLineChars="0"/>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lang w:val="en-US" w:eastAsia="zh-CN"/>
              </w:rPr>
              <w:t>（6）投标人投标时必须按照单价进行报价，A 、B、C、D分标产品快速检测服务单价最高限价为100元/批次。</w:t>
            </w:r>
          </w:p>
          <w:p w14:paraId="149415F5">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（7）供应商自行考虑完成项目所需的人力、物力等，投标报价中应包含全部内容，中标后采购人不再另行支付额外费用。</w:t>
            </w:r>
          </w:p>
        </w:tc>
      </w:tr>
      <w:tr w14:paraId="2EE193E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2322" w:type="dxa"/>
            <w:gridSpan w:val="3"/>
            <w:tcBorders>
              <w:top w:val="single" w:color="auto" w:sz="4" w:space="0"/>
              <w:left w:val="single" w:color="auto" w:sz="4" w:space="0"/>
              <w:bottom w:val="single" w:color="auto" w:sz="4" w:space="0"/>
              <w:right w:val="single" w:color="auto" w:sz="4" w:space="0"/>
            </w:tcBorders>
            <w:vAlign w:val="center"/>
          </w:tcPr>
          <w:p w14:paraId="0D884AE0">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▲付款方式</w:t>
            </w:r>
          </w:p>
        </w:tc>
        <w:tc>
          <w:tcPr>
            <w:tcW w:w="7342" w:type="dxa"/>
            <w:gridSpan w:val="3"/>
            <w:tcBorders>
              <w:top w:val="single" w:color="auto" w:sz="4" w:space="0"/>
              <w:left w:val="single" w:color="auto" w:sz="4" w:space="0"/>
              <w:bottom w:val="single" w:color="auto" w:sz="4" w:space="0"/>
              <w:right w:val="single" w:color="auto" w:sz="4" w:space="0"/>
            </w:tcBorders>
          </w:tcPr>
          <w:p w14:paraId="263E77C1">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在合同、担保措施生效及具备实施条件后十个工作日内付合同金额的30%，（供应商属于中小企业的按照50%），供应商按照实际检测需求提供快速检测试纸、仪器、设备及技术支持和培训等服务，提供50%的货物及服务后支付合同金额的65%（供应商属于中小企业的按照45%），项目整体验收通过后支付合同金额的5%。</w:t>
            </w:r>
          </w:p>
          <w:p w14:paraId="47E1F8BF">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2.每次付款前由中标供应商向采购人提出付款申请，并开具合法有效的发票后支付合同款。</w:t>
            </w:r>
          </w:p>
          <w:p w14:paraId="4EDFAF54">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如未按国家要求开具全额发票或发现中标供应商提供虚假发票，除须向采购人补开合法发票外，须赔偿采购人发票票面金额一倍的违约金，且采购人有权终止合同，供应商不得提出异议，因终止合同而产生的一切损失均由供应商承担。</w:t>
            </w:r>
          </w:p>
        </w:tc>
      </w:tr>
      <w:tr w14:paraId="0ED646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2322" w:type="dxa"/>
            <w:gridSpan w:val="3"/>
            <w:tcBorders>
              <w:top w:val="single" w:color="auto" w:sz="4" w:space="0"/>
              <w:left w:val="single" w:color="auto" w:sz="4" w:space="0"/>
              <w:bottom w:val="single" w:color="auto" w:sz="4" w:space="0"/>
              <w:right w:val="single" w:color="auto" w:sz="4" w:space="0"/>
            </w:tcBorders>
            <w:vAlign w:val="center"/>
          </w:tcPr>
          <w:p w14:paraId="0557AB37">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▲服务要求</w:t>
            </w:r>
          </w:p>
        </w:tc>
        <w:tc>
          <w:tcPr>
            <w:tcW w:w="7342" w:type="dxa"/>
            <w:gridSpan w:val="3"/>
            <w:tcBorders>
              <w:top w:val="single" w:color="auto" w:sz="4" w:space="0"/>
              <w:left w:val="single" w:color="auto" w:sz="4" w:space="0"/>
              <w:bottom w:val="single" w:color="auto" w:sz="4" w:space="0"/>
              <w:right w:val="single" w:color="auto" w:sz="4" w:space="0"/>
            </w:tcBorders>
          </w:tcPr>
          <w:p w14:paraId="25560E9F">
            <w:pPr>
              <w:pStyle w:val="220"/>
              <w:tabs>
                <w:tab w:val="left" w:pos="1996"/>
              </w:tabs>
              <w:spacing w:line="360" w:lineRule="auto"/>
              <w:ind w:firstLine="408"/>
              <w:rPr>
                <w:rFonts w:hint="eastAsia" w:ascii="宋体" w:hAnsi="宋体" w:eastAsia="宋体" w:cs="宋体"/>
                <w:color w:val="auto"/>
                <w:spacing w:val="-3"/>
                <w:szCs w:val="21"/>
                <w:highlight w:val="none"/>
              </w:rPr>
            </w:pPr>
            <w:r>
              <w:rPr>
                <w:rFonts w:hint="eastAsia" w:ascii="宋体" w:hAnsi="宋体" w:eastAsia="宋体" w:cs="宋体"/>
                <w:color w:val="auto"/>
                <w:spacing w:val="-3"/>
                <w:szCs w:val="21"/>
                <w:highlight w:val="none"/>
              </w:rPr>
              <w:t>1、供应商应具备完善的售后服务体系，在自治区内具有固定的维</w:t>
            </w:r>
            <w:r>
              <w:rPr>
                <w:rFonts w:hint="eastAsia" w:ascii="宋体" w:hAnsi="宋体" w:eastAsia="宋体" w:cs="宋体"/>
                <w:color w:val="auto"/>
                <w:spacing w:val="-8"/>
                <w:szCs w:val="21"/>
                <w:highlight w:val="none"/>
              </w:rPr>
              <w:t>护人员并有能力及时处理所有可能发生的故障；外省供应商应委托本</w:t>
            </w:r>
            <w:r>
              <w:rPr>
                <w:rFonts w:hint="eastAsia" w:ascii="宋体" w:hAnsi="宋体" w:eastAsia="宋体" w:cs="宋体"/>
                <w:color w:val="auto"/>
                <w:spacing w:val="-7"/>
                <w:szCs w:val="21"/>
                <w:highlight w:val="none"/>
              </w:rPr>
              <w:t>自治区有固定地点的维护人员及时处理所有可能发生的故障。</w:t>
            </w:r>
          </w:p>
          <w:p w14:paraId="218C924F">
            <w:pPr>
              <w:pStyle w:val="220"/>
              <w:tabs>
                <w:tab w:val="left" w:pos="1929"/>
              </w:tabs>
              <w:spacing w:line="360" w:lineRule="auto"/>
              <w:ind w:firstLine="376"/>
              <w:rPr>
                <w:rFonts w:hint="eastAsia" w:ascii="宋体" w:hAnsi="宋体" w:eastAsia="宋体" w:cs="宋体"/>
                <w:color w:val="auto"/>
                <w:szCs w:val="21"/>
                <w:highlight w:val="none"/>
              </w:rPr>
            </w:pPr>
            <w:r>
              <w:rPr>
                <w:rFonts w:hint="eastAsia" w:ascii="宋体" w:hAnsi="宋体" w:eastAsia="宋体" w:cs="宋体"/>
                <w:color w:val="auto"/>
                <w:spacing w:val="-11"/>
                <w:szCs w:val="21"/>
                <w:highlight w:val="none"/>
              </w:rPr>
              <w:t>2</w:t>
            </w:r>
            <w:r>
              <w:rPr>
                <w:rFonts w:hint="eastAsia" w:ascii="宋体" w:hAnsi="宋体" w:eastAsia="宋体" w:cs="宋体"/>
                <w:color w:val="auto"/>
                <w:spacing w:val="-11"/>
                <w:szCs w:val="21"/>
                <w:highlight w:val="none"/>
                <w:lang w:val="en-US" w:eastAsia="zh-CN"/>
              </w:rPr>
              <w:t>.</w:t>
            </w:r>
            <w:r>
              <w:rPr>
                <w:rFonts w:hint="eastAsia" w:ascii="宋体" w:hAnsi="宋体" w:eastAsia="宋体" w:cs="宋体"/>
                <w:color w:val="auto"/>
                <w:spacing w:val="-11"/>
                <w:szCs w:val="21"/>
                <w:highlight w:val="none"/>
              </w:rPr>
              <w:t>在保质期以内，供应商应根据国家最新版食品中农药最大</w:t>
            </w:r>
            <w:r>
              <w:rPr>
                <w:rFonts w:hint="eastAsia" w:ascii="宋体" w:hAnsi="宋体" w:eastAsia="宋体" w:cs="宋体"/>
                <w:color w:val="auto"/>
                <w:spacing w:val="-10"/>
                <w:szCs w:val="21"/>
                <w:highlight w:val="none"/>
              </w:rPr>
              <w:t>残留限量值变化，提供包括不仅限于样本前处理的技术调整。</w:t>
            </w:r>
            <w:r>
              <w:rPr>
                <w:rFonts w:hint="eastAsia" w:ascii="宋体" w:hAnsi="宋体" w:eastAsia="宋体" w:cs="宋体"/>
                <w:color w:val="auto"/>
                <w:szCs w:val="21"/>
                <w:highlight w:val="none"/>
              </w:rPr>
              <w:t>（</w:t>
            </w:r>
            <w:r>
              <w:rPr>
                <w:rFonts w:hint="eastAsia" w:ascii="宋体" w:hAnsi="宋体" w:eastAsia="宋体" w:cs="宋体"/>
                <w:color w:val="auto"/>
                <w:spacing w:val="-2"/>
                <w:szCs w:val="21"/>
                <w:highlight w:val="none"/>
              </w:rPr>
              <w:t>提供承诺函</w:t>
            </w:r>
            <w:r>
              <w:rPr>
                <w:rFonts w:hint="eastAsia" w:ascii="宋体" w:hAnsi="宋体" w:eastAsia="宋体" w:cs="宋体"/>
                <w:color w:val="auto"/>
                <w:szCs w:val="21"/>
                <w:highlight w:val="none"/>
              </w:rPr>
              <w:t>）</w:t>
            </w:r>
          </w:p>
          <w:p w14:paraId="52CBB9D5">
            <w:pPr>
              <w:pStyle w:val="220"/>
              <w:tabs>
                <w:tab w:val="left" w:pos="1996"/>
              </w:tabs>
              <w:spacing w:line="360" w:lineRule="auto"/>
              <w:ind w:firstLine="408"/>
              <w:rPr>
                <w:rFonts w:hint="eastAsia" w:ascii="宋体" w:hAnsi="宋体" w:eastAsia="宋体" w:cs="宋体"/>
                <w:color w:val="auto"/>
                <w:spacing w:val="-3"/>
                <w:szCs w:val="21"/>
                <w:highlight w:val="none"/>
              </w:rPr>
            </w:pPr>
            <w:r>
              <w:rPr>
                <w:rFonts w:hint="eastAsia" w:ascii="宋体" w:hAnsi="宋体" w:eastAsia="宋体" w:cs="宋体"/>
                <w:color w:val="auto"/>
                <w:spacing w:val="-3"/>
                <w:szCs w:val="21"/>
                <w:highlight w:val="none"/>
                <w:lang w:val="en-US" w:eastAsia="zh-CN"/>
              </w:rPr>
              <w:t>3.</w:t>
            </w:r>
            <w:r>
              <w:rPr>
                <w:rFonts w:hint="eastAsia" w:ascii="宋体" w:hAnsi="宋体" w:eastAsia="宋体" w:cs="宋体"/>
                <w:color w:val="auto"/>
                <w:spacing w:val="-3"/>
                <w:szCs w:val="21"/>
                <w:highlight w:val="none"/>
              </w:rPr>
              <w:t>除投标文件明确外，中标人不得以任何方式转包或分包本项目，同一包须为同一个厂家、同一个品牌的产品。（提供承诺函）</w:t>
            </w:r>
          </w:p>
          <w:p w14:paraId="36A4DA2E">
            <w:pPr>
              <w:pStyle w:val="133"/>
              <w:widowControl/>
              <w:spacing w:before="76" w:line="360" w:lineRule="auto"/>
              <w:ind w:firstLine="420" w:firstLineChars="200"/>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lang w:eastAsia="zh-CN"/>
              </w:rPr>
              <w:t>4.所提供的产品包括配件必须是厂家原包装全新正品，且产品有效使用期长（自接收到样品第二天计，以天计）应≥90%产品保质期长（以天计），否则不予验收。</w:t>
            </w:r>
          </w:p>
          <w:p w14:paraId="1E260D18">
            <w:pPr>
              <w:pStyle w:val="133"/>
              <w:widowControl/>
              <w:spacing w:before="76" w:line="360" w:lineRule="auto"/>
              <w:ind w:firstLine="420" w:firstLineChars="200"/>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lang w:eastAsia="zh-CN"/>
              </w:rPr>
              <w:t>5.接到采购人质量问题报告，1小时内响应，4小时内到达现场，24小时内排除问题，如在规定时间内无法排除，提供备品备件，保证采购人正常工作需要。</w:t>
            </w:r>
          </w:p>
          <w:p w14:paraId="1E2B2A32">
            <w:pPr>
              <w:pStyle w:val="133"/>
              <w:widowControl/>
              <w:spacing w:before="76" w:line="360" w:lineRule="auto"/>
              <w:ind w:firstLine="420" w:firstLineChars="200"/>
              <w:rPr>
                <w:rFonts w:hint="eastAsia" w:ascii="宋体" w:hAnsi="宋体" w:eastAsia="宋体" w:cs="宋体"/>
                <w:b/>
                <w:bCs/>
                <w:color w:val="auto"/>
                <w:kern w:val="2"/>
                <w:sz w:val="21"/>
                <w:szCs w:val="21"/>
                <w:highlight w:val="none"/>
                <w:lang w:eastAsia="zh-CN"/>
              </w:rPr>
            </w:pPr>
            <w:r>
              <w:rPr>
                <w:rFonts w:hint="eastAsia" w:ascii="宋体" w:hAnsi="宋体" w:eastAsia="宋体" w:cs="宋体"/>
                <w:color w:val="auto"/>
                <w:kern w:val="2"/>
                <w:sz w:val="21"/>
                <w:szCs w:val="21"/>
                <w:highlight w:val="none"/>
                <w:lang w:eastAsia="zh-CN"/>
              </w:rPr>
              <w:t>6.在项目实施过程中，中标人须提供中标产品数量的5%用于进行产品评价和性能验证实验，验证产品随机抽取，由采购人指定部级农检机构参照《农药残留胶体金免疫层析定性快速检测产品评价及性能验证规范》（NY/T 2715-2025）规定的程序进行产品评价及性能验证，样品基质为豇豆等果蔬类，评价判定指标为空白样品检测假阳性率应小于等于4%，按照农药残留最大残留限量添加水平下的样品检测假阴性率应小于等于2%，检测2倍农药残留最大残留限量添加水平的样品时不得有假阴性结果。全部满足该评价判定指标要求时为“通过”，否则为“不通过”。产品评价为不通过时，中标人须提供抽取产品数量的50倍产品赔偿。</w:t>
            </w:r>
          </w:p>
          <w:p w14:paraId="5970D784">
            <w:pPr>
              <w:pStyle w:val="133"/>
              <w:widowControl/>
              <w:spacing w:before="76" w:line="360" w:lineRule="auto"/>
              <w:ind w:firstLine="420" w:firstLineChars="200"/>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lang w:eastAsia="zh-CN"/>
              </w:rPr>
              <w:t>7.检测结果归采购人所有，中标人必须对一切检测数据和检测技术资料保密，不得泄露给任何第三方，也不得将与样品有关的技术资料用于任何经营、开发及学术活动，否则，后果自负。</w:t>
            </w:r>
          </w:p>
          <w:p w14:paraId="3757666F">
            <w:pPr>
              <w:pStyle w:val="133"/>
              <w:widowControl/>
              <w:spacing w:before="76" w:line="360" w:lineRule="auto"/>
              <w:ind w:firstLine="420" w:firstLineChars="200"/>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lang w:eastAsia="zh-CN"/>
              </w:rPr>
              <w:t>8.中标人接受采购人不定期的电话、电子邮件以及现场检查等方式的督促和相关的质量控制，以保证检测服务工作的进度和质量。</w:t>
            </w:r>
          </w:p>
          <w:p w14:paraId="33906A7F">
            <w:pPr>
              <w:pStyle w:val="133"/>
              <w:widowControl/>
              <w:spacing w:before="76" w:line="360" w:lineRule="auto"/>
              <w:ind w:firstLine="420" w:firstLineChars="200"/>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lang w:eastAsia="zh-CN"/>
              </w:rPr>
              <w:t>9.中标人须按照采购人制定的工作实施方案内容开展工作，并定期汇报服务进度，项目结束提供合同期内工作开展情况及佐证材料。</w:t>
            </w:r>
          </w:p>
          <w:p w14:paraId="4CEED3B9">
            <w:pPr>
              <w:pStyle w:val="220"/>
              <w:tabs>
                <w:tab w:val="left" w:pos="1996"/>
              </w:tabs>
              <w:spacing w:line="360" w:lineRule="auto"/>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rPr>
              <w:t>10.服务方案：投标时，投标人需提供详细的实施、服务方案。</w:t>
            </w:r>
          </w:p>
        </w:tc>
      </w:tr>
      <w:tr w14:paraId="472AF0B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2322" w:type="dxa"/>
            <w:gridSpan w:val="3"/>
            <w:tcBorders>
              <w:top w:val="single" w:color="auto" w:sz="4" w:space="0"/>
              <w:left w:val="single" w:color="auto" w:sz="4" w:space="0"/>
              <w:bottom w:val="single" w:color="auto" w:sz="4" w:space="0"/>
              <w:right w:val="single" w:color="auto" w:sz="4" w:space="0"/>
            </w:tcBorders>
            <w:vAlign w:val="center"/>
          </w:tcPr>
          <w:p w14:paraId="210504BC">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▲售后服务期限</w:t>
            </w:r>
          </w:p>
        </w:tc>
        <w:tc>
          <w:tcPr>
            <w:tcW w:w="7342" w:type="dxa"/>
            <w:gridSpan w:val="3"/>
            <w:tcBorders>
              <w:top w:val="single" w:color="auto" w:sz="4" w:space="0"/>
              <w:left w:val="single" w:color="auto" w:sz="4" w:space="0"/>
              <w:bottom w:val="single" w:color="auto" w:sz="4" w:space="0"/>
              <w:right w:val="single" w:color="auto" w:sz="4" w:space="0"/>
            </w:tcBorders>
          </w:tcPr>
          <w:p w14:paraId="6271BABB">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质保期自验收合格之日起计算不少于一年，质保期内免费上门服务，质保期满后，以优惠价格提供服务。</w:t>
            </w:r>
          </w:p>
        </w:tc>
      </w:tr>
      <w:tr w14:paraId="741894D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2322" w:type="dxa"/>
            <w:gridSpan w:val="3"/>
            <w:tcBorders>
              <w:top w:val="single" w:color="auto" w:sz="4" w:space="0"/>
              <w:left w:val="single" w:color="auto" w:sz="4" w:space="0"/>
              <w:bottom w:val="single" w:color="auto" w:sz="4" w:space="0"/>
              <w:right w:val="single" w:color="auto" w:sz="4" w:space="0"/>
            </w:tcBorders>
            <w:vAlign w:val="center"/>
          </w:tcPr>
          <w:p w14:paraId="645B0F69">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▲其他要求</w:t>
            </w:r>
          </w:p>
        </w:tc>
        <w:tc>
          <w:tcPr>
            <w:tcW w:w="7342" w:type="dxa"/>
            <w:gridSpan w:val="3"/>
            <w:tcBorders>
              <w:top w:val="single" w:color="auto" w:sz="4" w:space="0"/>
              <w:left w:val="single" w:color="auto" w:sz="4" w:space="0"/>
              <w:bottom w:val="single" w:color="auto" w:sz="4" w:space="0"/>
              <w:right w:val="single" w:color="auto" w:sz="4" w:space="0"/>
            </w:tcBorders>
          </w:tcPr>
          <w:p w14:paraId="39CA591E">
            <w:pPr>
              <w:pStyle w:val="39"/>
              <w:snapToGrid/>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1.交货时，所有产品均严格按供应商响应和承诺的技术参数及性能和国家有关标准进行验收，达不到要求的不予验收，视为产品验收不合格。</w:t>
            </w:r>
          </w:p>
          <w:p w14:paraId="632361BE">
            <w:pPr>
              <w:pStyle w:val="39"/>
              <w:snapToGrid/>
              <w:spacing w:line="360" w:lineRule="auto"/>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2.按国家有关产品“三包”规定实行“三包”。</w:t>
            </w:r>
          </w:p>
          <w:p w14:paraId="7A123C7D">
            <w:pPr>
              <w:pStyle w:val="39"/>
              <w:snapToGrid/>
              <w:spacing w:line="360" w:lineRule="auto"/>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3.货物出现质量问题三个月内全免费上门包换或作退货处理。</w:t>
            </w:r>
          </w:p>
          <w:p w14:paraId="617FBA09">
            <w:pPr>
              <w:pStyle w:val="133"/>
              <w:tabs>
                <w:tab w:val="left" w:pos="319"/>
              </w:tabs>
              <w:spacing w:before="119"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4.投标产品应通过近三年</w:t>
            </w:r>
            <w:r>
              <w:rPr>
                <w:rFonts w:hint="eastAsia" w:ascii="宋体" w:hAnsi="宋体" w:cs="宋体"/>
                <w:color w:val="auto"/>
                <w:sz w:val="21"/>
                <w:szCs w:val="21"/>
                <w:highlight w:val="none"/>
                <w:lang w:val="en-US" w:eastAsia="zh-CN"/>
              </w:rPr>
              <w:t>内</w:t>
            </w:r>
            <w:r>
              <w:rPr>
                <w:rFonts w:hint="eastAsia" w:ascii="宋体" w:hAnsi="宋体" w:eastAsia="宋体" w:cs="宋体"/>
                <w:color w:val="auto"/>
                <w:sz w:val="21"/>
                <w:szCs w:val="21"/>
                <w:highlight w:val="none"/>
                <w:lang w:eastAsia="zh-CN"/>
              </w:rPr>
              <w:t>省级及省级以上检测机构组织的农产品/水产品药物残留快速检测验证，未验证的参数需提供相应的试验验证材料。（在响应文件中提供证明资料和相关汇总表（包括但不限于验证产品名称、验证药物残留参数、样品基质、限量标准、评价判定依据、评价验证结果、评价验证结论、评价验证年度，评价验证机构等信息），并加盖公章）。</w:t>
            </w:r>
          </w:p>
        </w:tc>
      </w:tr>
    </w:tbl>
    <w:p w14:paraId="22AC62D7">
      <w:pPr>
        <w:pStyle w:val="161"/>
        <w:jc w:val="left"/>
        <w:rPr>
          <w:rFonts w:hint="eastAsia" w:ascii="宋体" w:hAnsi="宋体" w:cs="宋体"/>
          <w:color w:val="auto"/>
          <w:highlight w:val="none"/>
        </w:rPr>
      </w:pPr>
    </w:p>
    <w:p w14:paraId="74029BBB">
      <w:pPr>
        <w:pStyle w:val="161"/>
        <w:rPr>
          <w:rFonts w:hint="eastAsia" w:ascii="宋体" w:hAnsi="宋体" w:cs="宋体"/>
          <w:color w:val="auto"/>
          <w:highlight w:val="none"/>
        </w:rPr>
      </w:pPr>
    </w:p>
    <w:p w14:paraId="06C51D68">
      <w:pPr>
        <w:rPr>
          <w:rFonts w:hint="eastAsia" w:ascii="宋体" w:hAnsi="宋体" w:cs="宋体"/>
          <w:b/>
          <w:bCs/>
          <w:color w:val="auto"/>
          <w:sz w:val="24"/>
          <w:highlight w:val="none"/>
        </w:rPr>
      </w:pPr>
      <w:r>
        <w:rPr>
          <w:rFonts w:hint="eastAsia" w:ascii="宋体" w:hAnsi="宋体" w:cs="宋体"/>
          <w:b/>
          <w:bCs/>
          <w:color w:val="auto"/>
          <w:sz w:val="24"/>
          <w:highlight w:val="none"/>
        </w:rPr>
        <w:br w:type="page"/>
      </w:r>
    </w:p>
    <w:p w14:paraId="20A302FC">
      <w:pPr>
        <w:jc w:val="left"/>
        <w:rPr>
          <w:rFonts w:hint="eastAsia" w:ascii="宋体" w:hAnsi="宋体" w:cs="宋体"/>
          <w:b/>
          <w:bCs/>
          <w:color w:val="auto"/>
          <w:kern w:val="0"/>
          <w:sz w:val="32"/>
          <w:szCs w:val="32"/>
          <w:highlight w:val="none"/>
        </w:rPr>
      </w:pPr>
      <w:r>
        <w:rPr>
          <w:rFonts w:hint="eastAsia" w:ascii="宋体" w:hAnsi="宋体" w:cs="宋体"/>
          <w:b/>
          <w:bCs/>
          <w:color w:val="auto"/>
          <w:kern w:val="0"/>
          <w:sz w:val="32"/>
          <w:szCs w:val="32"/>
          <w:highlight w:val="none"/>
        </w:rPr>
        <w:t>附件1：</w:t>
      </w:r>
    </w:p>
    <w:p w14:paraId="3D567F8A">
      <w:pPr>
        <w:pStyle w:val="161"/>
        <w:rPr>
          <w:rFonts w:hint="eastAsia" w:ascii="宋体" w:hAnsi="宋体" w:cs="宋体"/>
          <w:color w:val="auto"/>
          <w:sz w:val="21"/>
          <w:szCs w:val="21"/>
          <w:highlight w:val="none"/>
        </w:rPr>
      </w:pPr>
    </w:p>
    <w:p w14:paraId="2A147EB7">
      <w:pPr>
        <w:spacing w:line="230" w:lineRule="auto"/>
        <w:rPr>
          <w:rFonts w:hint="eastAsia" w:ascii="宋体" w:hAnsi="宋体" w:cs="宋体"/>
          <w:color w:val="auto"/>
          <w:spacing w:val="5"/>
          <w:sz w:val="20"/>
          <w:szCs w:val="20"/>
          <w:highlight w:val="none"/>
        </w:rPr>
      </w:pPr>
    </w:p>
    <w:p w14:paraId="027EA720">
      <w:pPr>
        <w:jc w:val="center"/>
        <w:rPr>
          <w:rFonts w:hint="eastAsia" w:ascii="宋体" w:hAnsi="宋体" w:cs="宋体"/>
          <w:b/>
          <w:bCs/>
          <w:color w:val="auto"/>
          <w:sz w:val="30"/>
          <w:szCs w:val="30"/>
          <w:highlight w:val="none"/>
        </w:rPr>
      </w:pPr>
      <w:r>
        <w:rPr>
          <w:rFonts w:hint="eastAsia" w:ascii="宋体" w:hAnsi="宋体" w:cs="宋体"/>
          <w:b/>
          <w:bCs/>
          <w:color w:val="auto"/>
          <w:sz w:val="30"/>
          <w:szCs w:val="30"/>
          <w:highlight w:val="none"/>
        </w:rPr>
        <w:t>节能产品政府采购品目清单</w:t>
      </w:r>
    </w:p>
    <w:tbl>
      <w:tblPr>
        <w:tblStyle w:val="62"/>
        <w:tblW w:w="902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
        <w:gridCol w:w="554"/>
        <w:gridCol w:w="1614"/>
        <w:gridCol w:w="1350"/>
        <w:gridCol w:w="1868"/>
        <w:gridCol w:w="3632"/>
      </w:tblGrid>
      <w:tr w14:paraId="731639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2" w:hRule="atLeast"/>
          <w:jc w:val="center"/>
        </w:trPr>
        <w:tc>
          <w:tcPr>
            <w:tcW w:w="564" w:type="dxa"/>
            <w:gridSpan w:val="2"/>
            <w:vAlign w:val="center"/>
          </w:tcPr>
          <w:p w14:paraId="74090529">
            <w:pPr>
              <w:autoSpaceDE w:val="0"/>
              <w:autoSpaceDN w:val="0"/>
              <w:jc w:val="center"/>
              <w:rPr>
                <w:rFonts w:hint="eastAsia" w:ascii="宋体" w:hAnsi="宋体" w:cs="宋体"/>
                <w:b/>
                <w:bCs/>
                <w:color w:val="auto"/>
                <w:highlight w:val="none"/>
              </w:rPr>
            </w:pPr>
            <w:bookmarkStart w:id="43" w:name="_Hlk72765337"/>
            <w:r>
              <w:rPr>
                <w:rFonts w:hint="eastAsia" w:ascii="宋体" w:hAnsi="宋体" w:cs="宋体"/>
                <w:b/>
                <w:bCs/>
                <w:color w:val="auto"/>
                <w:highlight w:val="none"/>
              </w:rPr>
              <w:t>品目序号</w:t>
            </w:r>
          </w:p>
        </w:tc>
        <w:tc>
          <w:tcPr>
            <w:tcW w:w="4832" w:type="dxa"/>
            <w:gridSpan w:val="3"/>
            <w:vAlign w:val="center"/>
          </w:tcPr>
          <w:p w14:paraId="3C88BBE5">
            <w:pPr>
              <w:autoSpaceDE w:val="0"/>
              <w:autoSpaceDN w:val="0"/>
              <w:jc w:val="center"/>
              <w:rPr>
                <w:rFonts w:hint="eastAsia" w:ascii="宋体" w:hAnsi="宋体" w:cs="宋体"/>
                <w:b/>
                <w:bCs/>
                <w:color w:val="auto"/>
                <w:highlight w:val="none"/>
              </w:rPr>
            </w:pPr>
            <w:r>
              <w:rPr>
                <w:rFonts w:hint="eastAsia" w:ascii="宋体" w:hAnsi="宋体" w:cs="宋体"/>
                <w:b/>
                <w:bCs/>
                <w:color w:val="auto"/>
                <w:highlight w:val="none"/>
              </w:rPr>
              <w:t>名称</w:t>
            </w:r>
          </w:p>
        </w:tc>
        <w:tc>
          <w:tcPr>
            <w:tcW w:w="3632" w:type="dxa"/>
            <w:vAlign w:val="center"/>
          </w:tcPr>
          <w:p w14:paraId="65E98F40">
            <w:pPr>
              <w:autoSpaceDE w:val="0"/>
              <w:autoSpaceDN w:val="0"/>
              <w:jc w:val="center"/>
              <w:rPr>
                <w:rFonts w:hint="eastAsia" w:ascii="宋体" w:hAnsi="宋体" w:cs="宋体"/>
                <w:b/>
                <w:bCs/>
                <w:color w:val="auto"/>
                <w:highlight w:val="none"/>
              </w:rPr>
            </w:pPr>
            <w:r>
              <w:rPr>
                <w:rFonts w:hint="eastAsia" w:ascii="宋体" w:hAnsi="宋体" w:cs="宋体"/>
                <w:b/>
                <w:bCs/>
                <w:color w:val="auto"/>
                <w:highlight w:val="none"/>
              </w:rPr>
              <w:t>依据的标准</w:t>
            </w:r>
          </w:p>
        </w:tc>
      </w:tr>
      <w:tr w14:paraId="7ADB7F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0" w:hRule="atLeast"/>
          <w:jc w:val="center"/>
        </w:trPr>
        <w:tc>
          <w:tcPr>
            <w:tcW w:w="564" w:type="dxa"/>
            <w:gridSpan w:val="2"/>
            <w:vMerge w:val="restart"/>
            <w:vAlign w:val="center"/>
          </w:tcPr>
          <w:p w14:paraId="1DF8C113">
            <w:pPr>
              <w:autoSpaceDE w:val="0"/>
              <w:autoSpaceDN w:val="0"/>
              <w:jc w:val="center"/>
              <w:rPr>
                <w:rFonts w:hint="eastAsia" w:ascii="宋体" w:hAnsi="宋体" w:cs="宋体"/>
                <w:color w:val="auto"/>
                <w:highlight w:val="none"/>
              </w:rPr>
            </w:pPr>
            <w:r>
              <w:rPr>
                <w:rFonts w:hint="eastAsia" w:ascii="宋体" w:hAnsi="宋体" w:cs="宋体"/>
                <w:color w:val="auto"/>
                <w:highlight w:val="none"/>
              </w:rPr>
              <w:t>1</w:t>
            </w:r>
          </w:p>
        </w:tc>
        <w:tc>
          <w:tcPr>
            <w:tcW w:w="1614" w:type="dxa"/>
            <w:vMerge w:val="restart"/>
            <w:vAlign w:val="center"/>
          </w:tcPr>
          <w:p w14:paraId="15CA2D71">
            <w:pPr>
              <w:autoSpaceDE w:val="0"/>
              <w:autoSpaceDN w:val="0"/>
              <w:jc w:val="center"/>
              <w:rPr>
                <w:rFonts w:hint="eastAsia" w:ascii="宋体" w:hAnsi="宋体" w:cs="宋体"/>
                <w:color w:val="auto"/>
                <w:highlight w:val="none"/>
              </w:rPr>
            </w:pPr>
            <w:r>
              <w:rPr>
                <w:rFonts w:hint="eastAsia" w:ascii="宋体" w:hAnsi="宋体" w:cs="宋体"/>
                <w:color w:val="auto"/>
                <w:highlight w:val="none"/>
              </w:rPr>
              <w:t>A020101</w:t>
            </w:r>
            <w:r>
              <w:rPr>
                <w:rFonts w:hint="eastAsia" w:ascii="宋体" w:hAnsi="宋体" w:cs="宋体"/>
                <w:color w:val="auto"/>
                <w:spacing w:val="-20"/>
                <w:highlight w:val="none"/>
              </w:rPr>
              <w:t xml:space="preserve"> 计算</w:t>
            </w:r>
            <w:r>
              <w:rPr>
                <w:rFonts w:hint="eastAsia" w:ascii="宋体" w:hAnsi="宋体" w:cs="宋体"/>
                <w:color w:val="auto"/>
                <w:highlight w:val="none"/>
              </w:rPr>
              <w:t>机设备</w:t>
            </w:r>
          </w:p>
        </w:tc>
        <w:tc>
          <w:tcPr>
            <w:tcW w:w="1350" w:type="dxa"/>
            <w:vAlign w:val="center"/>
          </w:tcPr>
          <w:p w14:paraId="3E88A5DA">
            <w:pPr>
              <w:autoSpaceDE w:val="0"/>
              <w:autoSpaceDN w:val="0"/>
              <w:jc w:val="center"/>
              <w:rPr>
                <w:rFonts w:hint="eastAsia" w:ascii="宋体" w:hAnsi="宋体" w:cs="宋体"/>
                <w:color w:val="auto"/>
                <w:highlight w:val="none"/>
              </w:rPr>
            </w:pPr>
            <w:r>
              <w:rPr>
                <w:rFonts w:hint="eastAsia" w:ascii="宋体" w:hAnsi="宋体" w:cs="宋体"/>
                <w:color w:val="auto"/>
                <w:highlight w:val="none"/>
              </w:rPr>
              <w:t>★A02010104</w:t>
            </w:r>
            <w:r>
              <w:rPr>
                <w:rFonts w:hint="eastAsia" w:ascii="宋体" w:hAnsi="宋体" w:cs="宋体"/>
                <w:color w:val="auto"/>
                <w:spacing w:val="-7"/>
                <w:highlight w:val="none"/>
              </w:rPr>
              <w:t xml:space="preserve"> 台式计</w:t>
            </w:r>
            <w:r>
              <w:rPr>
                <w:rFonts w:hint="eastAsia" w:ascii="宋体" w:hAnsi="宋体" w:cs="宋体"/>
                <w:color w:val="auto"/>
                <w:highlight w:val="none"/>
              </w:rPr>
              <w:t>算机</w:t>
            </w:r>
          </w:p>
        </w:tc>
        <w:tc>
          <w:tcPr>
            <w:tcW w:w="1868" w:type="dxa"/>
            <w:vAlign w:val="center"/>
          </w:tcPr>
          <w:p w14:paraId="0C89C1FC">
            <w:pPr>
              <w:autoSpaceDE w:val="0"/>
              <w:autoSpaceDN w:val="0"/>
              <w:jc w:val="center"/>
              <w:rPr>
                <w:rFonts w:hint="eastAsia" w:ascii="宋体" w:hAnsi="宋体" w:cs="宋体"/>
                <w:color w:val="auto"/>
                <w:highlight w:val="none"/>
              </w:rPr>
            </w:pPr>
          </w:p>
        </w:tc>
        <w:tc>
          <w:tcPr>
            <w:tcW w:w="3632" w:type="dxa"/>
            <w:vAlign w:val="center"/>
          </w:tcPr>
          <w:p w14:paraId="0BC817A9">
            <w:pPr>
              <w:autoSpaceDE w:val="0"/>
              <w:autoSpaceDN w:val="0"/>
              <w:jc w:val="center"/>
              <w:rPr>
                <w:rFonts w:hint="eastAsia" w:ascii="宋体" w:hAnsi="宋体" w:cs="宋体"/>
                <w:color w:val="auto"/>
                <w:highlight w:val="none"/>
              </w:rPr>
            </w:pPr>
            <w:r>
              <w:rPr>
                <w:rFonts w:hint="eastAsia" w:ascii="宋体" w:hAnsi="宋体" w:cs="宋体"/>
                <w:color w:val="auto"/>
                <w:spacing w:val="9"/>
                <w:highlight w:val="none"/>
              </w:rPr>
              <w:t>《微型计算机能效限定值及能效</w:t>
            </w:r>
            <w:r>
              <w:rPr>
                <w:rFonts w:hint="eastAsia" w:ascii="宋体" w:hAnsi="宋体" w:cs="宋体"/>
                <w:color w:val="auto"/>
                <w:highlight w:val="none"/>
              </w:rPr>
              <w:t>等级》（GB</w:t>
            </w:r>
            <w:r>
              <w:rPr>
                <w:rFonts w:hint="eastAsia" w:ascii="宋体" w:hAnsi="宋体" w:cs="宋体"/>
                <w:color w:val="auto"/>
                <w:spacing w:val="1"/>
                <w:highlight w:val="none"/>
              </w:rPr>
              <w:t xml:space="preserve"> </w:t>
            </w:r>
            <w:r>
              <w:rPr>
                <w:rFonts w:hint="eastAsia" w:ascii="宋体" w:hAnsi="宋体" w:cs="宋体"/>
                <w:color w:val="auto"/>
                <w:highlight w:val="none"/>
              </w:rPr>
              <w:t>28380）</w:t>
            </w:r>
          </w:p>
        </w:tc>
      </w:tr>
      <w:tr w14:paraId="3A3AE6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jc w:val="center"/>
        </w:trPr>
        <w:tc>
          <w:tcPr>
            <w:tcW w:w="564" w:type="dxa"/>
            <w:gridSpan w:val="2"/>
            <w:vMerge w:val="continue"/>
            <w:vAlign w:val="center"/>
          </w:tcPr>
          <w:p w14:paraId="504DBC7B">
            <w:pPr>
              <w:autoSpaceDE w:val="0"/>
              <w:autoSpaceDN w:val="0"/>
              <w:jc w:val="center"/>
              <w:rPr>
                <w:rFonts w:hint="eastAsia" w:ascii="宋体" w:hAnsi="宋体" w:cs="宋体"/>
                <w:color w:val="auto"/>
                <w:highlight w:val="none"/>
              </w:rPr>
            </w:pPr>
          </w:p>
        </w:tc>
        <w:tc>
          <w:tcPr>
            <w:tcW w:w="1614" w:type="dxa"/>
            <w:vMerge w:val="continue"/>
            <w:vAlign w:val="center"/>
          </w:tcPr>
          <w:p w14:paraId="3C03365D">
            <w:pPr>
              <w:autoSpaceDE w:val="0"/>
              <w:autoSpaceDN w:val="0"/>
              <w:jc w:val="center"/>
              <w:rPr>
                <w:rFonts w:hint="eastAsia" w:ascii="宋体" w:hAnsi="宋体" w:cs="宋体"/>
                <w:color w:val="auto"/>
                <w:highlight w:val="none"/>
              </w:rPr>
            </w:pPr>
          </w:p>
        </w:tc>
        <w:tc>
          <w:tcPr>
            <w:tcW w:w="1350" w:type="dxa"/>
            <w:vAlign w:val="center"/>
          </w:tcPr>
          <w:p w14:paraId="3F6D7442">
            <w:pPr>
              <w:autoSpaceDE w:val="0"/>
              <w:autoSpaceDN w:val="0"/>
              <w:jc w:val="center"/>
              <w:rPr>
                <w:rFonts w:hint="eastAsia" w:ascii="宋体" w:hAnsi="宋体" w:cs="宋体"/>
                <w:color w:val="auto"/>
                <w:highlight w:val="none"/>
              </w:rPr>
            </w:pPr>
            <w:r>
              <w:rPr>
                <w:rFonts w:hint="eastAsia" w:ascii="宋体" w:hAnsi="宋体" w:cs="宋体"/>
                <w:color w:val="auto"/>
                <w:highlight w:val="none"/>
              </w:rPr>
              <w:t>★A02010105</w:t>
            </w:r>
            <w:r>
              <w:rPr>
                <w:rFonts w:hint="eastAsia" w:ascii="宋体" w:hAnsi="宋体" w:cs="宋体"/>
                <w:color w:val="auto"/>
                <w:spacing w:val="-7"/>
                <w:highlight w:val="none"/>
              </w:rPr>
              <w:t xml:space="preserve"> 便携式</w:t>
            </w:r>
            <w:r>
              <w:rPr>
                <w:rFonts w:hint="eastAsia" w:ascii="宋体" w:hAnsi="宋体" w:cs="宋体"/>
                <w:color w:val="auto"/>
                <w:highlight w:val="none"/>
              </w:rPr>
              <w:t>计算机</w:t>
            </w:r>
          </w:p>
        </w:tc>
        <w:tc>
          <w:tcPr>
            <w:tcW w:w="1868" w:type="dxa"/>
            <w:vAlign w:val="center"/>
          </w:tcPr>
          <w:p w14:paraId="3F17A257">
            <w:pPr>
              <w:autoSpaceDE w:val="0"/>
              <w:autoSpaceDN w:val="0"/>
              <w:jc w:val="center"/>
              <w:rPr>
                <w:rFonts w:hint="eastAsia" w:ascii="宋体" w:hAnsi="宋体" w:cs="宋体"/>
                <w:color w:val="auto"/>
                <w:highlight w:val="none"/>
              </w:rPr>
            </w:pPr>
          </w:p>
        </w:tc>
        <w:tc>
          <w:tcPr>
            <w:tcW w:w="3632" w:type="dxa"/>
            <w:vAlign w:val="center"/>
          </w:tcPr>
          <w:p w14:paraId="6BB795A5">
            <w:pPr>
              <w:autoSpaceDE w:val="0"/>
              <w:autoSpaceDN w:val="0"/>
              <w:jc w:val="center"/>
              <w:rPr>
                <w:rFonts w:hint="eastAsia" w:ascii="宋体" w:hAnsi="宋体" w:cs="宋体"/>
                <w:color w:val="auto"/>
                <w:highlight w:val="none"/>
              </w:rPr>
            </w:pPr>
            <w:r>
              <w:rPr>
                <w:rFonts w:hint="eastAsia" w:ascii="宋体" w:hAnsi="宋体" w:cs="宋体"/>
                <w:color w:val="auto"/>
                <w:spacing w:val="9"/>
                <w:highlight w:val="none"/>
              </w:rPr>
              <w:t>《微型计算机能效限定值及能效</w:t>
            </w:r>
            <w:r>
              <w:rPr>
                <w:rFonts w:hint="eastAsia" w:ascii="宋体" w:hAnsi="宋体" w:cs="宋体"/>
                <w:color w:val="auto"/>
                <w:highlight w:val="none"/>
              </w:rPr>
              <w:t>等级》（GB</w:t>
            </w:r>
            <w:r>
              <w:rPr>
                <w:rFonts w:hint="eastAsia" w:ascii="宋体" w:hAnsi="宋体" w:cs="宋体"/>
                <w:color w:val="auto"/>
                <w:spacing w:val="1"/>
                <w:highlight w:val="none"/>
              </w:rPr>
              <w:t xml:space="preserve"> </w:t>
            </w:r>
            <w:r>
              <w:rPr>
                <w:rFonts w:hint="eastAsia" w:ascii="宋体" w:hAnsi="宋体" w:cs="宋体"/>
                <w:color w:val="auto"/>
                <w:highlight w:val="none"/>
              </w:rPr>
              <w:t>28380）</w:t>
            </w:r>
          </w:p>
        </w:tc>
      </w:tr>
      <w:tr w14:paraId="0B5BBD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3" w:hRule="atLeast"/>
          <w:jc w:val="center"/>
        </w:trPr>
        <w:tc>
          <w:tcPr>
            <w:tcW w:w="564" w:type="dxa"/>
            <w:gridSpan w:val="2"/>
            <w:vMerge w:val="continue"/>
            <w:vAlign w:val="center"/>
          </w:tcPr>
          <w:p w14:paraId="70B244AD">
            <w:pPr>
              <w:autoSpaceDE w:val="0"/>
              <w:autoSpaceDN w:val="0"/>
              <w:jc w:val="center"/>
              <w:rPr>
                <w:rFonts w:hint="eastAsia" w:ascii="宋体" w:hAnsi="宋体" w:cs="宋体"/>
                <w:color w:val="auto"/>
                <w:highlight w:val="none"/>
              </w:rPr>
            </w:pPr>
          </w:p>
        </w:tc>
        <w:tc>
          <w:tcPr>
            <w:tcW w:w="1614" w:type="dxa"/>
            <w:vMerge w:val="continue"/>
            <w:vAlign w:val="center"/>
          </w:tcPr>
          <w:p w14:paraId="529ABE0F">
            <w:pPr>
              <w:autoSpaceDE w:val="0"/>
              <w:autoSpaceDN w:val="0"/>
              <w:jc w:val="center"/>
              <w:rPr>
                <w:rFonts w:hint="eastAsia" w:ascii="宋体" w:hAnsi="宋体" w:cs="宋体"/>
                <w:color w:val="auto"/>
                <w:highlight w:val="none"/>
              </w:rPr>
            </w:pPr>
          </w:p>
        </w:tc>
        <w:tc>
          <w:tcPr>
            <w:tcW w:w="1350" w:type="dxa"/>
            <w:vAlign w:val="center"/>
          </w:tcPr>
          <w:p w14:paraId="7DD9FB74">
            <w:pPr>
              <w:autoSpaceDE w:val="0"/>
              <w:autoSpaceDN w:val="0"/>
              <w:jc w:val="center"/>
              <w:rPr>
                <w:rFonts w:hint="eastAsia" w:ascii="宋体" w:hAnsi="宋体" w:cs="宋体"/>
                <w:color w:val="auto"/>
                <w:highlight w:val="none"/>
              </w:rPr>
            </w:pPr>
            <w:r>
              <w:rPr>
                <w:rFonts w:hint="eastAsia" w:ascii="宋体" w:hAnsi="宋体" w:cs="宋体"/>
                <w:color w:val="auto"/>
                <w:highlight w:val="none"/>
              </w:rPr>
              <w:t>★A02010107</w:t>
            </w:r>
            <w:r>
              <w:rPr>
                <w:rFonts w:hint="eastAsia" w:ascii="宋体" w:hAnsi="宋体" w:cs="宋体"/>
                <w:color w:val="auto"/>
                <w:spacing w:val="-7"/>
                <w:highlight w:val="none"/>
              </w:rPr>
              <w:t xml:space="preserve"> 平板式</w:t>
            </w:r>
            <w:r>
              <w:rPr>
                <w:rFonts w:hint="eastAsia" w:ascii="宋体" w:hAnsi="宋体" w:cs="宋体"/>
                <w:color w:val="auto"/>
                <w:highlight w:val="none"/>
              </w:rPr>
              <w:t>微型计算机</w:t>
            </w:r>
          </w:p>
        </w:tc>
        <w:tc>
          <w:tcPr>
            <w:tcW w:w="1868" w:type="dxa"/>
            <w:vAlign w:val="center"/>
          </w:tcPr>
          <w:p w14:paraId="190FFA3C">
            <w:pPr>
              <w:autoSpaceDE w:val="0"/>
              <w:autoSpaceDN w:val="0"/>
              <w:jc w:val="center"/>
              <w:rPr>
                <w:rFonts w:hint="eastAsia" w:ascii="宋体" w:hAnsi="宋体" w:cs="宋体"/>
                <w:color w:val="auto"/>
                <w:highlight w:val="none"/>
              </w:rPr>
            </w:pPr>
          </w:p>
        </w:tc>
        <w:tc>
          <w:tcPr>
            <w:tcW w:w="3632" w:type="dxa"/>
            <w:vAlign w:val="center"/>
          </w:tcPr>
          <w:p w14:paraId="31AF1590">
            <w:pPr>
              <w:autoSpaceDE w:val="0"/>
              <w:autoSpaceDN w:val="0"/>
              <w:jc w:val="center"/>
              <w:rPr>
                <w:rFonts w:hint="eastAsia" w:ascii="宋体" w:hAnsi="宋体" w:cs="宋体"/>
                <w:color w:val="auto"/>
                <w:highlight w:val="none"/>
              </w:rPr>
            </w:pPr>
            <w:r>
              <w:rPr>
                <w:rFonts w:hint="eastAsia" w:ascii="宋体" w:hAnsi="宋体" w:cs="宋体"/>
                <w:color w:val="auto"/>
                <w:spacing w:val="9"/>
                <w:highlight w:val="none"/>
              </w:rPr>
              <w:t>《微型计算机能效限定值及能效</w:t>
            </w:r>
            <w:r>
              <w:rPr>
                <w:rFonts w:hint="eastAsia" w:ascii="宋体" w:hAnsi="宋体" w:cs="宋体"/>
                <w:color w:val="auto"/>
                <w:highlight w:val="none"/>
              </w:rPr>
              <w:t>等级》（GB 28380）</w:t>
            </w:r>
          </w:p>
        </w:tc>
      </w:tr>
      <w:tr w14:paraId="62123B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1" w:hRule="atLeast"/>
          <w:jc w:val="center"/>
        </w:trPr>
        <w:tc>
          <w:tcPr>
            <w:tcW w:w="564" w:type="dxa"/>
            <w:gridSpan w:val="2"/>
            <w:vMerge w:val="restart"/>
            <w:vAlign w:val="center"/>
          </w:tcPr>
          <w:p w14:paraId="08D284E5">
            <w:pPr>
              <w:autoSpaceDE w:val="0"/>
              <w:autoSpaceDN w:val="0"/>
              <w:jc w:val="center"/>
              <w:rPr>
                <w:rFonts w:hint="eastAsia" w:ascii="宋体" w:hAnsi="宋体" w:cs="宋体"/>
                <w:color w:val="auto"/>
                <w:highlight w:val="none"/>
              </w:rPr>
            </w:pPr>
            <w:r>
              <w:rPr>
                <w:rFonts w:hint="eastAsia" w:ascii="宋体" w:hAnsi="宋体" w:cs="宋体"/>
                <w:color w:val="auto"/>
                <w:highlight w:val="none"/>
              </w:rPr>
              <w:t>2</w:t>
            </w:r>
          </w:p>
        </w:tc>
        <w:tc>
          <w:tcPr>
            <w:tcW w:w="1614" w:type="dxa"/>
            <w:vMerge w:val="restart"/>
            <w:vAlign w:val="center"/>
          </w:tcPr>
          <w:p w14:paraId="736A2021">
            <w:pPr>
              <w:autoSpaceDE w:val="0"/>
              <w:autoSpaceDN w:val="0"/>
              <w:jc w:val="center"/>
              <w:rPr>
                <w:rFonts w:hint="eastAsia" w:ascii="宋体" w:hAnsi="宋体" w:cs="宋体"/>
                <w:color w:val="auto"/>
                <w:highlight w:val="none"/>
              </w:rPr>
            </w:pPr>
            <w:r>
              <w:rPr>
                <w:rFonts w:hint="eastAsia" w:ascii="宋体" w:hAnsi="宋体" w:cs="宋体"/>
                <w:color w:val="auto"/>
                <w:highlight w:val="none"/>
              </w:rPr>
              <w:t>A020106</w:t>
            </w:r>
            <w:r>
              <w:rPr>
                <w:rFonts w:hint="eastAsia" w:ascii="宋体" w:hAnsi="宋体" w:cs="宋体"/>
                <w:color w:val="auto"/>
                <w:spacing w:val="-20"/>
                <w:highlight w:val="none"/>
              </w:rPr>
              <w:t xml:space="preserve"> 输入</w:t>
            </w:r>
            <w:r>
              <w:rPr>
                <w:rFonts w:hint="eastAsia" w:ascii="宋体" w:hAnsi="宋体" w:cs="宋体"/>
                <w:color w:val="auto"/>
                <w:highlight w:val="none"/>
              </w:rPr>
              <w:t>输出设备</w:t>
            </w:r>
          </w:p>
        </w:tc>
        <w:tc>
          <w:tcPr>
            <w:tcW w:w="1350" w:type="dxa"/>
            <w:vMerge w:val="restart"/>
            <w:vAlign w:val="center"/>
          </w:tcPr>
          <w:p w14:paraId="52F3A0FF">
            <w:pPr>
              <w:autoSpaceDE w:val="0"/>
              <w:autoSpaceDN w:val="0"/>
              <w:jc w:val="center"/>
              <w:rPr>
                <w:rFonts w:hint="eastAsia" w:ascii="宋体" w:hAnsi="宋体" w:cs="宋体"/>
                <w:color w:val="auto"/>
                <w:highlight w:val="none"/>
              </w:rPr>
            </w:pPr>
            <w:r>
              <w:rPr>
                <w:rFonts w:hint="eastAsia" w:ascii="宋体" w:hAnsi="宋体" w:cs="宋体"/>
                <w:color w:val="auto"/>
                <w:highlight w:val="none"/>
              </w:rPr>
              <w:t>A02010601 打印设备</w:t>
            </w:r>
          </w:p>
        </w:tc>
        <w:tc>
          <w:tcPr>
            <w:tcW w:w="1868" w:type="dxa"/>
            <w:vAlign w:val="center"/>
          </w:tcPr>
          <w:p w14:paraId="238BBE62">
            <w:pPr>
              <w:autoSpaceDE w:val="0"/>
              <w:autoSpaceDN w:val="0"/>
              <w:jc w:val="center"/>
              <w:rPr>
                <w:rFonts w:hint="eastAsia" w:ascii="宋体" w:hAnsi="宋体" w:cs="宋体"/>
                <w:color w:val="auto"/>
                <w:highlight w:val="none"/>
              </w:rPr>
            </w:pPr>
            <w:r>
              <w:rPr>
                <w:rFonts w:hint="eastAsia" w:ascii="宋体" w:hAnsi="宋体" w:cs="宋体"/>
                <w:color w:val="auto"/>
                <w:highlight w:val="none"/>
              </w:rPr>
              <w:t>A0201060101</w:t>
            </w:r>
            <w:r>
              <w:rPr>
                <w:rFonts w:hint="eastAsia" w:ascii="宋体" w:hAnsi="宋体" w:cs="宋体"/>
                <w:color w:val="auto"/>
                <w:spacing w:val="18"/>
                <w:highlight w:val="none"/>
              </w:rPr>
              <w:t xml:space="preserve"> 喷墨打</w:t>
            </w:r>
            <w:r>
              <w:rPr>
                <w:rFonts w:hint="eastAsia" w:ascii="宋体" w:hAnsi="宋体" w:cs="宋体"/>
                <w:color w:val="auto"/>
                <w:highlight w:val="none"/>
              </w:rPr>
              <w:t>印机</w:t>
            </w:r>
          </w:p>
        </w:tc>
        <w:tc>
          <w:tcPr>
            <w:tcW w:w="3632" w:type="dxa"/>
            <w:vAlign w:val="center"/>
          </w:tcPr>
          <w:p w14:paraId="6247491C">
            <w:pPr>
              <w:autoSpaceDE w:val="0"/>
              <w:autoSpaceDN w:val="0"/>
              <w:jc w:val="center"/>
              <w:rPr>
                <w:rFonts w:hint="eastAsia" w:ascii="宋体" w:hAnsi="宋体" w:cs="宋体"/>
                <w:color w:val="auto"/>
                <w:highlight w:val="none"/>
              </w:rPr>
            </w:pPr>
            <w:r>
              <w:rPr>
                <w:rFonts w:hint="eastAsia" w:ascii="宋体" w:hAnsi="宋体" w:cs="宋体"/>
                <w:color w:val="auto"/>
                <w:spacing w:val="-8"/>
                <w:highlight w:val="none"/>
              </w:rPr>
              <w:t>《复印机、打印机和传真机能效限</w:t>
            </w:r>
            <w:r>
              <w:rPr>
                <w:rFonts w:hint="eastAsia" w:ascii="宋体" w:hAnsi="宋体" w:cs="宋体"/>
                <w:color w:val="auto"/>
                <w:highlight w:val="none"/>
              </w:rPr>
              <w:t>定值及能效等级》（GB 21521）</w:t>
            </w:r>
          </w:p>
        </w:tc>
      </w:tr>
      <w:tr w14:paraId="2672E9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1" w:hRule="atLeast"/>
          <w:jc w:val="center"/>
        </w:trPr>
        <w:tc>
          <w:tcPr>
            <w:tcW w:w="564" w:type="dxa"/>
            <w:gridSpan w:val="2"/>
            <w:vMerge w:val="continue"/>
            <w:vAlign w:val="center"/>
          </w:tcPr>
          <w:p w14:paraId="0C492836">
            <w:pPr>
              <w:autoSpaceDE w:val="0"/>
              <w:autoSpaceDN w:val="0"/>
              <w:jc w:val="center"/>
              <w:rPr>
                <w:rFonts w:hint="eastAsia" w:ascii="宋体" w:hAnsi="宋体" w:cs="宋体"/>
                <w:color w:val="auto"/>
                <w:highlight w:val="none"/>
              </w:rPr>
            </w:pPr>
          </w:p>
        </w:tc>
        <w:tc>
          <w:tcPr>
            <w:tcW w:w="1614" w:type="dxa"/>
            <w:vMerge w:val="continue"/>
            <w:vAlign w:val="center"/>
          </w:tcPr>
          <w:p w14:paraId="346972B7">
            <w:pPr>
              <w:autoSpaceDE w:val="0"/>
              <w:autoSpaceDN w:val="0"/>
              <w:jc w:val="center"/>
              <w:rPr>
                <w:rFonts w:hint="eastAsia" w:ascii="宋体" w:hAnsi="宋体" w:cs="宋体"/>
                <w:color w:val="auto"/>
                <w:highlight w:val="none"/>
              </w:rPr>
            </w:pPr>
          </w:p>
        </w:tc>
        <w:tc>
          <w:tcPr>
            <w:tcW w:w="1350" w:type="dxa"/>
            <w:vMerge w:val="continue"/>
            <w:vAlign w:val="center"/>
          </w:tcPr>
          <w:p w14:paraId="7BD4C519">
            <w:pPr>
              <w:autoSpaceDE w:val="0"/>
              <w:autoSpaceDN w:val="0"/>
              <w:jc w:val="center"/>
              <w:rPr>
                <w:rFonts w:hint="eastAsia" w:ascii="宋体" w:hAnsi="宋体" w:cs="宋体"/>
                <w:color w:val="auto"/>
                <w:highlight w:val="none"/>
              </w:rPr>
            </w:pPr>
          </w:p>
        </w:tc>
        <w:tc>
          <w:tcPr>
            <w:tcW w:w="1868" w:type="dxa"/>
            <w:vAlign w:val="center"/>
          </w:tcPr>
          <w:p w14:paraId="63F73AAD">
            <w:pPr>
              <w:autoSpaceDE w:val="0"/>
              <w:autoSpaceDN w:val="0"/>
              <w:jc w:val="center"/>
              <w:rPr>
                <w:rFonts w:hint="eastAsia" w:ascii="宋体" w:hAnsi="宋体" w:cs="宋体"/>
                <w:color w:val="auto"/>
                <w:highlight w:val="none"/>
              </w:rPr>
            </w:pPr>
            <w:r>
              <w:rPr>
                <w:rFonts w:hint="eastAsia" w:ascii="宋体" w:hAnsi="宋体" w:cs="宋体"/>
                <w:color w:val="auto"/>
                <w:spacing w:val="-26"/>
                <w:highlight w:val="none"/>
              </w:rPr>
              <w:t xml:space="preserve">★ </w:t>
            </w:r>
            <w:r>
              <w:rPr>
                <w:rFonts w:hint="eastAsia" w:ascii="宋体" w:hAnsi="宋体" w:cs="宋体"/>
                <w:color w:val="auto"/>
                <w:highlight w:val="none"/>
              </w:rPr>
              <w:t>A0201060102</w:t>
            </w:r>
            <w:r>
              <w:rPr>
                <w:rFonts w:hint="eastAsia" w:ascii="宋体" w:hAnsi="宋体" w:cs="宋体"/>
                <w:color w:val="auto"/>
                <w:spacing w:val="38"/>
                <w:highlight w:val="none"/>
              </w:rPr>
              <w:t xml:space="preserve"> 激光</w:t>
            </w:r>
            <w:r>
              <w:rPr>
                <w:rFonts w:hint="eastAsia" w:ascii="宋体" w:hAnsi="宋体" w:cs="宋体"/>
                <w:color w:val="auto"/>
                <w:highlight w:val="none"/>
              </w:rPr>
              <w:t>打印机</w:t>
            </w:r>
          </w:p>
        </w:tc>
        <w:tc>
          <w:tcPr>
            <w:tcW w:w="3632" w:type="dxa"/>
            <w:vAlign w:val="center"/>
          </w:tcPr>
          <w:p w14:paraId="2A3133BD">
            <w:pPr>
              <w:autoSpaceDE w:val="0"/>
              <w:autoSpaceDN w:val="0"/>
              <w:jc w:val="center"/>
              <w:rPr>
                <w:rFonts w:hint="eastAsia" w:ascii="宋体" w:hAnsi="宋体" w:cs="宋体"/>
                <w:color w:val="auto"/>
                <w:highlight w:val="none"/>
              </w:rPr>
            </w:pPr>
            <w:r>
              <w:rPr>
                <w:rFonts w:hint="eastAsia" w:ascii="宋体" w:hAnsi="宋体" w:cs="宋体"/>
                <w:color w:val="auto"/>
                <w:spacing w:val="-8"/>
                <w:highlight w:val="none"/>
              </w:rPr>
              <w:t>《复印机、打印机和传真机能效限</w:t>
            </w:r>
            <w:r>
              <w:rPr>
                <w:rFonts w:hint="eastAsia" w:ascii="宋体" w:hAnsi="宋体" w:cs="宋体"/>
                <w:color w:val="auto"/>
                <w:highlight w:val="none"/>
              </w:rPr>
              <w:t>定值及能效等级》（GB 21521）</w:t>
            </w:r>
          </w:p>
        </w:tc>
      </w:tr>
      <w:tr w14:paraId="54010D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1" w:hRule="atLeast"/>
          <w:jc w:val="center"/>
        </w:trPr>
        <w:tc>
          <w:tcPr>
            <w:tcW w:w="564" w:type="dxa"/>
            <w:gridSpan w:val="2"/>
            <w:vMerge w:val="continue"/>
            <w:vAlign w:val="center"/>
          </w:tcPr>
          <w:p w14:paraId="34D4250B">
            <w:pPr>
              <w:autoSpaceDE w:val="0"/>
              <w:autoSpaceDN w:val="0"/>
              <w:jc w:val="center"/>
              <w:rPr>
                <w:rFonts w:hint="eastAsia" w:ascii="宋体" w:hAnsi="宋体" w:cs="宋体"/>
                <w:color w:val="auto"/>
                <w:highlight w:val="none"/>
              </w:rPr>
            </w:pPr>
          </w:p>
        </w:tc>
        <w:tc>
          <w:tcPr>
            <w:tcW w:w="1614" w:type="dxa"/>
            <w:vMerge w:val="continue"/>
            <w:vAlign w:val="center"/>
          </w:tcPr>
          <w:p w14:paraId="4D7C20F6">
            <w:pPr>
              <w:autoSpaceDE w:val="0"/>
              <w:autoSpaceDN w:val="0"/>
              <w:jc w:val="center"/>
              <w:rPr>
                <w:rFonts w:hint="eastAsia" w:ascii="宋体" w:hAnsi="宋体" w:cs="宋体"/>
                <w:color w:val="auto"/>
                <w:highlight w:val="none"/>
              </w:rPr>
            </w:pPr>
          </w:p>
        </w:tc>
        <w:tc>
          <w:tcPr>
            <w:tcW w:w="1350" w:type="dxa"/>
            <w:vMerge w:val="continue"/>
            <w:vAlign w:val="center"/>
          </w:tcPr>
          <w:p w14:paraId="30FEE09D">
            <w:pPr>
              <w:autoSpaceDE w:val="0"/>
              <w:autoSpaceDN w:val="0"/>
              <w:jc w:val="center"/>
              <w:rPr>
                <w:rFonts w:hint="eastAsia" w:ascii="宋体" w:hAnsi="宋体" w:cs="宋体"/>
                <w:color w:val="auto"/>
                <w:highlight w:val="none"/>
              </w:rPr>
            </w:pPr>
          </w:p>
        </w:tc>
        <w:tc>
          <w:tcPr>
            <w:tcW w:w="1868" w:type="dxa"/>
            <w:vAlign w:val="center"/>
          </w:tcPr>
          <w:p w14:paraId="6C7C7236">
            <w:pPr>
              <w:autoSpaceDE w:val="0"/>
              <w:autoSpaceDN w:val="0"/>
              <w:jc w:val="center"/>
              <w:rPr>
                <w:rFonts w:hint="eastAsia" w:ascii="宋体" w:hAnsi="宋体" w:cs="宋体"/>
                <w:color w:val="auto"/>
                <w:highlight w:val="none"/>
              </w:rPr>
            </w:pPr>
            <w:r>
              <w:rPr>
                <w:rFonts w:hint="eastAsia" w:ascii="宋体" w:hAnsi="宋体" w:cs="宋体"/>
                <w:color w:val="auto"/>
                <w:spacing w:val="-26"/>
                <w:highlight w:val="none"/>
              </w:rPr>
              <w:t xml:space="preserve">★ </w:t>
            </w:r>
            <w:r>
              <w:rPr>
                <w:rFonts w:hint="eastAsia" w:ascii="宋体" w:hAnsi="宋体" w:cs="宋体"/>
                <w:color w:val="auto"/>
                <w:highlight w:val="none"/>
              </w:rPr>
              <w:t>A0201060104</w:t>
            </w:r>
            <w:r>
              <w:rPr>
                <w:rFonts w:hint="eastAsia" w:ascii="宋体" w:hAnsi="宋体" w:cs="宋体"/>
                <w:color w:val="auto"/>
                <w:spacing w:val="38"/>
                <w:highlight w:val="none"/>
              </w:rPr>
              <w:t xml:space="preserve"> 针式</w:t>
            </w:r>
            <w:r>
              <w:rPr>
                <w:rFonts w:hint="eastAsia" w:ascii="宋体" w:hAnsi="宋体" w:cs="宋体"/>
                <w:color w:val="auto"/>
                <w:highlight w:val="none"/>
              </w:rPr>
              <w:t>打印机</w:t>
            </w:r>
          </w:p>
        </w:tc>
        <w:tc>
          <w:tcPr>
            <w:tcW w:w="3632" w:type="dxa"/>
            <w:vAlign w:val="center"/>
          </w:tcPr>
          <w:p w14:paraId="3B435ECE">
            <w:pPr>
              <w:autoSpaceDE w:val="0"/>
              <w:autoSpaceDN w:val="0"/>
              <w:jc w:val="center"/>
              <w:rPr>
                <w:rFonts w:hint="eastAsia" w:ascii="宋体" w:hAnsi="宋体" w:cs="宋体"/>
                <w:color w:val="auto"/>
                <w:highlight w:val="none"/>
              </w:rPr>
            </w:pPr>
            <w:r>
              <w:rPr>
                <w:rFonts w:hint="eastAsia" w:ascii="宋体" w:hAnsi="宋体" w:cs="宋体"/>
                <w:color w:val="auto"/>
                <w:spacing w:val="-8"/>
                <w:highlight w:val="none"/>
              </w:rPr>
              <w:t>《复印机、打印机和传真机能效限</w:t>
            </w:r>
            <w:r>
              <w:rPr>
                <w:rFonts w:hint="eastAsia" w:ascii="宋体" w:hAnsi="宋体" w:cs="宋体"/>
                <w:color w:val="auto"/>
                <w:highlight w:val="none"/>
              </w:rPr>
              <w:t>定值及能效等级》（GB 21521）</w:t>
            </w:r>
          </w:p>
        </w:tc>
      </w:tr>
      <w:tr w14:paraId="7A95F1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2" w:hRule="atLeast"/>
          <w:jc w:val="center"/>
        </w:trPr>
        <w:tc>
          <w:tcPr>
            <w:tcW w:w="564" w:type="dxa"/>
            <w:gridSpan w:val="2"/>
            <w:vMerge w:val="continue"/>
            <w:vAlign w:val="center"/>
          </w:tcPr>
          <w:p w14:paraId="31775BF8">
            <w:pPr>
              <w:autoSpaceDE w:val="0"/>
              <w:autoSpaceDN w:val="0"/>
              <w:jc w:val="center"/>
              <w:rPr>
                <w:rFonts w:hint="eastAsia" w:ascii="宋体" w:hAnsi="宋体" w:cs="宋体"/>
                <w:color w:val="auto"/>
                <w:highlight w:val="none"/>
              </w:rPr>
            </w:pPr>
          </w:p>
        </w:tc>
        <w:tc>
          <w:tcPr>
            <w:tcW w:w="1614" w:type="dxa"/>
            <w:vMerge w:val="continue"/>
            <w:vAlign w:val="center"/>
          </w:tcPr>
          <w:p w14:paraId="368F430C">
            <w:pPr>
              <w:autoSpaceDE w:val="0"/>
              <w:autoSpaceDN w:val="0"/>
              <w:jc w:val="center"/>
              <w:rPr>
                <w:rFonts w:hint="eastAsia" w:ascii="宋体" w:hAnsi="宋体" w:cs="宋体"/>
                <w:color w:val="auto"/>
                <w:highlight w:val="none"/>
              </w:rPr>
            </w:pPr>
          </w:p>
        </w:tc>
        <w:tc>
          <w:tcPr>
            <w:tcW w:w="1350" w:type="dxa"/>
            <w:vAlign w:val="center"/>
          </w:tcPr>
          <w:p w14:paraId="093101D8">
            <w:pPr>
              <w:autoSpaceDE w:val="0"/>
              <w:autoSpaceDN w:val="0"/>
              <w:jc w:val="center"/>
              <w:rPr>
                <w:rFonts w:hint="eastAsia" w:ascii="宋体" w:hAnsi="宋体" w:cs="宋体"/>
                <w:color w:val="auto"/>
                <w:highlight w:val="none"/>
              </w:rPr>
            </w:pPr>
            <w:r>
              <w:rPr>
                <w:rFonts w:hint="eastAsia" w:ascii="宋体" w:hAnsi="宋体" w:cs="宋体"/>
                <w:color w:val="auto"/>
                <w:highlight w:val="none"/>
              </w:rPr>
              <w:t>A02010604 显示设备</w:t>
            </w:r>
          </w:p>
        </w:tc>
        <w:tc>
          <w:tcPr>
            <w:tcW w:w="1868" w:type="dxa"/>
            <w:vAlign w:val="center"/>
          </w:tcPr>
          <w:p w14:paraId="53C4A859">
            <w:pPr>
              <w:autoSpaceDE w:val="0"/>
              <w:autoSpaceDN w:val="0"/>
              <w:jc w:val="center"/>
              <w:rPr>
                <w:rFonts w:hint="eastAsia" w:ascii="宋体" w:hAnsi="宋体" w:cs="宋体"/>
                <w:color w:val="auto"/>
                <w:highlight w:val="none"/>
              </w:rPr>
            </w:pPr>
            <w:r>
              <w:rPr>
                <w:rFonts w:hint="eastAsia" w:ascii="宋体" w:hAnsi="宋体" w:cs="宋体"/>
                <w:color w:val="auto"/>
                <w:spacing w:val="-26"/>
                <w:highlight w:val="none"/>
              </w:rPr>
              <w:t xml:space="preserve">★ </w:t>
            </w:r>
            <w:r>
              <w:rPr>
                <w:rFonts w:hint="eastAsia" w:ascii="宋体" w:hAnsi="宋体" w:cs="宋体"/>
                <w:color w:val="auto"/>
                <w:highlight w:val="none"/>
              </w:rPr>
              <w:t>A0201060401</w:t>
            </w:r>
            <w:r>
              <w:rPr>
                <w:rFonts w:hint="eastAsia" w:ascii="宋体" w:hAnsi="宋体" w:cs="宋体"/>
                <w:color w:val="auto"/>
                <w:spacing w:val="38"/>
                <w:highlight w:val="none"/>
              </w:rPr>
              <w:t xml:space="preserve"> 液晶</w:t>
            </w:r>
            <w:r>
              <w:rPr>
                <w:rFonts w:hint="eastAsia" w:ascii="宋体" w:hAnsi="宋体" w:cs="宋体"/>
                <w:color w:val="auto"/>
                <w:highlight w:val="none"/>
              </w:rPr>
              <w:t>显示器</w:t>
            </w:r>
          </w:p>
        </w:tc>
        <w:tc>
          <w:tcPr>
            <w:tcW w:w="3632" w:type="dxa"/>
            <w:vAlign w:val="center"/>
          </w:tcPr>
          <w:p w14:paraId="79BE9D1D">
            <w:pPr>
              <w:autoSpaceDE w:val="0"/>
              <w:autoSpaceDN w:val="0"/>
              <w:jc w:val="center"/>
              <w:rPr>
                <w:rFonts w:hint="eastAsia" w:ascii="宋体" w:hAnsi="宋体" w:cs="宋体"/>
                <w:color w:val="auto"/>
                <w:highlight w:val="none"/>
              </w:rPr>
            </w:pPr>
            <w:r>
              <w:rPr>
                <w:rFonts w:hint="eastAsia" w:ascii="宋体" w:hAnsi="宋体" w:cs="宋体"/>
                <w:color w:val="auto"/>
                <w:spacing w:val="9"/>
                <w:highlight w:val="none"/>
              </w:rPr>
              <w:t>《计算机显示器能效限定值及能</w:t>
            </w:r>
            <w:r>
              <w:rPr>
                <w:rFonts w:hint="eastAsia" w:ascii="宋体" w:hAnsi="宋体" w:cs="宋体"/>
                <w:color w:val="auto"/>
                <w:highlight w:val="none"/>
              </w:rPr>
              <w:t>效等级》（GB</w:t>
            </w:r>
            <w:r>
              <w:rPr>
                <w:rFonts w:hint="eastAsia" w:ascii="宋体" w:hAnsi="宋体" w:cs="宋体"/>
                <w:color w:val="auto"/>
                <w:spacing w:val="1"/>
                <w:highlight w:val="none"/>
              </w:rPr>
              <w:t xml:space="preserve"> </w:t>
            </w:r>
            <w:r>
              <w:rPr>
                <w:rFonts w:hint="eastAsia" w:ascii="宋体" w:hAnsi="宋体" w:cs="宋体"/>
                <w:color w:val="auto"/>
                <w:highlight w:val="none"/>
              </w:rPr>
              <w:t>21520）</w:t>
            </w:r>
          </w:p>
        </w:tc>
      </w:tr>
      <w:tr w14:paraId="4985D9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50" w:hRule="atLeast"/>
          <w:jc w:val="center"/>
        </w:trPr>
        <w:tc>
          <w:tcPr>
            <w:tcW w:w="564" w:type="dxa"/>
            <w:gridSpan w:val="2"/>
            <w:vMerge w:val="continue"/>
            <w:vAlign w:val="center"/>
          </w:tcPr>
          <w:p w14:paraId="24C11A45">
            <w:pPr>
              <w:autoSpaceDE w:val="0"/>
              <w:autoSpaceDN w:val="0"/>
              <w:jc w:val="center"/>
              <w:rPr>
                <w:rFonts w:hint="eastAsia" w:ascii="宋体" w:hAnsi="宋体" w:cs="宋体"/>
                <w:color w:val="auto"/>
                <w:highlight w:val="none"/>
              </w:rPr>
            </w:pPr>
          </w:p>
        </w:tc>
        <w:tc>
          <w:tcPr>
            <w:tcW w:w="1614" w:type="dxa"/>
            <w:vMerge w:val="continue"/>
            <w:vAlign w:val="center"/>
          </w:tcPr>
          <w:p w14:paraId="571CCDB5">
            <w:pPr>
              <w:autoSpaceDE w:val="0"/>
              <w:autoSpaceDN w:val="0"/>
              <w:jc w:val="center"/>
              <w:rPr>
                <w:rFonts w:hint="eastAsia" w:ascii="宋体" w:hAnsi="宋体" w:cs="宋体"/>
                <w:color w:val="auto"/>
                <w:highlight w:val="none"/>
              </w:rPr>
            </w:pPr>
          </w:p>
        </w:tc>
        <w:tc>
          <w:tcPr>
            <w:tcW w:w="1350" w:type="dxa"/>
            <w:vAlign w:val="center"/>
          </w:tcPr>
          <w:p w14:paraId="547523EA">
            <w:pPr>
              <w:autoSpaceDE w:val="0"/>
              <w:autoSpaceDN w:val="0"/>
              <w:jc w:val="center"/>
              <w:rPr>
                <w:rFonts w:hint="eastAsia" w:ascii="宋体" w:hAnsi="宋体" w:cs="宋体"/>
                <w:color w:val="auto"/>
                <w:highlight w:val="none"/>
              </w:rPr>
            </w:pPr>
            <w:r>
              <w:rPr>
                <w:rFonts w:hint="eastAsia" w:ascii="宋体" w:hAnsi="宋体" w:cs="宋体"/>
                <w:color w:val="auto"/>
                <w:highlight w:val="none"/>
              </w:rPr>
              <w:t>A02010609</w:t>
            </w:r>
            <w:r>
              <w:rPr>
                <w:rFonts w:hint="eastAsia" w:ascii="宋体" w:hAnsi="宋体" w:cs="宋体"/>
                <w:color w:val="auto"/>
                <w:spacing w:val="-6"/>
                <w:highlight w:val="none"/>
              </w:rPr>
              <w:t xml:space="preserve"> 图形图像</w:t>
            </w:r>
            <w:r>
              <w:rPr>
                <w:rFonts w:hint="eastAsia" w:ascii="宋体" w:hAnsi="宋体" w:cs="宋体"/>
                <w:color w:val="auto"/>
                <w:highlight w:val="none"/>
              </w:rPr>
              <w:t>输入设备</w:t>
            </w:r>
          </w:p>
        </w:tc>
        <w:tc>
          <w:tcPr>
            <w:tcW w:w="1868" w:type="dxa"/>
            <w:vAlign w:val="center"/>
          </w:tcPr>
          <w:p w14:paraId="35542B9E">
            <w:pPr>
              <w:autoSpaceDE w:val="0"/>
              <w:autoSpaceDN w:val="0"/>
              <w:jc w:val="center"/>
              <w:rPr>
                <w:rFonts w:hint="eastAsia" w:ascii="宋体" w:hAnsi="宋体" w:cs="宋体"/>
                <w:color w:val="auto"/>
                <w:highlight w:val="none"/>
              </w:rPr>
            </w:pPr>
            <w:r>
              <w:rPr>
                <w:rFonts w:hint="eastAsia" w:ascii="宋体" w:hAnsi="宋体" w:cs="宋体"/>
                <w:color w:val="auto"/>
                <w:highlight w:val="none"/>
              </w:rPr>
              <w:t>A0201060901</w:t>
            </w:r>
            <w:r>
              <w:rPr>
                <w:rFonts w:hint="eastAsia" w:ascii="宋体" w:hAnsi="宋体" w:cs="宋体"/>
                <w:color w:val="auto"/>
                <w:spacing w:val="-7"/>
                <w:highlight w:val="none"/>
              </w:rPr>
              <w:t xml:space="preserve"> 扫描仪</w:t>
            </w:r>
          </w:p>
        </w:tc>
        <w:tc>
          <w:tcPr>
            <w:tcW w:w="3632" w:type="dxa"/>
            <w:vAlign w:val="center"/>
          </w:tcPr>
          <w:p w14:paraId="4CD633E8">
            <w:pPr>
              <w:autoSpaceDE w:val="0"/>
              <w:autoSpaceDN w:val="0"/>
              <w:jc w:val="center"/>
              <w:rPr>
                <w:rFonts w:hint="eastAsia" w:ascii="宋体" w:hAnsi="宋体" w:cs="宋体"/>
                <w:color w:val="auto"/>
                <w:highlight w:val="none"/>
              </w:rPr>
            </w:pPr>
            <w:r>
              <w:rPr>
                <w:rFonts w:hint="eastAsia" w:ascii="宋体" w:hAnsi="宋体" w:cs="宋体"/>
                <w:color w:val="auto"/>
                <w:highlight w:val="none"/>
              </w:rPr>
              <w:t>参照《复印机、打印机和传真机能</w:t>
            </w:r>
            <w:r>
              <w:rPr>
                <w:rFonts w:hint="eastAsia" w:ascii="宋体" w:hAnsi="宋体" w:cs="宋体"/>
                <w:color w:val="auto"/>
                <w:spacing w:val="-11"/>
                <w:highlight w:val="none"/>
              </w:rPr>
              <w:t>效限定值及能效等级》</w:t>
            </w:r>
            <w:r>
              <w:rPr>
                <w:rFonts w:hint="eastAsia" w:ascii="宋体" w:hAnsi="宋体" w:cs="宋体"/>
                <w:color w:val="auto"/>
                <w:highlight w:val="none"/>
              </w:rPr>
              <w:t>（GB</w:t>
            </w:r>
            <w:r>
              <w:rPr>
                <w:rFonts w:hint="eastAsia" w:ascii="宋体" w:hAnsi="宋体" w:cs="宋体"/>
                <w:color w:val="auto"/>
                <w:spacing w:val="1"/>
                <w:highlight w:val="none"/>
              </w:rPr>
              <w:t xml:space="preserve"> </w:t>
            </w:r>
            <w:r>
              <w:rPr>
                <w:rFonts w:hint="eastAsia" w:ascii="宋体" w:hAnsi="宋体" w:cs="宋体"/>
                <w:color w:val="auto"/>
                <w:highlight w:val="none"/>
              </w:rPr>
              <w:t>21521）</w:t>
            </w:r>
            <w:r>
              <w:rPr>
                <w:rFonts w:hint="eastAsia" w:ascii="宋体" w:hAnsi="宋体" w:cs="宋体"/>
                <w:color w:val="auto"/>
                <w:spacing w:val="-92"/>
                <w:highlight w:val="none"/>
              </w:rPr>
              <w:t xml:space="preserve"> </w:t>
            </w:r>
            <w:r>
              <w:rPr>
                <w:rFonts w:hint="eastAsia" w:ascii="宋体" w:hAnsi="宋体" w:cs="宋体"/>
                <w:color w:val="auto"/>
                <w:spacing w:val="1"/>
                <w:highlight w:val="none"/>
              </w:rPr>
              <w:t xml:space="preserve">中打印速度为 </w:t>
            </w:r>
            <w:r>
              <w:rPr>
                <w:rFonts w:hint="eastAsia" w:ascii="宋体" w:hAnsi="宋体" w:cs="宋体"/>
                <w:color w:val="auto"/>
                <w:highlight w:val="none"/>
              </w:rPr>
              <w:t>15</w:t>
            </w:r>
            <w:r>
              <w:rPr>
                <w:rFonts w:hint="eastAsia" w:ascii="宋体" w:hAnsi="宋体" w:cs="宋体"/>
                <w:color w:val="auto"/>
                <w:spacing w:val="6"/>
                <w:highlight w:val="none"/>
              </w:rPr>
              <w:t xml:space="preserve"> 页</w:t>
            </w:r>
            <w:r>
              <w:rPr>
                <w:rFonts w:hint="eastAsia" w:ascii="宋体" w:hAnsi="宋体" w:cs="宋体"/>
                <w:color w:val="auto"/>
                <w:highlight w:val="none"/>
              </w:rPr>
              <w:t>/分的针式打印机相关要求</w:t>
            </w:r>
          </w:p>
        </w:tc>
      </w:tr>
      <w:tr w14:paraId="63D157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jc w:val="center"/>
        </w:trPr>
        <w:tc>
          <w:tcPr>
            <w:tcW w:w="564" w:type="dxa"/>
            <w:gridSpan w:val="2"/>
            <w:vAlign w:val="center"/>
          </w:tcPr>
          <w:p w14:paraId="214CDFA8">
            <w:pPr>
              <w:autoSpaceDE w:val="0"/>
              <w:autoSpaceDN w:val="0"/>
              <w:jc w:val="center"/>
              <w:rPr>
                <w:rFonts w:hint="eastAsia" w:ascii="宋体" w:hAnsi="宋体" w:cs="宋体"/>
                <w:color w:val="auto"/>
                <w:highlight w:val="none"/>
              </w:rPr>
            </w:pPr>
            <w:r>
              <w:rPr>
                <w:rFonts w:hint="eastAsia" w:ascii="宋体" w:hAnsi="宋体" w:cs="宋体"/>
                <w:color w:val="auto"/>
                <w:highlight w:val="none"/>
              </w:rPr>
              <w:t>3</w:t>
            </w:r>
          </w:p>
        </w:tc>
        <w:tc>
          <w:tcPr>
            <w:tcW w:w="1614" w:type="dxa"/>
            <w:vAlign w:val="center"/>
          </w:tcPr>
          <w:p w14:paraId="0C88EEBE">
            <w:pPr>
              <w:autoSpaceDE w:val="0"/>
              <w:autoSpaceDN w:val="0"/>
              <w:jc w:val="center"/>
              <w:rPr>
                <w:rFonts w:hint="eastAsia" w:ascii="宋体" w:hAnsi="宋体" w:cs="宋体"/>
                <w:color w:val="auto"/>
                <w:highlight w:val="none"/>
              </w:rPr>
            </w:pPr>
            <w:r>
              <w:rPr>
                <w:rFonts w:hint="eastAsia" w:ascii="宋体" w:hAnsi="宋体" w:cs="宋体"/>
                <w:color w:val="auto"/>
                <w:highlight w:val="none"/>
              </w:rPr>
              <w:t>A020202</w:t>
            </w:r>
            <w:r>
              <w:rPr>
                <w:rFonts w:hint="eastAsia" w:ascii="宋体" w:hAnsi="宋体" w:cs="宋体"/>
                <w:color w:val="auto"/>
                <w:spacing w:val="-20"/>
                <w:highlight w:val="none"/>
              </w:rPr>
              <w:t xml:space="preserve"> 投影</w:t>
            </w:r>
            <w:r>
              <w:rPr>
                <w:rFonts w:hint="eastAsia" w:ascii="宋体" w:hAnsi="宋体" w:cs="宋体"/>
                <w:color w:val="auto"/>
                <w:highlight w:val="none"/>
              </w:rPr>
              <w:t>仪</w:t>
            </w:r>
          </w:p>
        </w:tc>
        <w:tc>
          <w:tcPr>
            <w:tcW w:w="1350" w:type="dxa"/>
            <w:vAlign w:val="center"/>
          </w:tcPr>
          <w:p w14:paraId="70D99362">
            <w:pPr>
              <w:autoSpaceDE w:val="0"/>
              <w:autoSpaceDN w:val="0"/>
              <w:jc w:val="center"/>
              <w:rPr>
                <w:rFonts w:hint="eastAsia" w:ascii="宋体" w:hAnsi="宋体" w:cs="宋体"/>
                <w:color w:val="auto"/>
                <w:highlight w:val="none"/>
              </w:rPr>
            </w:pPr>
          </w:p>
        </w:tc>
        <w:tc>
          <w:tcPr>
            <w:tcW w:w="1868" w:type="dxa"/>
            <w:vAlign w:val="center"/>
          </w:tcPr>
          <w:p w14:paraId="4208F5E3">
            <w:pPr>
              <w:autoSpaceDE w:val="0"/>
              <w:autoSpaceDN w:val="0"/>
              <w:jc w:val="center"/>
              <w:rPr>
                <w:rFonts w:hint="eastAsia" w:ascii="宋体" w:hAnsi="宋体" w:cs="宋体"/>
                <w:color w:val="auto"/>
                <w:highlight w:val="none"/>
              </w:rPr>
            </w:pPr>
          </w:p>
        </w:tc>
        <w:tc>
          <w:tcPr>
            <w:tcW w:w="3632" w:type="dxa"/>
            <w:vAlign w:val="center"/>
          </w:tcPr>
          <w:p w14:paraId="63C4AE07">
            <w:pPr>
              <w:autoSpaceDE w:val="0"/>
              <w:autoSpaceDN w:val="0"/>
              <w:jc w:val="center"/>
              <w:rPr>
                <w:rFonts w:hint="eastAsia" w:ascii="宋体" w:hAnsi="宋体" w:cs="宋体"/>
                <w:color w:val="auto"/>
                <w:highlight w:val="none"/>
              </w:rPr>
            </w:pPr>
            <w:r>
              <w:rPr>
                <w:rFonts w:hint="eastAsia" w:ascii="宋体" w:hAnsi="宋体" w:cs="宋体"/>
                <w:color w:val="auto"/>
                <w:highlight w:val="none"/>
              </w:rPr>
              <w:t>《投影机能效限定值及能效等级》（GB</w:t>
            </w:r>
            <w:r>
              <w:rPr>
                <w:rFonts w:hint="eastAsia" w:ascii="宋体" w:hAnsi="宋体" w:cs="宋体"/>
                <w:color w:val="auto"/>
                <w:spacing w:val="1"/>
                <w:highlight w:val="none"/>
              </w:rPr>
              <w:t xml:space="preserve"> </w:t>
            </w:r>
            <w:r>
              <w:rPr>
                <w:rFonts w:hint="eastAsia" w:ascii="宋体" w:hAnsi="宋体" w:cs="宋体"/>
                <w:color w:val="auto"/>
                <w:highlight w:val="none"/>
              </w:rPr>
              <w:t>32028）</w:t>
            </w:r>
          </w:p>
        </w:tc>
      </w:tr>
      <w:tr w14:paraId="7BC572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0" w:hRule="atLeast"/>
          <w:jc w:val="center"/>
        </w:trPr>
        <w:tc>
          <w:tcPr>
            <w:tcW w:w="564" w:type="dxa"/>
            <w:gridSpan w:val="2"/>
            <w:vAlign w:val="center"/>
          </w:tcPr>
          <w:p w14:paraId="7BCA8F1D">
            <w:pPr>
              <w:autoSpaceDE w:val="0"/>
              <w:autoSpaceDN w:val="0"/>
              <w:jc w:val="center"/>
              <w:rPr>
                <w:rFonts w:hint="eastAsia" w:ascii="宋体" w:hAnsi="宋体" w:cs="宋体"/>
                <w:color w:val="auto"/>
                <w:highlight w:val="none"/>
              </w:rPr>
            </w:pPr>
            <w:r>
              <w:rPr>
                <w:rFonts w:hint="eastAsia" w:ascii="宋体" w:hAnsi="宋体" w:cs="宋体"/>
                <w:color w:val="auto"/>
                <w:highlight w:val="none"/>
              </w:rPr>
              <w:t>4</w:t>
            </w:r>
          </w:p>
        </w:tc>
        <w:tc>
          <w:tcPr>
            <w:tcW w:w="1614" w:type="dxa"/>
            <w:vAlign w:val="center"/>
          </w:tcPr>
          <w:p w14:paraId="363FEB8F">
            <w:pPr>
              <w:autoSpaceDE w:val="0"/>
              <w:autoSpaceDN w:val="0"/>
              <w:jc w:val="center"/>
              <w:rPr>
                <w:rFonts w:hint="eastAsia" w:ascii="宋体" w:hAnsi="宋体" w:cs="宋体"/>
                <w:color w:val="auto"/>
                <w:highlight w:val="none"/>
              </w:rPr>
            </w:pPr>
            <w:r>
              <w:rPr>
                <w:rFonts w:hint="eastAsia" w:ascii="宋体" w:hAnsi="宋体" w:cs="宋体"/>
                <w:color w:val="auto"/>
                <w:highlight w:val="none"/>
              </w:rPr>
              <w:t>A020204</w:t>
            </w:r>
            <w:r>
              <w:rPr>
                <w:rFonts w:hint="eastAsia" w:ascii="宋体" w:hAnsi="宋体" w:cs="宋体"/>
                <w:color w:val="auto"/>
                <w:spacing w:val="-20"/>
                <w:highlight w:val="none"/>
              </w:rPr>
              <w:t xml:space="preserve"> 多功</w:t>
            </w:r>
            <w:r>
              <w:rPr>
                <w:rFonts w:hint="eastAsia" w:ascii="宋体" w:hAnsi="宋体" w:cs="宋体"/>
                <w:color w:val="auto"/>
                <w:highlight w:val="none"/>
              </w:rPr>
              <w:t>能一体机</w:t>
            </w:r>
          </w:p>
        </w:tc>
        <w:tc>
          <w:tcPr>
            <w:tcW w:w="1350" w:type="dxa"/>
            <w:vAlign w:val="center"/>
          </w:tcPr>
          <w:p w14:paraId="22E734E6">
            <w:pPr>
              <w:autoSpaceDE w:val="0"/>
              <w:autoSpaceDN w:val="0"/>
              <w:jc w:val="center"/>
              <w:rPr>
                <w:rFonts w:hint="eastAsia" w:ascii="宋体" w:hAnsi="宋体" w:cs="宋体"/>
                <w:color w:val="auto"/>
                <w:highlight w:val="none"/>
              </w:rPr>
            </w:pPr>
          </w:p>
        </w:tc>
        <w:tc>
          <w:tcPr>
            <w:tcW w:w="1868" w:type="dxa"/>
            <w:vAlign w:val="center"/>
          </w:tcPr>
          <w:p w14:paraId="57A98A2B">
            <w:pPr>
              <w:autoSpaceDE w:val="0"/>
              <w:autoSpaceDN w:val="0"/>
              <w:jc w:val="center"/>
              <w:rPr>
                <w:rFonts w:hint="eastAsia" w:ascii="宋体" w:hAnsi="宋体" w:cs="宋体"/>
                <w:color w:val="auto"/>
                <w:highlight w:val="none"/>
              </w:rPr>
            </w:pPr>
          </w:p>
        </w:tc>
        <w:tc>
          <w:tcPr>
            <w:tcW w:w="3632" w:type="dxa"/>
            <w:vAlign w:val="center"/>
          </w:tcPr>
          <w:p w14:paraId="72F90A80">
            <w:pPr>
              <w:autoSpaceDE w:val="0"/>
              <w:autoSpaceDN w:val="0"/>
              <w:jc w:val="center"/>
              <w:rPr>
                <w:rFonts w:hint="eastAsia" w:ascii="宋体" w:hAnsi="宋体" w:cs="宋体"/>
                <w:color w:val="auto"/>
                <w:highlight w:val="none"/>
              </w:rPr>
            </w:pPr>
            <w:r>
              <w:rPr>
                <w:rFonts w:hint="eastAsia" w:ascii="宋体" w:hAnsi="宋体" w:cs="宋体"/>
                <w:color w:val="auto"/>
                <w:spacing w:val="-8"/>
                <w:highlight w:val="none"/>
              </w:rPr>
              <w:t>《复印机、打印机和传真机能效限</w:t>
            </w:r>
            <w:r>
              <w:rPr>
                <w:rFonts w:hint="eastAsia" w:ascii="宋体" w:hAnsi="宋体" w:cs="宋体"/>
                <w:color w:val="auto"/>
                <w:highlight w:val="none"/>
              </w:rPr>
              <w:t>定值及能效等级》（GB 21521）</w:t>
            </w:r>
          </w:p>
        </w:tc>
      </w:tr>
      <w:tr w14:paraId="49953C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jc w:val="center"/>
        </w:trPr>
        <w:tc>
          <w:tcPr>
            <w:tcW w:w="564" w:type="dxa"/>
            <w:gridSpan w:val="2"/>
            <w:vAlign w:val="center"/>
          </w:tcPr>
          <w:p w14:paraId="5BC85771">
            <w:pPr>
              <w:autoSpaceDE w:val="0"/>
              <w:autoSpaceDN w:val="0"/>
              <w:jc w:val="center"/>
              <w:rPr>
                <w:rFonts w:hint="eastAsia" w:ascii="宋体" w:hAnsi="宋体" w:cs="宋体"/>
                <w:color w:val="auto"/>
                <w:highlight w:val="none"/>
              </w:rPr>
            </w:pPr>
            <w:r>
              <w:rPr>
                <w:rFonts w:hint="eastAsia" w:ascii="宋体" w:hAnsi="宋体" w:cs="宋体"/>
                <w:color w:val="auto"/>
                <w:highlight w:val="none"/>
              </w:rPr>
              <w:t>5</w:t>
            </w:r>
          </w:p>
        </w:tc>
        <w:tc>
          <w:tcPr>
            <w:tcW w:w="1614" w:type="dxa"/>
            <w:vAlign w:val="center"/>
          </w:tcPr>
          <w:p w14:paraId="5BA487C1">
            <w:pPr>
              <w:autoSpaceDE w:val="0"/>
              <w:autoSpaceDN w:val="0"/>
              <w:jc w:val="center"/>
              <w:rPr>
                <w:rFonts w:hint="eastAsia" w:ascii="宋体" w:hAnsi="宋体" w:cs="宋体"/>
                <w:color w:val="auto"/>
                <w:highlight w:val="none"/>
              </w:rPr>
            </w:pPr>
            <w:r>
              <w:rPr>
                <w:rFonts w:hint="eastAsia" w:ascii="宋体" w:hAnsi="宋体" w:cs="宋体"/>
                <w:color w:val="auto"/>
                <w:highlight w:val="none"/>
              </w:rPr>
              <w:t>A020519</w:t>
            </w:r>
            <w:r>
              <w:rPr>
                <w:rFonts w:hint="eastAsia" w:ascii="宋体" w:hAnsi="宋体" w:cs="宋体"/>
                <w:color w:val="auto"/>
                <w:spacing w:val="-25"/>
                <w:highlight w:val="none"/>
              </w:rPr>
              <w:t xml:space="preserve"> 泵</w:t>
            </w:r>
          </w:p>
        </w:tc>
        <w:tc>
          <w:tcPr>
            <w:tcW w:w="1350" w:type="dxa"/>
            <w:vAlign w:val="center"/>
          </w:tcPr>
          <w:p w14:paraId="559C68D0">
            <w:pPr>
              <w:autoSpaceDE w:val="0"/>
              <w:autoSpaceDN w:val="0"/>
              <w:jc w:val="center"/>
              <w:rPr>
                <w:rFonts w:hint="eastAsia" w:ascii="宋体" w:hAnsi="宋体" w:cs="宋体"/>
                <w:color w:val="auto"/>
                <w:highlight w:val="none"/>
              </w:rPr>
            </w:pPr>
            <w:r>
              <w:rPr>
                <w:rFonts w:hint="eastAsia" w:ascii="宋体" w:hAnsi="宋体" w:cs="宋体"/>
                <w:color w:val="auto"/>
                <w:highlight w:val="none"/>
              </w:rPr>
              <w:t>A02051901</w:t>
            </w:r>
            <w:r>
              <w:rPr>
                <w:rFonts w:hint="eastAsia" w:ascii="宋体" w:hAnsi="宋体" w:cs="宋体"/>
                <w:color w:val="auto"/>
                <w:spacing w:val="-8"/>
                <w:highlight w:val="none"/>
              </w:rPr>
              <w:t xml:space="preserve"> 离心泵</w:t>
            </w:r>
          </w:p>
        </w:tc>
        <w:tc>
          <w:tcPr>
            <w:tcW w:w="1868" w:type="dxa"/>
            <w:vAlign w:val="center"/>
          </w:tcPr>
          <w:p w14:paraId="41AED79A">
            <w:pPr>
              <w:autoSpaceDE w:val="0"/>
              <w:autoSpaceDN w:val="0"/>
              <w:jc w:val="center"/>
              <w:rPr>
                <w:rFonts w:hint="eastAsia" w:ascii="宋体" w:hAnsi="宋体" w:cs="宋体"/>
                <w:color w:val="auto"/>
                <w:highlight w:val="none"/>
              </w:rPr>
            </w:pPr>
          </w:p>
        </w:tc>
        <w:tc>
          <w:tcPr>
            <w:tcW w:w="3632" w:type="dxa"/>
            <w:vAlign w:val="center"/>
          </w:tcPr>
          <w:p w14:paraId="0C8ECF1E">
            <w:pPr>
              <w:autoSpaceDE w:val="0"/>
              <w:autoSpaceDN w:val="0"/>
              <w:jc w:val="center"/>
              <w:rPr>
                <w:rFonts w:hint="eastAsia" w:ascii="宋体" w:hAnsi="宋体" w:cs="宋体"/>
                <w:color w:val="auto"/>
                <w:highlight w:val="none"/>
              </w:rPr>
            </w:pPr>
            <w:r>
              <w:rPr>
                <w:rFonts w:hint="eastAsia" w:ascii="宋体" w:hAnsi="宋体" w:cs="宋体"/>
                <w:color w:val="auto"/>
                <w:spacing w:val="9"/>
                <w:highlight w:val="none"/>
              </w:rPr>
              <w:t>《清水离心泵能效限定值及节能</w:t>
            </w:r>
            <w:r>
              <w:rPr>
                <w:rFonts w:hint="eastAsia" w:ascii="宋体" w:hAnsi="宋体" w:cs="宋体"/>
                <w:color w:val="auto"/>
                <w:highlight w:val="none"/>
              </w:rPr>
              <w:t>评价值》（GB 19762）</w:t>
            </w:r>
          </w:p>
        </w:tc>
      </w:tr>
      <w:tr w14:paraId="436123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jc w:val="center"/>
        </w:trPr>
        <w:tc>
          <w:tcPr>
            <w:tcW w:w="564" w:type="dxa"/>
            <w:gridSpan w:val="2"/>
            <w:vMerge w:val="restart"/>
            <w:vAlign w:val="center"/>
          </w:tcPr>
          <w:p w14:paraId="55879839">
            <w:pPr>
              <w:autoSpaceDE w:val="0"/>
              <w:autoSpaceDN w:val="0"/>
              <w:jc w:val="center"/>
              <w:rPr>
                <w:rFonts w:hint="eastAsia" w:ascii="宋体" w:hAnsi="宋体" w:cs="宋体"/>
                <w:color w:val="auto"/>
                <w:highlight w:val="none"/>
              </w:rPr>
            </w:pPr>
            <w:r>
              <w:rPr>
                <w:rFonts w:hint="eastAsia" w:ascii="宋体" w:hAnsi="宋体" w:cs="宋体"/>
                <w:color w:val="auto"/>
                <w:highlight w:val="none"/>
              </w:rPr>
              <w:t>6</w:t>
            </w:r>
          </w:p>
        </w:tc>
        <w:tc>
          <w:tcPr>
            <w:tcW w:w="1614" w:type="dxa"/>
            <w:vMerge w:val="restart"/>
            <w:vAlign w:val="center"/>
          </w:tcPr>
          <w:p w14:paraId="53140502">
            <w:pPr>
              <w:autoSpaceDE w:val="0"/>
              <w:autoSpaceDN w:val="0"/>
              <w:jc w:val="center"/>
              <w:rPr>
                <w:rFonts w:hint="eastAsia" w:ascii="宋体" w:hAnsi="宋体" w:cs="宋体"/>
                <w:color w:val="auto"/>
                <w:highlight w:val="none"/>
              </w:rPr>
            </w:pPr>
            <w:r>
              <w:rPr>
                <w:rFonts w:hint="eastAsia" w:ascii="宋体" w:hAnsi="宋体" w:cs="宋体"/>
                <w:color w:val="auto"/>
                <w:highlight w:val="none"/>
              </w:rPr>
              <w:t>A020523</w:t>
            </w:r>
            <w:r>
              <w:rPr>
                <w:rFonts w:hint="eastAsia" w:ascii="宋体" w:hAnsi="宋体" w:cs="宋体"/>
                <w:color w:val="auto"/>
                <w:spacing w:val="-20"/>
                <w:highlight w:val="none"/>
              </w:rPr>
              <w:t xml:space="preserve"> 制冷</w:t>
            </w:r>
            <w:r>
              <w:rPr>
                <w:rFonts w:hint="eastAsia" w:ascii="宋体" w:hAnsi="宋体" w:cs="宋体"/>
                <w:color w:val="auto"/>
                <w:highlight w:val="none"/>
              </w:rPr>
              <w:t>空调设备</w:t>
            </w:r>
          </w:p>
        </w:tc>
        <w:tc>
          <w:tcPr>
            <w:tcW w:w="1350" w:type="dxa"/>
            <w:vMerge w:val="restart"/>
            <w:vAlign w:val="center"/>
          </w:tcPr>
          <w:p w14:paraId="055B39CF">
            <w:pPr>
              <w:autoSpaceDE w:val="0"/>
              <w:autoSpaceDN w:val="0"/>
              <w:jc w:val="center"/>
              <w:rPr>
                <w:rFonts w:hint="eastAsia" w:ascii="宋体" w:hAnsi="宋体" w:cs="宋体"/>
                <w:color w:val="auto"/>
                <w:highlight w:val="none"/>
              </w:rPr>
            </w:pPr>
            <w:r>
              <w:rPr>
                <w:rFonts w:hint="eastAsia" w:ascii="宋体" w:hAnsi="宋体" w:cs="宋体"/>
                <w:color w:val="auto"/>
                <w:highlight w:val="none"/>
              </w:rPr>
              <w:t>★A02052301</w:t>
            </w:r>
            <w:r>
              <w:rPr>
                <w:rFonts w:hint="eastAsia" w:ascii="宋体" w:hAnsi="宋体" w:cs="宋体"/>
                <w:color w:val="auto"/>
                <w:spacing w:val="-7"/>
                <w:highlight w:val="none"/>
              </w:rPr>
              <w:t xml:space="preserve"> 制冷压</w:t>
            </w:r>
            <w:r>
              <w:rPr>
                <w:rFonts w:hint="eastAsia" w:ascii="宋体" w:hAnsi="宋体" w:cs="宋体"/>
                <w:color w:val="auto"/>
                <w:highlight w:val="none"/>
              </w:rPr>
              <w:t>缩机</w:t>
            </w:r>
          </w:p>
        </w:tc>
        <w:tc>
          <w:tcPr>
            <w:tcW w:w="1868" w:type="dxa"/>
            <w:vAlign w:val="center"/>
          </w:tcPr>
          <w:p w14:paraId="36C0F498">
            <w:pPr>
              <w:autoSpaceDE w:val="0"/>
              <w:autoSpaceDN w:val="0"/>
              <w:jc w:val="center"/>
              <w:rPr>
                <w:rFonts w:hint="eastAsia" w:ascii="宋体" w:hAnsi="宋体" w:cs="宋体"/>
                <w:color w:val="auto"/>
                <w:highlight w:val="none"/>
              </w:rPr>
            </w:pPr>
            <w:r>
              <w:rPr>
                <w:rFonts w:hint="eastAsia" w:ascii="宋体" w:hAnsi="宋体" w:cs="宋体"/>
                <w:color w:val="auto"/>
                <w:highlight w:val="none"/>
              </w:rPr>
              <w:t>冷水机组</w:t>
            </w:r>
          </w:p>
        </w:tc>
        <w:tc>
          <w:tcPr>
            <w:tcW w:w="3632" w:type="dxa"/>
            <w:vAlign w:val="center"/>
          </w:tcPr>
          <w:p w14:paraId="753E0F51">
            <w:pPr>
              <w:autoSpaceDE w:val="0"/>
              <w:autoSpaceDN w:val="0"/>
              <w:jc w:val="center"/>
              <w:rPr>
                <w:rFonts w:hint="eastAsia" w:ascii="宋体" w:hAnsi="宋体" w:cs="宋体"/>
                <w:color w:val="auto"/>
                <w:spacing w:val="9"/>
                <w:highlight w:val="none"/>
              </w:rPr>
            </w:pPr>
            <w:r>
              <w:rPr>
                <w:rFonts w:hint="eastAsia" w:ascii="宋体" w:hAnsi="宋体" w:cs="宋体"/>
                <w:color w:val="auto"/>
                <w:spacing w:val="9"/>
                <w:highlight w:val="none"/>
              </w:rPr>
              <w:t>《冷水机组能效限定值及能效等</w:t>
            </w:r>
            <w:r>
              <w:rPr>
                <w:rFonts w:hint="eastAsia" w:ascii="宋体" w:hAnsi="宋体" w:cs="宋体"/>
                <w:color w:val="auto"/>
                <w:highlight w:val="none"/>
              </w:rPr>
              <w:t>级》（GB</w:t>
            </w:r>
            <w:r>
              <w:rPr>
                <w:rFonts w:hint="eastAsia" w:ascii="宋体" w:hAnsi="宋体" w:cs="宋体"/>
                <w:color w:val="auto"/>
                <w:spacing w:val="41"/>
                <w:highlight w:val="none"/>
              </w:rPr>
              <w:t xml:space="preserve"> </w:t>
            </w:r>
            <w:r>
              <w:rPr>
                <w:rFonts w:hint="eastAsia" w:ascii="宋体" w:hAnsi="宋体" w:cs="宋体"/>
                <w:color w:val="auto"/>
                <w:highlight w:val="none"/>
              </w:rPr>
              <w:t>19577），《低环境温度</w:t>
            </w:r>
            <w:r>
              <w:rPr>
                <w:rFonts w:hint="eastAsia" w:ascii="宋体" w:hAnsi="宋体" w:cs="宋体"/>
                <w:color w:val="auto"/>
                <w:spacing w:val="-5"/>
                <w:highlight w:val="none"/>
              </w:rPr>
              <w:t>空气源热泵</w:t>
            </w:r>
            <w:r>
              <w:rPr>
                <w:rFonts w:hint="eastAsia" w:ascii="宋体" w:hAnsi="宋体" w:cs="宋体"/>
                <w:color w:val="auto"/>
                <w:spacing w:val="-4"/>
                <w:highlight w:val="none"/>
              </w:rPr>
              <w:t>（冷水）机组能效限定</w:t>
            </w:r>
            <w:r>
              <w:rPr>
                <w:rFonts w:hint="eastAsia" w:ascii="宋体" w:hAnsi="宋体" w:cs="宋体"/>
                <w:color w:val="auto"/>
                <w:highlight w:val="none"/>
              </w:rPr>
              <w:t>值及能效等级》（GB 37480）</w:t>
            </w:r>
          </w:p>
        </w:tc>
      </w:tr>
      <w:tr w14:paraId="631A8A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jc w:val="center"/>
        </w:trPr>
        <w:tc>
          <w:tcPr>
            <w:tcW w:w="564" w:type="dxa"/>
            <w:gridSpan w:val="2"/>
            <w:vMerge w:val="continue"/>
            <w:vAlign w:val="center"/>
          </w:tcPr>
          <w:p w14:paraId="3E615DEC">
            <w:pPr>
              <w:autoSpaceDE w:val="0"/>
              <w:autoSpaceDN w:val="0"/>
              <w:jc w:val="center"/>
              <w:rPr>
                <w:rFonts w:hint="eastAsia" w:ascii="宋体" w:hAnsi="宋体" w:cs="宋体"/>
                <w:color w:val="auto"/>
                <w:highlight w:val="none"/>
              </w:rPr>
            </w:pPr>
          </w:p>
        </w:tc>
        <w:tc>
          <w:tcPr>
            <w:tcW w:w="1614" w:type="dxa"/>
            <w:vMerge w:val="continue"/>
            <w:vAlign w:val="center"/>
          </w:tcPr>
          <w:p w14:paraId="1EF94BDA">
            <w:pPr>
              <w:autoSpaceDE w:val="0"/>
              <w:autoSpaceDN w:val="0"/>
              <w:jc w:val="center"/>
              <w:rPr>
                <w:rFonts w:hint="eastAsia" w:ascii="宋体" w:hAnsi="宋体" w:cs="宋体"/>
                <w:color w:val="auto"/>
                <w:highlight w:val="none"/>
              </w:rPr>
            </w:pPr>
          </w:p>
        </w:tc>
        <w:tc>
          <w:tcPr>
            <w:tcW w:w="1350" w:type="dxa"/>
            <w:vMerge w:val="continue"/>
            <w:vAlign w:val="center"/>
          </w:tcPr>
          <w:p w14:paraId="747C177B">
            <w:pPr>
              <w:autoSpaceDE w:val="0"/>
              <w:autoSpaceDN w:val="0"/>
              <w:jc w:val="center"/>
              <w:rPr>
                <w:rFonts w:hint="eastAsia" w:ascii="宋体" w:hAnsi="宋体" w:cs="宋体"/>
                <w:color w:val="auto"/>
                <w:highlight w:val="none"/>
              </w:rPr>
            </w:pPr>
          </w:p>
        </w:tc>
        <w:tc>
          <w:tcPr>
            <w:tcW w:w="1868" w:type="dxa"/>
            <w:vAlign w:val="center"/>
          </w:tcPr>
          <w:p w14:paraId="17E436C8">
            <w:pPr>
              <w:autoSpaceDE w:val="0"/>
              <w:autoSpaceDN w:val="0"/>
              <w:jc w:val="center"/>
              <w:rPr>
                <w:rFonts w:hint="eastAsia" w:ascii="宋体" w:hAnsi="宋体" w:cs="宋体"/>
                <w:color w:val="auto"/>
                <w:highlight w:val="none"/>
              </w:rPr>
            </w:pPr>
            <w:r>
              <w:rPr>
                <w:rFonts w:hint="eastAsia" w:ascii="宋体" w:hAnsi="宋体" w:cs="宋体"/>
                <w:color w:val="auto"/>
                <w:highlight w:val="none"/>
              </w:rPr>
              <w:t>水源热泵机组</w:t>
            </w:r>
          </w:p>
        </w:tc>
        <w:tc>
          <w:tcPr>
            <w:tcW w:w="3632" w:type="dxa"/>
            <w:vAlign w:val="center"/>
          </w:tcPr>
          <w:p w14:paraId="3A8AE921">
            <w:pPr>
              <w:autoSpaceDE w:val="0"/>
              <w:autoSpaceDN w:val="0"/>
              <w:jc w:val="center"/>
              <w:rPr>
                <w:rFonts w:hint="eastAsia" w:ascii="宋体" w:hAnsi="宋体" w:cs="宋体"/>
                <w:color w:val="auto"/>
                <w:spacing w:val="9"/>
                <w:highlight w:val="none"/>
              </w:rPr>
            </w:pPr>
            <w:r>
              <w:rPr>
                <w:rFonts w:hint="eastAsia" w:ascii="宋体" w:hAnsi="宋体" w:cs="宋体"/>
                <w:color w:val="auto"/>
                <w:spacing w:val="-5"/>
                <w:highlight w:val="none"/>
              </w:rPr>
              <w:t>《水（地</w:t>
            </w:r>
            <w:r>
              <w:rPr>
                <w:rFonts w:hint="eastAsia" w:ascii="宋体" w:hAnsi="宋体" w:cs="宋体"/>
                <w:color w:val="auto"/>
                <w:spacing w:val="-4"/>
                <w:highlight w:val="none"/>
              </w:rPr>
              <w:t>）源热泵机组能效限定值</w:t>
            </w:r>
            <w:r>
              <w:rPr>
                <w:rFonts w:hint="eastAsia" w:ascii="宋体" w:hAnsi="宋体" w:cs="宋体"/>
                <w:color w:val="auto"/>
                <w:highlight w:val="none"/>
              </w:rPr>
              <w:t>及能效等级》（GB</w:t>
            </w:r>
            <w:r>
              <w:rPr>
                <w:rFonts w:hint="eastAsia" w:ascii="宋体" w:hAnsi="宋体" w:cs="宋体"/>
                <w:color w:val="auto"/>
                <w:spacing w:val="1"/>
                <w:highlight w:val="none"/>
              </w:rPr>
              <w:t xml:space="preserve"> </w:t>
            </w:r>
            <w:r>
              <w:rPr>
                <w:rFonts w:hint="eastAsia" w:ascii="宋体" w:hAnsi="宋体" w:cs="宋体"/>
                <w:color w:val="auto"/>
                <w:highlight w:val="none"/>
              </w:rPr>
              <w:t>30721）</w:t>
            </w:r>
          </w:p>
        </w:tc>
      </w:tr>
      <w:tr w14:paraId="1E277A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jc w:val="center"/>
        </w:trPr>
        <w:tc>
          <w:tcPr>
            <w:tcW w:w="564" w:type="dxa"/>
            <w:gridSpan w:val="2"/>
            <w:vMerge w:val="continue"/>
            <w:vAlign w:val="center"/>
          </w:tcPr>
          <w:p w14:paraId="38DC9ED1">
            <w:pPr>
              <w:autoSpaceDE w:val="0"/>
              <w:autoSpaceDN w:val="0"/>
              <w:jc w:val="center"/>
              <w:rPr>
                <w:rFonts w:hint="eastAsia" w:ascii="宋体" w:hAnsi="宋体" w:cs="宋体"/>
                <w:color w:val="auto"/>
                <w:highlight w:val="none"/>
              </w:rPr>
            </w:pPr>
          </w:p>
        </w:tc>
        <w:tc>
          <w:tcPr>
            <w:tcW w:w="1614" w:type="dxa"/>
            <w:vMerge w:val="continue"/>
            <w:vAlign w:val="center"/>
          </w:tcPr>
          <w:p w14:paraId="44F9CEDB">
            <w:pPr>
              <w:autoSpaceDE w:val="0"/>
              <w:autoSpaceDN w:val="0"/>
              <w:jc w:val="center"/>
              <w:rPr>
                <w:rFonts w:hint="eastAsia" w:ascii="宋体" w:hAnsi="宋体" w:cs="宋体"/>
                <w:color w:val="auto"/>
                <w:highlight w:val="none"/>
              </w:rPr>
            </w:pPr>
          </w:p>
        </w:tc>
        <w:tc>
          <w:tcPr>
            <w:tcW w:w="1350" w:type="dxa"/>
            <w:vMerge w:val="continue"/>
            <w:vAlign w:val="center"/>
          </w:tcPr>
          <w:p w14:paraId="68FDEE64">
            <w:pPr>
              <w:autoSpaceDE w:val="0"/>
              <w:autoSpaceDN w:val="0"/>
              <w:jc w:val="center"/>
              <w:rPr>
                <w:rFonts w:hint="eastAsia" w:ascii="宋体" w:hAnsi="宋体" w:cs="宋体"/>
                <w:color w:val="auto"/>
                <w:highlight w:val="none"/>
              </w:rPr>
            </w:pPr>
          </w:p>
        </w:tc>
        <w:tc>
          <w:tcPr>
            <w:tcW w:w="1868" w:type="dxa"/>
            <w:vAlign w:val="center"/>
          </w:tcPr>
          <w:p w14:paraId="3FF509F4">
            <w:pPr>
              <w:autoSpaceDE w:val="0"/>
              <w:autoSpaceDN w:val="0"/>
              <w:jc w:val="center"/>
              <w:rPr>
                <w:rFonts w:hint="eastAsia" w:ascii="宋体" w:hAnsi="宋体" w:cs="宋体"/>
                <w:color w:val="auto"/>
                <w:highlight w:val="none"/>
              </w:rPr>
            </w:pPr>
            <w:r>
              <w:rPr>
                <w:rFonts w:hint="eastAsia" w:ascii="宋体" w:hAnsi="宋体" w:cs="宋体"/>
                <w:color w:val="auto"/>
                <w:spacing w:val="8"/>
                <w:highlight w:val="none"/>
              </w:rPr>
              <w:t>溴化锂吸收式冷水机</w:t>
            </w:r>
            <w:r>
              <w:rPr>
                <w:rFonts w:hint="eastAsia" w:ascii="宋体" w:hAnsi="宋体" w:cs="宋体"/>
                <w:color w:val="auto"/>
                <w:highlight w:val="none"/>
              </w:rPr>
              <w:t>组</w:t>
            </w:r>
          </w:p>
        </w:tc>
        <w:tc>
          <w:tcPr>
            <w:tcW w:w="3632" w:type="dxa"/>
            <w:vAlign w:val="center"/>
          </w:tcPr>
          <w:p w14:paraId="51875B84">
            <w:pPr>
              <w:autoSpaceDE w:val="0"/>
              <w:autoSpaceDN w:val="0"/>
              <w:jc w:val="center"/>
              <w:rPr>
                <w:rFonts w:hint="eastAsia" w:ascii="宋体" w:hAnsi="宋体" w:cs="宋体"/>
                <w:color w:val="auto"/>
                <w:spacing w:val="9"/>
                <w:highlight w:val="none"/>
              </w:rPr>
            </w:pPr>
            <w:r>
              <w:rPr>
                <w:rFonts w:hint="eastAsia" w:ascii="宋体" w:hAnsi="宋体" w:cs="宋体"/>
                <w:color w:val="auto"/>
                <w:spacing w:val="9"/>
                <w:highlight w:val="none"/>
              </w:rPr>
              <w:t>《溴化锂吸收式冷水机组能效限</w:t>
            </w:r>
            <w:r>
              <w:rPr>
                <w:rFonts w:hint="eastAsia" w:ascii="宋体" w:hAnsi="宋体" w:cs="宋体"/>
                <w:color w:val="auto"/>
                <w:highlight w:val="none"/>
              </w:rPr>
              <w:t>定值及能效等级》（GB 29540）</w:t>
            </w:r>
          </w:p>
        </w:tc>
      </w:tr>
      <w:tr w14:paraId="2DDD50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jc w:val="center"/>
        </w:trPr>
        <w:tc>
          <w:tcPr>
            <w:tcW w:w="564" w:type="dxa"/>
            <w:gridSpan w:val="2"/>
            <w:vMerge w:val="continue"/>
            <w:vAlign w:val="center"/>
          </w:tcPr>
          <w:p w14:paraId="4A7D8348">
            <w:pPr>
              <w:autoSpaceDE w:val="0"/>
              <w:autoSpaceDN w:val="0"/>
              <w:jc w:val="center"/>
              <w:rPr>
                <w:rFonts w:hint="eastAsia" w:ascii="宋体" w:hAnsi="宋体" w:cs="宋体"/>
                <w:color w:val="auto"/>
                <w:highlight w:val="none"/>
              </w:rPr>
            </w:pPr>
          </w:p>
        </w:tc>
        <w:tc>
          <w:tcPr>
            <w:tcW w:w="1614" w:type="dxa"/>
            <w:vMerge w:val="continue"/>
            <w:vAlign w:val="center"/>
          </w:tcPr>
          <w:p w14:paraId="48E5CBE4">
            <w:pPr>
              <w:autoSpaceDE w:val="0"/>
              <w:autoSpaceDN w:val="0"/>
              <w:jc w:val="center"/>
              <w:rPr>
                <w:rFonts w:hint="eastAsia" w:ascii="宋体" w:hAnsi="宋体" w:cs="宋体"/>
                <w:color w:val="auto"/>
                <w:highlight w:val="none"/>
              </w:rPr>
            </w:pPr>
          </w:p>
        </w:tc>
        <w:tc>
          <w:tcPr>
            <w:tcW w:w="1350" w:type="dxa"/>
            <w:vMerge w:val="restart"/>
            <w:vAlign w:val="center"/>
          </w:tcPr>
          <w:p w14:paraId="532AB58A">
            <w:pPr>
              <w:autoSpaceDE w:val="0"/>
              <w:autoSpaceDN w:val="0"/>
              <w:jc w:val="center"/>
              <w:rPr>
                <w:rFonts w:hint="eastAsia" w:ascii="宋体" w:hAnsi="宋体" w:cs="宋体"/>
                <w:color w:val="auto"/>
                <w:highlight w:val="none"/>
              </w:rPr>
            </w:pPr>
            <w:r>
              <w:rPr>
                <w:rFonts w:hint="eastAsia" w:ascii="宋体" w:hAnsi="宋体" w:cs="宋体"/>
                <w:color w:val="auto"/>
                <w:spacing w:val="-2"/>
                <w:highlight w:val="none"/>
              </w:rPr>
              <w:t>★A02052305</w:t>
            </w:r>
            <w:r>
              <w:rPr>
                <w:rFonts w:hint="eastAsia" w:ascii="宋体" w:hAnsi="宋体" w:cs="宋体"/>
                <w:color w:val="auto"/>
                <w:spacing w:val="-7"/>
                <w:highlight w:val="none"/>
              </w:rPr>
              <w:t xml:space="preserve"> 空调机</w:t>
            </w:r>
            <w:r>
              <w:rPr>
                <w:rFonts w:hint="eastAsia" w:ascii="宋体" w:hAnsi="宋体" w:cs="宋体"/>
                <w:color w:val="auto"/>
                <w:highlight w:val="none"/>
              </w:rPr>
              <w:t>组</w:t>
            </w:r>
          </w:p>
        </w:tc>
        <w:tc>
          <w:tcPr>
            <w:tcW w:w="1868" w:type="dxa"/>
            <w:vAlign w:val="center"/>
          </w:tcPr>
          <w:p w14:paraId="2381DD75">
            <w:pPr>
              <w:autoSpaceDE w:val="0"/>
              <w:autoSpaceDN w:val="0"/>
              <w:jc w:val="center"/>
              <w:rPr>
                <w:rFonts w:hint="eastAsia" w:ascii="宋体" w:hAnsi="宋体" w:cs="宋体"/>
                <w:color w:val="auto"/>
                <w:highlight w:val="none"/>
              </w:rPr>
            </w:pPr>
            <w:r>
              <w:rPr>
                <w:rFonts w:hint="eastAsia" w:ascii="宋体" w:hAnsi="宋体" w:cs="宋体"/>
                <w:color w:val="auto"/>
                <w:highlight w:val="none"/>
              </w:rPr>
              <w:t>多联式空调（热泵）机 组 ( 制 冷量&gt;14000W)</w:t>
            </w:r>
          </w:p>
        </w:tc>
        <w:tc>
          <w:tcPr>
            <w:tcW w:w="3632" w:type="dxa"/>
            <w:vAlign w:val="center"/>
          </w:tcPr>
          <w:p w14:paraId="549DFBFE">
            <w:pPr>
              <w:autoSpaceDE w:val="0"/>
              <w:autoSpaceDN w:val="0"/>
              <w:jc w:val="center"/>
              <w:rPr>
                <w:rFonts w:hint="eastAsia" w:ascii="宋体" w:hAnsi="宋体" w:cs="宋体"/>
                <w:color w:val="auto"/>
                <w:spacing w:val="9"/>
                <w:highlight w:val="none"/>
              </w:rPr>
            </w:pPr>
            <w:r>
              <w:rPr>
                <w:rFonts w:hint="eastAsia" w:ascii="宋体" w:hAnsi="宋体" w:cs="宋体"/>
                <w:color w:val="auto"/>
                <w:highlight w:val="none"/>
              </w:rPr>
              <w:t>《多联式空调（热泵）机组能效限</w:t>
            </w:r>
            <w:r>
              <w:rPr>
                <w:rFonts w:hint="eastAsia" w:ascii="宋体" w:hAnsi="宋体" w:cs="宋体"/>
                <w:color w:val="auto"/>
                <w:spacing w:val="-11"/>
                <w:highlight w:val="none"/>
              </w:rPr>
              <w:t>定值及能源效率等级》</w:t>
            </w:r>
            <w:r>
              <w:rPr>
                <w:rFonts w:hint="eastAsia" w:ascii="宋体" w:hAnsi="宋体" w:cs="宋体"/>
                <w:color w:val="auto"/>
                <w:highlight w:val="none"/>
              </w:rPr>
              <w:t>（GB</w:t>
            </w:r>
            <w:r>
              <w:rPr>
                <w:rFonts w:hint="eastAsia" w:ascii="宋体" w:hAnsi="宋体" w:cs="宋体"/>
                <w:color w:val="auto"/>
                <w:spacing w:val="55"/>
                <w:highlight w:val="none"/>
              </w:rPr>
              <w:t xml:space="preserve"> </w:t>
            </w:r>
            <w:r>
              <w:rPr>
                <w:rFonts w:hint="eastAsia" w:ascii="宋体" w:hAnsi="宋体" w:cs="宋体"/>
                <w:color w:val="auto"/>
                <w:highlight w:val="none"/>
              </w:rPr>
              <w:t>21454）</w:t>
            </w:r>
          </w:p>
        </w:tc>
      </w:tr>
      <w:tr w14:paraId="7C07DD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jc w:val="center"/>
        </w:trPr>
        <w:tc>
          <w:tcPr>
            <w:tcW w:w="564" w:type="dxa"/>
            <w:gridSpan w:val="2"/>
            <w:vMerge w:val="continue"/>
            <w:vAlign w:val="center"/>
          </w:tcPr>
          <w:p w14:paraId="227B5277">
            <w:pPr>
              <w:autoSpaceDE w:val="0"/>
              <w:autoSpaceDN w:val="0"/>
              <w:jc w:val="center"/>
              <w:rPr>
                <w:rFonts w:hint="eastAsia" w:ascii="宋体" w:hAnsi="宋体" w:cs="宋体"/>
                <w:color w:val="auto"/>
                <w:highlight w:val="none"/>
              </w:rPr>
            </w:pPr>
          </w:p>
        </w:tc>
        <w:tc>
          <w:tcPr>
            <w:tcW w:w="1614" w:type="dxa"/>
            <w:vMerge w:val="continue"/>
            <w:vAlign w:val="center"/>
          </w:tcPr>
          <w:p w14:paraId="3E3F81C8">
            <w:pPr>
              <w:autoSpaceDE w:val="0"/>
              <w:autoSpaceDN w:val="0"/>
              <w:jc w:val="center"/>
              <w:rPr>
                <w:rFonts w:hint="eastAsia" w:ascii="宋体" w:hAnsi="宋体" w:cs="宋体"/>
                <w:color w:val="auto"/>
                <w:highlight w:val="none"/>
              </w:rPr>
            </w:pPr>
          </w:p>
        </w:tc>
        <w:tc>
          <w:tcPr>
            <w:tcW w:w="1350" w:type="dxa"/>
            <w:vMerge w:val="continue"/>
            <w:vAlign w:val="center"/>
          </w:tcPr>
          <w:p w14:paraId="158592B2">
            <w:pPr>
              <w:autoSpaceDE w:val="0"/>
              <w:autoSpaceDN w:val="0"/>
              <w:jc w:val="center"/>
              <w:rPr>
                <w:rFonts w:hint="eastAsia" w:ascii="宋体" w:hAnsi="宋体" w:cs="宋体"/>
                <w:color w:val="auto"/>
                <w:highlight w:val="none"/>
              </w:rPr>
            </w:pPr>
          </w:p>
        </w:tc>
        <w:tc>
          <w:tcPr>
            <w:tcW w:w="1868" w:type="dxa"/>
            <w:vAlign w:val="center"/>
          </w:tcPr>
          <w:p w14:paraId="28BF5282">
            <w:pPr>
              <w:autoSpaceDE w:val="0"/>
              <w:autoSpaceDN w:val="0"/>
              <w:jc w:val="center"/>
              <w:rPr>
                <w:rFonts w:hint="eastAsia" w:ascii="宋体" w:hAnsi="宋体" w:cs="宋体"/>
                <w:color w:val="auto"/>
                <w:spacing w:val="8"/>
                <w:highlight w:val="none"/>
              </w:rPr>
            </w:pPr>
            <w:r>
              <w:rPr>
                <w:rFonts w:hint="eastAsia" w:ascii="宋体" w:hAnsi="宋体" w:cs="宋体"/>
                <w:color w:val="auto"/>
                <w:spacing w:val="35"/>
                <w:highlight w:val="none"/>
              </w:rPr>
              <w:t>单元式空气调节机</w:t>
            </w:r>
            <w:r>
              <w:rPr>
                <w:rFonts w:hint="eastAsia" w:ascii="宋体" w:hAnsi="宋体" w:cs="宋体"/>
                <w:color w:val="auto"/>
                <w:highlight w:val="none"/>
              </w:rPr>
              <w:t>(制冷量&gt;14000W)</w:t>
            </w:r>
          </w:p>
        </w:tc>
        <w:tc>
          <w:tcPr>
            <w:tcW w:w="3632" w:type="dxa"/>
            <w:vAlign w:val="center"/>
          </w:tcPr>
          <w:p w14:paraId="74152EA9">
            <w:pPr>
              <w:autoSpaceDE w:val="0"/>
              <w:autoSpaceDN w:val="0"/>
              <w:jc w:val="center"/>
              <w:rPr>
                <w:rFonts w:hint="eastAsia" w:ascii="宋体" w:hAnsi="宋体" w:cs="宋体"/>
                <w:color w:val="auto"/>
                <w:spacing w:val="9"/>
                <w:highlight w:val="none"/>
              </w:rPr>
            </w:pPr>
            <w:r>
              <w:rPr>
                <w:rFonts w:hint="eastAsia" w:ascii="宋体" w:hAnsi="宋体" w:cs="宋体"/>
                <w:color w:val="auto"/>
                <w:spacing w:val="9"/>
                <w:highlight w:val="none"/>
              </w:rPr>
              <w:t>《单元式空气调节机能效限定值</w:t>
            </w:r>
            <w:r>
              <w:rPr>
                <w:rFonts w:hint="eastAsia" w:ascii="宋体" w:hAnsi="宋体" w:cs="宋体"/>
                <w:color w:val="auto"/>
                <w:highlight w:val="none"/>
              </w:rPr>
              <w:t>及能效等级》（GB</w:t>
            </w:r>
            <w:r>
              <w:rPr>
                <w:rFonts w:hint="eastAsia" w:ascii="宋体" w:hAnsi="宋体" w:cs="宋体"/>
                <w:color w:val="auto"/>
                <w:spacing w:val="41"/>
                <w:highlight w:val="none"/>
              </w:rPr>
              <w:t xml:space="preserve"> </w:t>
            </w:r>
            <w:r>
              <w:rPr>
                <w:rFonts w:hint="eastAsia" w:ascii="宋体" w:hAnsi="宋体" w:cs="宋体"/>
                <w:color w:val="auto"/>
                <w:highlight w:val="none"/>
              </w:rPr>
              <w:t>19576）《风管</w:t>
            </w:r>
            <w:r>
              <w:rPr>
                <w:rFonts w:hint="eastAsia" w:ascii="宋体" w:hAnsi="宋体" w:cs="宋体"/>
                <w:color w:val="auto"/>
                <w:spacing w:val="9"/>
                <w:highlight w:val="none"/>
              </w:rPr>
              <w:t>送风式空调机组能效限定值及能</w:t>
            </w:r>
            <w:r>
              <w:rPr>
                <w:rFonts w:hint="eastAsia" w:ascii="宋体" w:hAnsi="宋体" w:cs="宋体"/>
                <w:color w:val="auto"/>
                <w:highlight w:val="none"/>
              </w:rPr>
              <w:t>效等级》（GB 37479）</w:t>
            </w:r>
          </w:p>
        </w:tc>
      </w:tr>
      <w:tr w14:paraId="152B8E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jc w:val="center"/>
        </w:trPr>
        <w:tc>
          <w:tcPr>
            <w:tcW w:w="564" w:type="dxa"/>
            <w:gridSpan w:val="2"/>
            <w:vMerge w:val="continue"/>
            <w:vAlign w:val="center"/>
          </w:tcPr>
          <w:p w14:paraId="30B4F33E">
            <w:pPr>
              <w:autoSpaceDE w:val="0"/>
              <w:autoSpaceDN w:val="0"/>
              <w:jc w:val="center"/>
              <w:rPr>
                <w:rFonts w:hint="eastAsia" w:ascii="宋体" w:hAnsi="宋体" w:cs="宋体"/>
                <w:color w:val="auto"/>
                <w:highlight w:val="none"/>
              </w:rPr>
            </w:pPr>
          </w:p>
        </w:tc>
        <w:tc>
          <w:tcPr>
            <w:tcW w:w="1614" w:type="dxa"/>
            <w:vMerge w:val="continue"/>
            <w:vAlign w:val="center"/>
          </w:tcPr>
          <w:p w14:paraId="75987192">
            <w:pPr>
              <w:autoSpaceDE w:val="0"/>
              <w:autoSpaceDN w:val="0"/>
              <w:jc w:val="center"/>
              <w:rPr>
                <w:rFonts w:hint="eastAsia" w:ascii="宋体" w:hAnsi="宋体" w:cs="宋体"/>
                <w:color w:val="auto"/>
                <w:highlight w:val="none"/>
              </w:rPr>
            </w:pPr>
          </w:p>
        </w:tc>
        <w:tc>
          <w:tcPr>
            <w:tcW w:w="1350" w:type="dxa"/>
            <w:vAlign w:val="center"/>
          </w:tcPr>
          <w:p w14:paraId="7FDAB306">
            <w:pPr>
              <w:autoSpaceDE w:val="0"/>
              <w:autoSpaceDN w:val="0"/>
              <w:jc w:val="center"/>
              <w:rPr>
                <w:rFonts w:hint="eastAsia" w:ascii="宋体" w:hAnsi="宋体" w:cs="宋体"/>
                <w:color w:val="auto"/>
                <w:highlight w:val="none"/>
              </w:rPr>
            </w:pPr>
            <w:r>
              <w:rPr>
                <w:rFonts w:hint="eastAsia" w:ascii="宋体" w:hAnsi="宋体" w:cs="宋体"/>
                <w:color w:val="auto"/>
                <w:spacing w:val="-2"/>
                <w:highlight w:val="none"/>
              </w:rPr>
              <w:t>★A02052309</w:t>
            </w:r>
            <w:r>
              <w:rPr>
                <w:rFonts w:hint="eastAsia" w:ascii="宋体" w:hAnsi="宋体" w:cs="宋体"/>
                <w:color w:val="auto"/>
                <w:spacing w:val="-7"/>
                <w:highlight w:val="none"/>
              </w:rPr>
              <w:t xml:space="preserve"> 专用制</w:t>
            </w:r>
            <w:r>
              <w:rPr>
                <w:rFonts w:hint="eastAsia" w:ascii="宋体" w:hAnsi="宋体" w:cs="宋体"/>
                <w:color w:val="auto"/>
                <w:highlight w:val="none"/>
              </w:rPr>
              <w:t>冷、空调设备</w:t>
            </w:r>
          </w:p>
        </w:tc>
        <w:tc>
          <w:tcPr>
            <w:tcW w:w="1868" w:type="dxa"/>
            <w:vAlign w:val="center"/>
          </w:tcPr>
          <w:p w14:paraId="48EDFCB0">
            <w:pPr>
              <w:autoSpaceDE w:val="0"/>
              <w:autoSpaceDN w:val="0"/>
              <w:jc w:val="center"/>
              <w:rPr>
                <w:rFonts w:hint="eastAsia" w:ascii="宋体" w:hAnsi="宋体" w:cs="宋体"/>
                <w:color w:val="auto"/>
                <w:spacing w:val="8"/>
                <w:highlight w:val="none"/>
              </w:rPr>
            </w:pPr>
            <w:r>
              <w:rPr>
                <w:rFonts w:hint="eastAsia" w:ascii="宋体" w:hAnsi="宋体" w:cs="宋体"/>
                <w:color w:val="auto"/>
                <w:highlight w:val="none"/>
              </w:rPr>
              <w:t>机房空调</w:t>
            </w:r>
          </w:p>
        </w:tc>
        <w:tc>
          <w:tcPr>
            <w:tcW w:w="3632" w:type="dxa"/>
            <w:vAlign w:val="center"/>
          </w:tcPr>
          <w:p w14:paraId="3A8BDCEC">
            <w:pPr>
              <w:autoSpaceDE w:val="0"/>
              <w:autoSpaceDN w:val="0"/>
              <w:jc w:val="center"/>
              <w:rPr>
                <w:rFonts w:hint="eastAsia" w:ascii="宋体" w:hAnsi="宋体" w:cs="宋体"/>
                <w:color w:val="auto"/>
                <w:spacing w:val="9"/>
                <w:highlight w:val="none"/>
              </w:rPr>
            </w:pPr>
            <w:r>
              <w:rPr>
                <w:rFonts w:hint="eastAsia" w:ascii="宋体" w:hAnsi="宋体" w:cs="宋体"/>
                <w:color w:val="auto"/>
                <w:spacing w:val="9"/>
                <w:highlight w:val="none"/>
              </w:rPr>
              <w:t>《单元式空气调节机能效限定值</w:t>
            </w:r>
            <w:r>
              <w:rPr>
                <w:rFonts w:hint="eastAsia" w:ascii="宋体" w:hAnsi="宋体" w:cs="宋体"/>
                <w:color w:val="auto"/>
                <w:highlight w:val="none"/>
              </w:rPr>
              <w:t>及能效等级》（GB</w:t>
            </w:r>
            <w:r>
              <w:rPr>
                <w:rFonts w:hint="eastAsia" w:ascii="宋体" w:hAnsi="宋体" w:cs="宋体"/>
                <w:color w:val="auto"/>
                <w:spacing w:val="1"/>
                <w:highlight w:val="none"/>
              </w:rPr>
              <w:t xml:space="preserve"> </w:t>
            </w:r>
            <w:r>
              <w:rPr>
                <w:rFonts w:hint="eastAsia" w:ascii="宋体" w:hAnsi="宋体" w:cs="宋体"/>
                <w:color w:val="auto"/>
                <w:highlight w:val="none"/>
              </w:rPr>
              <w:t>19576）</w:t>
            </w:r>
          </w:p>
        </w:tc>
      </w:tr>
      <w:tr w14:paraId="0535BF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jc w:val="center"/>
        </w:trPr>
        <w:tc>
          <w:tcPr>
            <w:tcW w:w="564" w:type="dxa"/>
            <w:gridSpan w:val="2"/>
            <w:vMerge w:val="continue"/>
            <w:vAlign w:val="center"/>
          </w:tcPr>
          <w:p w14:paraId="79E7B07D">
            <w:pPr>
              <w:autoSpaceDE w:val="0"/>
              <w:autoSpaceDN w:val="0"/>
              <w:jc w:val="center"/>
              <w:rPr>
                <w:rFonts w:hint="eastAsia" w:ascii="宋体" w:hAnsi="宋体" w:cs="宋体"/>
                <w:color w:val="auto"/>
                <w:highlight w:val="none"/>
              </w:rPr>
            </w:pPr>
          </w:p>
        </w:tc>
        <w:tc>
          <w:tcPr>
            <w:tcW w:w="1614" w:type="dxa"/>
            <w:vMerge w:val="continue"/>
            <w:vAlign w:val="center"/>
          </w:tcPr>
          <w:p w14:paraId="30B3F47C">
            <w:pPr>
              <w:autoSpaceDE w:val="0"/>
              <w:autoSpaceDN w:val="0"/>
              <w:jc w:val="center"/>
              <w:rPr>
                <w:rFonts w:hint="eastAsia" w:ascii="宋体" w:hAnsi="宋体" w:cs="宋体"/>
                <w:color w:val="auto"/>
                <w:highlight w:val="none"/>
              </w:rPr>
            </w:pPr>
          </w:p>
        </w:tc>
        <w:tc>
          <w:tcPr>
            <w:tcW w:w="1350" w:type="dxa"/>
            <w:vAlign w:val="center"/>
          </w:tcPr>
          <w:p w14:paraId="57E298E2">
            <w:pPr>
              <w:autoSpaceDE w:val="0"/>
              <w:autoSpaceDN w:val="0"/>
              <w:jc w:val="center"/>
              <w:rPr>
                <w:rFonts w:hint="eastAsia" w:ascii="宋体" w:hAnsi="宋体" w:cs="宋体"/>
                <w:color w:val="auto"/>
                <w:highlight w:val="none"/>
              </w:rPr>
            </w:pPr>
            <w:r>
              <w:rPr>
                <w:rFonts w:hint="eastAsia" w:ascii="宋体" w:hAnsi="宋体" w:cs="宋体"/>
                <w:color w:val="auto"/>
                <w:spacing w:val="-2"/>
                <w:highlight w:val="none"/>
              </w:rPr>
              <w:t>A02052399</w:t>
            </w:r>
            <w:r>
              <w:rPr>
                <w:rFonts w:hint="eastAsia" w:ascii="宋体" w:hAnsi="宋体" w:cs="宋体"/>
                <w:color w:val="auto"/>
                <w:spacing w:val="-6"/>
                <w:highlight w:val="none"/>
              </w:rPr>
              <w:t xml:space="preserve"> 其他制冷</w:t>
            </w:r>
            <w:r>
              <w:rPr>
                <w:rFonts w:hint="eastAsia" w:ascii="宋体" w:hAnsi="宋体" w:cs="宋体"/>
                <w:color w:val="auto"/>
                <w:highlight w:val="none"/>
              </w:rPr>
              <w:t>空调设备</w:t>
            </w:r>
          </w:p>
        </w:tc>
        <w:tc>
          <w:tcPr>
            <w:tcW w:w="1868" w:type="dxa"/>
            <w:vAlign w:val="center"/>
          </w:tcPr>
          <w:p w14:paraId="1C466D54">
            <w:pPr>
              <w:autoSpaceDE w:val="0"/>
              <w:autoSpaceDN w:val="0"/>
              <w:jc w:val="center"/>
              <w:rPr>
                <w:rFonts w:hint="eastAsia" w:ascii="宋体" w:hAnsi="宋体" w:cs="宋体"/>
                <w:color w:val="auto"/>
                <w:spacing w:val="8"/>
                <w:highlight w:val="none"/>
              </w:rPr>
            </w:pPr>
            <w:r>
              <w:rPr>
                <w:rFonts w:hint="eastAsia" w:ascii="宋体" w:hAnsi="宋体" w:cs="宋体"/>
                <w:color w:val="auto"/>
                <w:highlight w:val="none"/>
              </w:rPr>
              <w:t>冷却塔</w:t>
            </w:r>
          </w:p>
        </w:tc>
        <w:tc>
          <w:tcPr>
            <w:tcW w:w="3632" w:type="dxa"/>
            <w:vAlign w:val="center"/>
          </w:tcPr>
          <w:p w14:paraId="556E9393">
            <w:pPr>
              <w:jc w:val="center"/>
              <w:rPr>
                <w:rFonts w:hint="eastAsia" w:ascii="宋体" w:hAnsi="宋体" w:cs="宋体"/>
                <w:color w:val="auto"/>
                <w:highlight w:val="none"/>
              </w:rPr>
            </w:pPr>
            <w:r>
              <w:rPr>
                <w:rFonts w:hint="eastAsia" w:ascii="宋体" w:hAnsi="宋体" w:cs="宋体"/>
                <w:color w:val="auto"/>
                <w:spacing w:val="2"/>
                <w:highlight w:val="none"/>
              </w:rPr>
              <w:t xml:space="preserve">《机械通风冷却塔 第 </w:t>
            </w:r>
            <w:r>
              <w:rPr>
                <w:rFonts w:hint="eastAsia" w:ascii="宋体" w:hAnsi="宋体" w:cs="宋体"/>
                <w:color w:val="auto"/>
                <w:highlight w:val="none"/>
              </w:rPr>
              <w:t>1 部分：中小型开式冷却塔</w:t>
            </w:r>
            <w:r>
              <w:rPr>
                <w:rFonts w:hint="eastAsia" w:ascii="宋体" w:hAnsi="宋体" w:cs="宋体"/>
                <w:color w:val="auto"/>
                <w:spacing w:val="-171"/>
                <w:highlight w:val="none"/>
              </w:rPr>
              <w:t>》</w:t>
            </w:r>
            <w:r>
              <w:rPr>
                <w:rFonts w:hint="eastAsia" w:ascii="宋体" w:hAnsi="宋体" w:cs="宋体"/>
                <w:color w:val="auto"/>
                <w:spacing w:val="-1"/>
                <w:highlight w:val="none"/>
              </w:rPr>
              <w:t>（</w:t>
            </w:r>
            <w:r>
              <w:rPr>
                <w:rFonts w:hint="eastAsia" w:ascii="宋体" w:hAnsi="宋体" w:cs="宋体"/>
                <w:color w:val="auto"/>
                <w:spacing w:val="1"/>
                <w:highlight w:val="none"/>
              </w:rPr>
              <w:t>G</w:t>
            </w:r>
            <w:r>
              <w:rPr>
                <w:rFonts w:hint="eastAsia" w:ascii="宋体" w:hAnsi="宋体" w:cs="宋体"/>
                <w:color w:val="auto"/>
                <w:highlight w:val="none"/>
              </w:rPr>
              <w:t>B</w:t>
            </w:r>
            <w:r>
              <w:rPr>
                <w:rFonts w:hint="eastAsia" w:ascii="宋体" w:hAnsi="宋体" w:cs="宋体"/>
                <w:color w:val="auto"/>
                <w:spacing w:val="-49"/>
                <w:highlight w:val="none"/>
              </w:rPr>
              <w:t xml:space="preserve"> </w:t>
            </w:r>
            <w:r>
              <w:rPr>
                <w:rFonts w:hint="eastAsia" w:ascii="宋体" w:hAnsi="宋体" w:cs="宋体"/>
                <w:color w:val="auto"/>
                <w:spacing w:val="1"/>
                <w:highlight w:val="none"/>
              </w:rPr>
              <w:t>/</w:t>
            </w:r>
            <w:r>
              <w:rPr>
                <w:rFonts w:hint="eastAsia" w:ascii="宋体" w:hAnsi="宋体" w:cs="宋体"/>
                <w:color w:val="auto"/>
                <w:highlight w:val="none"/>
              </w:rPr>
              <w:t>T</w:t>
            </w:r>
            <w:r>
              <w:rPr>
                <w:rFonts w:hint="eastAsia" w:ascii="宋体" w:hAnsi="宋体" w:cs="宋体"/>
                <w:color w:val="auto"/>
                <w:spacing w:val="-49"/>
                <w:highlight w:val="none"/>
              </w:rPr>
              <w:t xml:space="preserve"> </w:t>
            </w:r>
            <w:r>
              <w:rPr>
                <w:rFonts w:hint="eastAsia" w:ascii="宋体" w:hAnsi="宋体" w:cs="宋体"/>
                <w:color w:val="auto"/>
                <w:highlight w:val="none"/>
              </w:rPr>
              <w:t>7190</w:t>
            </w:r>
            <w:r>
              <w:rPr>
                <w:rFonts w:hint="eastAsia" w:ascii="宋体" w:hAnsi="宋体" w:cs="宋体"/>
                <w:color w:val="auto"/>
                <w:spacing w:val="1"/>
                <w:highlight w:val="none"/>
              </w:rPr>
              <w:t>.1</w:t>
            </w:r>
            <w:r>
              <w:rPr>
                <w:rFonts w:hint="eastAsia" w:ascii="宋体" w:hAnsi="宋体" w:cs="宋体"/>
                <w:color w:val="auto"/>
                <w:spacing w:val="-87"/>
                <w:highlight w:val="none"/>
              </w:rPr>
              <w:t>）</w:t>
            </w:r>
            <w:r>
              <w:rPr>
                <w:rFonts w:hint="eastAsia" w:ascii="宋体" w:hAnsi="宋体" w:cs="宋体"/>
                <w:color w:val="auto"/>
                <w:highlight w:val="none"/>
              </w:rPr>
              <w:t>；</w:t>
            </w:r>
            <w:r>
              <w:rPr>
                <w:rFonts w:hint="eastAsia" w:ascii="宋体" w:hAnsi="宋体" w:cs="宋体"/>
                <w:color w:val="auto"/>
                <w:spacing w:val="4"/>
                <w:highlight w:val="none"/>
              </w:rPr>
              <w:t xml:space="preserve">《机械通风冷却塔 第 </w:t>
            </w:r>
            <w:r>
              <w:rPr>
                <w:rFonts w:hint="eastAsia" w:ascii="宋体" w:hAnsi="宋体" w:cs="宋体"/>
                <w:color w:val="auto"/>
                <w:highlight w:val="none"/>
              </w:rPr>
              <w:t>2 部分：大型开式冷却塔》（GB</w:t>
            </w:r>
            <w:r>
              <w:rPr>
                <w:rFonts w:hint="eastAsia" w:ascii="宋体" w:hAnsi="宋体" w:cs="宋体"/>
                <w:color w:val="auto"/>
                <w:spacing w:val="-6"/>
                <w:highlight w:val="none"/>
              </w:rPr>
              <w:t xml:space="preserve"> </w:t>
            </w:r>
            <w:r>
              <w:rPr>
                <w:rFonts w:hint="eastAsia" w:ascii="宋体" w:hAnsi="宋体" w:cs="宋体"/>
                <w:color w:val="auto"/>
                <w:highlight w:val="none"/>
              </w:rPr>
              <w:t>/T</w:t>
            </w:r>
            <w:r>
              <w:rPr>
                <w:rFonts w:hint="eastAsia" w:ascii="宋体" w:hAnsi="宋体" w:cs="宋体"/>
                <w:color w:val="auto"/>
                <w:spacing w:val="-7"/>
                <w:highlight w:val="none"/>
              </w:rPr>
              <w:t xml:space="preserve"> </w:t>
            </w:r>
            <w:r>
              <w:rPr>
                <w:rFonts w:hint="eastAsia" w:ascii="宋体" w:hAnsi="宋体" w:cs="宋体"/>
                <w:color w:val="auto"/>
                <w:highlight w:val="none"/>
              </w:rPr>
              <w:t>7190.2）</w:t>
            </w:r>
          </w:p>
        </w:tc>
      </w:tr>
      <w:tr w14:paraId="1BDE92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0" w:type="dxa"/>
          <w:trHeight w:val="731" w:hRule="atLeast"/>
          <w:jc w:val="center"/>
        </w:trPr>
        <w:tc>
          <w:tcPr>
            <w:tcW w:w="554" w:type="dxa"/>
            <w:vAlign w:val="center"/>
          </w:tcPr>
          <w:p w14:paraId="6F191839">
            <w:pPr>
              <w:jc w:val="center"/>
              <w:rPr>
                <w:rFonts w:hint="eastAsia" w:ascii="宋体" w:hAnsi="宋体" w:cs="宋体"/>
                <w:color w:val="auto"/>
                <w:highlight w:val="none"/>
              </w:rPr>
            </w:pPr>
            <w:r>
              <w:rPr>
                <w:rFonts w:hint="eastAsia" w:ascii="宋体" w:hAnsi="宋体" w:cs="宋体"/>
                <w:color w:val="auto"/>
                <w:highlight w:val="none"/>
              </w:rPr>
              <w:t>7</w:t>
            </w:r>
          </w:p>
        </w:tc>
        <w:tc>
          <w:tcPr>
            <w:tcW w:w="1614" w:type="dxa"/>
            <w:vAlign w:val="center"/>
          </w:tcPr>
          <w:p w14:paraId="50E8C92D">
            <w:pPr>
              <w:jc w:val="center"/>
              <w:rPr>
                <w:rFonts w:hint="eastAsia" w:ascii="宋体" w:hAnsi="宋体" w:cs="宋体"/>
                <w:color w:val="auto"/>
                <w:highlight w:val="none"/>
              </w:rPr>
            </w:pPr>
            <w:r>
              <w:rPr>
                <w:rFonts w:hint="eastAsia" w:ascii="宋体" w:hAnsi="宋体" w:cs="宋体"/>
                <w:color w:val="auto"/>
                <w:spacing w:val="-2"/>
                <w:highlight w:val="none"/>
              </w:rPr>
              <w:t>A020601</w:t>
            </w:r>
            <w:r>
              <w:rPr>
                <w:rFonts w:hint="eastAsia" w:ascii="宋体" w:hAnsi="宋体" w:cs="宋体"/>
                <w:color w:val="auto"/>
                <w:spacing w:val="-20"/>
                <w:highlight w:val="none"/>
              </w:rPr>
              <w:t xml:space="preserve"> 电机</w:t>
            </w:r>
          </w:p>
        </w:tc>
        <w:tc>
          <w:tcPr>
            <w:tcW w:w="1350" w:type="dxa"/>
            <w:vAlign w:val="center"/>
          </w:tcPr>
          <w:p w14:paraId="3DE6CD60">
            <w:pPr>
              <w:jc w:val="center"/>
              <w:rPr>
                <w:rFonts w:hint="eastAsia" w:ascii="宋体" w:hAnsi="宋体" w:cs="宋体"/>
                <w:color w:val="auto"/>
                <w:highlight w:val="none"/>
              </w:rPr>
            </w:pPr>
          </w:p>
        </w:tc>
        <w:tc>
          <w:tcPr>
            <w:tcW w:w="1868" w:type="dxa"/>
            <w:vAlign w:val="center"/>
          </w:tcPr>
          <w:p w14:paraId="34848398">
            <w:pPr>
              <w:jc w:val="center"/>
              <w:rPr>
                <w:rFonts w:hint="eastAsia" w:ascii="宋体" w:hAnsi="宋体" w:cs="宋体"/>
                <w:color w:val="auto"/>
                <w:highlight w:val="none"/>
              </w:rPr>
            </w:pPr>
          </w:p>
        </w:tc>
        <w:tc>
          <w:tcPr>
            <w:tcW w:w="3632" w:type="dxa"/>
            <w:vAlign w:val="center"/>
          </w:tcPr>
          <w:p w14:paraId="330055C3">
            <w:pPr>
              <w:jc w:val="center"/>
              <w:rPr>
                <w:rFonts w:hint="eastAsia" w:ascii="宋体" w:hAnsi="宋体" w:cs="宋体"/>
                <w:color w:val="auto"/>
                <w:highlight w:val="none"/>
              </w:rPr>
            </w:pPr>
            <w:r>
              <w:rPr>
                <w:rFonts w:hint="eastAsia" w:ascii="宋体" w:hAnsi="宋体" w:cs="宋体"/>
                <w:color w:val="auto"/>
                <w:spacing w:val="9"/>
                <w:highlight w:val="none"/>
              </w:rPr>
              <w:t>《中小型三相异步电动机能效限</w:t>
            </w:r>
            <w:r>
              <w:rPr>
                <w:rFonts w:hint="eastAsia" w:ascii="宋体" w:hAnsi="宋体" w:cs="宋体"/>
                <w:color w:val="auto"/>
                <w:highlight w:val="none"/>
              </w:rPr>
              <w:t>定值及能效等级》（GB 18613）</w:t>
            </w:r>
          </w:p>
        </w:tc>
      </w:tr>
      <w:tr w14:paraId="18ED5D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0" w:type="dxa"/>
          <w:trHeight w:val="688" w:hRule="atLeast"/>
          <w:jc w:val="center"/>
        </w:trPr>
        <w:tc>
          <w:tcPr>
            <w:tcW w:w="554" w:type="dxa"/>
            <w:vAlign w:val="center"/>
          </w:tcPr>
          <w:p w14:paraId="175D7A76">
            <w:pPr>
              <w:jc w:val="center"/>
              <w:rPr>
                <w:rFonts w:hint="eastAsia" w:ascii="宋体" w:hAnsi="宋体" w:cs="宋体"/>
                <w:color w:val="auto"/>
                <w:highlight w:val="none"/>
              </w:rPr>
            </w:pPr>
            <w:r>
              <w:rPr>
                <w:rFonts w:hint="eastAsia" w:ascii="宋体" w:hAnsi="宋体" w:cs="宋体"/>
                <w:color w:val="auto"/>
                <w:highlight w:val="none"/>
              </w:rPr>
              <w:t>8</w:t>
            </w:r>
          </w:p>
        </w:tc>
        <w:tc>
          <w:tcPr>
            <w:tcW w:w="1614" w:type="dxa"/>
            <w:vAlign w:val="center"/>
          </w:tcPr>
          <w:p w14:paraId="20B0E0BD">
            <w:pPr>
              <w:jc w:val="center"/>
              <w:rPr>
                <w:rFonts w:hint="eastAsia" w:ascii="宋体" w:hAnsi="宋体" w:cs="宋体"/>
                <w:color w:val="auto"/>
                <w:highlight w:val="none"/>
              </w:rPr>
            </w:pPr>
            <w:r>
              <w:rPr>
                <w:rFonts w:hint="eastAsia" w:ascii="宋体" w:hAnsi="宋体" w:cs="宋体"/>
                <w:color w:val="auto"/>
                <w:spacing w:val="-2"/>
                <w:highlight w:val="none"/>
              </w:rPr>
              <w:t>A020602</w:t>
            </w:r>
            <w:r>
              <w:rPr>
                <w:rFonts w:hint="eastAsia" w:ascii="宋体" w:hAnsi="宋体" w:cs="宋体"/>
                <w:color w:val="auto"/>
                <w:spacing w:val="-20"/>
                <w:highlight w:val="none"/>
              </w:rPr>
              <w:t xml:space="preserve"> 变 压 </w:t>
            </w:r>
            <w:r>
              <w:rPr>
                <w:rFonts w:hint="eastAsia" w:ascii="宋体" w:hAnsi="宋体" w:cs="宋体"/>
                <w:color w:val="auto"/>
                <w:highlight w:val="none"/>
              </w:rPr>
              <w:t>器</w:t>
            </w:r>
          </w:p>
        </w:tc>
        <w:tc>
          <w:tcPr>
            <w:tcW w:w="1350" w:type="dxa"/>
            <w:vAlign w:val="center"/>
          </w:tcPr>
          <w:p w14:paraId="13ED788D">
            <w:pPr>
              <w:jc w:val="center"/>
              <w:rPr>
                <w:rFonts w:hint="eastAsia" w:ascii="宋体" w:hAnsi="宋体" w:cs="宋体"/>
                <w:color w:val="auto"/>
                <w:highlight w:val="none"/>
              </w:rPr>
            </w:pPr>
            <w:r>
              <w:rPr>
                <w:rFonts w:hint="eastAsia" w:ascii="宋体" w:hAnsi="宋体" w:cs="宋体"/>
                <w:color w:val="auto"/>
                <w:highlight w:val="none"/>
              </w:rPr>
              <w:t>配电变压器</w:t>
            </w:r>
          </w:p>
        </w:tc>
        <w:tc>
          <w:tcPr>
            <w:tcW w:w="1868" w:type="dxa"/>
            <w:vAlign w:val="center"/>
          </w:tcPr>
          <w:p w14:paraId="5DF3FEA5">
            <w:pPr>
              <w:jc w:val="center"/>
              <w:rPr>
                <w:rFonts w:hint="eastAsia" w:ascii="宋体" w:hAnsi="宋体" w:cs="宋体"/>
                <w:color w:val="auto"/>
                <w:highlight w:val="none"/>
              </w:rPr>
            </w:pPr>
          </w:p>
        </w:tc>
        <w:tc>
          <w:tcPr>
            <w:tcW w:w="3632" w:type="dxa"/>
            <w:vAlign w:val="center"/>
          </w:tcPr>
          <w:p w14:paraId="68C7BFD7">
            <w:pPr>
              <w:jc w:val="center"/>
              <w:rPr>
                <w:rFonts w:hint="eastAsia" w:ascii="宋体" w:hAnsi="宋体" w:cs="宋体"/>
                <w:color w:val="auto"/>
                <w:highlight w:val="none"/>
              </w:rPr>
            </w:pPr>
            <w:r>
              <w:rPr>
                <w:rFonts w:hint="eastAsia" w:ascii="宋体" w:hAnsi="宋体" w:cs="宋体"/>
                <w:color w:val="auto"/>
                <w:spacing w:val="9"/>
                <w:highlight w:val="none"/>
              </w:rPr>
              <w:t>《三相配电变压器能效限定值及</w:t>
            </w:r>
            <w:r>
              <w:rPr>
                <w:rFonts w:hint="eastAsia" w:ascii="宋体" w:hAnsi="宋体" w:cs="宋体"/>
                <w:color w:val="auto"/>
                <w:highlight w:val="none"/>
              </w:rPr>
              <w:t>能效等级》（GB</w:t>
            </w:r>
            <w:r>
              <w:rPr>
                <w:rFonts w:hint="eastAsia" w:ascii="宋体" w:hAnsi="宋体" w:cs="宋体"/>
                <w:color w:val="auto"/>
                <w:spacing w:val="1"/>
                <w:highlight w:val="none"/>
              </w:rPr>
              <w:t xml:space="preserve"> </w:t>
            </w:r>
            <w:r>
              <w:rPr>
                <w:rFonts w:hint="eastAsia" w:ascii="宋体" w:hAnsi="宋体" w:cs="宋体"/>
                <w:color w:val="auto"/>
                <w:highlight w:val="none"/>
              </w:rPr>
              <w:t>20052）</w:t>
            </w:r>
          </w:p>
        </w:tc>
      </w:tr>
      <w:tr w14:paraId="0C45DB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0" w:type="dxa"/>
          <w:trHeight w:val="880" w:hRule="atLeast"/>
          <w:jc w:val="center"/>
        </w:trPr>
        <w:tc>
          <w:tcPr>
            <w:tcW w:w="554" w:type="dxa"/>
            <w:vAlign w:val="center"/>
          </w:tcPr>
          <w:p w14:paraId="5C3D56F2">
            <w:pPr>
              <w:jc w:val="center"/>
              <w:rPr>
                <w:rFonts w:hint="eastAsia" w:ascii="宋体" w:hAnsi="宋体" w:cs="宋体"/>
                <w:color w:val="auto"/>
                <w:highlight w:val="none"/>
              </w:rPr>
            </w:pPr>
            <w:r>
              <w:rPr>
                <w:rFonts w:hint="eastAsia" w:ascii="宋体" w:hAnsi="宋体" w:cs="宋体"/>
                <w:color w:val="auto"/>
                <w:highlight w:val="none"/>
              </w:rPr>
              <w:t>9</w:t>
            </w:r>
          </w:p>
        </w:tc>
        <w:tc>
          <w:tcPr>
            <w:tcW w:w="1614" w:type="dxa"/>
            <w:vAlign w:val="center"/>
          </w:tcPr>
          <w:p w14:paraId="11A0F8B5">
            <w:pPr>
              <w:jc w:val="center"/>
              <w:rPr>
                <w:rFonts w:hint="eastAsia" w:ascii="宋体" w:hAnsi="宋体" w:cs="宋体"/>
                <w:color w:val="auto"/>
                <w:highlight w:val="none"/>
              </w:rPr>
            </w:pPr>
            <w:r>
              <w:rPr>
                <w:rFonts w:hint="eastAsia" w:ascii="宋体" w:hAnsi="宋体" w:cs="宋体"/>
                <w:color w:val="auto"/>
                <w:spacing w:val="-2"/>
                <w:highlight w:val="none"/>
              </w:rPr>
              <w:t>★A020609</w:t>
            </w:r>
            <w:r>
              <w:rPr>
                <w:rFonts w:hint="eastAsia" w:ascii="宋体" w:hAnsi="宋体" w:cs="宋体"/>
                <w:color w:val="auto"/>
                <w:spacing w:val="-29"/>
                <w:highlight w:val="none"/>
              </w:rPr>
              <w:t xml:space="preserve"> 镇 </w:t>
            </w:r>
            <w:r>
              <w:rPr>
                <w:rFonts w:hint="eastAsia" w:ascii="宋体" w:hAnsi="宋体" w:cs="宋体"/>
                <w:color w:val="auto"/>
                <w:highlight w:val="none"/>
              </w:rPr>
              <w:t>流器</w:t>
            </w:r>
          </w:p>
        </w:tc>
        <w:tc>
          <w:tcPr>
            <w:tcW w:w="1350" w:type="dxa"/>
            <w:vAlign w:val="center"/>
          </w:tcPr>
          <w:p w14:paraId="21C5C522">
            <w:pPr>
              <w:jc w:val="center"/>
              <w:rPr>
                <w:rFonts w:hint="eastAsia" w:ascii="宋体" w:hAnsi="宋体" w:cs="宋体"/>
                <w:color w:val="auto"/>
                <w:highlight w:val="none"/>
              </w:rPr>
            </w:pPr>
            <w:r>
              <w:rPr>
                <w:rFonts w:hint="eastAsia" w:ascii="宋体" w:hAnsi="宋体" w:cs="宋体"/>
                <w:color w:val="auto"/>
                <w:highlight w:val="none"/>
              </w:rPr>
              <w:t>管型荧光灯镇流器</w:t>
            </w:r>
          </w:p>
        </w:tc>
        <w:tc>
          <w:tcPr>
            <w:tcW w:w="1868" w:type="dxa"/>
            <w:vAlign w:val="center"/>
          </w:tcPr>
          <w:p w14:paraId="4236D823">
            <w:pPr>
              <w:jc w:val="center"/>
              <w:rPr>
                <w:rFonts w:hint="eastAsia" w:ascii="宋体" w:hAnsi="宋体" w:cs="宋体"/>
                <w:color w:val="auto"/>
                <w:highlight w:val="none"/>
              </w:rPr>
            </w:pPr>
          </w:p>
        </w:tc>
        <w:tc>
          <w:tcPr>
            <w:tcW w:w="3632" w:type="dxa"/>
            <w:vAlign w:val="center"/>
          </w:tcPr>
          <w:p w14:paraId="1963B238">
            <w:pPr>
              <w:jc w:val="center"/>
              <w:rPr>
                <w:rFonts w:hint="eastAsia" w:ascii="宋体" w:hAnsi="宋体" w:cs="宋体"/>
                <w:color w:val="auto"/>
                <w:highlight w:val="none"/>
              </w:rPr>
            </w:pPr>
            <w:r>
              <w:rPr>
                <w:rFonts w:hint="eastAsia" w:ascii="宋体" w:hAnsi="宋体" w:cs="宋体"/>
                <w:color w:val="auto"/>
                <w:spacing w:val="9"/>
                <w:highlight w:val="none"/>
              </w:rPr>
              <w:t>《管形荧光灯镇流器能效限定值</w:t>
            </w:r>
            <w:r>
              <w:rPr>
                <w:rFonts w:hint="eastAsia" w:ascii="宋体" w:hAnsi="宋体" w:cs="宋体"/>
                <w:color w:val="auto"/>
                <w:highlight w:val="none"/>
              </w:rPr>
              <w:t>及能效等级》（GB</w:t>
            </w:r>
            <w:r>
              <w:rPr>
                <w:rFonts w:hint="eastAsia" w:ascii="宋体" w:hAnsi="宋体" w:cs="宋体"/>
                <w:color w:val="auto"/>
                <w:spacing w:val="1"/>
                <w:highlight w:val="none"/>
              </w:rPr>
              <w:t xml:space="preserve"> </w:t>
            </w:r>
            <w:r>
              <w:rPr>
                <w:rFonts w:hint="eastAsia" w:ascii="宋体" w:hAnsi="宋体" w:cs="宋体"/>
                <w:color w:val="auto"/>
                <w:highlight w:val="none"/>
              </w:rPr>
              <w:t>17896）</w:t>
            </w:r>
          </w:p>
        </w:tc>
      </w:tr>
      <w:tr w14:paraId="34D3F1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0" w:type="dxa"/>
          <w:trHeight w:val="734" w:hRule="atLeast"/>
          <w:jc w:val="center"/>
        </w:trPr>
        <w:tc>
          <w:tcPr>
            <w:tcW w:w="554" w:type="dxa"/>
            <w:vMerge w:val="restart"/>
            <w:vAlign w:val="center"/>
          </w:tcPr>
          <w:p w14:paraId="1E5A6B90">
            <w:pPr>
              <w:jc w:val="center"/>
              <w:rPr>
                <w:rFonts w:hint="eastAsia" w:ascii="宋体" w:hAnsi="宋体" w:cs="宋体"/>
                <w:color w:val="auto"/>
                <w:highlight w:val="none"/>
              </w:rPr>
            </w:pPr>
            <w:r>
              <w:rPr>
                <w:rFonts w:hint="eastAsia" w:ascii="宋体" w:hAnsi="宋体" w:cs="宋体"/>
                <w:color w:val="auto"/>
                <w:highlight w:val="none"/>
              </w:rPr>
              <w:t>10</w:t>
            </w:r>
          </w:p>
        </w:tc>
        <w:tc>
          <w:tcPr>
            <w:tcW w:w="1614" w:type="dxa"/>
            <w:vMerge w:val="restart"/>
            <w:vAlign w:val="center"/>
          </w:tcPr>
          <w:p w14:paraId="13DE7BAD">
            <w:pPr>
              <w:jc w:val="center"/>
              <w:rPr>
                <w:rFonts w:hint="eastAsia" w:ascii="宋体" w:hAnsi="宋体" w:cs="宋体"/>
                <w:color w:val="auto"/>
                <w:highlight w:val="none"/>
              </w:rPr>
            </w:pPr>
            <w:r>
              <w:rPr>
                <w:rFonts w:hint="eastAsia" w:ascii="宋体" w:hAnsi="宋体" w:cs="宋体"/>
                <w:color w:val="auto"/>
                <w:spacing w:val="-2"/>
                <w:highlight w:val="none"/>
              </w:rPr>
              <w:t>A020618</w:t>
            </w:r>
            <w:r>
              <w:rPr>
                <w:rFonts w:hint="eastAsia" w:ascii="宋体" w:hAnsi="宋体" w:cs="宋体"/>
                <w:color w:val="auto"/>
                <w:spacing w:val="-20"/>
                <w:highlight w:val="none"/>
              </w:rPr>
              <w:t xml:space="preserve"> 生活</w:t>
            </w:r>
            <w:r>
              <w:rPr>
                <w:rFonts w:hint="eastAsia" w:ascii="宋体" w:hAnsi="宋体" w:cs="宋体"/>
                <w:color w:val="auto"/>
                <w:highlight w:val="none"/>
              </w:rPr>
              <w:t>用电器</w:t>
            </w:r>
          </w:p>
        </w:tc>
        <w:tc>
          <w:tcPr>
            <w:tcW w:w="1350" w:type="dxa"/>
            <w:vAlign w:val="center"/>
          </w:tcPr>
          <w:p w14:paraId="30B383DF">
            <w:pPr>
              <w:jc w:val="center"/>
              <w:rPr>
                <w:rFonts w:hint="eastAsia" w:ascii="宋体" w:hAnsi="宋体" w:cs="宋体"/>
                <w:color w:val="auto"/>
                <w:highlight w:val="none"/>
              </w:rPr>
            </w:pPr>
            <w:r>
              <w:rPr>
                <w:rFonts w:hint="eastAsia" w:ascii="宋体" w:hAnsi="宋体" w:cs="宋体"/>
                <w:color w:val="auto"/>
                <w:highlight w:val="none"/>
              </w:rPr>
              <w:t>A0206180101 电冰箱</w:t>
            </w:r>
          </w:p>
        </w:tc>
        <w:tc>
          <w:tcPr>
            <w:tcW w:w="1868" w:type="dxa"/>
            <w:vAlign w:val="center"/>
          </w:tcPr>
          <w:p w14:paraId="09AD2039">
            <w:pPr>
              <w:jc w:val="center"/>
              <w:rPr>
                <w:rFonts w:hint="eastAsia" w:ascii="宋体" w:hAnsi="宋体" w:cs="宋体"/>
                <w:color w:val="auto"/>
                <w:highlight w:val="none"/>
              </w:rPr>
            </w:pPr>
          </w:p>
        </w:tc>
        <w:tc>
          <w:tcPr>
            <w:tcW w:w="3632" w:type="dxa"/>
            <w:vAlign w:val="center"/>
          </w:tcPr>
          <w:p w14:paraId="005B157C">
            <w:pPr>
              <w:jc w:val="center"/>
              <w:rPr>
                <w:rFonts w:hint="eastAsia" w:ascii="宋体" w:hAnsi="宋体" w:cs="宋体"/>
                <w:color w:val="auto"/>
                <w:highlight w:val="none"/>
              </w:rPr>
            </w:pPr>
            <w:r>
              <w:rPr>
                <w:rFonts w:hint="eastAsia" w:ascii="宋体" w:hAnsi="宋体" w:cs="宋体"/>
                <w:color w:val="auto"/>
                <w:spacing w:val="9"/>
                <w:highlight w:val="none"/>
              </w:rPr>
              <w:t>《家用电冰箱耗电量限定值及能</w:t>
            </w:r>
            <w:r>
              <w:rPr>
                <w:rFonts w:hint="eastAsia" w:ascii="宋体" w:hAnsi="宋体" w:cs="宋体"/>
                <w:color w:val="auto"/>
                <w:highlight w:val="none"/>
              </w:rPr>
              <w:t>效等级》（GB</w:t>
            </w:r>
            <w:r>
              <w:rPr>
                <w:rFonts w:hint="eastAsia" w:ascii="宋体" w:hAnsi="宋体" w:cs="宋体"/>
                <w:color w:val="auto"/>
                <w:spacing w:val="2"/>
                <w:highlight w:val="none"/>
              </w:rPr>
              <w:t xml:space="preserve"> </w:t>
            </w:r>
            <w:r>
              <w:rPr>
                <w:rFonts w:hint="eastAsia" w:ascii="宋体" w:hAnsi="宋体" w:cs="宋体"/>
                <w:color w:val="auto"/>
                <w:highlight w:val="none"/>
              </w:rPr>
              <w:t>12021.2）</w:t>
            </w:r>
          </w:p>
        </w:tc>
      </w:tr>
      <w:tr w14:paraId="716637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0" w:type="dxa"/>
          <w:trHeight w:val="1883" w:hRule="atLeast"/>
          <w:jc w:val="center"/>
        </w:trPr>
        <w:tc>
          <w:tcPr>
            <w:tcW w:w="554" w:type="dxa"/>
            <w:vMerge w:val="continue"/>
            <w:vAlign w:val="center"/>
          </w:tcPr>
          <w:p w14:paraId="21A416D9">
            <w:pPr>
              <w:autoSpaceDE w:val="0"/>
              <w:autoSpaceDN w:val="0"/>
              <w:jc w:val="center"/>
              <w:rPr>
                <w:rFonts w:hint="eastAsia" w:ascii="宋体" w:hAnsi="宋体" w:cs="宋体"/>
                <w:color w:val="auto"/>
                <w:highlight w:val="none"/>
              </w:rPr>
            </w:pPr>
          </w:p>
        </w:tc>
        <w:tc>
          <w:tcPr>
            <w:tcW w:w="1614" w:type="dxa"/>
            <w:vMerge w:val="continue"/>
            <w:vAlign w:val="center"/>
          </w:tcPr>
          <w:p w14:paraId="05995267">
            <w:pPr>
              <w:autoSpaceDE w:val="0"/>
              <w:autoSpaceDN w:val="0"/>
              <w:jc w:val="center"/>
              <w:rPr>
                <w:rFonts w:hint="eastAsia" w:ascii="宋体" w:hAnsi="宋体" w:cs="宋体"/>
                <w:color w:val="auto"/>
                <w:highlight w:val="none"/>
              </w:rPr>
            </w:pPr>
          </w:p>
        </w:tc>
        <w:tc>
          <w:tcPr>
            <w:tcW w:w="1350" w:type="dxa"/>
            <w:vMerge w:val="restart"/>
            <w:vAlign w:val="center"/>
          </w:tcPr>
          <w:p w14:paraId="2FCDBED6">
            <w:pPr>
              <w:jc w:val="center"/>
              <w:rPr>
                <w:rFonts w:hint="eastAsia" w:ascii="宋体" w:hAnsi="宋体" w:cs="宋体"/>
                <w:color w:val="auto"/>
                <w:highlight w:val="none"/>
              </w:rPr>
            </w:pPr>
            <w:r>
              <w:rPr>
                <w:rFonts w:hint="eastAsia" w:ascii="宋体" w:hAnsi="宋体" w:cs="宋体"/>
                <w:color w:val="auto"/>
                <w:spacing w:val="-2"/>
                <w:highlight w:val="none"/>
              </w:rPr>
              <w:t>★A0206180203</w:t>
            </w:r>
            <w:r>
              <w:rPr>
                <w:rFonts w:hint="eastAsia" w:ascii="宋体" w:hAnsi="宋体" w:cs="宋体"/>
                <w:color w:val="auto"/>
                <w:spacing w:val="-7"/>
                <w:highlight w:val="none"/>
              </w:rPr>
              <w:t xml:space="preserve"> 空调</w:t>
            </w:r>
            <w:r>
              <w:rPr>
                <w:rFonts w:hint="eastAsia" w:ascii="宋体" w:hAnsi="宋体" w:cs="宋体"/>
                <w:color w:val="auto"/>
                <w:highlight w:val="none"/>
              </w:rPr>
              <w:t>机</w:t>
            </w:r>
          </w:p>
        </w:tc>
        <w:tc>
          <w:tcPr>
            <w:tcW w:w="1868" w:type="dxa"/>
            <w:vAlign w:val="center"/>
          </w:tcPr>
          <w:p w14:paraId="07ECB217">
            <w:pPr>
              <w:jc w:val="center"/>
              <w:rPr>
                <w:rFonts w:hint="eastAsia" w:ascii="宋体" w:hAnsi="宋体" w:cs="宋体"/>
                <w:color w:val="auto"/>
                <w:highlight w:val="none"/>
              </w:rPr>
            </w:pPr>
            <w:r>
              <w:rPr>
                <w:rFonts w:hint="eastAsia" w:ascii="宋体" w:hAnsi="宋体" w:cs="宋体"/>
                <w:color w:val="auto"/>
                <w:highlight w:val="none"/>
              </w:rPr>
              <w:t>房间空气调节器</w:t>
            </w:r>
          </w:p>
        </w:tc>
        <w:tc>
          <w:tcPr>
            <w:tcW w:w="3632" w:type="dxa"/>
            <w:vAlign w:val="center"/>
          </w:tcPr>
          <w:p w14:paraId="29B2A6B8">
            <w:pPr>
              <w:jc w:val="center"/>
              <w:rPr>
                <w:rFonts w:hint="eastAsia" w:ascii="宋体" w:hAnsi="宋体" w:cs="宋体"/>
                <w:color w:val="auto"/>
                <w:highlight w:val="none"/>
              </w:rPr>
            </w:pPr>
            <w:r>
              <w:rPr>
                <w:rFonts w:hint="eastAsia" w:ascii="宋体" w:hAnsi="宋体" w:cs="宋体"/>
                <w:color w:val="auto"/>
                <w:spacing w:val="9"/>
                <w:highlight w:val="none"/>
              </w:rPr>
              <w:t>《转速可控型房间空气调节器能</w:t>
            </w:r>
            <w:r>
              <w:rPr>
                <w:rFonts w:hint="eastAsia" w:ascii="宋体" w:hAnsi="宋体" w:cs="宋体"/>
                <w:color w:val="auto"/>
                <w:spacing w:val="-18"/>
                <w:highlight w:val="none"/>
              </w:rPr>
              <w:t xml:space="preserve">效 限 定 值 及 能 效 等 级》 </w:t>
            </w:r>
            <w:r>
              <w:rPr>
                <w:rFonts w:hint="eastAsia" w:ascii="宋体" w:hAnsi="宋体" w:cs="宋体"/>
                <w:color w:val="auto"/>
                <w:highlight w:val="none"/>
              </w:rPr>
              <w:t>（ GB</w:t>
            </w:r>
            <w:r>
              <w:rPr>
                <w:rFonts w:hint="eastAsia" w:ascii="宋体" w:hAnsi="宋体" w:cs="宋体"/>
                <w:color w:val="auto"/>
                <w:spacing w:val="-92"/>
                <w:highlight w:val="none"/>
              </w:rPr>
              <w:t xml:space="preserve"> </w:t>
            </w:r>
            <w:r>
              <w:rPr>
                <w:rFonts w:hint="eastAsia" w:ascii="宋体" w:hAnsi="宋体" w:cs="宋体"/>
                <w:color w:val="auto"/>
                <w:highlight w:val="none"/>
              </w:rPr>
              <w:t>21455-2013），</w:t>
            </w:r>
            <w:r>
              <w:rPr>
                <w:rFonts w:hint="eastAsia" w:ascii="宋体" w:hAnsi="宋体" w:cs="宋体"/>
                <w:color w:val="auto"/>
                <w:spacing w:val="6"/>
                <w:highlight w:val="none"/>
              </w:rPr>
              <w:t xml:space="preserve">待 </w:t>
            </w:r>
            <w:r>
              <w:rPr>
                <w:rFonts w:hint="eastAsia" w:ascii="宋体" w:hAnsi="宋体" w:cs="宋体"/>
                <w:color w:val="auto"/>
                <w:highlight w:val="none"/>
              </w:rPr>
              <w:t>2019</w:t>
            </w:r>
            <w:r>
              <w:rPr>
                <w:rFonts w:hint="eastAsia" w:ascii="宋体" w:hAnsi="宋体" w:cs="宋体"/>
                <w:color w:val="auto"/>
                <w:spacing w:val="2"/>
                <w:highlight w:val="none"/>
              </w:rPr>
              <w:t xml:space="preserve"> 年修订发</w:t>
            </w:r>
            <w:r>
              <w:rPr>
                <w:rFonts w:hint="eastAsia" w:ascii="宋体" w:hAnsi="宋体" w:cs="宋体"/>
                <w:color w:val="auto"/>
                <w:highlight w:val="none"/>
              </w:rPr>
              <w:t>布后，按《房间空气调节器能效限</w:t>
            </w:r>
            <w:r>
              <w:rPr>
                <w:rFonts w:hint="eastAsia" w:ascii="宋体" w:hAnsi="宋体" w:cs="宋体"/>
                <w:color w:val="auto"/>
                <w:spacing w:val="-1"/>
                <w:highlight w:val="none"/>
              </w:rPr>
              <w:t>定值及能效等级</w:t>
            </w:r>
            <w:r>
              <w:rPr>
                <w:rFonts w:hint="eastAsia" w:ascii="宋体" w:hAnsi="宋体" w:cs="宋体"/>
                <w:color w:val="auto"/>
                <w:spacing w:val="-156"/>
                <w:highlight w:val="none"/>
              </w:rPr>
              <w:t>》</w:t>
            </w:r>
            <w:r>
              <w:rPr>
                <w:rFonts w:hint="eastAsia" w:ascii="宋体" w:hAnsi="宋体" w:cs="宋体"/>
                <w:color w:val="auto"/>
                <w:highlight w:val="none"/>
              </w:rPr>
              <w:t>（GB21455-2019）实施。</w:t>
            </w:r>
          </w:p>
        </w:tc>
      </w:tr>
      <w:tr w14:paraId="08201B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0" w:type="dxa"/>
          <w:trHeight w:val="947" w:hRule="atLeast"/>
          <w:jc w:val="center"/>
        </w:trPr>
        <w:tc>
          <w:tcPr>
            <w:tcW w:w="554" w:type="dxa"/>
            <w:vMerge w:val="continue"/>
            <w:vAlign w:val="center"/>
          </w:tcPr>
          <w:p w14:paraId="598165CF">
            <w:pPr>
              <w:autoSpaceDE w:val="0"/>
              <w:autoSpaceDN w:val="0"/>
              <w:jc w:val="center"/>
              <w:rPr>
                <w:rFonts w:hint="eastAsia" w:ascii="宋体" w:hAnsi="宋体" w:cs="宋体"/>
                <w:color w:val="auto"/>
                <w:highlight w:val="none"/>
              </w:rPr>
            </w:pPr>
          </w:p>
        </w:tc>
        <w:tc>
          <w:tcPr>
            <w:tcW w:w="1614" w:type="dxa"/>
            <w:vMerge w:val="continue"/>
            <w:vAlign w:val="center"/>
          </w:tcPr>
          <w:p w14:paraId="3D02DFB5">
            <w:pPr>
              <w:autoSpaceDE w:val="0"/>
              <w:autoSpaceDN w:val="0"/>
              <w:jc w:val="center"/>
              <w:rPr>
                <w:rFonts w:hint="eastAsia" w:ascii="宋体" w:hAnsi="宋体" w:cs="宋体"/>
                <w:color w:val="auto"/>
                <w:highlight w:val="none"/>
              </w:rPr>
            </w:pPr>
          </w:p>
        </w:tc>
        <w:tc>
          <w:tcPr>
            <w:tcW w:w="1350" w:type="dxa"/>
            <w:vMerge w:val="continue"/>
            <w:vAlign w:val="center"/>
          </w:tcPr>
          <w:p w14:paraId="4854BB39">
            <w:pPr>
              <w:autoSpaceDE w:val="0"/>
              <w:autoSpaceDN w:val="0"/>
              <w:jc w:val="center"/>
              <w:rPr>
                <w:rFonts w:hint="eastAsia" w:ascii="宋体" w:hAnsi="宋体" w:cs="宋体"/>
                <w:color w:val="auto"/>
                <w:highlight w:val="none"/>
              </w:rPr>
            </w:pPr>
          </w:p>
        </w:tc>
        <w:tc>
          <w:tcPr>
            <w:tcW w:w="1868" w:type="dxa"/>
            <w:vAlign w:val="center"/>
          </w:tcPr>
          <w:p w14:paraId="50503AD2">
            <w:pPr>
              <w:jc w:val="center"/>
              <w:rPr>
                <w:rFonts w:hint="eastAsia" w:ascii="宋体" w:hAnsi="宋体" w:cs="宋体"/>
                <w:color w:val="auto"/>
                <w:highlight w:val="none"/>
              </w:rPr>
            </w:pPr>
            <w:r>
              <w:rPr>
                <w:rFonts w:hint="eastAsia" w:ascii="宋体" w:hAnsi="宋体" w:cs="宋体"/>
                <w:color w:val="auto"/>
                <w:spacing w:val="11"/>
                <w:highlight w:val="none"/>
              </w:rPr>
              <w:t>多联式空调（</w:t>
            </w:r>
            <w:r>
              <w:rPr>
                <w:rFonts w:hint="eastAsia" w:ascii="宋体" w:hAnsi="宋体" w:cs="宋体"/>
                <w:color w:val="auto"/>
                <w:spacing w:val="12"/>
                <w:highlight w:val="none"/>
              </w:rPr>
              <w:t>热泵</w:t>
            </w:r>
            <w:r>
              <w:rPr>
                <w:rFonts w:hint="eastAsia" w:ascii="宋体" w:hAnsi="宋体" w:cs="宋体"/>
                <w:color w:val="auto"/>
                <w:highlight w:val="none"/>
              </w:rPr>
              <w:t>）</w:t>
            </w:r>
            <w:r>
              <w:rPr>
                <w:rFonts w:hint="eastAsia" w:ascii="宋体" w:hAnsi="宋体" w:cs="宋体"/>
                <w:color w:val="auto"/>
                <w:spacing w:val="-12"/>
                <w:highlight w:val="none"/>
              </w:rPr>
              <w:t xml:space="preserve">机 组 </w:t>
            </w:r>
            <w:r>
              <w:rPr>
                <w:rFonts w:hint="eastAsia" w:ascii="宋体" w:hAnsi="宋体" w:cs="宋体"/>
                <w:color w:val="auto"/>
                <w:highlight w:val="none"/>
              </w:rPr>
              <w:t>（</w:t>
            </w:r>
            <w:r>
              <w:rPr>
                <w:rFonts w:hint="eastAsia" w:ascii="宋体" w:hAnsi="宋体" w:cs="宋体"/>
                <w:color w:val="auto"/>
                <w:spacing w:val="-13"/>
                <w:highlight w:val="none"/>
              </w:rPr>
              <w:t xml:space="preserve"> 制 冷 量 ≤</w:t>
            </w:r>
            <w:r>
              <w:rPr>
                <w:rFonts w:hint="eastAsia" w:ascii="宋体" w:hAnsi="宋体" w:cs="宋体"/>
                <w:color w:val="auto"/>
                <w:spacing w:val="-97"/>
                <w:highlight w:val="none"/>
              </w:rPr>
              <w:t xml:space="preserve"> </w:t>
            </w:r>
            <w:r>
              <w:rPr>
                <w:rFonts w:hint="eastAsia" w:ascii="宋体" w:hAnsi="宋体" w:cs="宋体"/>
                <w:color w:val="auto"/>
                <w:highlight w:val="none"/>
              </w:rPr>
              <w:t>14000W）</w:t>
            </w:r>
          </w:p>
        </w:tc>
        <w:tc>
          <w:tcPr>
            <w:tcW w:w="3632" w:type="dxa"/>
            <w:vAlign w:val="center"/>
          </w:tcPr>
          <w:p w14:paraId="5A478F54">
            <w:pPr>
              <w:jc w:val="center"/>
              <w:rPr>
                <w:rFonts w:hint="eastAsia" w:ascii="宋体" w:hAnsi="宋体" w:cs="宋体"/>
                <w:color w:val="auto"/>
                <w:highlight w:val="none"/>
              </w:rPr>
            </w:pPr>
            <w:r>
              <w:rPr>
                <w:rFonts w:hint="eastAsia" w:ascii="宋体" w:hAnsi="宋体" w:cs="宋体"/>
                <w:color w:val="auto"/>
                <w:highlight w:val="none"/>
              </w:rPr>
              <w:t>《多联式空调（热泵）机组能效限</w:t>
            </w:r>
            <w:r>
              <w:rPr>
                <w:rFonts w:hint="eastAsia" w:ascii="宋体" w:hAnsi="宋体" w:cs="宋体"/>
                <w:color w:val="auto"/>
                <w:spacing w:val="-11"/>
                <w:highlight w:val="none"/>
              </w:rPr>
              <w:t>定值及能源效率等级》</w:t>
            </w:r>
            <w:r>
              <w:rPr>
                <w:rFonts w:hint="eastAsia" w:ascii="宋体" w:hAnsi="宋体" w:cs="宋体"/>
                <w:color w:val="auto"/>
                <w:highlight w:val="none"/>
              </w:rPr>
              <w:t>（GB</w:t>
            </w:r>
            <w:r>
              <w:rPr>
                <w:rFonts w:hint="eastAsia" w:ascii="宋体" w:hAnsi="宋体" w:cs="宋体"/>
                <w:color w:val="auto"/>
                <w:spacing w:val="55"/>
                <w:highlight w:val="none"/>
              </w:rPr>
              <w:t xml:space="preserve"> </w:t>
            </w:r>
            <w:r>
              <w:rPr>
                <w:rFonts w:hint="eastAsia" w:ascii="宋体" w:hAnsi="宋体" w:cs="宋体"/>
                <w:color w:val="auto"/>
                <w:highlight w:val="none"/>
              </w:rPr>
              <w:t>21454）</w:t>
            </w:r>
          </w:p>
        </w:tc>
      </w:tr>
      <w:tr w14:paraId="1170C8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0" w:type="dxa"/>
          <w:trHeight w:val="1259" w:hRule="atLeast"/>
          <w:jc w:val="center"/>
        </w:trPr>
        <w:tc>
          <w:tcPr>
            <w:tcW w:w="554" w:type="dxa"/>
            <w:vMerge w:val="continue"/>
            <w:vAlign w:val="center"/>
          </w:tcPr>
          <w:p w14:paraId="3F638464">
            <w:pPr>
              <w:autoSpaceDE w:val="0"/>
              <w:autoSpaceDN w:val="0"/>
              <w:jc w:val="center"/>
              <w:rPr>
                <w:rFonts w:hint="eastAsia" w:ascii="宋体" w:hAnsi="宋体" w:cs="宋体"/>
                <w:color w:val="auto"/>
                <w:highlight w:val="none"/>
              </w:rPr>
            </w:pPr>
          </w:p>
        </w:tc>
        <w:tc>
          <w:tcPr>
            <w:tcW w:w="1614" w:type="dxa"/>
            <w:vMerge w:val="continue"/>
            <w:vAlign w:val="center"/>
          </w:tcPr>
          <w:p w14:paraId="62CF98C1">
            <w:pPr>
              <w:autoSpaceDE w:val="0"/>
              <w:autoSpaceDN w:val="0"/>
              <w:jc w:val="center"/>
              <w:rPr>
                <w:rFonts w:hint="eastAsia" w:ascii="宋体" w:hAnsi="宋体" w:cs="宋体"/>
                <w:color w:val="auto"/>
                <w:highlight w:val="none"/>
              </w:rPr>
            </w:pPr>
          </w:p>
        </w:tc>
        <w:tc>
          <w:tcPr>
            <w:tcW w:w="1350" w:type="dxa"/>
            <w:vMerge w:val="continue"/>
            <w:vAlign w:val="center"/>
          </w:tcPr>
          <w:p w14:paraId="7C5E2952">
            <w:pPr>
              <w:autoSpaceDE w:val="0"/>
              <w:autoSpaceDN w:val="0"/>
              <w:jc w:val="center"/>
              <w:rPr>
                <w:rFonts w:hint="eastAsia" w:ascii="宋体" w:hAnsi="宋体" w:cs="宋体"/>
                <w:color w:val="auto"/>
                <w:highlight w:val="none"/>
              </w:rPr>
            </w:pPr>
          </w:p>
        </w:tc>
        <w:tc>
          <w:tcPr>
            <w:tcW w:w="1868" w:type="dxa"/>
            <w:vAlign w:val="center"/>
          </w:tcPr>
          <w:p w14:paraId="39DB2BF0">
            <w:pPr>
              <w:jc w:val="center"/>
              <w:rPr>
                <w:rFonts w:hint="eastAsia" w:ascii="宋体" w:hAnsi="宋体" w:cs="宋体"/>
                <w:color w:val="auto"/>
                <w:highlight w:val="none"/>
              </w:rPr>
            </w:pPr>
            <w:r>
              <w:rPr>
                <w:rFonts w:hint="eastAsia" w:ascii="宋体" w:hAnsi="宋体" w:cs="宋体"/>
                <w:color w:val="auto"/>
                <w:spacing w:val="35"/>
                <w:highlight w:val="none"/>
              </w:rPr>
              <w:t>单元式空气调节机</w:t>
            </w:r>
            <w:r>
              <w:rPr>
                <w:rFonts w:hint="eastAsia" w:ascii="宋体" w:hAnsi="宋体" w:cs="宋体"/>
                <w:color w:val="auto"/>
                <w:highlight w:val="none"/>
              </w:rPr>
              <w:t>(制冷量≤14000W)</w:t>
            </w:r>
          </w:p>
        </w:tc>
        <w:tc>
          <w:tcPr>
            <w:tcW w:w="3632" w:type="dxa"/>
            <w:vAlign w:val="center"/>
          </w:tcPr>
          <w:p w14:paraId="2E99EA97">
            <w:pPr>
              <w:jc w:val="center"/>
              <w:rPr>
                <w:rFonts w:hint="eastAsia" w:ascii="宋体" w:hAnsi="宋体" w:cs="宋体"/>
                <w:color w:val="auto"/>
                <w:highlight w:val="none"/>
              </w:rPr>
            </w:pPr>
            <w:r>
              <w:rPr>
                <w:rFonts w:hint="eastAsia" w:ascii="宋体" w:hAnsi="宋体" w:cs="宋体"/>
                <w:color w:val="auto"/>
                <w:spacing w:val="9"/>
                <w:highlight w:val="none"/>
              </w:rPr>
              <w:t>《单元式空气调节机能效限定值</w:t>
            </w:r>
            <w:r>
              <w:rPr>
                <w:rFonts w:hint="eastAsia" w:ascii="宋体" w:hAnsi="宋体" w:cs="宋体"/>
                <w:color w:val="auto"/>
                <w:spacing w:val="-13"/>
                <w:highlight w:val="none"/>
              </w:rPr>
              <w:t>及能源效率等级》</w:t>
            </w:r>
            <w:r>
              <w:rPr>
                <w:rFonts w:hint="eastAsia" w:ascii="宋体" w:hAnsi="宋体" w:cs="宋体"/>
                <w:color w:val="auto"/>
                <w:highlight w:val="none"/>
              </w:rPr>
              <w:t>（</w:t>
            </w:r>
            <w:r>
              <w:rPr>
                <w:rFonts w:hint="eastAsia" w:ascii="宋体" w:hAnsi="宋体" w:cs="宋体"/>
                <w:color w:val="auto"/>
                <w:spacing w:val="1"/>
                <w:highlight w:val="none"/>
              </w:rPr>
              <w:t>G</w:t>
            </w:r>
            <w:r>
              <w:rPr>
                <w:rFonts w:hint="eastAsia" w:ascii="宋体" w:hAnsi="宋体" w:cs="宋体"/>
                <w:color w:val="auto"/>
                <w:highlight w:val="none"/>
              </w:rPr>
              <w:t>B</w:t>
            </w:r>
            <w:r>
              <w:rPr>
                <w:rFonts w:hint="eastAsia" w:ascii="宋体" w:hAnsi="宋体" w:cs="宋体"/>
                <w:color w:val="auto"/>
                <w:spacing w:val="-49"/>
                <w:highlight w:val="none"/>
              </w:rPr>
              <w:t xml:space="preserve"> </w:t>
            </w:r>
            <w:r>
              <w:rPr>
                <w:rFonts w:hint="eastAsia" w:ascii="宋体" w:hAnsi="宋体" w:cs="宋体"/>
                <w:color w:val="auto"/>
                <w:spacing w:val="1"/>
                <w:highlight w:val="none"/>
              </w:rPr>
              <w:t>195</w:t>
            </w:r>
            <w:r>
              <w:rPr>
                <w:rFonts w:hint="eastAsia" w:ascii="宋体" w:hAnsi="宋体" w:cs="宋体"/>
                <w:color w:val="auto"/>
                <w:highlight w:val="none"/>
              </w:rPr>
              <w:t>7</w:t>
            </w:r>
            <w:r>
              <w:rPr>
                <w:rFonts w:hint="eastAsia" w:ascii="宋体" w:hAnsi="宋体" w:cs="宋体"/>
                <w:color w:val="auto"/>
                <w:spacing w:val="-3"/>
                <w:highlight w:val="none"/>
              </w:rPr>
              <w:t>6</w:t>
            </w:r>
            <w:r>
              <w:rPr>
                <w:rFonts w:hint="eastAsia" w:ascii="宋体" w:hAnsi="宋体" w:cs="宋体"/>
                <w:color w:val="auto"/>
                <w:spacing w:val="-104"/>
                <w:highlight w:val="none"/>
              </w:rPr>
              <w:t>）</w:t>
            </w:r>
            <w:r>
              <w:rPr>
                <w:rFonts w:hint="eastAsia" w:ascii="宋体" w:hAnsi="宋体" w:cs="宋体"/>
                <w:color w:val="auto"/>
                <w:spacing w:val="-6"/>
                <w:highlight w:val="none"/>
              </w:rPr>
              <w:t>《风</w:t>
            </w:r>
            <w:r>
              <w:rPr>
                <w:rFonts w:hint="eastAsia" w:ascii="宋体" w:hAnsi="宋体" w:cs="宋体"/>
                <w:color w:val="auto"/>
                <w:spacing w:val="9"/>
                <w:highlight w:val="none"/>
              </w:rPr>
              <w:t>管送风式空调机组能效限定值及</w:t>
            </w:r>
            <w:r>
              <w:rPr>
                <w:rFonts w:hint="eastAsia" w:ascii="宋体" w:hAnsi="宋体" w:cs="宋体"/>
                <w:color w:val="auto"/>
                <w:highlight w:val="none"/>
              </w:rPr>
              <w:t>能效等级》（GB</w:t>
            </w:r>
            <w:r>
              <w:rPr>
                <w:rFonts w:hint="eastAsia" w:ascii="宋体" w:hAnsi="宋体" w:cs="宋体"/>
                <w:color w:val="auto"/>
                <w:spacing w:val="-2"/>
                <w:highlight w:val="none"/>
              </w:rPr>
              <w:t xml:space="preserve"> </w:t>
            </w:r>
            <w:r>
              <w:rPr>
                <w:rFonts w:hint="eastAsia" w:ascii="宋体" w:hAnsi="宋体" w:cs="宋体"/>
                <w:color w:val="auto"/>
                <w:highlight w:val="none"/>
              </w:rPr>
              <w:t>37479）</w:t>
            </w:r>
          </w:p>
        </w:tc>
      </w:tr>
      <w:tr w14:paraId="4DFDDA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0" w:type="dxa"/>
          <w:trHeight w:val="642" w:hRule="atLeast"/>
          <w:jc w:val="center"/>
        </w:trPr>
        <w:tc>
          <w:tcPr>
            <w:tcW w:w="554" w:type="dxa"/>
            <w:vMerge w:val="continue"/>
            <w:vAlign w:val="center"/>
          </w:tcPr>
          <w:p w14:paraId="0D558700">
            <w:pPr>
              <w:autoSpaceDE w:val="0"/>
              <w:autoSpaceDN w:val="0"/>
              <w:jc w:val="center"/>
              <w:rPr>
                <w:rFonts w:hint="eastAsia" w:ascii="宋体" w:hAnsi="宋体" w:cs="宋体"/>
                <w:color w:val="auto"/>
                <w:highlight w:val="none"/>
              </w:rPr>
            </w:pPr>
          </w:p>
        </w:tc>
        <w:tc>
          <w:tcPr>
            <w:tcW w:w="1614" w:type="dxa"/>
            <w:vMerge w:val="continue"/>
            <w:vAlign w:val="center"/>
          </w:tcPr>
          <w:p w14:paraId="7E3DF906">
            <w:pPr>
              <w:autoSpaceDE w:val="0"/>
              <w:autoSpaceDN w:val="0"/>
              <w:jc w:val="center"/>
              <w:rPr>
                <w:rFonts w:hint="eastAsia" w:ascii="宋体" w:hAnsi="宋体" w:cs="宋体"/>
                <w:color w:val="auto"/>
                <w:highlight w:val="none"/>
              </w:rPr>
            </w:pPr>
          </w:p>
        </w:tc>
        <w:tc>
          <w:tcPr>
            <w:tcW w:w="1350" w:type="dxa"/>
            <w:vAlign w:val="center"/>
          </w:tcPr>
          <w:p w14:paraId="3C2908EE">
            <w:pPr>
              <w:jc w:val="center"/>
              <w:rPr>
                <w:rFonts w:hint="eastAsia" w:ascii="宋体" w:hAnsi="宋体" w:cs="宋体"/>
                <w:color w:val="auto"/>
                <w:highlight w:val="none"/>
              </w:rPr>
            </w:pPr>
            <w:r>
              <w:rPr>
                <w:rFonts w:hint="eastAsia" w:ascii="宋体" w:hAnsi="宋体" w:cs="宋体"/>
                <w:color w:val="auto"/>
                <w:highlight w:val="none"/>
              </w:rPr>
              <w:t>A0206180301 洗衣机</w:t>
            </w:r>
          </w:p>
        </w:tc>
        <w:tc>
          <w:tcPr>
            <w:tcW w:w="1868" w:type="dxa"/>
            <w:vAlign w:val="center"/>
          </w:tcPr>
          <w:p w14:paraId="0B7E8435">
            <w:pPr>
              <w:jc w:val="center"/>
              <w:rPr>
                <w:rFonts w:hint="eastAsia" w:ascii="宋体" w:hAnsi="宋体" w:cs="宋体"/>
                <w:color w:val="auto"/>
                <w:highlight w:val="none"/>
              </w:rPr>
            </w:pPr>
          </w:p>
        </w:tc>
        <w:tc>
          <w:tcPr>
            <w:tcW w:w="3632" w:type="dxa"/>
            <w:vAlign w:val="center"/>
          </w:tcPr>
          <w:p w14:paraId="0502819C">
            <w:pPr>
              <w:jc w:val="center"/>
              <w:rPr>
                <w:rFonts w:hint="eastAsia" w:ascii="宋体" w:hAnsi="宋体" w:cs="宋体"/>
                <w:color w:val="auto"/>
                <w:highlight w:val="none"/>
              </w:rPr>
            </w:pPr>
            <w:r>
              <w:rPr>
                <w:rFonts w:hint="eastAsia" w:ascii="宋体" w:hAnsi="宋体" w:cs="宋体"/>
                <w:color w:val="auto"/>
                <w:spacing w:val="9"/>
                <w:highlight w:val="none"/>
              </w:rPr>
              <w:t>《电动洗衣机能效水效限定值及</w:t>
            </w:r>
            <w:r>
              <w:rPr>
                <w:rFonts w:hint="eastAsia" w:ascii="宋体" w:hAnsi="宋体" w:cs="宋体"/>
                <w:color w:val="auto"/>
                <w:highlight w:val="none"/>
              </w:rPr>
              <w:t>等级》（GB 12021.4）</w:t>
            </w:r>
          </w:p>
        </w:tc>
      </w:tr>
      <w:tr w14:paraId="313B4E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0" w:type="dxa"/>
          <w:trHeight w:val="731" w:hRule="atLeast"/>
          <w:jc w:val="center"/>
        </w:trPr>
        <w:tc>
          <w:tcPr>
            <w:tcW w:w="554" w:type="dxa"/>
            <w:vMerge w:val="continue"/>
            <w:vAlign w:val="center"/>
          </w:tcPr>
          <w:p w14:paraId="77C44F1B">
            <w:pPr>
              <w:jc w:val="center"/>
              <w:rPr>
                <w:rFonts w:hint="eastAsia" w:ascii="宋体" w:hAnsi="宋体" w:cs="宋体"/>
                <w:color w:val="auto"/>
                <w:highlight w:val="none"/>
              </w:rPr>
            </w:pPr>
          </w:p>
        </w:tc>
        <w:tc>
          <w:tcPr>
            <w:tcW w:w="1614" w:type="dxa"/>
            <w:vMerge w:val="continue"/>
            <w:vAlign w:val="center"/>
          </w:tcPr>
          <w:p w14:paraId="4F13F745">
            <w:pPr>
              <w:jc w:val="center"/>
              <w:rPr>
                <w:rFonts w:hint="eastAsia" w:ascii="宋体" w:hAnsi="宋体" w:cs="宋体"/>
                <w:color w:val="auto"/>
                <w:highlight w:val="none"/>
              </w:rPr>
            </w:pPr>
          </w:p>
        </w:tc>
        <w:tc>
          <w:tcPr>
            <w:tcW w:w="1350" w:type="dxa"/>
            <w:vMerge w:val="restart"/>
            <w:vAlign w:val="center"/>
          </w:tcPr>
          <w:p w14:paraId="56E46E88">
            <w:pPr>
              <w:jc w:val="center"/>
              <w:rPr>
                <w:rFonts w:hint="eastAsia" w:ascii="宋体" w:hAnsi="宋体" w:cs="宋体"/>
                <w:color w:val="auto"/>
                <w:highlight w:val="none"/>
              </w:rPr>
            </w:pPr>
            <w:r>
              <w:rPr>
                <w:rFonts w:hint="eastAsia" w:ascii="宋体" w:hAnsi="宋体" w:cs="宋体"/>
                <w:color w:val="auto"/>
                <w:highlight w:val="none"/>
              </w:rPr>
              <w:t>A02061808</w:t>
            </w:r>
            <w:r>
              <w:rPr>
                <w:rFonts w:hint="eastAsia" w:ascii="宋体" w:hAnsi="宋体" w:cs="宋体"/>
                <w:color w:val="auto"/>
                <w:spacing w:val="-8"/>
                <w:highlight w:val="none"/>
              </w:rPr>
              <w:t xml:space="preserve"> 热水器</w:t>
            </w:r>
          </w:p>
        </w:tc>
        <w:tc>
          <w:tcPr>
            <w:tcW w:w="1868" w:type="dxa"/>
            <w:vAlign w:val="center"/>
          </w:tcPr>
          <w:p w14:paraId="2A0A7880">
            <w:pPr>
              <w:jc w:val="center"/>
              <w:rPr>
                <w:rFonts w:hint="eastAsia" w:ascii="宋体" w:hAnsi="宋体" w:cs="宋体"/>
                <w:color w:val="auto"/>
                <w:highlight w:val="none"/>
              </w:rPr>
            </w:pPr>
            <w:r>
              <w:rPr>
                <w:rFonts w:hint="eastAsia" w:ascii="宋体" w:hAnsi="宋体" w:cs="宋体"/>
                <w:color w:val="auto"/>
                <w:highlight w:val="none"/>
              </w:rPr>
              <w:t>★电热水器</w:t>
            </w:r>
          </w:p>
        </w:tc>
        <w:tc>
          <w:tcPr>
            <w:tcW w:w="3632" w:type="dxa"/>
            <w:vAlign w:val="center"/>
          </w:tcPr>
          <w:p w14:paraId="4CB94735">
            <w:pPr>
              <w:jc w:val="center"/>
              <w:rPr>
                <w:rFonts w:hint="eastAsia" w:ascii="宋体" w:hAnsi="宋体" w:cs="宋体"/>
                <w:color w:val="auto"/>
                <w:highlight w:val="none"/>
              </w:rPr>
            </w:pPr>
            <w:r>
              <w:rPr>
                <w:rFonts w:hint="eastAsia" w:ascii="宋体" w:hAnsi="宋体" w:cs="宋体"/>
                <w:color w:val="auto"/>
                <w:spacing w:val="9"/>
                <w:highlight w:val="none"/>
              </w:rPr>
              <w:t>《储水式电热水器能效限定值及</w:t>
            </w:r>
            <w:r>
              <w:rPr>
                <w:rFonts w:hint="eastAsia" w:ascii="宋体" w:hAnsi="宋体" w:cs="宋体"/>
                <w:color w:val="auto"/>
                <w:highlight w:val="none"/>
              </w:rPr>
              <w:t>能效等级》（GB</w:t>
            </w:r>
            <w:r>
              <w:rPr>
                <w:rFonts w:hint="eastAsia" w:ascii="宋体" w:hAnsi="宋体" w:cs="宋体"/>
                <w:color w:val="auto"/>
                <w:spacing w:val="2"/>
                <w:highlight w:val="none"/>
              </w:rPr>
              <w:t xml:space="preserve"> </w:t>
            </w:r>
            <w:r>
              <w:rPr>
                <w:rFonts w:hint="eastAsia" w:ascii="宋体" w:hAnsi="宋体" w:cs="宋体"/>
                <w:color w:val="auto"/>
                <w:highlight w:val="none"/>
              </w:rPr>
              <w:t>21519）</w:t>
            </w:r>
          </w:p>
        </w:tc>
      </w:tr>
      <w:tr w14:paraId="10374E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0" w:type="dxa"/>
          <w:trHeight w:val="947" w:hRule="atLeast"/>
          <w:jc w:val="center"/>
        </w:trPr>
        <w:tc>
          <w:tcPr>
            <w:tcW w:w="554" w:type="dxa"/>
            <w:vMerge w:val="continue"/>
            <w:vAlign w:val="center"/>
          </w:tcPr>
          <w:p w14:paraId="7B19A49F">
            <w:pPr>
              <w:autoSpaceDE w:val="0"/>
              <w:autoSpaceDN w:val="0"/>
              <w:jc w:val="center"/>
              <w:rPr>
                <w:rFonts w:hint="eastAsia" w:ascii="宋体" w:hAnsi="宋体" w:cs="宋体"/>
                <w:color w:val="auto"/>
                <w:highlight w:val="none"/>
              </w:rPr>
            </w:pPr>
          </w:p>
        </w:tc>
        <w:tc>
          <w:tcPr>
            <w:tcW w:w="1614" w:type="dxa"/>
            <w:vMerge w:val="continue"/>
            <w:vAlign w:val="center"/>
          </w:tcPr>
          <w:p w14:paraId="357404D6">
            <w:pPr>
              <w:autoSpaceDE w:val="0"/>
              <w:autoSpaceDN w:val="0"/>
              <w:jc w:val="center"/>
              <w:rPr>
                <w:rFonts w:hint="eastAsia" w:ascii="宋体" w:hAnsi="宋体" w:cs="宋体"/>
                <w:color w:val="auto"/>
                <w:highlight w:val="none"/>
              </w:rPr>
            </w:pPr>
          </w:p>
        </w:tc>
        <w:tc>
          <w:tcPr>
            <w:tcW w:w="1350" w:type="dxa"/>
            <w:vMerge w:val="continue"/>
            <w:vAlign w:val="center"/>
          </w:tcPr>
          <w:p w14:paraId="77FFB72C">
            <w:pPr>
              <w:autoSpaceDE w:val="0"/>
              <w:autoSpaceDN w:val="0"/>
              <w:jc w:val="center"/>
              <w:rPr>
                <w:rFonts w:hint="eastAsia" w:ascii="宋体" w:hAnsi="宋体" w:cs="宋体"/>
                <w:color w:val="auto"/>
                <w:highlight w:val="none"/>
              </w:rPr>
            </w:pPr>
          </w:p>
        </w:tc>
        <w:tc>
          <w:tcPr>
            <w:tcW w:w="1868" w:type="dxa"/>
            <w:vAlign w:val="center"/>
          </w:tcPr>
          <w:p w14:paraId="3A0D78EF">
            <w:pPr>
              <w:jc w:val="center"/>
              <w:rPr>
                <w:rFonts w:hint="eastAsia" w:ascii="宋体" w:hAnsi="宋体" w:cs="宋体"/>
                <w:color w:val="auto"/>
                <w:highlight w:val="none"/>
              </w:rPr>
            </w:pPr>
            <w:r>
              <w:rPr>
                <w:rFonts w:hint="eastAsia" w:ascii="宋体" w:hAnsi="宋体" w:cs="宋体"/>
                <w:color w:val="auto"/>
                <w:highlight w:val="none"/>
              </w:rPr>
              <w:t>燃气热水器</w:t>
            </w:r>
          </w:p>
        </w:tc>
        <w:tc>
          <w:tcPr>
            <w:tcW w:w="3632" w:type="dxa"/>
            <w:vAlign w:val="center"/>
          </w:tcPr>
          <w:p w14:paraId="2DE53AA6">
            <w:pPr>
              <w:jc w:val="center"/>
              <w:rPr>
                <w:rFonts w:hint="eastAsia" w:ascii="宋体" w:hAnsi="宋体" w:cs="宋体"/>
                <w:color w:val="auto"/>
                <w:highlight w:val="none"/>
              </w:rPr>
            </w:pPr>
            <w:r>
              <w:rPr>
                <w:rFonts w:hint="eastAsia" w:ascii="宋体" w:hAnsi="宋体" w:cs="宋体"/>
                <w:color w:val="auto"/>
                <w:spacing w:val="9"/>
                <w:highlight w:val="none"/>
              </w:rPr>
              <w:t>《家用燃气快速热水器和燃气采</w:t>
            </w:r>
            <w:r>
              <w:rPr>
                <w:rFonts w:hint="eastAsia" w:ascii="宋体" w:hAnsi="宋体" w:cs="宋体"/>
                <w:color w:val="auto"/>
                <w:spacing w:val="-1"/>
                <w:highlight w:val="none"/>
              </w:rPr>
              <w:t>暖热水炉能效限定值及能效等级》</w:t>
            </w:r>
            <w:r>
              <w:rPr>
                <w:rFonts w:hint="eastAsia" w:ascii="宋体" w:hAnsi="宋体" w:cs="宋体"/>
                <w:color w:val="auto"/>
                <w:highlight w:val="none"/>
              </w:rPr>
              <w:t>（GB</w:t>
            </w:r>
            <w:r>
              <w:rPr>
                <w:rFonts w:hint="eastAsia" w:ascii="宋体" w:hAnsi="宋体" w:cs="宋体"/>
                <w:color w:val="auto"/>
                <w:spacing w:val="1"/>
                <w:highlight w:val="none"/>
              </w:rPr>
              <w:t xml:space="preserve"> </w:t>
            </w:r>
            <w:r>
              <w:rPr>
                <w:rFonts w:hint="eastAsia" w:ascii="宋体" w:hAnsi="宋体" w:cs="宋体"/>
                <w:color w:val="auto"/>
                <w:highlight w:val="none"/>
              </w:rPr>
              <w:t>20665）</w:t>
            </w:r>
          </w:p>
        </w:tc>
      </w:tr>
      <w:tr w14:paraId="7C941A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0" w:type="dxa"/>
          <w:trHeight w:val="813" w:hRule="atLeast"/>
          <w:jc w:val="center"/>
        </w:trPr>
        <w:tc>
          <w:tcPr>
            <w:tcW w:w="554" w:type="dxa"/>
            <w:vMerge w:val="continue"/>
            <w:vAlign w:val="center"/>
          </w:tcPr>
          <w:p w14:paraId="62C052A7">
            <w:pPr>
              <w:autoSpaceDE w:val="0"/>
              <w:autoSpaceDN w:val="0"/>
              <w:jc w:val="center"/>
              <w:rPr>
                <w:rFonts w:hint="eastAsia" w:ascii="宋体" w:hAnsi="宋体" w:cs="宋体"/>
                <w:color w:val="auto"/>
                <w:highlight w:val="none"/>
              </w:rPr>
            </w:pPr>
          </w:p>
        </w:tc>
        <w:tc>
          <w:tcPr>
            <w:tcW w:w="1614" w:type="dxa"/>
            <w:vMerge w:val="continue"/>
            <w:vAlign w:val="center"/>
          </w:tcPr>
          <w:p w14:paraId="49E81C4E">
            <w:pPr>
              <w:autoSpaceDE w:val="0"/>
              <w:autoSpaceDN w:val="0"/>
              <w:jc w:val="center"/>
              <w:rPr>
                <w:rFonts w:hint="eastAsia" w:ascii="宋体" w:hAnsi="宋体" w:cs="宋体"/>
                <w:color w:val="auto"/>
                <w:highlight w:val="none"/>
              </w:rPr>
            </w:pPr>
          </w:p>
        </w:tc>
        <w:tc>
          <w:tcPr>
            <w:tcW w:w="1350" w:type="dxa"/>
            <w:vMerge w:val="continue"/>
            <w:vAlign w:val="center"/>
          </w:tcPr>
          <w:p w14:paraId="08651437">
            <w:pPr>
              <w:autoSpaceDE w:val="0"/>
              <w:autoSpaceDN w:val="0"/>
              <w:jc w:val="center"/>
              <w:rPr>
                <w:rFonts w:hint="eastAsia" w:ascii="宋体" w:hAnsi="宋体" w:cs="宋体"/>
                <w:color w:val="auto"/>
                <w:highlight w:val="none"/>
              </w:rPr>
            </w:pPr>
          </w:p>
        </w:tc>
        <w:tc>
          <w:tcPr>
            <w:tcW w:w="1868" w:type="dxa"/>
            <w:vAlign w:val="center"/>
          </w:tcPr>
          <w:p w14:paraId="06A021E9">
            <w:pPr>
              <w:jc w:val="center"/>
              <w:rPr>
                <w:rFonts w:hint="eastAsia" w:ascii="宋体" w:hAnsi="宋体" w:cs="宋体"/>
                <w:color w:val="auto"/>
                <w:highlight w:val="none"/>
              </w:rPr>
            </w:pPr>
            <w:r>
              <w:rPr>
                <w:rFonts w:hint="eastAsia" w:ascii="宋体" w:hAnsi="宋体" w:cs="宋体"/>
                <w:color w:val="auto"/>
                <w:highlight w:val="none"/>
              </w:rPr>
              <w:t>热泵热水器</w:t>
            </w:r>
          </w:p>
        </w:tc>
        <w:tc>
          <w:tcPr>
            <w:tcW w:w="3632" w:type="dxa"/>
            <w:vAlign w:val="center"/>
          </w:tcPr>
          <w:p w14:paraId="10E2002F">
            <w:pPr>
              <w:jc w:val="center"/>
              <w:rPr>
                <w:rFonts w:hint="eastAsia" w:ascii="宋体" w:hAnsi="宋体" w:cs="宋体"/>
                <w:color w:val="auto"/>
                <w:highlight w:val="none"/>
              </w:rPr>
            </w:pPr>
            <w:r>
              <w:rPr>
                <w:rFonts w:hint="eastAsia" w:ascii="宋体" w:hAnsi="宋体" w:cs="宋体"/>
                <w:color w:val="auto"/>
                <w:spacing w:val="-5"/>
                <w:highlight w:val="none"/>
              </w:rPr>
              <w:t>《热泵热水机</w:t>
            </w:r>
            <w:r>
              <w:rPr>
                <w:rFonts w:hint="eastAsia" w:ascii="宋体" w:hAnsi="宋体" w:cs="宋体"/>
                <w:color w:val="auto"/>
                <w:spacing w:val="-4"/>
                <w:highlight w:val="none"/>
              </w:rPr>
              <w:t>（器）能效限定值及</w:t>
            </w:r>
            <w:r>
              <w:rPr>
                <w:rFonts w:hint="eastAsia" w:ascii="宋体" w:hAnsi="宋体" w:cs="宋体"/>
                <w:color w:val="auto"/>
                <w:highlight w:val="none"/>
              </w:rPr>
              <w:t>能效等级》（GB</w:t>
            </w:r>
            <w:r>
              <w:rPr>
                <w:rFonts w:hint="eastAsia" w:ascii="宋体" w:hAnsi="宋体" w:cs="宋体"/>
                <w:color w:val="auto"/>
                <w:spacing w:val="1"/>
                <w:highlight w:val="none"/>
              </w:rPr>
              <w:t xml:space="preserve"> </w:t>
            </w:r>
            <w:r>
              <w:rPr>
                <w:rFonts w:hint="eastAsia" w:ascii="宋体" w:hAnsi="宋体" w:cs="宋体"/>
                <w:color w:val="auto"/>
                <w:highlight w:val="none"/>
              </w:rPr>
              <w:t>29541）</w:t>
            </w:r>
          </w:p>
        </w:tc>
      </w:tr>
      <w:tr w14:paraId="40FAFD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0" w:type="dxa"/>
          <w:trHeight w:val="731" w:hRule="atLeast"/>
          <w:jc w:val="center"/>
        </w:trPr>
        <w:tc>
          <w:tcPr>
            <w:tcW w:w="554" w:type="dxa"/>
            <w:vMerge w:val="continue"/>
            <w:vAlign w:val="center"/>
          </w:tcPr>
          <w:p w14:paraId="0868085C">
            <w:pPr>
              <w:autoSpaceDE w:val="0"/>
              <w:autoSpaceDN w:val="0"/>
              <w:jc w:val="center"/>
              <w:rPr>
                <w:rFonts w:hint="eastAsia" w:ascii="宋体" w:hAnsi="宋体" w:cs="宋体"/>
                <w:color w:val="auto"/>
                <w:highlight w:val="none"/>
              </w:rPr>
            </w:pPr>
          </w:p>
        </w:tc>
        <w:tc>
          <w:tcPr>
            <w:tcW w:w="1614" w:type="dxa"/>
            <w:vMerge w:val="continue"/>
            <w:vAlign w:val="center"/>
          </w:tcPr>
          <w:p w14:paraId="3FE58644">
            <w:pPr>
              <w:autoSpaceDE w:val="0"/>
              <w:autoSpaceDN w:val="0"/>
              <w:jc w:val="center"/>
              <w:rPr>
                <w:rFonts w:hint="eastAsia" w:ascii="宋体" w:hAnsi="宋体" w:cs="宋体"/>
                <w:color w:val="auto"/>
                <w:highlight w:val="none"/>
              </w:rPr>
            </w:pPr>
          </w:p>
        </w:tc>
        <w:tc>
          <w:tcPr>
            <w:tcW w:w="1350" w:type="dxa"/>
            <w:vMerge w:val="continue"/>
            <w:vAlign w:val="center"/>
          </w:tcPr>
          <w:p w14:paraId="5C06A0D9">
            <w:pPr>
              <w:autoSpaceDE w:val="0"/>
              <w:autoSpaceDN w:val="0"/>
              <w:jc w:val="center"/>
              <w:rPr>
                <w:rFonts w:hint="eastAsia" w:ascii="宋体" w:hAnsi="宋体" w:cs="宋体"/>
                <w:color w:val="auto"/>
                <w:highlight w:val="none"/>
              </w:rPr>
            </w:pPr>
          </w:p>
        </w:tc>
        <w:tc>
          <w:tcPr>
            <w:tcW w:w="1868" w:type="dxa"/>
            <w:vAlign w:val="center"/>
          </w:tcPr>
          <w:p w14:paraId="52676446">
            <w:pPr>
              <w:jc w:val="center"/>
              <w:rPr>
                <w:rFonts w:hint="eastAsia" w:ascii="宋体" w:hAnsi="宋体" w:cs="宋体"/>
                <w:color w:val="auto"/>
                <w:highlight w:val="none"/>
              </w:rPr>
            </w:pPr>
            <w:r>
              <w:rPr>
                <w:rFonts w:hint="eastAsia" w:ascii="宋体" w:hAnsi="宋体" w:cs="宋体"/>
                <w:color w:val="auto"/>
                <w:highlight w:val="none"/>
              </w:rPr>
              <w:t>太阳能热水系统</w:t>
            </w:r>
          </w:p>
        </w:tc>
        <w:tc>
          <w:tcPr>
            <w:tcW w:w="3632" w:type="dxa"/>
            <w:vAlign w:val="center"/>
          </w:tcPr>
          <w:p w14:paraId="063E8590">
            <w:pPr>
              <w:jc w:val="center"/>
              <w:rPr>
                <w:rFonts w:hint="eastAsia" w:ascii="宋体" w:hAnsi="宋体" w:cs="宋体"/>
                <w:color w:val="auto"/>
                <w:highlight w:val="none"/>
              </w:rPr>
            </w:pPr>
            <w:r>
              <w:rPr>
                <w:rFonts w:hint="eastAsia" w:ascii="宋体" w:hAnsi="宋体" w:cs="宋体"/>
                <w:color w:val="auto"/>
                <w:spacing w:val="9"/>
                <w:highlight w:val="none"/>
              </w:rPr>
              <w:t>《家用太阳能热水系统能效限定</w:t>
            </w:r>
            <w:r>
              <w:rPr>
                <w:rFonts w:hint="eastAsia" w:ascii="宋体" w:hAnsi="宋体" w:cs="宋体"/>
                <w:color w:val="auto"/>
                <w:highlight w:val="none"/>
              </w:rPr>
              <w:t>值及能效等级》（GB 26969）</w:t>
            </w:r>
          </w:p>
        </w:tc>
      </w:tr>
      <w:tr w14:paraId="5C2583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0" w:type="dxa"/>
          <w:trHeight w:val="892" w:hRule="atLeast"/>
          <w:jc w:val="center"/>
        </w:trPr>
        <w:tc>
          <w:tcPr>
            <w:tcW w:w="554" w:type="dxa"/>
            <w:vMerge w:val="restart"/>
            <w:vAlign w:val="center"/>
          </w:tcPr>
          <w:p w14:paraId="4371A35E">
            <w:pPr>
              <w:jc w:val="center"/>
              <w:rPr>
                <w:rFonts w:hint="eastAsia" w:ascii="宋体" w:hAnsi="宋体" w:cs="宋体"/>
                <w:color w:val="auto"/>
                <w:highlight w:val="none"/>
              </w:rPr>
            </w:pPr>
            <w:r>
              <w:rPr>
                <w:rFonts w:hint="eastAsia" w:ascii="宋体" w:hAnsi="宋体" w:cs="宋体"/>
                <w:color w:val="auto"/>
                <w:highlight w:val="none"/>
              </w:rPr>
              <w:t>11</w:t>
            </w:r>
          </w:p>
        </w:tc>
        <w:tc>
          <w:tcPr>
            <w:tcW w:w="1614" w:type="dxa"/>
            <w:vMerge w:val="restart"/>
            <w:vAlign w:val="center"/>
          </w:tcPr>
          <w:p w14:paraId="29786A5C">
            <w:pPr>
              <w:jc w:val="center"/>
              <w:rPr>
                <w:rFonts w:hint="eastAsia" w:ascii="宋体" w:hAnsi="宋体" w:cs="宋体"/>
                <w:color w:val="auto"/>
                <w:highlight w:val="none"/>
              </w:rPr>
            </w:pPr>
            <w:r>
              <w:rPr>
                <w:rFonts w:hint="eastAsia" w:ascii="宋体" w:hAnsi="宋体" w:cs="宋体"/>
                <w:color w:val="auto"/>
                <w:spacing w:val="-2"/>
                <w:highlight w:val="none"/>
              </w:rPr>
              <w:t>A020619</w:t>
            </w:r>
            <w:r>
              <w:rPr>
                <w:rFonts w:hint="eastAsia" w:ascii="宋体" w:hAnsi="宋体" w:cs="宋体"/>
                <w:color w:val="auto"/>
                <w:spacing w:val="-20"/>
                <w:highlight w:val="none"/>
              </w:rPr>
              <w:t xml:space="preserve"> 照明</w:t>
            </w:r>
            <w:r>
              <w:rPr>
                <w:rFonts w:hint="eastAsia" w:ascii="宋体" w:hAnsi="宋体" w:cs="宋体"/>
                <w:color w:val="auto"/>
                <w:highlight w:val="none"/>
              </w:rPr>
              <w:t>设备</w:t>
            </w:r>
          </w:p>
        </w:tc>
        <w:tc>
          <w:tcPr>
            <w:tcW w:w="1350" w:type="dxa"/>
            <w:vAlign w:val="center"/>
          </w:tcPr>
          <w:p w14:paraId="43E8F74E">
            <w:pPr>
              <w:jc w:val="center"/>
              <w:rPr>
                <w:rFonts w:hint="eastAsia" w:ascii="宋体" w:hAnsi="宋体" w:cs="宋体"/>
                <w:color w:val="auto"/>
                <w:highlight w:val="none"/>
              </w:rPr>
            </w:pPr>
            <w:r>
              <w:rPr>
                <w:rFonts w:hint="eastAsia" w:ascii="宋体" w:hAnsi="宋体" w:cs="宋体"/>
                <w:color w:val="auto"/>
                <w:spacing w:val="11"/>
                <w:highlight w:val="none"/>
              </w:rPr>
              <w:t>★ 普通照明用双端</w:t>
            </w:r>
            <w:r>
              <w:rPr>
                <w:rFonts w:hint="eastAsia" w:ascii="宋体" w:hAnsi="宋体" w:cs="宋体"/>
                <w:color w:val="auto"/>
                <w:highlight w:val="none"/>
              </w:rPr>
              <w:t>荧光灯</w:t>
            </w:r>
          </w:p>
        </w:tc>
        <w:tc>
          <w:tcPr>
            <w:tcW w:w="1868" w:type="dxa"/>
            <w:vAlign w:val="center"/>
          </w:tcPr>
          <w:p w14:paraId="1EE18E59">
            <w:pPr>
              <w:jc w:val="center"/>
              <w:rPr>
                <w:rFonts w:hint="eastAsia" w:ascii="宋体" w:hAnsi="宋体" w:cs="宋体"/>
                <w:color w:val="auto"/>
                <w:highlight w:val="none"/>
              </w:rPr>
            </w:pPr>
          </w:p>
        </w:tc>
        <w:tc>
          <w:tcPr>
            <w:tcW w:w="3632" w:type="dxa"/>
            <w:vAlign w:val="center"/>
          </w:tcPr>
          <w:p w14:paraId="6B21256C">
            <w:pPr>
              <w:jc w:val="center"/>
              <w:rPr>
                <w:rFonts w:hint="eastAsia" w:ascii="宋体" w:hAnsi="宋体" w:cs="宋体"/>
                <w:color w:val="auto"/>
                <w:highlight w:val="none"/>
              </w:rPr>
            </w:pPr>
            <w:r>
              <w:rPr>
                <w:rFonts w:hint="eastAsia" w:ascii="宋体" w:hAnsi="宋体" w:cs="宋体"/>
                <w:color w:val="auto"/>
                <w:spacing w:val="9"/>
                <w:highlight w:val="none"/>
              </w:rPr>
              <w:t>《普通照明用双端荧光灯能效限</w:t>
            </w:r>
            <w:r>
              <w:rPr>
                <w:rFonts w:hint="eastAsia" w:ascii="宋体" w:hAnsi="宋体" w:cs="宋体"/>
                <w:color w:val="auto"/>
                <w:highlight w:val="none"/>
              </w:rPr>
              <w:t>定值及能效等级》（GB 19043）</w:t>
            </w:r>
          </w:p>
        </w:tc>
      </w:tr>
      <w:tr w14:paraId="2C471B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0" w:type="dxa"/>
          <w:trHeight w:val="810" w:hRule="atLeast"/>
          <w:jc w:val="center"/>
        </w:trPr>
        <w:tc>
          <w:tcPr>
            <w:tcW w:w="554" w:type="dxa"/>
            <w:vMerge w:val="continue"/>
            <w:vAlign w:val="center"/>
          </w:tcPr>
          <w:p w14:paraId="12A864E9">
            <w:pPr>
              <w:autoSpaceDE w:val="0"/>
              <w:autoSpaceDN w:val="0"/>
              <w:jc w:val="center"/>
              <w:rPr>
                <w:rFonts w:hint="eastAsia" w:ascii="宋体" w:hAnsi="宋体" w:cs="宋体"/>
                <w:color w:val="auto"/>
                <w:highlight w:val="none"/>
              </w:rPr>
            </w:pPr>
          </w:p>
        </w:tc>
        <w:tc>
          <w:tcPr>
            <w:tcW w:w="1614" w:type="dxa"/>
            <w:vMerge w:val="continue"/>
            <w:vAlign w:val="center"/>
          </w:tcPr>
          <w:p w14:paraId="2D0EDB0C">
            <w:pPr>
              <w:autoSpaceDE w:val="0"/>
              <w:autoSpaceDN w:val="0"/>
              <w:jc w:val="center"/>
              <w:rPr>
                <w:rFonts w:hint="eastAsia" w:ascii="宋体" w:hAnsi="宋体" w:cs="宋体"/>
                <w:color w:val="auto"/>
                <w:highlight w:val="none"/>
              </w:rPr>
            </w:pPr>
          </w:p>
        </w:tc>
        <w:tc>
          <w:tcPr>
            <w:tcW w:w="1350" w:type="dxa"/>
            <w:vAlign w:val="center"/>
          </w:tcPr>
          <w:p w14:paraId="308910FF">
            <w:pPr>
              <w:jc w:val="center"/>
              <w:rPr>
                <w:rFonts w:hint="eastAsia" w:ascii="宋体" w:hAnsi="宋体" w:cs="宋体"/>
                <w:color w:val="auto"/>
                <w:highlight w:val="none"/>
              </w:rPr>
            </w:pPr>
            <w:r>
              <w:rPr>
                <w:rFonts w:hint="eastAsia" w:ascii="宋体" w:hAnsi="宋体" w:cs="宋体"/>
                <w:color w:val="auto"/>
                <w:highlight w:val="none"/>
              </w:rPr>
              <w:t>LED</w:t>
            </w:r>
            <w:r>
              <w:rPr>
                <w:rFonts w:hint="eastAsia" w:ascii="宋体" w:hAnsi="宋体" w:cs="宋体"/>
                <w:color w:val="auto"/>
                <w:spacing w:val="3"/>
                <w:highlight w:val="none"/>
              </w:rPr>
              <w:t xml:space="preserve"> 道路</w:t>
            </w:r>
            <w:r>
              <w:rPr>
                <w:rFonts w:hint="eastAsia" w:ascii="宋体" w:hAnsi="宋体" w:cs="宋体"/>
                <w:color w:val="auto"/>
                <w:spacing w:val="13"/>
                <w:highlight w:val="none"/>
              </w:rPr>
              <w:t>/</w:t>
            </w:r>
            <w:r>
              <w:rPr>
                <w:rFonts w:hint="eastAsia" w:ascii="宋体" w:hAnsi="宋体" w:cs="宋体"/>
                <w:color w:val="auto"/>
                <w:spacing w:val="9"/>
                <w:highlight w:val="none"/>
              </w:rPr>
              <w:t>隧道照明</w:t>
            </w:r>
            <w:r>
              <w:rPr>
                <w:rFonts w:hint="eastAsia" w:ascii="宋体" w:hAnsi="宋体" w:cs="宋体"/>
                <w:color w:val="auto"/>
                <w:highlight w:val="none"/>
              </w:rPr>
              <w:t>产品</w:t>
            </w:r>
          </w:p>
        </w:tc>
        <w:tc>
          <w:tcPr>
            <w:tcW w:w="1868" w:type="dxa"/>
            <w:vAlign w:val="center"/>
          </w:tcPr>
          <w:p w14:paraId="2BBCA8EF">
            <w:pPr>
              <w:jc w:val="center"/>
              <w:rPr>
                <w:rFonts w:hint="eastAsia" w:ascii="宋体" w:hAnsi="宋体" w:cs="宋体"/>
                <w:color w:val="auto"/>
                <w:highlight w:val="none"/>
              </w:rPr>
            </w:pPr>
          </w:p>
        </w:tc>
        <w:tc>
          <w:tcPr>
            <w:tcW w:w="3632" w:type="dxa"/>
            <w:vAlign w:val="center"/>
          </w:tcPr>
          <w:p w14:paraId="0DA0090B">
            <w:pPr>
              <w:jc w:val="center"/>
              <w:rPr>
                <w:rFonts w:hint="eastAsia" w:ascii="宋体" w:hAnsi="宋体" w:cs="宋体"/>
                <w:color w:val="auto"/>
                <w:highlight w:val="none"/>
              </w:rPr>
            </w:pPr>
            <w:r>
              <w:rPr>
                <w:rFonts w:hint="eastAsia" w:ascii="宋体" w:hAnsi="宋体" w:cs="宋体"/>
                <w:color w:val="auto"/>
                <w:spacing w:val="1"/>
                <w:highlight w:val="none"/>
              </w:rPr>
              <w:t xml:space="preserve">《道路和隧道照明用 </w:t>
            </w:r>
            <w:r>
              <w:rPr>
                <w:rFonts w:hint="eastAsia" w:ascii="宋体" w:hAnsi="宋体" w:cs="宋体"/>
                <w:color w:val="auto"/>
                <w:highlight w:val="none"/>
              </w:rPr>
              <w:t>LED</w:t>
            </w:r>
            <w:r>
              <w:rPr>
                <w:rFonts w:hint="eastAsia" w:ascii="宋体" w:hAnsi="宋体" w:cs="宋体"/>
                <w:color w:val="auto"/>
                <w:spacing w:val="3"/>
                <w:highlight w:val="none"/>
              </w:rPr>
              <w:t xml:space="preserve"> 灯具能</w:t>
            </w:r>
            <w:r>
              <w:rPr>
                <w:rFonts w:hint="eastAsia" w:ascii="宋体" w:hAnsi="宋体" w:cs="宋体"/>
                <w:color w:val="auto"/>
                <w:spacing w:val="-11"/>
                <w:highlight w:val="none"/>
              </w:rPr>
              <w:t>效限定值及能效等级》</w:t>
            </w:r>
            <w:r>
              <w:rPr>
                <w:rFonts w:hint="eastAsia" w:ascii="宋体" w:hAnsi="宋体" w:cs="宋体"/>
                <w:color w:val="auto"/>
                <w:highlight w:val="none"/>
              </w:rPr>
              <w:t>（GB</w:t>
            </w:r>
            <w:r>
              <w:rPr>
                <w:rFonts w:hint="eastAsia" w:ascii="宋体" w:hAnsi="宋体" w:cs="宋体"/>
                <w:color w:val="auto"/>
                <w:spacing w:val="55"/>
                <w:highlight w:val="none"/>
              </w:rPr>
              <w:t xml:space="preserve"> </w:t>
            </w:r>
            <w:r>
              <w:rPr>
                <w:rFonts w:hint="eastAsia" w:ascii="宋体" w:hAnsi="宋体" w:cs="宋体"/>
                <w:color w:val="auto"/>
                <w:highlight w:val="none"/>
              </w:rPr>
              <w:t>37478）</w:t>
            </w:r>
          </w:p>
        </w:tc>
      </w:tr>
      <w:tr w14:paraId="0C6AA7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0" w:type="dxa"/>
          <w:trHeight w:val="793" w:hRule="atLeast"/>
          <w:jc w:val="center"/>
        </w:trPr>
        <w:tc>
          <w:tcPr>
            <w:tcW w:w="554" w:type="dxa"/>
            <w:vMerge w:val="continue"/>
            <w:vAlign w:val="center"/>
          </w:tcPr>
          <w:p w14:paraId="501C60CF">
            <w:pPr>
              <w:autoSpaceDE w:val="0"/>
              <w:autoSpaceDN w:val="0"/>
              <w:jc w:val="center"/>
              <w:rPr>
                <w:rFonts w:hint="eastAsia" w:ascii="宋体" w:hAnsi="宋体" w:cs="宋体"/>
                <w:color w:val="auto"/>
                <w:highlight w:val="none"/>
              </w:rPr>
            </w:pPr>
          </w:p>
        </w:tc>
        <w:tc>
          <w:tcPr>
            <w:tcW w:w="1614" w:type="dxa"/>
            <w:vMerge w:val="continue"/>
            <w:vAlign w:val="center"/>
          </w:tcPr>
          <w:p w14:paraId="09B5A900">
            <w:pPr>
              <w:autoSpaceDE w:val="0"/>
              <w:autoSpaceDN w:val="0"/>
              <w:jc w:val="center"/>
              <w:rPr>
                <w:rFonts w:hint="eastAsia" w:ascii="宋体" w:hAnsi="宋体" w:cs="宋体"/>
                <w:color w:val="auto"/>
                <w:highlight w:val="none"/>
              </w:rPr>
            </w:pPr>
          </w:p>
        </w:tc>
        <w:tc>
          <w:tcPr>
            <w:tcW w:w="1350" w:type="dxa"/>
            <w:vAlign w:val="center"/>
          </w:tcPr>
          <w:p w14:paraId="4E44870D">
            <w:pPr>
              <w:jc w:val="center"/>
              <w:rPr>
                <w:rFonts w:hint="eastAsia" w:ascii="宋体" w:hAnsi="宋体" w:cs="宋体"/>
                <w:color w:val="auto"/>
                <w:highlight w:val="none"/>
              </w:rPr>
            </w:pPr>
            <w:r>
              <w:rPr>
                <w:rFonts w:hint="eastAsia" w:ascii="宋体" w:hAnsi="宋体" w:cs="宋体"/>
                <w:color w:val="auto"/>
                <w:highlight w:val="none"/>
              </w:rPr>
              <w:t>LED</w:t>
            </w:r>
            <w:r>
              <w:rPr>
                <w:rFonts w:hint="eastAsia" w:ascii="宋体" w:hAnsi="宋体" w:cs="宋体"/>
                <w:color w:val="auto"/>
                <w:spacing w:val="-13"/>
                <w:highlight w:val="none"/>
              </w:rPr>
              <w:t xml:space="preserve"> 筒灯</w:t>
            </w:r>
          </w:p>
        </w:tc>
        <w:tc>
          <w:tcPr>
            <w:tcW w:w="1868" w:type="dxa"/>
            <w:vAlign w:val="center"/>
          </w:tcPr>
          <w:p w14:paraId="00B51493">
            <w:pPr>
              <w:jc w:val="center"/>
              <w:rPr>
                <w:rFonts w:hint="eastAsia" w:ascii="宋体" w:hAnsi="宋体" w:cs="宋体"/>
                <w:color w:val="auto"/>
                <w:highlight w:val="none"/>
              </w:rPr>
            </w:pPr>
          </w:p>
        </w:tc>
        <w:tc>
          <w:tcPr>
            <w:tcW w:w="3632" w:type="dxa"/>
            <w:vAlign w:val="center"/>
          </w:tcPr>
          <w:p w14:paraId="1A2BFC78">
            <w:pPr>
              <w:jc w:val="center"/>
              <w:rPr>
                <w:rFonts w:hint="eastAsia" w:ascii="宋体" w:hAnsi="宋体" w:cs="宋体"/>
                <w:color w:val="auto"/>
                <w:highlight w:val="none"/>
              </w:rPr>
            </w:pPr>
            <w:r>
              <w:rPr>
                <w:rFonts w:hint="eastAsia" w:ascii="宋体" w:hAnsi="宋体" w:cs="宋体"/>
                <w:color w:val="auto"/>
                <w:spacing w:val="1"/>
                <w:highlight w:val="none"/>
              </w:rPr>
              <w:t xml:space="preserve">《室内照明用 </w:t>
            </w:r>
            <w:r>
              <w:rPr>
                <w:rFonts w:hint="eastAsia" w:ascii="宋体" w:hAnsi="宋体" w:cs="宋体"/>
                <w:color w:val="auto"/>
                <w:highlight w:val="none"/>
              </w:rPr>
              <w:t>LED 产品能效限定值及能效等级》（GB 30255）</w:t>
            </w:r>
          </w:p>
        </w:tc>
      </w:tr>
      <w:tr w14:paraId="291E15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0" w:type="dxa"/>
          <w:trHeight w:val="1031" w:hRule="atLeast"/>
          <w:jc w:val="center"/>
        </w:trPr>
        <w:tc>
          <w:tcPr>
            <w:tcW w:w="554" w:type="dxa"/>
            <w:vMerge w:val="continue"/>
            <w:vAlign w:val="center"/>
          </w:tcPr>
          <w:p w14:paraId="4EFBAB94">
            <w:pPr>
              <w:autoSpaceDE w:val="0"/>
              <w:autoSpaceDN w:val="0"/>
              <w:jc w:val="center"/>
              <w:rPr>
                <w:rFonts w:hint="eastAsia" w:ascii="宋体" w:hAnsi="宋体" w:cs="宋体"/>
                <w:color w:val="auto"/>
                <w:highlight w:val="none"/>
              </w:rPr>
            </w:pPr>
          </w:p>
        </w:tc>
        <w:tc>
          <w:tcPr>
            <w:tcW w:w="1614" w:type="dxa"/>
            <w:vMerge w:val="continue"/>
            <w:vAlign w:val="center"/>
          </w:tcPr>
          <w:p w14:paraId="094A18DA">
            <w:pPr>
              <w:autoSpaceDE w:val="0"/>
              <w:autoSpaceDN w:val="0"/>
              <w:jc w:val="center"/>
              <w:rPr>
                <w:rFonts w:hint="eastAsia" w:ascii="宋体" w:hAnsi="宋体" w:cs="宋体"/>
                <w:color w:val="auto"/>
                <w:highlight w:val="none"/>
              </w:rPr>
            </w:pPr>
          </w:p>
        </w:tc>
        <w:tc>
          <w:tcPr>
            <w:tcW w:w="1350" w:type="dxa"/>
            <w:vAlign w:val="center"/>
          </w:tcPr>
          <w:p w14:paraId="2EFB8473">
            <w:pPr>
              <w:jc w:val="center"/>
              <w:rPr>
                <w:rFonts w:hint="eastAsia" w:ascii="宋体" w:hAnsi="宋体" w:cs="宋体"/>
                <w:color w:val="auto"/>
                <w:highlight w:val="none"/>
              </w:rPr>
            </w:pPr>
            <w:r>
              <w:rPr>
                <w:rFonts w:hint="eastAsia" w:ascii="宋体" w:hAnsi="宋体" w:cs="宋体"/>
                <w:color w:val="auto"/>
                <w:spacing w:val="21"/>
                <w:highlight w:val="none"/>
              </w:rPr>
              <w:t>普通照明用非定向</w:t>
            </w:r>
            <w:r>
              <w:rPr>
                <w:rFonts w:hint="eastAsia" w:ascii="宋体" w:hAnsi="宋体" w:cs="宋体"/>
                <w:color w:val="auto"/>
                <w:spacing w:val="-11"/>
                <w:highlight w:val="none"/>
              </w:rPr>
              <w:t xml:space="preserve">自镇流 </w:t>
            </w:r>
            <w:r>
              <w:rPr>
                <w:rFonts w:hint="eastAsia" w:ascii="宋体" w:hAnsi="宋体" w:cs="宋体"/>
                <w:color w:val="auto"/>
                <w:highlight w:val="none"/>
              </w:rPr>
              <w:t>LED</w:t>
            </w:r>
            <w:r>
              <w:rPr>
                <w:rFonts w:hint="eastAsia" w:ascii="宋体" w:hAnsi="宋体" w:cs="宋体"/>
                <w:color w:val="auto"/>
                <w:spacing w:val="-20"/>
                <w:highlight w:val="none"/>
              </w:rPr>
              <w:t xml:space="preserve"> 灯</w:t>
            </w:r>
          </w:p>
        </w:tc>
        <w:tc>
          <w:tcPr>
            <w:tcW w:w="1868" w:type="dxa"/>
            <w:vAlign w:val="center"/>
          </w:tcPr>
          <w:p w14:paraId="00ACEF2B">
            <w:pPr>
              <w:jc w:val="center"/>
              <w:rPr>
                <w:rFonts w:hint="eastAsia" w:ascii="宋体" w:hAnsi="宋体" w:cs="宋体"/>
                <w:color w:val="auto"/>
                <w:highlight w:val="none"/>
              </w:rPr>
            </w:pPr>
          </w:p>
        </w:tc>
        <w:tc>
          <w:tcPr>
            <w:tcW w:w="3632" w:type="dxa"/>
            <w:vAlign w:val="center"/>
          </w:tcPr>
          <w:p w14:paraId="128C0880">
            <w:pPr>
              <w:jc w:val="center"/>
              <w:rPr>
                <w:rFonts w:hint="eastAsia" w:ascii="宋体" w:hAnsi="宋体" w:cs="宋体"/>
                <w:color w:val="auto"/>
                <w:highlight w:val="none"/>
              </w:rPr>
            </w:pPr>
            <w:r>
              <w:rPr>
                <w:rFonts w:hint="eastAsia" w:ascii="宋体" w:hAnsi="宋体" w:cs="宋体"/>
                <w:color w:val="auto"/>
                <w:spacing w:val="1"/>
                <w:highlight w:val="none"/>
              </w:rPr>
              <w:t xml:space="preserve">《室内照明用 </w:t>
            </w:r>
            <w:r>
              <w:rPr>
                <w:rFonts w:hint="eastAsia" w:ascii="宋体" w:hAnsi="宋体" w:cs="宋体"/>
                <w:color w:val="auto"/>
                <w:highlight w:val="none"/>
              </w:rPr>
              <w:t>LED 产品能效限定值及能效等级》（GB 30255）</w:t>
            </w:r>
          </w:p>
        </w:tc>
      </w:tr>
      <w:tr w14:paraId="299E13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0" w:type="dxa"/>
          <w:trHeight w:val="791" w:hRule="atLeast"/>
          <w:jc w:val="center"/>
        </w:trPr>
        <w:tc>
          <w:tcPr>
            <w:tcW w:w="554" w:type="dxa"/>
            <w:vAlign w:val="center"/>
          </w:tcPr>
          <w:p w14:paraId="567B06A2">
            <w:pPr>
              <w:jc w:val="center"/>
              <w:rPr>
                <w:rFonts w:hint="eastAsia" w:ascii="宋体" w:hAnsi="宋体" w:cs="宋体"/>
                <w:color w:val="auto"/>
                <w:highlight w:val="none"/>
              </w:rPr>
            </w:pPr>
            <w:r>
              <w:rPr>
                <w:rFonts w:hint="eastAsia" w:ascii="宋体" w:hAnsi="宋体" w:cs="宋体"/>
                <w:color w:val="auto"/>
                <w:highlight w:val="none"/>
              </w:rPr>
              <w:t>12</w:t>
            </w:r>
          </w:p>
        </w:tc>
        <w:tc>
          <w:tcPr>
            <w:tcW w:w="1614" w:type="dxa"/>
            <w:vAlign w:val="center"/>
          </w:tcPr>
          <w:p w14:paraId="4488E2D3">
            <w:pPr>
              <w:jc w:val="center"/>
              <w:rPr>
                <w:rFonts w:hint="eastAsia" w:ascii="宋体" w:hAnsi="宋体" w:cs="宋体"/>
                <w:color w:val="auto"/>
                <w:highlight w:val="none"/>
              </w:rPr>
            </w:pPr>
            <w:r>
              <w:rPr>
                <w:rFonts w:hint="eastAsia" w:ascii="宋体" w:hAnsi="宋体" w:cs="宋体"/>
                <w:color w:val="auto"/>
                <w:spacing w:val="-2"/>
                <w:highlight w:val="none"/>
              </w:rPr>
              <w:t>★A020910</w:t>
            </w:r>
            <w:r>
              <w:rPr>
                <w:rFonts w:hint="eastAsia" w:ascii="宋体" w:hAnsi="宋体" w:cs="宋体"/>
                <w:color w:val="auto"/>
                <w:spacing w:val="-29"/>
                <w:highlight w:val="none"/>
              </w:rPr>
              <w:t xml:space="preserve"> 电 </w:t>
            </w:r>
            <w:r>
              <w:rPr>
                <w:rFonts w:hint="eastAsia" w:ascii="宋体" w:hAnsi="宋体" w:cs="宋体"/>
                <w:color w:val="auto"/>
                <w:highlight w:val="none"/>
              </w:rPr>
              <w:t>视设备</w:t>
            </w:r>
          </w:p>
        </w:tc>
        <w:tc>
          <w:tcPr>
            <w:tcW w:w="1350" w:type="dxa"/>
            <w:vAlign w:val="center"/>
          </w:tcPr>
          <w:p w14:paraId="6CBCA052">
            <w:pPr>
              <w:jc w:val="center"/>
              <w:rPr>
                <w:rFonts w:hint="eastAsia" w:ascii="宋体" w:hAnsi="宋体" w:cs="宋体"/>
                <w:color w:val="auto"/>
                <w:highlight w:val="none"/>
              </w:rPr>
            </w:pPr>
            <w:r>
              <w:rPr>
                <w:rFonts w:hint="eastAsia" w:ascii="宋体" w:hAnsi="宋体" w:cs="宋体"/>
                <w:color w:val="auto"/>
                <w:spacing w:val="-2"/>
                <w:highlight w:val="none"/>
              </w:rPr>
              <w:t>A02091001</w:t>
            </w:r>
            <w:r>
              <w:rPr>
                <w:rFonts w:hint="eastAsia" w:ascii="宋体" w:hAnsi="宋体" w:cs="宋体"/>
                <w:color w:val="auto"/>
                <w:spacing w:val="-6"/>
                <w:highlight w:val="none"/>
              </w:rPr>
              <w:t xml:space="preserve"> 普通电视</w:t>
            </w:r>
            <w:r>
              <w:rPr>
                <w:rFonts w:hint="eastAsia" w:ascii="宋体" w:hAnsi="宋体" w:cs="宋体"/>
                <w:color w:val="auto"/>
                <w:highlight w:val="none"/>
              </w:rPr>
              <w:t>设备（电视机）</w:t>
            </w:r>
          </w:p>
        </w:tc>
        <w:tc>
          <w:tcPr>
            <w:tcW w:w="1868" w:type="dxa"/>
            <w:vAlign w:val="center"/>
          </w:tcPr>
          <w:p w14:paraId="3E59D6B4">
            <w:pPr>
              <w:jc w:val="center"/>
              <w:rPr>
                <w:rFonts w:hint="eastAsia" w:ascii="宋体" w:hAnsi="宋体" w:cs="宋体"/>
                <w:color w:val="auto"/>
                <w:highlight w:val="none"/>
              </w:rPr>
            </w:pPr>
          </w:p>
        </w:tc>
        <w:tc>
          <w:tcPr>
            <w:tcW w:w="3632" w:type="dxa"/>
            <w:vAlign w:val="center"/>
          </w:tcPr>
          <w:p w14:paraId="4609E0D1">
            <w:pPr>
              <w:jc w:val="center"/>
              <w:rPr>
                <w:rFonts w:hint="eastAsia" w:ascii="宋体" w:hAnsi="宋体" w:cs="宋体"/>
                <w:color w:val="auto"/>
                <w:highlight w:val="none"/>
              </w:rPr>
            </w:pPr>
            <w:r>
              <w:rPr>
                <w:rFonts w:hint="eastAsia" w:ascii="宋体" w:hAnsi="宋体" w:cs="宋体"/>
                <w:color w:val="auto"/>
                <w:spacing w:val="9"/>
                <w:highlight w:val="none"/>
              </w:rPr>
              <w:t>《平板电视能效限定值及能效等</w:t>
            </w:r>
            <w:r>
              <w:rPr>
                <w:rFonts w:hint="eastAsia" w:ascii="宋体" w:hAnsi="宋体" w:cs="宋体"/>
                <w:color w:val="auto"/>
                <w:highlight w:val="none"/>
              </w:rPr>
              <w:t>级》（GB</w:t>
            </w:r>
            <w:r>
              <w:rPr>
                <w:rFonts w:hint="eastAsia" w:ascii="宋体" w:hAnsi="宋体" w:cs="宋体"/>
                <w:color w:val="auto"/>
                <w:spacing w:val="1"/>
                <w:highlight w:val="none"/>
              </w:rPr>
              <w:t xml:space="preserve"> </w:t>
            </w:r>
            <w:r>
              <w:rPr>
                <w:rFonts w:hint="eastAsia" w:ascii="宋体" w:hAnsi="宋体" w:cs="宋体"/>
                <w:color w:val="auto"/>
                <w:highlight w:val="none"/>
              </w:rPr>
              <w:t>24850）</w:t>
            </w:r>
          </w:p>
        </w:tc>
      </w:tr>
      <w:tr w14:paraId="614EB7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0" w:type="dxa"/>
          <w:trHeight w:val="1931" w:hRule="atLeast"/>
          <w:jc w:val="center"/>
        </w:trPr>
        <w:tc>
          <w:tcPr>
            <w:tcW w:w="554" w:type="dxa"/>
            <w:vAlign w:val="center"/>
          </w:tcPr>
          <w:p w14:paraId="5EB07E5F">
            <w:pPr>
              <w:jc w:val="center"/>
              <w:rPr>
                <w:rFonts w:hint="eastAsia" w:ascii="宋体" w:hAnsi="宋体" w:cs="宋体"/>
                <w:color w:val="auto"/>
                <w:highlight w:val="none"/>
              </w:rPr>
            </w:pPr>
            <w:r>
              <w:rPr>
                <w:rFonts w:hint="eastAsia" w:ascii="宋体" w:hAnsi="宋体" w:cs="宋体"/>
                <w:color w:val="auto"/>
                <w:highlight w:val="none"/>
              </w:rPr>
              <w:t>13</w:t>
            </w:r>
          </w:p>
        </w:tc>
        <w:tc>
          <w:tcPr>
            <w:tcW w:w="1614" w:type="dxa"/>
            <w:vAlign w:val="center"/>
          </w:tcPr>
          <w:p w14:paraId="234CE98F">
            <w:pPr>
              <w:jc w:val="center"/>
              <w:rPr>
                <w:rFonts w:hint="eastAsia" w:ascii="宋体" w:hAnsi="宋体" w:cs="宋体"/>
                <w:color w:val="auto"/>
                <w:highlight w:val="none"/>
              </w:rPr>
            </w:pPr>
            <w:r>
              <w:rPr>
                <w:rFonts w:hint="eastAsia" w:ascii="宋体" w:hAnsi="宋体" w:cs="宋体"/>
                <w:color w:val="auto"/>
                <w:spacing w:val="-2"/>
                <w:highlight w:val="none"/>
              </w:rPr>
              <w:t>★A020911</w:t>
            </w:r>
            <w:r>
              <w:rPr>
                <w:rFonts w:hint="eastAsia" w:ascii="宋体" w:hAnsi="宋体" w:cs="宋体"/>
                <w:color w:val="auto"/>
                <w:spacing w:val="-29"/>
                <w:highlight w:val="none"/>
              </w:rPr>
              <w:t xml:space="preserve"> 视 </w:t>
            </w:r>
            <w:r>
              <w:rPr>
                <w:rFonts w:hint="eastAsia" w:ascii="宋体" w:hAnsi="宋体" w:cs="宋体"/>
                <w:color w:val="auto"/>
                <w:highlight w:val="none"/>
              </w:rPr>
              <w:t>频设备</w:t>
            </w:r>
          </w:p>
        </w:tc>
        <w:tc>
          <w:tcPr>
            <w:tcW w:w="1350" w:type="dxa"/>
            <w:vAlign w:val="center"/>
          </w:tcPr>
          <w:p w14:paraId="45DAC35F">
            <w:pPr>
              <w:jc w:val="center"/>
              <w:rPr>
                <w:rFonts w:hint="eastAsia" w:ascii="宋体" w:hAnsi="宋体" w:cs="宋体"/>
                <w:color w:val="auto"/>
                <w:spacing w:val="-6"/>
                <w:highlight w:val="none"/>
              </w:rPr>
            </w:pPr>
            <w:r>
              <w:rPr>
                <w:rFonts w:hint="eastAsia" w:ascii="宋体" w:hAnsi="宋体" w:cs="宋体"/>
                <w:color w:val="auto"/>
                <w:spacing w:val="-2"/>
                <w:highlight w:val="none"/>
              </w:rPr>
              <w:t>A02091107</w:t>
            </w:r>
          </w:p>
          <w:p w14:paraId="052E0953">
            <w:pPr>
              <w:jc w:val="center"/>
              <w:rPr>
                <w:rFonts w:hint="eastAsia" w:ascii="宋体" w:hAnsi="宋体" w:cs="宋体"/>
                <w:color w:val="auto"/>
                <w:highlight w:val="none"/>
              </w:rPr>
            </w:pPr>
            <w:r>
              <w:rPr>
                <w:rFonts w:hint="eastAsia" w:ascii="宋体" w:hAnsi="宋体" w:cs="宋体"/>
                <w:color w:val="auto"/>
                <w:spacing w:val="-6"/>
                <w:highlight w:val="none"/>
              </w:rPr>
              <w:t>视频监控</w:t>
            </w:r>
            <w:r>
              <w:rPr>
                <w:rFonts w:hint="eastAsia" w:ascii="宋体" w:hAnsi="宋体" w:cs="宋体"/>
                <w:color w:val="auto"/>
                <w:highlight w:val="none"/>
              </w:rPr>
              <w:t>设备</w:t>
            </w:r>
          </w:p>
        </w:tc>
        <w:tc>
          <w:tcPr>
            <w:tcW w:w="1868" w:type="dxa"/>
            <w:vAlign w:val="center"/>
          </w:tcPr>
          <w:p w14:paraId="3D6C1FA3">
            <w:pPr>
              <w:jc w:val="center"/>
              <w:rPr>
                <w:rFonts w:hint="eastAsia" w:ascii="宋体" w:hAnsi="宋体" w:cs="宋体"/>
                <w:color w:val="auto"/>
                <w:highlight w:val="none"/>
              </w:rPr>
            </w:pPr>
            <w:r>
              <w:rPr>
                <w:rFonts w:hint="eastAsia" w:ascii="宋体" w:hAnsi="宋体" w:cs="宋体"/>
                <w:color w:val="auto"/>
                <w:highlight w:val="none"/>
              </w:rPr>
              <w:t>监视器</w:t>
            </w:r>
          </w:p>
        </w:tc>
        <w:tc>
          <w:tcPr>
            <w:tcW w:w="3632" w:type="dxa"/>
            <w:vAlign w:val="center"/>
          </w:tcPr>
          <w:p w14:paraId="38C944C6">
            <w:pPr>
              <w:jc w:val="center"/>
              <w:rPr>
                <w:rFonts w:hint="eastAsia" w:ascii="宋体" w:hAnsi="宋体" w:cs="宋体"/>
                <w:color w:val="auto"/>
                <w:highlight w:val="none"/>
              </w:rPr>
            </w:pPr>
            <w:r>
              <w:rPr>
                <w:rFonts w:hint="eastAsia" w:ascii="宋体" w:hAnsi="宋体" w:cs="宋体"/>
                <w:color w:val="auto"/>
                <w:spacing w:val="9"/>
                <w:highlight w:val="none"/>
              </w:rPr>
              <w:t>以射频信号为主要信号输入的监</w:t>
            </w:r>
            <w:r>
              <w:rPr>
                <w:rFonts w:hint="eastAsia" w:ascii="宋体" w:hAnsi="宋体" w:cs="宋体"/>
                <w:color w:val="auto"/>
                <w:spacing w:val="-8"/>
                <w:highlight w:val="none"/>
              </w:rPr>
              <w:t>视器应符合《平板电视能效限定值</w:t>
            </w:r>
            <w:r>
              <w:rPr>
                <w:rFonts w:hint="eastAsia" w:ascii="宋体" w:hAnsi="宋体" w:cs="宋体"/>
                <w:color w:val="auto"/>
                <w:highlight w:val="none"/>
              </w:rPr>
              <w:t>及能效等级》（GB 24850），</w:t>
            </w:r>
            <w:r>
              <w:rPr>
                <w:rFonts w:hint="eastAsia" w:ascii="宋体" w:hAnsi="宋体" w:cs="宋体"/>
                <w:color w:val="auto"/>
                <w:spacing w:val="9"/>
                <w:highlight w:val="none"/>
              </w:rPr>
              <w:t>以数字信号为主要信号输入的监</w:t>
            </w:r>
          </w:p>
          <w:p w14:paraId="3C808CEF">
            <w:pPr>
              <w:jc w:val="center"/>
              <w:rPr>
                <w:rFonts w:hint="eastAsia" w:ascii="宋体" w:hAnsi="宋体" w:cs="宋体"/>
                <w:color w:val="auto"/>
                <w:highlight w:val="none"/>
              </w:rPr>
            </w:pPr>
            <w:r>
              <w:rPr>
                <w:rFonts w:hint="eastAsia" w:ascii="宋体" w:hAnsi="宋体" w:cs="宋体"/>
                <w:color w:val="auto"/>
                <w:spacing w:val="-8"/>
                <w:highlight w:val="none"/>
              </w:rPr>
              <w:t>视器应符合《计算机显示器能效限</w:t>
            </w:r>
            <w:r>
              <w:rPr>
                <w:rFonts w:hint="eastAsia" w:ascii="宋体" w:hAnsi="宋体" w:cs="宋体"/>
                <w:color w:val="auto"/>
                <w:highlight w:val="none"/>
              </w:rPr>
              <w:t>定值及能效等级》（GB 21520）</w:t>
            </w:r>
          </w:p>
        </w:tc>
      </w:tr>
      <w:tr w14:paraId="0530E9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0" w:type="dxa"/>
          <w:trHeight w:val="777" w:hRule="atLeast"/>
          <w:jc w:val="center"/>
        </w:trPr>
        <w:tc>
          <w:tcPr>
            <w:tcW w:w="554" w:type="dxa"/>
            <w:vAlign w:val="center"/>
          </w:tcPr>
          <w:p w14:paraId="2954952C">
            <w:pPr>
              <w:jc w:val="center"/>
              <w:rPr>
                <w:rFonts w:hint="eastAsia" w:ascii="宋体" w:hAnsi="宋体" w:cs="宋体"/>
                <w:color w:val="auto"/>
                <w:highlight w:val="none"/>
              </w:rPr>
            </w:pPr>
            <w:r>
              <w:rPr>
                <w:rFonts w:hint="eastAsia" w:ascii="宋体" w:hAnsi="宋体" w:cs="宋体"/>
                <w:color w:val="auto"/>
                <w:highlight w:val="none"/>
              </w:rPr>
              <w:t>14</w:t>
            </w:r>
          </w:p>
        </w:tc>
        <w:tc>
          <w:tcPr>
            <w:tcW w:w="1614" w:type="dxa"/>
            <w:vAlign w:val="center"/>
          </w:tcPr>
          <w:p w14:paraId="0E2E5515">
            <w:pPr>
              <w:jc w:val="center"/>
              <w:rPr>
                <w:rFonts w:hint="eastAsia" w:ascii="宋体" w:hAnsi="宋体" w:cs="宋体"/>
                <w:color w:val="auto"/>
                <w:highlight w:val="none"/>
              </w:rPr>
            </w:pPr>
            <w:r>
              <w:rPr>
                <w:rFonts w:hint="eastAsia" w:ascii="宋体" w:hAnsi="宋体" w:cs="宋体"/>
                <w:color w:val="auto"/>
                <w:spacing w:val="-2"/>
                <w:highlight w:val="none"/>
              </w:rPr>
              <w:t>A031210</w:t>
            </w:r>
            <w:r>
              <w:rPr>
                <w:rFonts w:hint="eastAsia" w:ascii="宋体" w:hAnsi="宋体" w:cs="宋体"/>
                <w:color w:val="auto"/>
                <w:spacing w:val="-20"/>
                <w:highlight w:val="none"/>
              </w:rPr>
              <w:t xml:space="preserve"> 饮 食 </w:t>
            </w:r>
            <w:r>
              <w:rPr>
                <w:rFonts w:hint="eastAsia" w:ascii="宋体" w:hAnsi="宋体" w:cs="宋体"/>
                <w:color w:val="auto"/>
                <w:highlight w:val="none"/>
              </w:rPr>
              <w:t>炊事机械</w:t>
            </w:r>
          </w:p>
        </w:tc>
        <w:tc>
          <w:tcPr>
            <w:tcW w:w="1350" w:type="dxa"/>
            <w:vAlign w:val="center"/>
          </w:tcPr>
          <w:p w14:paraId="40A7780E">
            <w:pPr>
              <w:jc w:val="center"/>
              <w:rPr>
                <w:rFonts w:hint="eastAsia" w:ascii="宋体" w:hAnsi="宋体" w:cs="宋体"/>
                <w:color w:val="auto"/>
                <w:highlight w:val="none"/>
              </w:rPr>
            </w:pPr>
            <w:r>
              <w:rPr>
                <w:rFonts w:hint="eastAsia" w:ascii="宋体" w:hAnsi="宋体" w:cs="宋体"/>
                <w:color w:val="auto"/>
                <w:highlight w:val="none"/>
              </w:rPr>
              <w:t>商用燃气灶具</w:t>
            </w:r>
          </w:p>
        </w:tc>
        <w:tc>
          <w:tcPr>
            <w:tcW w:w="1868" w:type="dxa"/>
            <w:vAlign w:val="center"/>
          </w:tcPr>
          <w:p w14:paraId="47A0DEDB">
            <w:pPr>
              <w:jc w:val="center"/>
              <w:rPr>
                <w:rFonts w:hint="eastAsia" w:ascii="宋体" w:hAnsi="宋体" w:cs="宋体"/>
                <w:color w:val="auto"/>
                <w:highlight w:val="none"/>
              </w:rPr>
            </w:pPr>
          </w:p>
        </w:tc>
        <w:tc>
          <w:tcPr>
            <w:tcW w:w="3632" w:type="dxa"/>
            <w:vAlign w:val="center"/>
          </w:tcPr>
          <w:p w14:paraId="24B94605">
            <w:pPr>
              <w:jc w:val="center"/>
              <w:rPr>
                <w:rFonts w:hint="eastAsia" w:ascii="宋体" w:hAnsi="宋体" w:cs="宋体"/>
                <w:color w:val="auto"/>
                <w:highlight w:val="none"/>
              </w:rPr>
            </w:pPr>
            <w:r>
              <w:rPr>
                <w:rFonts w:hint="eastAsia" w:ascii="宋体" w:hAnsi="宋体" w:cs="宋体"/>
                <w:color w:val="auto"/>
                <w:spacing w:val="9"/>
                <w:highlight w:val="none"/>
              </w:rPr>
              <w:t>《商用燃气灶具能效限定值及能</w:t>
            </w:r>
            <w:r>
              <w:rPr>
                <w:rFonts w:hint="eastAsia" w:ascii="宋体" w:hAnsi="宋体" w:cs="宋体"/>
                <w:color w:val="auto"/>
                <w:highlight w:val="none"/>
              </w:rPr>
              <w:t>效等级》（GB</w:t>
            </w:r>
            <w:r>
              <w:rPr>
                <w:rFonts w:hint="eastAsia" w:ascii="宋体" w:hAnsi="宋体" w:cs="宋体"/>
                <w:color w:val="auto"/>
                <w:spacing w:val="1"/>
                <w:highlight w:val="none"/>
              </w:rPr>
              <w:t xml:space="preserve"> </w:t>
            </w:r>
            <w:r>
              <w:rPr>
                <w:rFonts w:hint="eastAsia" w:ascii="宋体" w:hAnsi="宋体" w:cs="宋体"/>
                <w:color w:val="auto"/>
                <w:highlight w:val="none"/>
              </w:rPr>
              <w:t>30531）</w:t>
            </w:r>
          </w:p>
        </w:tc>
      </w:tr>
      <w:tr w14:paraId="7510FC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0" w:type="dxa"/>
          <w:trHeight w:val="875" w:hRule="atLeast"/>
          <w:jc w:val="center"/>
        </w:trPr>
        <w:tc>
          <w:tcPr>
            <w:tcW w:w="554" w:type="dxa"/>
            <w:vMerge w:val="restart"/>
            <w:vAlign w:val="center"/>
          </w:tcPr>
          <w:p w14:paraId="587A8854">
            <w:pPr>
              <w:jc w:val="center"/>
              <w:rPr>
                <w:rFonts w:hint="eastAsia" w:ascii="宋体" w:hAnsi="宋体" w:cs="宋体"/>
                <w:color w:val="auto"/>
                <w:highlight w:val="none"/>
              </w:rPr>
            </w:pPr>
            <w:r>
              <w:rPr>
                <w:rFonts w:hint="eastAsia" w:ascii="宋体" w:hAnsi="宋体" w:cs="宋体"/>
                <w:color w:val="auto"/>
                <w:highlight w:val="none"/>
              </w:rPr>
              <w:t>15</w:t>
            </w:r>
          </w:p>
        </w:tc>
        <w:tc>
          <w:tcPr>
            <w:tcW w:w="1614" w:type="dxa"/>
            <w:vMerge w:val="restart"/>
            <w:vAlign w:val="center"/>
          </w:tcPr>
          <w:p w14:paraId="6B3A4721">
            <w:pPr>
              <w:jc w:val="center"/>
              <w:rPr>
                <w:rFonts w:hint="eastAsia" w:ascii="宋体" w:hAnsi="宋体" w:cs="宋体"/>
                <w:color w:val="auto"/>
                <w:highlight w:val="none"/>
              </w:rPr>
            </w:pPr>
            <w:r>
              <w:rPr>
                <w:rFonts w:hint="eastAsia" w:ascii="宋体" w:hAnsi="宋体" w:cs="宋体"/>
                <w:color w:val="auto"/>
                <w:spacing w:val="-2"/>
                <w:highlight w:val="none"/>
              </w:rPr>
              <w:t>★A060805</w:t>
            </w:r>
            <w:r>
              <w:rPr>
                <w:rFonts w:hint="eastAsia" w:ascii="宋体" w:hAnsi="宋体" w:cs="宋体"/>
                <w:color w:val="auto"/>
                <w:spacing w:val="-29"/>
                <w:highlight w:val="none"/>
              </w:rPr>
              <w:t xml:space="preserve"> 便 </w:t>
            </w:r>
            <w:r>
              <w:rPr>
                <w:rFonts w:hint="eastAsia" w:ascii="宋体" w:hAnsi="宋体" w:cs="宋体"/>
                <w:color w:val="auto"/>
                <w:highlight w:val="none"/>
              </w:rPr>
              <w:t>器</w:t>
            </w:r>
          </w:p>
        </w:tc>
        <w:tc>
          <w:tcPr>
            <w:tcW w:w="1350" w:type="dxa"/>
            <w:vAlign w:val="center"/>
          </w:tcPr>
          <w:p w14:paraId="3EA09EB5">
            <w:pPr>
              <w:jc w:val="center"/>
              <w:rPr>
                <w:rFonts w:hint="eastAsia" w:ascii="宋体" w:hAnsi="宋体" w:cs="宋体"/>
                <w:color w:val="auto"/>
                <w:highlight w:val="none"/>
              </w:rPr>
            </w:pPr>
            <w:r>
              <w:rPr>
                <w:rFonts w:hint="eastAsia" w:ascii="宋体" w:hAnsi="宋体" w:cs="宋体"/>
                <w:color w:val="auto"/>
                <w:highlight w:val="none"/>
              </w:rPr>
              <w:t>坐便器</w:t>
            </w:r>
          </w:p>
        </w:tc>
        <w:tc>
          <w:tcPr>
            <w:tcW w:w="1868" w:type="dxa"/>
            <w:vAlign w:val="center"/>
          </w:tcPr>
          <w:p w14:paraId="3E96A51F">
            <w:pPr>
              <w:jc w:val="center"/>
              <w:rPr>
                <w:rFonts w:hint="eastAsia" w:ascii="宋体" w:hAnsi="宋体" w:cs="宋体"/>
                <w:color w:val="auto"/>
                <w:highlight w:val="none"/>
              </w:rPr>
            </w:pPr>
          </w:p>
        </w:tc>
        <w:tc>
          <w:tcPr>
            <w:tcW w:w="3632" w:type="dxa"/>
            <w:vAlign w:val="center"/>
          </w:tcPr>
          <w:p w14:paraId="724B699A">
            <w:pPr>
              <w:jc w:val="center"/>
              <w:rPr>
                <w:rFonts w:hint="eastAsia" w:ascii="宋体" w:hAnsi="宋体" w:cs="宋体"/>
                <w:color w:val="auto"/>
                <w:highlight w:val="none"/>
              </w:rPr>
            </w:pPr>
            <w:r>
              <w:rPr>
                <w:rFonts w:hint="eastAsia" w:ascii="宋体" w:hAnsi="宋体" w:cs="宋体"/>
                <w:color w:val="auto"/>
                <w:highlight w:val="none"/>
              </w:rPr>
              <w:t>《坐便器水效限定值及水效等级》（GB</w:t>
            </w:r>
            <w:r>
              <w:rPr>
                <w:rFonts w:hint="eastAsia" w:ascii="宋体" w:hAnsi="宋体" w:cs="宋体"/>
                <w:color w:val="auto"/>
                <w:spacing w:val="1"/>
                <w:highlight w:val="none"/>
              </w:rPr>
              <w:t xml:space="preserve"> </w:t>
            </w:r>
            <w:r>
              <w:rPr>
                <w:rFonts w:hint="eastAsia" w:ascii="宋体" w:hAnsi="宋体" w:cs="宋体"/>
                <w:color w:val="auto"/>
                <w:highlight w:val="none"/>
              </w:rPr>
              <w:t>25502）</w:t>
            </w:r>
          </w:p>
        </w:tc>
      </w:tr>
      <w:tr w14:paraId="1DE9F3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0" w:type="dxa"/>
          <w:trHeight w:val="875" w:hRule="atLeast"/>
          <w:jc w:val="center"/>
        </w:trPr>
        <w:tc>
          <w:tcPr>
            <w:tcW w:w="554" w:type="dxa"/>
            <w:vMerge w:val="continue"/>
            <w:vAlign w:val="center"/>
          </w:tcPr>
          <w:p w14:paraId="7BA4DD97">
            <w:pPr>
              <w:autoSpaceDE w:val="0"/>
              <w:autoSpaceDN w:val="0"/>
              <w:jc w:val="center"/>
              <w:rPr>
                <w:rFonts w:hint="eastAsia" w:ascii="宋体" w:hAnsi="宋体" w:cs="宋体"/>
                <w:color w:val="auto"/>
                <w:highlight w:val="none"/>
              </w:rPr>
            </w:pPr>
          </w:p>
        </w:tc>
        <w:tc>
          <w:tcPr>
            <w:tcW w:w="1614" w:type="dxa"/>
            <w:vMerge w:val="continue"/>
            <w:vAlign w:val="center"/>
          </w:tcPr>
          <w:p w14:paraId="01CAA634">
            <w:pPr>
              <w:autoSpaceDE w:val="0"/>
              <w:autoSpaceDN w:val="0"/>
              <w:jc w:val="center"/>
              <w:rPr>
                <w:rFonts w:hint="eastAsia" w:ascii="宋体" w:hAnsi="宋体" w:cs="宋体"/>
                <w:color w:val="auto"/>
                <w:highlight w:val="none"/>
              </w:rPr>
            </w:pPr>
          </w:p>
        </w:tc>
        <w:tc>
          <w:tcPr>
            <w:tcW w:w="1350" w:type="dxa"/>
            <w:vAlign w:val="center"/>
          </w:tcPr>
          <w:p w14:paraId="3AEF13EB">
            <w:pPr>
              <w:jc w:val="center"/>
              <w:rPr>
                <w:rFonts w:hint="eastAsia" w:ascii="宋体" w:hAnsi="宋体" w:cs="宋体"/>
                <w:color w:val="auto"/>
                <w:highlight w:val="none"/>
              </w:rPr>
            </w:pPr>
            <w:r>
              <w:rPr>
                <w:rFonts w:hint="eastAsia" w:ascii="宋体" w:hAnsi="宋体" w:cs="宋体"/>
                <w:color w:val="auto"/>
                <w:highlight w:val="none"/>
              </w:rPr>
              <w:t>蹲便器</w:t>
            </w:r>
          </w:p>
        </w:tc>
        <w:tc>
          <w:tcPr>
            <w:tcW w:w="1868" w:type="dxa"/>
            <w:vAlign w:val="center"/>
          </w:tcPr>
          <w:p w14:paraId="165ACC00">
            <w:pPr>
              <w:jc w:val="center"/>
              <w:rPr>
                <w:rFonts w:hint="eastAsia" w:ascii="宋体" w:hAnsi="宋体" w:cs="宋体"/>
                <w:color w:val="auto"/>
                <w:highlight w:val="none"/>
              </w:rPr>
            </w:pPr>
          </w:p>
        </w:tc>
        <w:tc>
          <w:tcPr>
            <w:tcW w:w="3632" w:type="dxa"/>
            <w:vAlign w:val="center"/>
          </w:tcPr>
          <w:p w14:paraId="38D01E9F">
            <w:pPr>
              <w:jc w:val="center"/>
              <w:rPr>
                <w:rFonts w:hint="eastAsia" w:ascii="宋体" w:hAnsi="宋体" w:cs="宋体"/>
                <w:color w:val="auto"/>
                <w:highlight w:val="none"/>
              </w:rPr>
            </w:pPr>
            <w:r>
              <w:rPr>
                <w:rFonts w:hint="eastAsia" w:ascii="宋体" w:hAnsi="宋体" w:cs="宋体"/>
                <w:color w:val="auto"/>
                <w:spacing w:val="9"/>
                <w:highlight w:val="none"/>
              </w:rPr>
              <w:t>《蹲便器用水效率限定值及用水</w:t>
            </w:r>
            <w:r>
              <w:rPr>
                <w:rFonts w:hint="eastAsia" w:ascii="宋体" w:hAnsi="宋体" w:cs="宋体"/>
                <w:color w:val="auto"/>
                <w:highlight w:val="none"/>
              </w:rPr>
              <w:t>效率等级》（GB</w:t>
            </w:r>
            <w:r>
              <w:rPr>
                <w:rFonts w:hint="eastAsia" w:ascii="宋体" w:hAnsi="宋体" w:cs="宋体"/>
                <w:color w:val="auto"/>
                <w:spacing w:val="1"/>
                <w:highlight w:val="none"/>
              </w:rPr>
              <w:t xml:space="preserve"> </w:t>
            </w:r>
            <w:r>
              <w:rPr>
                <w:rFonts w:hint="eastAsia" w:ascii="宋体" w:hAnsi="宋体" w:cs="宋体"/>
                <w:color w:val="auto"/>
                <w:highlight w:val="none"/>
              </w:rPr>
              <w:t>30717）</w:t>
            </w:r>
          </w:p>
        </w:tc>
      </w:tr>
      <w:tr w14:paraId="7851B2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0" w:type="dxa"/>
          <w:trHeight w:val="878" w:hRule="atLeast"/>
          <w:jc w:val="center"/>
        </w:trPr>
        <w:tc>
          <w:tcPr>
            <w:tcW w:w="554" w:type="dxa"/>
            <w:vMerge w:val="continue"/>
            <w:vAlign w:val="center"/>
          </w:tcPr>
          <w:p w14:paraId="7DBFEA55">
            <w:pPr>
              <w:autoSpaceDE w:val="0"/>
              <w:autoSpaceDN w:val="0"/>
              <w:jc w:val="center"/>
              <w:rPr>
                <w:rFonts w:hint="eastAsia" w:ascii="宋体" w:hAnsi="宋体" w:cs="宋体"/>
                <w:color w:val="auto"/>
                <w:highlight w:val="none"/>
              </w:rPr>
            </w:pPr>
          </w:p>
        </w:tc>
        <w:tc>
          <w:tcPr>
            <w:tcW w:w="1614" w:type="dxa"/>
            <w:vMerge w:val="continue"/>
            <w:vAlign w:val="center"/>
          </w:tcPr>
          <w:p w14:paraId="3000D661">
            <w:pPr>
              <w:autoSpaceDE w:val="0"/>
              <w:autoSpaceDN w:val="0"/>
              <w:jc w:val="center"/>
              <w:rPr>
                <w:rFonts w:hint="eastAsia" w:ascii="宋体" w:hAnsi="宋体" w:cs="宋体"/>
                <w:color w:val="auto"/>
                <w:highlight w:val="none"/>
              </w:rPr>
            </w:pPr>
          </w:p>
        </w:tc>
        <w:tc>
          <w:tcPr>
            <w:tcW w:w="1350" w:type="dxa"/>
            <w:vAlign w:val="center"/>
          </w:tcPr>
          <w:p w14:paraId="387E08A5">
            <w:pPr>
              <w:jc w:val="center"/>
              <w:rPr>
                <w:rFonts w:hint="eastAsia" w:ascii="宋体" w:hAnsi="宋体" w:cs="宋体"/>
                <w:color w:val="auto"/>
                <w:highlight w:val="none"/>
              </w:rPr>
            </w:pPr>
            <w:r>
              <w:rPr>
                <w:rFonts w:hint="eastAsia" w:ascii="宋体" w:hAnsi="宋体" w:cs="宋体"/>
                <w:color w:val="auto"/>
                <w:highlight w:val="none"/>
              </w:rPr>
              <w:t>小便器</w:t>
            </w:r>
          </w:p>
        </w:tc>
        <w:tc>
          <w:tcPr>
            <w:tcW w:w="1868" w:type="dxa"/>
            <w:vAlign w:val="center"/>
          </w:tcPr>
          <w:p w14:paraId="19277CEA">
            <w:pPr>
              <w:jc w:val="center"/>
              <w:rPr>
                <w:rFonts w:hint="eastAsia" w:ascii="宋体" w:hAnsi="宋体" w:cs="宋体"/>
                <w:color w:val="auto"/>
                <w:highlight w:val="none"/>
              </w:rPr>
            </w:pPr>
          </w:p>
        </w:tc>
        <w:tc>
          <w:tcPr>
            <w:tcW w:w="3632" w:type="dxa"/>
            <w:vAlign w:val="center"/>
          </w:tcPr>
          <w:p w14:paraId="2E7B8D65">
            <w:pPr>
              <w:jc w:val="center"/>
              <w:rPr>
                <w:rFonts w:hint="eastAsia" w:ascii="宋体" w:hAnsi="宋体" w:cs="宋体"/>
                <w:color w:val="auto"/>
                <w:highlight w:val="none"/>
              </w:rPr>
            </w:pPr>
            <w:r>
              <w:rPr>
                <w:rFonts w:hint="eastAsia" w:ascii="宋体" w:hAnsi="宋体" w:cs="宋体"/>
                <w:color w:val="auto"/>
                <w:spacing w:val="9"/>
                <w:highlight w:val="none"/>
              </w:rPr>
              <w:t>《小便器用水效率限定值及用水</w:t>
            </w:r>
            <w:r>
              <w:rPr>
                <w:rFonts w:hint="eastAsia" w:ascii="宋体" w:hAnsi="宋体" w:cs="宋体"/>
                <w:color w:val="auto"/>
                <w:highlight w:val="none"/>
              </w:rPr>
              <w:t>效率等级》（GB</w:t>
            </w:r>
            <w:r>
              <w:rPr>
                <w:rFonts w:hint="eastAsia" w:ascii="宋体" w:hAnsi="宋体" w:cs="宋体"/>
                <w:color w:val="auto"/>
                <w:spacing w:val="1"/>
                <w:highlight w:val="none"/>
              </w:rPr>
              <w:t xml:space="preserve"> </w:t>
            </w:r>
            <w:r>
              <w:rPr>
                <w:rFonts w:hint="eastAsia" w:ascii="宋体" w:hAnsi="宋体" w:cs="宋体"/>
                <w:color w:val="auto"/>
                <w:highlight w:val="none"/>
              </w:rPr>
              <w:t>28377）</w:t>
            </w:r>
          </w:p>
        </w:tc>
      </w:tr>
      <w:tr w14:paraId="15FE85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0" w:type="dxa"/>
          <w:trHeight w:val="933" w:hRule="atLeast"/>
          <w:jc w:val="center"/>
        </w:trPr>
        <w:tc>
          <w:tcPr>
            <w:tcW w:w="554" w:type="dxa"/>
            <w:vAlign w:val="center"/>
          </w:tcPr>
          <w:p w14:paraId="31F61973">
            <w:pPr>
              <w:jc w:val="center"/>
              <w:rPr>
                <w:rFonts w:hint="eastAsia" w:ascii="宋体" w:hAnsi="宋体" w:cs="宋体"/>
                <w:color w:val="auto"/>
                <w:highlight w:val="none"/>
              </w:rPr>
            </w:pPr>
            <w:r>
              <w:rPr>
                <w:rFonts w:hint="eastAsia" w:ascii="宋体" w:hAnsi="宋体" w:cs="宋体"/>
                <w:color w:val="auto"/>
                <w:highlight w:val="none"/>
              </w:rPr>
              <w:t>16</w:t>
            </w:r>
          </w:p>
        </w:tc>
        <w:tc>
          <w:tcPr>
            <w:tcW w:w="1614" w:type="dxa"/>
            <w:vAlign w:val="center"/>
          </w:tcPr>
          <w:p w14:paraId="6AAAA43A">
            <w:pPr>
              <w:jc w:val="center"/>
              <w:rPr>
                <w:rFonts w:hint="eastAsia" w:ascii="宋体" w:hAnsi="宋体" w:cs="宋体"/>
                <w:color w:val="auto"/>
                <w:highlight w:val="none"/>
              </w:rPr>
            </w:pPr>
            <w:r>
              <w:rPr>
                <w:rFonts w:hint="eastAsia" w:ascii="宋体" w:hAnsi="宋体" w:cs="宋体"/>
                <w:color w:val="auto"/>
                <w:spacing w:val="-2"/>
                <w:highlight w:val="none"/>
              </w:rPr>
              <w:t>★A060806</w:t>
            </w:r>
            <w:r>
              <w:rPr>
                <w:rFonts w:hint="eastAsia" w:ascii="宋体" w:hAnsi="宋体" w:cs="宋体"/>
                <w:color w:val="auto"/>
                <w:spacing w:val="-29"/>
                <w:highlight w:val="none"/>
              </w:rPr>
              <w:t xml:space="preserve"> 水 </w:t>
            </w:r>
            <w:r>
              <w:rPr>
                <w:rFonts w:hint="eastAsia" w:ascii="宋体" w:hAnsi="宋体" w:cs="宋体"/>
                <w:color w:val="auto"/>
                <w:highlight w:val="none"/>
              </w:rPr>
              <w:t>嘴</w:t>
            </w:r>
          </w:p>
        </w:tc>
        <w:tc>
          <w:tcPr>
            <w:tcW w:w="1350" w:type="dxa"/>
            <w:vAlign w:val="center"/>
          </w:tcPr>
          <w:p w14:paraId="654C2F38">
            <w:pPr>
              <w:jc w:val="center"/>
              <w:rPr>
                <w:rFonts w:hint="eastAsia" w:ascii="宋体" w:hAnsi="宋体" w:cs="宋体"/>
                <w:color w:val="auto"/>
                <w:highlight w:val="none"/>
              </w:rPr>
            </w:pPr>
          </w:p>
        </w:tc>
        <w:tc>
          <w:tcPr>
            <w:tcW w:w="1868" w:type="dxa"/>
            <w:vAlign w:val="center"/>
          </w:tcPr>
          <w:p w14:paraId="724A15B1">
            <w:pPr>
              <w:jc w:val="center"/>
              <w:rPr>
                <w:rFonts w:hint="eastAsia" w:ascii="宋体" w:hAnsi="宋体" w:cs="宋体"/>
                <w:color w:val="auto"/>
                <w:highlight w:val="none"/>
              </w:rPr>
            </w:pPr>
          </w:p>
        </w:tc>
        <w:tc>
          <w:tcPr>
            <w:tcW w:w="3632" w:type="dxa"/>
            <w:vAlign w:val="center"/>
          </w:tcPr>
          <w:p w14:paraId="5BE34EA8">
            <w:pPr>
              <w:jc w:val="center"/>
              <w:rPr>
                <w:rFonts w:hint="eastAsia" w:ascii="宋体" w:hAnsi="宋体" w:cs="宋体"/>
                <w:color w:val="auto"/>
                <w:highlight w:val="none"/>
              </w:rPr>
            </w:pPr>
            <w:r>
              <w:rPr>
                <w:rFonts w:hint="eastAsia" w:ascii="宋体" w:hAnsi="宋体" w:cs="宋体"/>
                <w:color w:val="auto"/>
                <w:spacing w:val="9"/>
                <w:highlight w:val="none"/>
              </w:rPr>
              <w:t>《水嘴用水效率限定值及用水效</w:t>
            </w:r>
            <w:r>
              <w:rPr>
                <w:rFonts w:hint="eastAsia" w:ascii="宋体" w:hAnsi="宋体" w:cs="宋体"/>
                <w:color w:val="auto"/>
                <w:highlight w:val="none"/>
              </w:rPr>
              <w:t>率等级》（GB</w:t>
            </w:r>
            <w:r>
              <w:rPr>
                <w:rFonts w:hint="eastAsia" w:ascii="宋体" w:hAnsi="宋体" w:cs="宋体"/>
                <w:color w:val="auto"/>
                <w:spacing w:val="1"/>
                <w:highlight w:val="none"/>
              </w:rPr>
              <w:t xml:space="preserve"> </w:t>
            </w:r>
            <w:r>
              <w:rPr>
                <w:rFonts w:hint="eastAsia" w:ascii="宋体" w:hAnsi="宋体" w:cs="宋体"/>
                <w:color w:val="auto"/>
                <w:highlight w:val="none"/>
              </w:rPr>
              <w:t>25501）</w:t>
            </w:r>
          </w:p>
        </w:tc>
      </w:tr>
      <w:tr w14:paraId="0680CA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0" w:type="dxa"/>
          <w:trHeight w:val="851" w:hRule="atLeast"/>
          <w:jc w:val="center"/>
        </w:trPr>
        <w:tc>
          <w:tcPr>
            <w:tcW w:w="554" w:type="dxa"/>
            <w:vAlign w:val="center"/>
          </w:tcPr>
          <w:p w14:paraId="145641B0">
            <w:pPr>
              <w:jc w:val="center"/>
              <w:rPr>
                <w:rFonts w:hint="eastAsia" w:ascii="宋体" w:hAnsi="宋体" w:cs="宋体"/>
                <w:color w:val="auto"/>
                <w:highlight w:val="none"/>
              </w:rPr>
            </w:pPr>
            <w:r>
              <w:rPr>
                <w:rFonts w:hint="eastAsia" w:ascii="宋体" w:hAnsi="宋体" w:cs="宋体"/>
                <w:color w:val="auto"/>
                <w:highlight w:val="none"/>
              </w:rPr>
              <w:t>17</w:t>
            </w:r>
          </w:p>
        </w:tc>
        <w:tc>
          <w:tcPr>
            <w:tcW w:w="1614" w:type="dxa"/>
            <w:vAlign w:val="center"/>
          </w:tcPr>
          <w:p w14:paraId="5AF5C3AF">
            <w:pPr>
              <w:jc w:val="center"/>
              <w:rPr>
                <w:rFonts w:hint="eastAsia" w:ascii="宋体" w:hAnsi="宋体" w:cs="宋体"/>
                <w:color w:val="auto"/>
                <w:spacing w:val="-20"/>
                <w:highlight w:val="none"/>
              </w:rPr>
            </w:pPr>
            <w:r>
              <w:rPr>
                <w:rFonts w:hint="eastAsia" w:ascii="宋体" w:hAnsi="宋体" w:cs="宋体"/>
                <w:color w:val="auto"/>
                <w:spacing w:val="-2"/>
                <w:highlight w:val="none"/>
              </w:rPr>
              <w:t>A060807</w:t>
            </w:r>
            <w:r>
              <w:rPr>
                <w:rFonts w:hint="eastAsia" w:ascii="宋体" w:hAnsi="宋体" w:cs="宋体"/>
                <w:color w:val="auto"/>
                <w:spacing w:val="-20"/>
                <w:highlight w:val="none"/>
              </w:rPr>
              <w:t xml:space="preserve"> 便</w:t>
            </w:r>
          </w:p>
          <w:p w14:paraId="527F207B">
            <w:pPr>
              <w:jc w:val="center"/>
              <w:rPr>
                <w:rFonts w:hint="eastAsia" w:ascii="宋体" w:hAnsi="宋体" w:cs="宋体"/>
                <w:color w:val="auto"/>
                <w:highlight w:val="none"/>
              </w:rPr>
            </w:pPr>
            <w:r>
              <w:rPr>
                <w:rFonts w:hint="eastAsia" w:ascii="宋体" w:hAnsi="宋体" w:cs="宋体"/>
                <w:color w:val="auto"/>
                <w:spacing w:val="-20"/>
                <w:highlight w:val="none"/>
              </w:rPr>
              <w:t>器</w:t>
            </w:r>
            <w:r>
              <w:rPr>
                <w:rFonts w:hint="eastAsia" w:ascii="宋体" w:hAnsi="宋体" w:cs="宋体"/>
                <w:color w:val="auto"/>
                <w:highlight w:val="none"/>
              </w:rPr>
              <w:t>冲洗阀</w:t>
            </w:r>
          </w:p>
        </w:tc>
        <w:tc>
          <w:tcPr>
            <w:tcW w:w="1350" w:type="dxa"/>
            <w:vAlign w:val="center"/>
          </w:tcPr>
          <w:p w14:paraId="2737AB8B">
            <w:pPr>
              <w:jc w:val="center"/>
              <w:rPr>
                <w:rFonts w:hint="eastAsia" w:ascii="宋体" w:hAnsi="宋体" w:cs="宋体"/>
                <w:color w:val="auto"/>
                <w:highlight w:val="none"/>
              </w:rPr>
            </w:pPr>
          </w:p>
        </w:tc>
        <w:tc>
          <w:tcPr>
            <w:tcW w:w="1868" w:type="dxa"/>
            <w:vAlign w:val="center"/>
          </w:tcPr>
          <w:p w14:paraId="078074F3">
            <w:pPr>
              <w:jc w:val="center"/>
              <w:rPr>
                <w:rFonts w:hint="eastAsia" w:ascii="宋体" w:hAnsi="宋体" w:cs="宋体"/>
                <w:color w:val="auto"/>
                <w:highlight w:val="none"/>
              </w:rPr>
            </w:pPr>
          </w:p>
        </w:tc>
        <w:tc>
          <w:tcPr>
            <w:tcW w:w="3632" w:type="dxa"/>
            <w:vAlign w:val="center"/>
          </w:tcPr>
          <w:p w14:paraId="29CA4AB4">
            <w:pPr>
              <w:jc w:val="center"/>
              <w:rPr>
                <w:rFonts w:hint="eastAsia" w:ascii="宋体" w:hAnsi="宋体" w:cs="宋体"/>
                <w:color w:val="auto"/>
                <w:highlight w:val="none"/>
              </w:rPr>
            </w:pPr>
            <w:r>
              <w:rPr>
                <w:rFonts w:hint="eastAsia" w:ascii="宋体" w:hAnsi="宋体" w:cs="宋体"/>
                <w:color w:val="auto"/>
                <w:spacing w:val="9"/>
                <w:highlight w:val="none"/>
              </w:rPr>
              <w:t>《便器冲洗阀用水效率限定值及</w:t>
            </w:r>
            <w:r>
              <w:rPr>
                <w:rFonts w:hint="eastAsia" w:ascii="宋体" w:hAnsi="宋体" w:cs="宋体"/>
                <w:color w:val="auto"/>
                <w:highlight w:val="none"/>
              </w:rPr>
              <w:t>用水效率等级》（GB 28379）</w:t>
            </w:r>
          </w:p>
        </w:tc>
      </w:tr>
      <w:tr w14:paraId="113F83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0" w:type="dxa"/>
          <w:trHeight w:val="892" w:hRule="atLeast"/>
          <w:jc w:val="center"/>
        </w:trPr>
        <w:tc>
          <w:tcPr>
            <w:tcW w:w="554" w:type="dxa"/>
            <w:vAlign w:val="center"/>
          </w:tcPr>
          <w:p w14:paraId="6F16BBA6">
            <w:pPr>
              <w:jc w:val="center"/>
              <w:rPr>
                <w:rFonts w:hint="eastAsia" w:ascii="宋体" w:hAnsi="宋体" w:cs="宋体"/>
                <w:color w:val="auto"/>
                <w:highlight w:val="none"/>
              </w:rPr>
            </w:pPr>
            <w:r>
              <w:rPr>
                <w:rFonts w:hint="eastAsia" w:ascii="宋体" w:hAnsi="宋体" w:cs="宋体"/>
                <w:color w:val="auto"/>
                <w:highlight w:val="none"/>
              </w:rPr>
              <w:t>18</w:t>
            </w:r>
          </w:p>
        </w:tc>
        <w:tc>
          <w:tcPr>
            <w:tcW w:w="1614" w:type="dxa"/>
            <w:vAlign w:val="center"/>
          </w:tcPr>
          <w:p w14:paraId="21E4CEE3">
            <w:pPr>
              <w:jc w:val="center"/>
              <w:rPr>
                <w:rFonts w:hint="eastAsia" w:ascii="宋体" w:hAnsi="宋体" w:cs="宋体"/>
                <w:color w:val="auto"/>
                <w:highlight w:val="none"/>
              </w:rPr>
            </w:pPr>
            <w:r>
              <w:rPr>
                <w:rFonts w:hint="eastAsia" w:ascii="宋体" w:hAnsi="宋体" w:cs="宋体"/>
                <w:color w:val="auto"/>
                <w:highlight w:val="none"/>
              </w:rPr>
              <w:t>A060810</w:t>
            </w:r>
            <w:r>
              <w:rPr>
                <w:rFonts w:hint="eastAsia" w:ascii="宋体" w:hAnsi="宋体" w:cs="宋体"/>
                <w:color w:val="auto"/>
                <w:spacing w:val="-9"/>
                <w:highlight w:val="none"/>
              </w:rPr>
              <w:t xml:space="preserve"> 淋浴</w:t>
            </w:r>
            <w:r>
              <w:rPr>
                <w:rFonts w:hint="eastAsia" w:ascii="宋体" w:hAnsi="宋体" w:cs="宋体"/>
                <w:color w:val="auto"/>
                <w:highlight w:val="none"/>
              </w:rPr>
              <w:t>器</w:t>
            </w:r>
          </w:p>
        </w:tc>
        <w:tc>
          <w:tcPr>
            <w:tcW w:w="1350" w:type="dxa"/>
            <w:vAlign w:val="center"/>
          </w:tcPr>
          <w:p w14:paraId="05BE0232">
            <w:pPr>
              <w:jc w:val="center"/>
              <w:rPr>
                <w:rFonts w:hint="eastAsia" w:ascii="宋体" w:hAnsi="宋体" w:cs="宋体"/>
                <w:color w:val="auto"/>
                <w:highlight w:val="none"/>
              </w:rPr>
            </w:pPr>
          </w:p>
        </w:tc>
        <w:tc>
          <w:tcPr>
            <w:tcW w:w="1868" w:type="dxa"/>
            <w:vAlign w:val="center"/>
          </w:tcPr>
          <w:p w14:paraId="3D4F162C">
            <w:pPr>
              <w:jc w:val="center"/>
              <w:rPr>
                <w:rFonts w:hint="eastAsia" w:ascii="宋体" w:hAnsi="宋体" w:cs="宋体"/>
                <w:color w:val="auto"/>
                <w:highlight w:val="none"/>
              </w:rPr>
            </w:pPr>
          </w:p>
        </w:tc>
        <w:tc>
          <w:tcPr>
            <w:tcW w:w="3632" w:type="dxa"/>
            <w:vAlign w:val="center"/>
          </w:tcPr>
          <w:p w14:paraId="2A01D8AF">
            <w:pPr>
              <w:jc w:val="center"/>
              <w:rPr>
                <w:rFonts w:hint="eastAsia" w:ascii="宋体" w:hAnsi="宋体" w:cs="宋体"/>
                <w:color w:val="auto"/>
                <w:highlight w:val="none"/>
              </w:rPr>
            </w:pPr>
            <w:r>
              <w:rPr>
                <w:rFonts w:hint="eastAsia" w:ascii="宋体" w:hAnsi="宋体" w:cs="宋体"/>
                <w:color w:val="auto"/>
                <w:spacing w:val="9"/>
                <w:highlight w:val="none"/>
              </w:rPr>
              <w:t>《淋浴器用水效率限定值及用水</w:t>
            </w:r>
            <w:r>
              <w:rPr>
                <w:rFonts w:hint="eastAsia" w:ascii="宋体" w:hAnsi="宋体" w:cs="宋体"/>
                <w:color w:val="auto"/>
                <w:highlight w:val="none"/>
              </w:rPr>
              <w:t>效率等级》（GB</w:t>
            </w:r>
            <w:r>
              <w:rPr>
                <w:rFonts w:hint="eastAsia" w:ascii="宋体" w:hAnsi="宋体" w:cs="宋体"/>
                <w:color w:val="auto"/>
                <w:spacing w:val="1"/>
                <w:highlight w:val="none"/>
              </w:rPr>
              <w:t xml:space="preserve"> </w:t>
            </w:r>
            <w:r>
              <w:rPr>
                <w:rFonts w:hint="eastAsia" w:ascii="宋体" w:hAnsi="宋体" w:cs="宋体"/>
                <w:color w:val="auto"/>
                <w:highlight w:val="none"/>
              </w:rPr>
              <w:t>28378）</w:t>
            </w:r>
          </w:p>
        </w:tc>
      </w:tr>
      <w:bookmarkEnd w:id="43"/>
    </w:tbl>
    <w:p w14:paraId="2F66E7FF">
      <w:pPr>
        <w:widowControl/>
        <w:spacing w:line="360" w:lineRule="auto"/>
        <w:rPr>
          <w:rFonts w:hint="eastAsia" w:ascii="宋体" w:hAnsi="宋体" w:cs="宋体"/>
          <w:color w:val="auto"/>
          <w:highlight w:val="none"/>
        </w:rPr>
      </w:pPr>
      <w:r>
        <w:rPr>
          <w:rFonts w:hint="eastAsia" w:ascii="宋体" w:hAnsi="宋体" w:cs="宋体"/>
          <w:color w:val="auto"/>
          <w:highlight w:val="none"/>
        </w:rPr>
        <w:t>注：1.节能产品认证应依据相关国家标准的最新版本，依据国家标准中二级能效（水效）指标。</w:t>
      </w:r>
    </w:p>
    <w:p w14:paraId="0EB68359">
      <w:pPr>
        <w:ind w:firstLine="420" w:firstLineChars="200"/>
        <w:rPr>
          <w:rFonts w:hint="eastAsia" w:ascii="宋体" w:hAnsi="宋体" w:cs="宋体"/>
          <w:color w:val="auto"/>
          <w:highlight w:val="none"/>
        </w:rPr>
      </w:pPr>
      <w:r>
        <w:rPr>
          <w:rFonts w:hint="eastAsia" w:ascii="宋体" w:hAnsi="宋体" w:cs="宋体"/>
          <w:color w:val="auto"/>
          <w:highlight w:val="none"/>
        </w:rPr>
        <w:t>2.以“★”标注的为政府强制采购产品。</w:t>
      </w:r>
    </w:p>
    <w:p w14:paraId="1449442A">
      <w:pPr>
        <w:rPr>
          <w:rFonts w:hint="eastAsia" w:ascii="宋体" w:hAnsi="宋体" w:cs="宋体"/>
          <w:color w:val="auto"/>
          <w:highlight w:val="none"/>
        </w:rPr>
      </w:pPr>
    </w:p>
    <w:p w14:paraId="698B7D60">
      <w:pPr>
        <w:rPr>
          <w:rFonts w:hint="eastAsia" w:ascii="宋体" w:hAnsi="宋体" w:cs="宋体"/>
          <w:color w:val="auto"/>
          <w:highlight w:val="none"/>
        </w:rPr>
      </w:pPr>
    </w:p>
    <w:p w14:paraId="0CD1348F">
      <w:pPr>
        <w:rPr>
          <w:rFonts w:hint="eastAsia" w:ascii="宋体" w:hAnsi="宋体" w:cs="宋体"/>
          <w:color w:val="auto"/>
          <w:highlight w:val="none"/>
        </w:rPr>
      </w:pPr>
    </w:p>
    <w:p w14:paraId="4AED7C65">
      <w:pPr>
        <w:widowControl/>
        <w:jc w:val="left"/>
        <w:rPr>
          <w:rFonts w:hint="eastAsia" w:ascii="宋体" w:hAnsi="宋体" w:cs="宋体"/>
          <w:b/>
          <w:bCs/>
          <w:color w:val="auto"/>
          <w:kern w:val="0"/>
          <w:sz w:val="32"/>
          <w:szCs w:val="32"/>
          <w:highlight w:val="none"/>
        </w:rPr>
      </w:pPr>
    </w:p>
    <w:p w14:paraId="0AAFF76F">
      <w:pPr>
        <w:jc w:val="left"/>
        <w:rPr>
          <w:rFonts w:hint="eastAsia" w:ascii="宋体" w:hAnsi="宋体" w:cs="宋体"/>
          <w:b/>
          <w:bCs/>
          <w:color w:val="auto"/>
          <w:kern w:val="0"/>
          <w:sz w:val="32"/>
          <w:szCs w:val="32"/>
          <w:highlight w:val="none"/>
        </w:rPr>
      </w:pPr>
      <w:r>
        <w:rPr>
          <w:rFonts w:hint="eastAsia" w:ascii="宋体" w:hAnsi="宋体" w:cs="宋体"/>
          <w:b/>
          <w:bCs/>
          <w:color w:val="auto"/>
          <w:kern w:val="0"/>
          <w:sz w:val="32"/>
          <w:szCs w:val="32"/>
          <w:highlight w:val="none"/>
        </w:rPr>
        <w:t>附件2：</w:t>
      </w:r>
    </w:p>
    <w:p w14:paraId="29697F4D">
      <w:pPr>
        <w:jc w:val="center"/>
        <w:rPr>
          <w:rFonts w:hint="eastAsia" w:ascii="宋体" w:hAnsi="宋体" w:cs="宋体"/>
          <w:b/>
          <w:bCs/>
          <w:color w:val="auto"/>
          <w:sz w:val="32"/>
          <w:szCs w:val="32"/>
          <w:highlight w:val="none"/>
        </w:rPr>
      </w:pPr>
      <w:r>
        <w:rPr>
          <w:rFonts w:hint="eastAsia" w:ascii="宋体" w:hAnsi="宋体" w:cs="宋体"/>
          <w:b/>
          <w:bCs/>
          <w:color w:val="auto"/>
          <w:sz w:val="32"/>
          <w:szCs w:val="32"/>
          <w:highlight w:val="none"/>
        </w:rPr>
        <w:t>中小微企业划型标准</w:t>
      </w:r>
    </w:p>
    <w:tbl>
      <w:tblPr>
        <w:tblStyle w:val="62"/>
        <w:tblW w:w="9107" w:type="dxa"/>
        <w:tblInd w:w="-210" w:type="dxa"/>
        <w:tblLayout w:type="fixed"/>
        <w:tblCellMar>
          <w:top w:w="0" w:type="dxa"/>
          <w:left w:w="108" w:type="dxa"/>
          <w:bottom w:w="0" w:type="dxa"/>
          <w:right w:w="108" w:type="dxa"/>
        </w:tblCellMar>
      </w:tblPr>
      <w:tblGrid>
        <w:gridCol w:w="2161"/>
        <w:gridCol w:w="1418"/>
        <w:gridCol w:w="1275"/>
        <w:gridCol w:w="1701"/>
        <w:gridCol w:w="1560"/>
        <w:gridCol w:w="992"/>
      </w:tblGrid>
      <w:tr w14:paraId="7BFF82DF">
        <w:tblPrEx>
          <w:tblCellMar>
            <w:top w:w="0" w:type="dxa"/>
            <w:left w:w="108" w:type="dxa"/>
            <w:bottom w:w="0" w:type="dxa"/>
            <w:right w:w="108" w:type="dxa"/>
          </w:tblCellMar>
        </w:tblPrEx>
        <w:trPr>
          <w:trHeight w:val="285" w:hRule="atLeast"/>
        </w:trPr>
        <w:tc>
          <w:tcPr>
            <w:tcW w:w="2161" w:type="dxa"/>
            <w:tcBorders>
              <w:top w:val="single" w:color="auto" w:sz="4" w:space="0"/>
              <w:left w:val="single" w:color="auto" w:sz="4" w:space="0"/>
              <w:bottom w:val="single" w:color="auto" w:sz="4" w:space="0"/>
              <w:right w:val="single" w:color="auto" w:sz="4" w:space="0"/>
            </w:tcBorders>
            <w:vAlign w:val="center"/>
          </w:tcPr>
          <w:p w14:paraId="7EFDEDE3">
            <w:pPr>
              <w:widowControl/>
              <w:spacing w:line="336" w:lineRule="auto"/>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行业名称</w:t>
            </w:r>
          </w:p>
        </w:tc>
        <w:tc>
          <w:tcPr>
            <w:tcW w:w="1418" w:type="dxa"/>
            <w:tcBorders>
              <w:top w:val="single" w:color="auto" w:sz="4" w:space="0"/>
              <w:left w:val="nil"/>
              <w:bottom w:val="single" w:color="auto" w:sz="4" w:space="0"/>
              <w:right w:val="single" w:color="auto" w:sz="4" w:space="0"/>
            </w:tcBorders>
            <w:vAlign w:val="center"/>
          </w:tcPr>
          <w:p w14:paraId="6FC3871B">
            <w:pPr>
              <w:widowControl/>
              <w:spacing w:line="336" w:lineRule="auto"/>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指标名称</w:t>
            </w:r>
          </w:p>
        </w:tc>
        <w:tc>
          <w:tcPr>
            <w:tcW w:w="1275" w:type="dxa"/>
            <w:tcBorders>
              <w:top w:val="single" w:color="auto" w:sz="4" w:space="0"/>
              <w:left w:val="nil"/>
              <w:bottom w:val="single" w:color="auto" w:sz="4" w:space="0"/>
              <w:right w:val="single" w:color="auto" w:sz="4" w:space="0"/>
            </w:tcBorders>
            <w:vAlign w:val="center"/>
          </w:tcPr>
          <w:p w14:paraId="0293792F">
            <w:pPr>
              <w:widowControl/>
              <w:spacing w:line="336" w:lineRule="auto"/>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计量单位</w:t>
            </w:r>
          </w:p>
        </w:tc>
        <w:tc>
          <w:tcPr>
            <w:tcW w:w="1701" w:type="dxa"/>
            <w:tcBorders>
              <w:top w:val="single" w:color="auto" w:sz="4" w:space="0"/>
              <w:left w:val="nil"/>
              <w:bottom w:val="single" w:color="auto" w:sz="4" w:space="0"/>
              <w:right w:val="single" w:color="auto" w:sz="4" w:space="0"/>
            </w:tcBorders>
            <w:vAlign w:val="center"/>
          </w:tcPr>
          <w:p w14:paraId="4F65B7E5">
            <w:pPr>
              <w:widowControl/>
              <w:spacing w:line="336" w:lineRule="auto"/>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中型</w:t>
            </w:r>
          </w:p>
        </w:tc>
        <w:tc>
          <w:tcPr>
            <w:tcW w:w="1560" w:type="dxa"/>
            <w:tcBorders>
              <w:top w:val="single" w:color="auto" w:sz="4" w:space="0"/>
              <w:left w:val="nil"/>
              <w:bottom w:val="single" w:color="auto" w:sz="4" w:space="0"/>
              <w:right w:val="single" w:color="auto" w:sz="4" w:space="0"/>
            </w:tcBorders>
            <w:vAlign w:val="center"/>
          </w:tcPr>
          <w:p w14:paraId="157974E0">
            <w:pPr>
              <w:widowControl/>
              <w:spacing w:line="336" w:lineRule="auto"/>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小型</w:t>
            </w:r>
          </w:p>
        </w:tc>
        <w:tc>
          <w:tcPr>
            <w:tcW w:w="992" w:type="dxa"/>
            <w:tcBorders>
              <w:top w:val="single" w:color="auto" w:sz="4" w:space="0"/>
              <w:left w:val="nil"/>
              <w:bottom w:val="single" w:color="auto" w:sz="4" w:space="0"/>
              <w:right w:val="single" w:color="auto" w:sz="4" w:space="0"/>
            </w:tcBorders>
            <w:vAlign w:val="center"/>
          </w:tcPr>
          <w:p w14:paraId="6437AA88">
            <w:pPr>
              <w:widowControl/>
              <w:spacing w:line="336" w:lineRule="auto"/>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微型</w:t>
            </w:r>
          </w:p>
        </w:tc>
      </w:tr>
      <w:tr w14:paraId="48014E7F">
        <w:tblPrEx>
          <w:tblCellMar>
            <w:top w:w="0" w:type="dxa"/>
            <w:left w:w="108" w:type="dxa"/>
            <w:bottom w:w="0" w:type="dxa"/>
            <w:right w:w="108" w:type="dxa"/>
          </w:tblCellMar>
        </w:tblPrEx>
        <w:trPr>
          <w:trHeight w:val="225" w:hRule="atLeast"/>
        </w:trPr>
        <w:tc>
          <w:tcPr>
            <w:tcW w:w="2161" w:type="dxa"/>
            <w:tcBorders>
              <w:top w:val="nil"/>
              <w:left w:val="single" w:color="auto" w:sz="4" w:space="0"/>
              <w:bottom w:val="single" w:color="auto" w:sz="4" w:space="0"/>
              <w:right w:val="single" w:color="auto" w:sz="4" w:space="0"/>
            </w:tcBorders>
            <w:vAlign w:val="center"/>
          </w:tcPr>
          <w:p w14:paraId="1169DB07">
            <w:pPr>
              <w:widowControl/>
              <w:spacing w:line="336" w:lineRule="auto"/>
              <w:jc w:val="center"/>
              <w:rPr>
                <w:rFonts w:hint="eastAsia" w:ascii="宋体" w:hAnsi="宋体" w:cs="宋体"/>
                <w:b/>
                <w:bCs/>
                <w:color w:val="auto"/>
                <w:kern w:val="0"/>
                <w:sz w:val="18"/>
                <w:szCs w:val="18"/>
                <w:highlight w:val="none"/>
              </w:rPr>
            </w:pPr>
            <w:r>
              <w:rPr>
                <w:rFonts w:hint="eastAsia" w:ascii="宋体" w:hAnsi="宋体" w:cs="宋体"/>
                <w:b/>
                <w:bCs/>
                <w:color w:val="auto"/>
                <w:kern w:val="0"/>
                <w:sz w:val="18"/>
                <w:szCs w:val="18"/>
                <w:highlight w:val="none"/>
              </w:rPr>
              <w:t>农、林、牧、渔</w:t>
            </w:r>
          </w:p>
        </w:tc>
        <w:tc>
          <w:tcPr>
            <w:tcW w:w="1418" w:type="dxa"/>
            <w:tcBorders>
              <w:top w:val="nil"/>
              <w:left w:val="nil"/>
              <w:bottom w:val="single" w:color="auto" w:sz="4" w:space="0"/>
              <w:right w:val="single" w:color="auto" w:sz="4" w:space="0"/>
            </w:tcBorders>
            <w:vAlign w:val="center"/>
          </w:tcPr>
          <w:p w14:paraId="643E2DC0">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营业收入（Y）</w:t>
            </w:r>
          </w:p>
        </w:tc>
        <w:tc>
          <w:tcPr>
            <w:tcW w:w="1275" w:type="dxa"/>
            <w:tcBorders>
              <w:top w:val="nil"/>
              <w:left w:val="nil"/>
              <w:bottom w:val="single" w:color="auto" w:sz="4" w:space="0"/>
              <w:right w:val="single" w:color="auto" w:sz="4" w:space="0"/>
            </w:tcBorders>
            <w:vAlign w:val="center"/>
          </w:tcPr>
          <w:p w14:paraId="322DA0AE">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万元</w:t>
            </w:r>
          </w:p>
        </w:tc>
        <w:tc>
          <w:tcPr>
            <w:tcW w:w="1701" w:type="dxa"/>
            <w:tcBorders>
              <w:top w:val="nil"/>
              <w:left w:val="nil"/>
              <w:bottom w:val="single" w:color="auto" w:sz="4" w:space="0"/>
              <w:right w:val="single" w:color="auto" w:sz="4" w:space="0"/>
            </w:tcBorders>
            <w:vAlign w:val="center"/>
          </w:tcPr>
          <w:p w14:paraId="13DF13CD">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500≤Y＜20000</w:t>
            </w:r>
          </w:p>
        </w:tc>
        <w:tc>
          <w:tcPr>
            <w:tcW w:w="1560" w:type="dxa"/>
            <w:tcBorders>
              <w:top w:val="nil"/>
              <w:left w:val="nil"/>
              <w:bottom w:val="single" w:color="auto" w:sz="4" w:space="0"/>
              <w:right w:val="single" w:color="auto" w:sz="4" w:space="0"/>
            </w:tcBorders>
            <w:vAlign w:val="center"/>
          </w:tcPr>
          <w:p w14:paraId="1F0D3977">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50≤Y＜500</w:t>
            </w:r>
          </w:p>
        </w:tc>
        <w:tc>
          <w:tcPr>
            <w:tcW w:w="992" w:type="dxa"/>
            <w:tcBorders>
              <w:top w:val="nil"/>
              <w:left w:val="nil"/>
              <w:bottom w:val="single" w:color="auto" w:sz="4" w:space="0"/>
              <w:right w:val="single" w:color="auto" w:sz="4" w:space="0"/>
            </w:tcBorders>
            <w:vAlign w:val="center"/>
          </w:tcPr>
          <w:p w14:paraId="7CBEB418">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Y＜50</w:t>
            </w:r>
          </w:p>
        </w:tc>
      </w:tr>
      <w:tr w14:paraId="3042830B">
        <w:tblPrEx>
          <w:tblCellMar>
            <w:top w:w="0" w:type="dxa"/>
            <w:left w:w="108" w:type="dxa"/>
            <w:bottom w:w="0" w:type="dxa"/>
            <w:right w:w="108" w:type="dxa"/>
          </w:tblCellMar>
        </w:tblPrEx>
        <w:trPr>
          <w:trHeight w:val="225" w:hRule="atLeast"/>
        </w:trPr>
        <w:tc>
          <w:tcPr>
            <w:tcW w:w="2161" w:type="dxa"/>
            <w:vMerge w:val="restart"/>
            <w:tcBorders>
              <w:top w:val="nil"/>
              <w:left w:val="single" w:color="auto" w:sz="4" w:space="0"/>
              <w:bottom w:val="single" w:color="auto" w:sz="4" w:space="0"/>
              <w:right w:val="single" w:color="auto" w:sz="4" w:space="0"/>
            </w:tcBorders>
            <w:vAlign w:val="center"/>
          </w:tcPr>
          <w:p w14:paraId="2AD174C0">
            <w:pPr>
              <w:widowControl/>
              <w:spacing w:line="336" w:lineRule="auto"/>
              <w:jc w:val="center"/>
              <w:rPr>
                <w:rFonts w:hint="eastAsia" w:ascii="宋体" w:hAnsi="宋体" w:cs="宋体"/>
                <w:b/>
                <w:bCs/>
                <w:color w:val="auto"/>
                <w:kern w:val="0"/>
                <w:sz w:val="18"/>
                <w:szCs w:val="18"/>
                <w:highlight w:val="none"/>
              </w:rPr>
            </w:pPr>
            <w:r>
              <w:rPr>
                <w:rFonts w:hint="eastAsia" w:ascii="宋体" w:hAnsi="宋体" w:cs="宋体"/>
                <w:b/>
                <w:bCs/>
                <w:color w:val="auto"/>
                <w:kern w:val="0"/>
                <w:sz w:val="18"/>
                <w:szCs w:val="18"/>
                <w:highlight w:val="none"/>
              </w:rPr>
              <w:t>工业</w:t>
            </w:r>
          </w:p>
        </w:tc>
        <w:tc>
          <w:tcPr>
            <w:tcW w:w="1418" w:type="dxa"/>
            <w:tcBorders>
              <w:top w:val="nil"/>
              <w:left w:val="nil"/>
              <w:bottom w:val="single" w:color="auto" w:sz="4" w:space="0"/>
              <w:right w:val="single" w:color="auto" w:sz="4" w:space="0"/>
            </w:tcBorders>
            <w:vAlign w:val="center"/>
          </w:tcPr>
          <w:p w14:paraId="54BF3BCC">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从业人员（X）</w:t>
            </w:r>
          </w:p>
        </w:tc>
        <w:tc>
          <w:tcPr>
            <w:tcW w:w="1275" w:type="dxa"/>
            <w:tcBorders>
              <w:top w:val="nil"/>
              <w:left w:val="nil"/>
              <w:bottom w:val="single" w:color="auto" w:sz="4" w:space="0"/>
              <w:right w:val="single" w:color="auto" w:sz="4" w:space="0"/>
            </w:tcBorders>
            <w:vAlign w:val="center"/>
          </w:tcPr>
          <w:p w14:paraId="6375B459">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人</w:t>
            </w:r>
          </w:p>
        </w:tc>
        <w:tc>
          <w:tcPr>
            <w:tcW w:w="1701" w:type="dxa"/>
            <w:tcBorders>
              <w:top w:val="nil"/>
              <w:left w:val="nil"/>
              <w:bottom w:val="single" w:color="auto" w:sz="4" w:space="0"/>
              <w:right w:val="single" w:color="auto" w:sz="4" w:space="0"/>
            </w:tcBorders>
            <w:vAlign w:val="center"/>
          </w:tcPr>
          <w:p w14:paraId="71F3333E">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300≤X＜1000</w:t>
            </w:r>
          </w:p>
        </w:tc>
        <w:tc>
          <w:tcPr>
            <w:tcW w:w="1560" w:type="dxa"/>
            <w:tcBorders>
              <w:top w:val="nil"/>
              <w:left w:val="nil"/>
              <w:bottom w:val="single" w:color="auto" w:sz="4" w:space="0"/>
              <w:right w:val="single" w:color="auto" w:sz="4" w:space="0"/>
            </w:tcBorders>
            <w:vAlign w:val="center"/>
          </w:tcPr>
          <w:p w14:paraId="25459837">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20≤X＜300</w:t>
            </w:r>
          </w:p>
        </w:tc>
        <w:tc>
          <w:tcPr>
            <w:tcW w:w="992" w:type="dxa"/>
            <w:tcBorders>
              <w:top w:val="nil"/>
              <w:left w:val="nil"/>
              <w:bottom w:val="single" w:color="auto" w:sz="4" w:space="0"/>
              <w:right w:val="single" w:color="auto" w:sz="4" w:space="0"/>
            </w:tcBorders>
            <w:vAlign w:val="center"/>
          </w:tcPr>
          <w:p w14:paraId="0814D02F">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X＜20</w:t>
            </w:r>
          </w:p>
        </w:tc>
      </w:tr>
      <w:tr w14:paraId="75BD445E">
        <w:tblPrEx>
          <w:tblCellMar>
            <w:top w:w="0" w:type="dxa"/>
            <w:left w:w="108" w:type="dxa"/>
            <w:bottom w:w="0" w:type="dxa"/>
            <w:right w:w="108" w:type="dxa"/>
          </w:tblCellMar>
        </w:tblPrEx>
        <w:trPr>
          <w:trHeight w:val="225" w:hRule="atLeast"/>
        </w:trPr>
        <w:tc>
          <w:tcPr>
            <w:tcW w:w="2161" w:type="dxa"/>
            <w:vMerge w:val="continue"/>
            <w:tcBorders>
              <w:top w:val="nil"/>
              <w:left w:val="single" w:color="auto" w:sz="4" w:space="0"/>
              <w:bottom w:val="single" w:color="auto" w:sz="4" w:space="0"/>
              <w:right w:val="single" w:color="auto" w:sz="4" w:space="0"/>
            </w:tcBorders>
            <w:vAlign w:val="center"/>
          </w:tcPr>
          <w:p w14:paraId="6717BBC9">
            <w:pPr>
              <w:widowControl/>
              <w:spacing w:line="336" w:lineRule="auto"/>
              <w:jc w:val="center"/>
              <w:rPr>
                <w:rFonts w:hint="eastAsia" w:ascii="宋体" w:hAnsi="宋体" w:cs="宋体"/>
                <w:b/>
                <w:bCs/>
                <w:color w:val="auto"/>
                <w:kern w:val="0"/>
                <w:sz w:val="18"/>
                <w:szCs w:val="18"/>
                <w:highlight w:val="none"/>
              </w:rPr>
            </w:pPr>
          </w:p>
        </w:tc>
        <w:tc>
          <w:tcPr>
            <w:tcW w:w="1418" w:type="dxa"/>
            <w:tcBorders>
              <w:top w:val="nil"/>
              <w:left w:val="nil"/>
              <w:bottom w:val="single" w:color="auto" w:sz="4" w:space="0"/>
              <w:right w:val="single" w:color="auto" w:sz="4" w:space="0"/>
            </w:tcBorders>
            <w:vAlign w:val="center"/>
          </w:tcPr>
          <w:p w14:paraId="00DF4A64">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营业收入（Y）</w:t>
            </w:r>
          </w:p>
        </w:tc>
        <w:tc>
          <w:tcPr>
            <w:tcW w:w="1275" w:type="dxa"/>
            <w:tcBorders>
              <w:top w:val="nil"/>
              <w:left w:val="nil"/>
              <w:bottom w:val="single" w:color="auto" w:sz="4" w:space="0"/>
              <w:right w:val="single" w:color="auto" w:sz="4" w:space="0"/>
            </w:tcBorders>
            <w:vAlign w:val="center"/>
          </w:tcPr>
          <w:p w14:paraId="24A37493">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万元</w:t>
            </w:r>
          </w:p>
        </w:tc>
        <w:tc>
          <w:tcPr>
            <w:tcW w:w="1701" w:type="dxa"/>
            <w:tcBorders>
              <w:top w:val="nil"/>
              <w:left w:val="nil"/>
              <w:bottom w:val="single" w:color="auto" w:sz="4" w:space="0"/>
              <w:right w:val="single" w:color="auto" w:sz="4" w:space="0"/>
            </w:tcBorders>
            <w:vAlign w:val="center"/>
          </w:tcPr>
          <w:p w14:paraId="0CBC278B">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2000≤Y＜40000</w:t>
            </w:r>
          </w:p>
        </w:tc>
        <w:tc>
          <w:tcPr>
            <w:tcW w:w="1560" w:type="dxa"/>
            <w:tcBorders>
              <w:top w:val="nil"/>
              <w:left w:val="nil"/>
              <w:bottom w:val="single" w:color="auto" w:sz="4" w:space="0"/>
              <w:right w:val="single" w:color="auto" w:sz="4" w:space="0"/>
            </w:tcBorders>
            <w:vAlign w:val="center"/>
          </w:tcPr>
          <w:p w14:paraId="0476B098">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300≤Y＜2000</w:t>
            </w:r>
          </w:p>
        </w:tc>
        <w:tc>
          <w:tcPr>
            <w:tcW w:w="992" w:type="dxa"/>
            <w:tcBorders>
              <w:top w:val="nil"/>
              <w:left w:val="nil"/>
              <w:bottom w:val="single" w:color="auto" w:sz="4" w:space="0"/>
              <w:right w:val="single" w:color="auto" w:sz="4" w:space="0"/>
            </w:tcBorders>
            <w:vAlign w:val="center"/>
          </w:tcPr>
          <w:p w14:paraId="331991D1">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Y＜300</w:t>
            </w:r>
          </w:p>
        </w:tc>
      </w:tr>
      <w:tr w14:paraId="5748B7C2">
        <w:tblPrEx>
          <w:tblCellMar>
            <w:top w:w="0" w:type="dxa"/>
            <w:left w:w="108" w:type="dxa"/>
            <w:bottom w:w="0" w:type="dxa"/>
            <w:right w:w="108" w:type="dxa"/>
          </w:tblCellMar>
        </w:tblPrEx>
        <w:trPr>
          <w:trHeight w:val="225" w:hRule="atLeast"/>
        </w:trPr>
        <w:tc>
          <w:tcPr>
            <w:tcW w:w="2161" w:type="dxa"/>
            <w:vMerge w:val="restart"/>
            <w:tcBorders>
              <w:top w:val="nil"/>
              <w:left w:val="single" w:color="auto" w:sz="4" w:space="0"/>
              <w:bottom w:val="single" w:color="auto" w:sz="4" w:space="0"/>
              <w:right w:val="single" w:color="auto" w:sz="4" w:space="0"/>
            </w:tcBorders>
            <w:vAlign w:val="center"/>
          </w:tcPr>
          <w:p w14:paraId="6DC71F2C">
            <w:pPr>
              <w:widowControl/>
              <w:spacing w:line="336" w:lineRule="auto"/>
              <w:jc w:val="center"/>
              <w:rPr>
                <w:rFonts w:hint="eastAsia" w:ascii="宋体" w:hAnsi="宋体" w:cs="宋体"/>
                <w:b/>
                <w:bCs/>
                <w:color w:val="auto"/>
                <w:kern w:val="0"/>
                <w:sz w:val="18"/>
                <w:szCs w:val="18"/>
                <w:highlight w:val="none"/>
              </w:rPr>
            </w:pPr>
            <w:r>
              <w:rPr>
                <w:rFonts w:hint="eastAsia" w:ascii="宋体" w:hAnsi="宋体" w:cs="宋体"/>
                <w:b/>
                <w:bCs/>
                <w:color w:val="auto"/>
                <w:kern w:val="0"/>
                <w:sz w:val="18"/>
                <w:szCs w:val="18"/>
                <w:highlight w:val="none"/>
              </w:rPr>
              <w:t>建筑业</w:t>
            </w:r>
          </w:p>
        </w:tc>
        <w:tc>
          <w:tcPr>
            <w:tcW w:w="1418" w:type="dxa"/>
            <w:tcBorders>
              <w:top w:val="nil"/>
              <w:left w:val="nil"/>
              <w:bottom w:val="single" w:color="auto" w:sz="4" w:space="0"/>
              <w:right w:val="single" w:color="auto" w:sz="4" w:space="0"/>
            </w:tcBorders>
            <w:vAlign w:val="center"/>
          </w:tcPr>
          <w:p w14:paraId="28872B17">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营业收入（Y）</w:t>
            </w:r>
          </w:p>
        </w:tc>
        <w:tc>
          <w:tcPr>
            <w:tcW w:w="1275" w:type="dxa"/>
            <w:tcBorders>
              <w:top w:val="nil"/>
              <w:left w:val="nil"/>
              <w:bottom w:val="single" w:color="auto" w:sz="4" w:space="0"/>
              <w:right w:val="single" w:color="auto" w:sz="4" w:space="0"/>
            </w:tcBorders>
            <w:vAlign w:val="center"/>
          </w:tcPr>
          <w:p w14:paraId="2EED73DD">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万元</w:t>
            </w:r>
          </w:p>
        </w:tc>
        <w:tc>
          <w:tcPr>
            <w:tcW w:w="1701" w:type="dxa"/>
            <w:tcBorders>
              <w:top w:val="nil"/>
              <w:left w:val="nil"/>
              <w:bottom w:val="single" w:color="auto" w:sz="4" w:space="0"/>
              <w:right w:val="single" w:color="auto" w:sz="4" w:space="0"/>
            </w:tcBorders>
            <w:vAlign w:val="center"/>
          </w:tcPr>
          <w:p w14:paraId="28F182D9">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6000≤Y＜80000</w:t>
            </w:r>
          </w:p>
        </w:tc>
        <w:tc>
          <w:tcPr>
            <w:tcW w:w="1560" w:type="dxa"/>
            <w:tcBorders>
              <w:top w:val="nil"/>
              <w:left w:val="nil"/>
              <w:bottom w:val="single" w:color="auto" w:sz="4" w:space="0"/>
              <w:right w:val="single" w:color="auto" w:sz="4" w:space="0"/>
            </w:tcBorders>
            <w:vAlign w:val="center"/>
          </w:tcPr>
          <w:p w14:paraId="49F4FBF1">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300≤Y＜6000</w:t>
            </w:r>
          </w:p>
        </w:tc>
        <w:tc>
          <w:tcPr>
            <w:tcW w:w="992" w:type="dxa"/>
            <w:tcBorders>
              <w:top w:val="nil"/>
              <w:left w:val="nil"/>
              <w:bottom w:val="single" w:color="auto" w:sz="4" w:space="0"/>
              <w:right w:val="single" w:color="auto" w:sz="4" w:space="0"/>
            </w:tcBorders>
            <w:vAlign w:val="center"/>
          </w:tcPr>
          <w:p w14:paraId="1730251F">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Y＜300</w:t>
            </w:r>
          </w:p>
        </w:tc>
      </w:tr>
      <w:tr w14:paraId="3D998EB0">
        <w:tblPrEx>
          <w:tblCellMar>
            <w:top w:w="0" w:type="dxa"/>
            <w:left w:w="108" w:type="dxa"/>
            <w:bottom w:w="0" w:type="dxa"/>
            <w:right w:w="108" w:type="dxa"/>
          </w:tblCellMar>
        </w:tblPrEx>
        <w:trPr>
          <w:trHeight w:val="225" w:hRule="atLeast"/>
        </w:trPr>
        <w:tc>
          <w:tcPr>
            <w:tcW w:w="2161" w:type="dxa"/>
            <w:vMerge w:val="continue"/>
            <w:tcBorders>
              <w:top w:val="nil"/>
              <w:left w:val="single" w:color="auto" w:sz="4" w:space="0"/>
              <w:bottom w:val="single" w:color="auto" w:sz="4" w:space="0"/>
              <w:right w:val="single" w:color="auto" w:sz="4" w:space="0"/>
            </w:tcBorders>
            <w:vAlign w:val="center"/>
          </w:tcPr>
          <w:p w14:paraId="36EBFE36">
            <w:pPr>
              <w:widowControl/>
              <w:spacing w:line="336" w:lineRule="auto"/>
              <w:jc w:val="center"/>
              <w:rPr>
                <w:rFonts w:hint="eastAsia" w:ascii="宋体" w:hAnsi="宋体" w:cs="宋体"/>
                <w:b/>
                <w:bCs/>
                <w:color w:val="auto"/>
                <w:kern w:val="0"/>
                <w:sz w:val="18"/>
                <w:szCs w:val="18"/>
                <w:highlight w:val="none"/>
              </w:rPr>
            </w:pPr>
          </w:p>
        </w:tc>
        <w:tc>
          <w:tcPr>
            <w:tcW w:w="1418" w:type="dxa"/>
            <w:tcBorders>
              <w:top w:val="nil"/>
              <w:left w:val="nil"/>
              <w:bottom w:val="single" w:color="auto" w:sz="4" w:space="0"/>
              <w:right w:val="single" w:color="auto" w:sz="4" w:space="0"/>
            </w:tcBorders>
            <w:vAlign w:val="center"/>
          </w:tcPr>
          <w:p w14:paraId="161E0F30">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资产总额（Z）</w:t>
            </w:r>
          </w:p>
        </w:tc>
        <w:tc>
          <w:tcPr>
            <w:tcW w:w="1275" w:type="dxa"/>
            <w:tcBorders>
              <w:top w:val="nil"/>
              <w:left w:val="nil"/>
              <w:bottom w:val="single" w:color="auto" w:sz="4" w:space="0"/>
              <w:right w:val="single" w:color="auto" w:sz="4" w:space="0"/>
            </w:tcBorders>
            <w:vAlign w:val="center"/>
          </w:tcPr>
          <w:p w14:paraId="43F2BFEB">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万元</w:t>
            </w:r>
          </w:p>
        </w:tc>
        <w:tc>
          <w:tcPr>
            <w:tcW w:w="1701" w:type="dxa"/>
            <w:tcBorders>
              <w:top w:val="nil"/>
              <w:left w:val="nil"/>
              <w:bottom w:val="single" w:color="auto" w:sz="4" w:space="0"/>
              <w:right w:val="single" w:color="auto" w:sz="4" w:space="0"/>
            </w:tcBorders>
            <w:vAlign w:val="center"/>
          </w:tcPr>
          <w:p w14:paraId="7E40E37A">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5000≤Z＜80000</w:t>
            </w:r>
          </w:p>
        </w:tc>
        <w:tc>
          <w:tcPr>
            <w:tcW w:w="1560" w:type="dxa"/>
            <w:tcBorders>
              <w:top w:val="nil"/>
              <w:left w:val="nil"/>
              <w:bottom w:val="single" w:color="auto" w:sz="4" w:space="0"/>
              <w:right w:val="single" w:color="auto" w:sz="4" w:space="0"/>
            </w:tcBorders>
            <w:vAlign w:val="center"/>
          </w:tcPr>
          <w:p w14:paraId="4C727957">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300≤Z＜5000</w:t>
            </w:r>
          </w:p>
        </w:tc>
        <w:tc>
          <w:tcPr>
            <w:tcW w:w="992" w:type="dxa"/>
            <w:tcBorders>
              <w:top w:val="nil"/>
              <w:left w:val="nil"/>
              <w:bottom w:val="single" w:color="auto" w:sz="4" w:space="0"/>
              <w:right w:val="single" w:color="auto" w:sz="4" w:space="0"/>
            </w:tcBorders>
            <w:vAlign w:val="center"/>
          </w:tcPr>
          <w:p w14:paraId="23508F8A">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Z＜300</w:t>
            </w:r>
          </w:p>
        </w:tc>
      </w:tr>
      <w:tr w14:paraId="734F2463">
        <w:tblPrEx>
          <w:tblCellMar>
            <w:top w:w="0" w:type="dxa"/>
            <w:left w:w="108" w:type="dxa"/>
            <w:bottom w:w="0" w:type="dxa"/>
            <w:right w:w="108" w:type="dxa"/>
          </w:tblCellMar>
        </w:tblPrEx>
        <w:trPr>
          <w:trHeight w:val="225" w:hRule="atLeast"/>
        </w:trPr>
        <w:tc>
          <w:tcPr>
            <w:tcW w:w="2161" w:type="dxa"/>
            <w:vMerge w:val="restart"/>
            <w:tcBorders>
              <w:top w:val="nil"/>
              <w:left w:val="single" w:color="auto" w:sz="4" w:space="0"/>
              <w:bottom w:val="single" w:color="auto" w:sz="4" w:space="0"/>
              <w:right w:val="single" w:color="auto" w:sz="4" w:space="0"/>
            </w:tcBorders>
            <w:vAlign w:val="center"/>
          </w:tcPr>
          <w:p w14:paraId="6EDA0F55">
            <w:pPr>
              <w:widowControl/>
              <w:spacing w:line="336" w:lineRule="auto"/>
              <w:jc w:val="center"/>
              <w:rPr>
                <w:rFonts w:hint="eastAsia" w:ascii="宋体" w:hAnsi="宋体" w:cs="宋体"/>
                <w:b/>
                <w:bCs/>
                <w:color w:val="auto"/>
                <w:kern w:val="0"/>
                <w:sz w:val="18"/>
                <w:szCs w:val="18"/>
                <w:highlight w:val="none"/>
              </w:rPr>
            </w:pPr>
            <w:r>
              <w:rPr>
                <w:rFonts w:hint="eastAsia" w:ascii="宋体" w:hAnsi="宋体" w:cs="宋体"/>
                <w:b/>
                <w:bCs/>
                <w:color w:val="auto"/>
                <w:kern w:val="0"/>
                <w:sz w:val="18"/>
                <w:szCs w:val="18"/>
                <w:highlight w:val="none"/>
              </w:rPr>
              <w:t>批发业</w:t>
            </w:r>
          </w:p>
        </w:tc>
        <w:tc>
          <w:tcPr>
            <w:tcW w:w="1418" w:type="dxa"/>
            <w:tcBorders>
              <w:top w:val="nil"/>
              <w:left w:val="nil"/>
              <w:bottom w:val="single" w:color="auto" w:sz="4" w:space="0"/>
              <w:right w:val="single" w:color="auto" w:sz="4" w:space="0"/>
            </w:tcBorders>
            <w:vAlign w:val="center"/>
          </w:tcPr>
          <w:p w14:paraId="20E7D0BC">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从业人员（X）</w:t>
            </w:r>
          </w:p>
        </w:tc>
        <w:tc>
          <w:tcPr>
            <w:tcW w:w="1275" w:type="dxa"/>
            <w:tcBorders>
              <w:top w:val="nil"/>
              <w:left w:val="nil"/>
              <w:bottom w:val="single" w:color="auto" w:sz="4" w:space="0"/>
              <w:right w:val="single" w:color="auto" w:sz="4" w:space="0"/>
            </w:tcBorders>
            <w:vAlign w:val="center"/>
          </w:tcPr>
          <w:p w14:paraId="36296DF0">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人</w:t>
            </w:r>
          </w:p>
        </w:tc>
        <w:tc>
          <w:tcPr>
            <w:tcW w:w="1701" w:type="dxa"/>
            <w:tcBorders>
              <w:top w:val="nil"/>
              <w:left w:val="nil"/>
              <w:bottom w:val="single" w:color="auto" w:sz="4" w:space="0"/>
              <w:right w:val="single" w:color="auto" w:sz="4" w:space="0"/>
            </w:tcBorders>
            <w:vAlign w:val="center"/>
          </w:tcPr>
          <w:p w14:paraId="1FF6C716">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20≤X＜200</w:t>
            </w:r>
          </w:p>
        </w:tc>
        <w:tc>
          <w:tcPr>
            <w:tcW w:w="1560" w:type="dxa"/>
            <w:tcBorders>
              <w:top w:val="nil"/>
              <w:left w:val="nil"/>
              <w:bottom w:val="single" w:color="auto" w:sz="4" w:space="0"/>
              <w:right w:val="single" w:color="auto" w:sz="4" w:space="0"/>
            </w:tcBorders>
            <w:vAlign w:val="center"/>
          </w:tcPr>
          <w:p w14:paraId="0A4CE8BB">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5≤X＜20</w:t>
            </w:r>
          </w:p>
        </w:tc>
        <w:tc>
          <w:tcPr>
            <w:tcW w:w="992" w:type="dxa"/>
            <w:tcBorders>
              <w:top w:val="nil"/>
              <w:left w:val="nil"/>
              <w:bottom w:val="single" w:color="auto" w:sz="4" w:space="0"/>
              <w:right w:val="single" w:color="auto" w:sz="4" w:space="0"/>
            </w:tcBorders>
            <w:vAlign w:val="center"/>
          </w:tcPr>
          <w:p w14:paraId="5E1ECBB9">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X＜5</w:t>
            </w:r>
          </w:p>
        </w:tc>
      </w:tr>
      <w:tr w14:paraId="0BDF9353">
        <w:tblPrEx>
          <w:tblCellMar>
            <w:top w:w="0" w:type="dxa"/>
            <w:left w:w="108" w:type="dxa"/>
            <w:bottom w:w="0" w:type="dxa"/>
            <w:right w:w="108" w:type="dxa"/>
          </w:tblCellMar>
        </w:tblPrEx>
        <w:trPr>
          <w:trHeight w:val="225" w:hRule="atLeast"/>
        </w:trPr>
        <w:tc>
          <w:tcPr>
            <w:tcW w:w="2161" w:type="dxa"/>
            <w:vMerge w:val="continue"/>
            <w:tcBorders>
              <w:top w:val="nil"/>
              <w:left w:val="single" w:color="auto" w:sz="4" w:space="0"/>
              <w:bottom w:val="single" w:color="auto" w:sz="4" w:space="0"/>
              <w:right w:val="single" w:color="auto" w:sz="4" w:space="0"/>
            </w:tcBorders>
            <w:vAlign w:val="center"/>
          </w:tcPr>
          <w:p w14:paraId="3C64B92B">
            <w:pPr>
              <w:widowControl/>
              <w:spacing w:line="336" w:lineRule="auto"/>
              <w:jc w:val="center"/>
              <w:rPr>
                <w:rFonts w:hint="eastAsia" w:ascii="宋体" w:hAnsi="宋体" w:cs="宋体"/>
                <w:b/>
                <w:bCs/>
                <w:color w:val="auto"/>
                <w:kern w:val="0"/>
                <w:sz w:val="18"/>
                <w:szCs w:val="18"/>
                <w:highlight w:val="none"/>
              </w:rPr>
            </w:pPr>
          </w:p>
        </w:tc>
        <w:tc>
          <w:tcPr>
            <w:tcW w:w="1418" w:type="dxa"/>
            <w:tcBorders>
              <w:top w:val="nil"/>
              <w:left w:val="nil"/>
              <w:bottom w:val="single" w:color="auto" w:sz="4" w:space="0"/>
              <w:right w:val="single" w:color="auto" w:sz="4" w:space="0"/>
            </w:tcBorders>
            <w:vAlign w:val="center"/>
          </w:tcPr>
          <w:p w14:paraId="1FC07998">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营业收入（Y）</w:t>
            </w:r>
          </w:p>
        </w:tc>
        <w:tc>
          <w:tcPr>
            <w:tcW w:w="1275" w:type="dxa"/>
            <w:tcBorders>
              <w:top w:val="nil"/>
              <w:left w:val="nil"/>
              <w:bottom w:val="single" w:color="auto" w:sz="4" w:space="0"/>
              <w:right w:val="single" w:color="auto" w:sz="4" w:space="0"/>
            </w:tcBorders>
            <w:vAlign w:val="center"/>
          </w:tcPr>
          <w:p w14:paraId="30A3F95B">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万元</w:t>
            </w:r>
          </w:p>
        </w:tc>
        <w:tc>
          <w:tcPr>
            <w:tcW w:w="1701" w:type="dxa"/>
            <w:tcBorders>
              <w:top w:val="nil"/>
              <w:left w:val="nil"/>
              <w:bottom w:val="single" w:color="auto" w:sz="4" w:space="0"/>
              <w:right w:val="single" w:color="auto" w:sz="4" w:space="0"/>
            </w:tcBorders>
            <w:vAlign w:val="center"/>
          </w:tcPr>
          <w:p w14:paraId="7ACDFE1C">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5000≤Y＜40000</w:t>
            </w:r>
          </w:p>
        </w:tc>
        <w:tc>
          <w:tcPr>
            <w:tcW w:w="1560" w:type="dxa"/>
            <w:tcBorders>
              <w:top w:val="nil"/>
              <w:left w:val="nil"/>
              <w:bottom w:val="single" w:color="auto" w:sz="4" w:space="0"/>
              <w:right w:val="single" w:color="auto" w:sz="4" w:space="0"/>
            </w:tcBorders>
            <w:vAlign w:val="center"/>
          </w:tcPr>
          <w:p w14:paraId="39051DB3">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1000≤Y＜5000</w:t>
            </w:r>
          </w:p>
        </w:tc>
        <w:tc>
          <w:tcPr>
            <w:tcW w:w="992" w:type="dxa"/>
            <w:tcBorders>
              <w:top w:val="nil"/>
              <w:left w:val="nil"/>
              <w:bottom w:val="single" w:color="auto" w:sz="4" w:space="0"/>
              <w:right w:val="single" w:color="auto" w:sz="4" w:space="0"/>
            </w:tcBorders>
            <w:vAlign w:val="center"/>
          </w:tcPr>
          <w:p w14:paraId="60D3E988">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Y＜1000</w:t>
            </w:r>
          </w:p>
        </w:tc>
      </w:tr>
      <w:tr w14:paraId="65753487">
        <w:tblPrEx>
          <w:tblCellMar>
            <w:top w:w="0" w:type="dxa"/>
            <w:left w:w="108" w:type="dxa"/>
            <w:bottom w:w="0" w:type="dxa"/>
            <w:right w:w="108" w:type="dxa"/>
          </w:tblCellMar>
        </w:tblPrEx>
        <w:trPr>
          <w:trHeight w:val="225" w:hRule="atLeast"/>
        </w:trPr>
        <w:tc>
          <w:tcPr>
            <w:tcW w:w="2161" w:type="dxa"/>
            <w:vMerge w:val="restart"/>
            <w:tcBorders>
              <w:top w:val="nil"/>
              <w:left w:val="single" w:color="auto" w:sz="4" w:space="0"/>
              <w:bottom w:val="single" w:color="auto" w:sz="4" w:space="0"/>
              <w:right w:val="single" w:color="auto" w:sz="4" w:space="0"/>
            </w:tcBorders>
            <w:vAlign w:val="center"/>
          </w:tcPr>
          <w:p w14:paraId="33D87FC4">
            <w:pPr>
              <w:widowControl/>
              <w:spacing w:line="336" w:lineRule="auto"/>
              <w:jc w:val="center"/>
              <w:rPr>
                <w:rFonts w:hint="eastAsia" w:ascii="宋体" w:hAnsi="宋体" w:cs="宋体"/>
                <w:b/>
                <w:bCs/>
                <w:color w:val="auto"/>
                <w:kern w:val="0"/>
                <w:sz w:val="18"/>
                <w:szCs w:val="18"/>
                <w:highlight w:val="none"/>
              </w:rPr>
            </w:pPr>
            <w:r>
              <w:rPr>
                <w:rFonts w:hint="eastAsia" w:ascii="宋体" w:hAnsi="宋体" w:cs="宋体"/>
                <w:b/>
                <w:bCs/>
                <w:color w:val="auto"/>
                <w:kern w:val="0"/>
                <w:sz w:val="18"/>
                <w:szCs w:val="18"/>
                <w:highlight w:val="none"/>
              </w:rPr>
              <w:t>零售业</w:t>
            </w:r>
          </w:p>
        </w:tc>
        <w:tc>
          <w:tcPr>
            <w:tcW w:w="1418" w:type="dxa"/>
            <w:tcBorders>
              <w:top w:val="nil"/>
              <w:left w:val="nil"/>
              <w:bottom w:val="single" w:color="auto" w:sz="4" w:space="0"/>
              <w:right w:val="single" w:color="auto" w:sz="4" w:space="0"/>
            </w:tcBorders>
            <w:vAlign w:val="center"/>
          </w:tcPr>
          <w:p w14:paraId="1A451ED6">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从业人员（X）</w:t>
            </w:r>
          </w:p>
        </w:tc>
        <w:tc>
          <w:tcPr>
            <w:tcW w:w="1275" w:type="dxa"/>
            <w:tcBorders>
              <w:top w:val="nil"/>
              <w:left w:val="nil"/>
              <w:bottom w:val="single" w:color="auto" w:sz="4" w:space="0"/>
              <w:right w:val="single" w:color="auto" w:sz="4" w:space="0"/>
            </w:tcBorders>
            <w:vAlign w:val="center"/>
          </w:tcPr>
          <w:p w14:paraId="19E90F90">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人</w:t>
            </w:r>
          </w:p>
        </w:tc>
        <w:tc>
          <w:tcPr>
            <w:tcW w:w="1701" w:type="dxa"/>
            <w:tcBorders>
              <w:top w:val="nil"/>
              <w:left w:val="nil"/>
              <w:bottom w:val="single" w:color="auto" w:sz="4" w:space="0"/>
              <w:right w:val="single" w:color="auto" w:sz="4" w:space="0"/>
            </w:tcBorders>
            <w:vAlign w:val="center"/>
          </w:tcPr>
          <w:p w14:paraId="60D13A11">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50≤X＜300</w:t>
            </w:r>
          </w:p>
        </w:tc>
        <w:tc>
          <w:tcPr>
            <w:tcW w:w="1560" w:type="dxa"/>
            <w:tcBorders>
              <w:top w:val="nil"/>
              <w:left w:val="nil"/>
              <w:bottom w:val="single" w:color="auto" w:sz="4" w:space="0"/>
              <w:right w:val="single" w:color="auto" w:sz="4" w:space="0"/>
            </w:tcBorders>
            <w:vAlign w:val="center"/>
          </w:tcPr>
          <w:p w14:paraId="5218431F">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10≤X＜50</w:t>
            </w:r>
          </w:p>
        </w:tc>
        <w:tc>
          <w:tcPr>
            <w:tcW w:w="992" w:type="dxa"/>
            <w:tcBorders>
              <w:top w:val="nil"/>
              <w:left w:val="nil"/>
              <w:bottom w:val="single" w:color="auto" w:sz="4" w:space="0"/>
              <w:right w:val="single" w:color="auto" w:sz="4" w:space="0"/>
            </w:tcBorders>
            <w:vAlign w:val="center"/>
          </w:tcPr>
          <w:p w14:paraId="4C6A4F47">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X＜10</w:t>
            </w:r>
          </w:p>
        </w:tc>
      </w:tr>
      <w:tr w14:paraId="22C83C7E">
        <w:tblPrEx>
          <w:tblCellMar>
            <w:top w:w="0" w:type="dxa"/>
            <w:left w:w="108" w:type="dxa"/>
            <w:bottom w:w="0" w:type="dxa"/>
            <w:right w:w="108" w:type="dxa"/>
          </w:tblCellMar>
        </w:tblPrEx>
        <w:trPr>
          <w:trHeight w:val="225" w:hRule="atLeast"/>
        </w:trPr>
        <w:tc>
          <w:tcPr>
            <w:tcW w:w="2161" w:type="dxa"/>
            <w:vMerge w:val="continue"/>
            <w:tcBorders>
              <w:top w:val="nil"/>
              <w:left w:val="single" w:color="auto" w:sz="4" w:space="0"/>
              <w:bottom w:val="single" w:color="auto" w:sz="4" w:space="0"/>
              <w:right w:val="single" w:color="auto" w:sz="4" w:space="0"/>
            </w:tcBorders>
            <w:vAlign w:val="center"/>
          </w:tcPr>
          <w:p w14:paraId="1E052FDD">
            <w:pPr>
              <w:widowControl/>
              <w:spacing w:line="336" w:lineRule="auto"/>
              <w:jc w:val="center"/>
              <w:rPr>
                <w:rFonts w:hint="eastAsia" w:ascii="宋体" w:hAnsi="宋体" w:cs="宋体"/>
                <w:b/>
                <w:bCs/>
                <w:color w:val="auto"/>
                <w:kern w:val="0"/>
                <w:sz w:val="18"/>
                <w:szCs w:val="18"/>
                <w:highlight w:val="none"/>
              </w:rPr>
            </w:pPr>
          </w:p>
        </w:tc>
        <w:tc>
          <w:tcPr>
            <w:tcW w:w="1418" w:type="dxa"/>
            <w:tcBorders>
              <w:top w:val="nil"/>
              <w:left w:val="nil"/>
              <w:bottom w:val="single" w:color="auto" w:sz="4" w:space="0"/>
              <w:right w:val="single" w:color="auto" w:sz="4" w:space="0"/>
            </w:tcBorders>
            <w:vAlign w:val="center"/>
          </w:tcPr>
          <w:p w14:paraId="65B37AE1">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营业收入（Y）</w:t>
            </w:r>
          </w:p>
        </w:tc>
        <w:tc>
          <w:tcPr>
            <w:tcW w:w="1275" w:type="dxa"/>
            <w:tcBorders>
              <w:top w:val="nil"/>
              <w:left w:val="nil"/>
              <w:bottom w:val="single" w:color="auto" w:sz="4" w:space="0"/>
              <w:right w:val="single" w:color="auto" w:sz="4" w:space="0"/>
            </w:tcBorders>
            <w:vAlign w:val="center"/>
          </w:tcPr>
          <w:p w14:paraId="5273761C">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万元</w:t>
            </w:r>
          </w:p>
        </w:tc>
        <w:tc>
          <w:tcPr>
            <w:tcW w:w="1701" w:type="dxa"/>
            <w:tcBorders>
              <w:top w:val="nil"/>
              <w:left w:val="nil"/>
              <w:bottom w:val="single" w:color="auto" w:sz="4" w:space="0"/>
              <w:right w:val="single" w:color="auto" w:sz="4" w:space="0"/>
            </w:tcBorders>
            <w:vAlign w:val="center"/>
          </w:tcPr>
          <w:p w14:paraId="1D0E49A2">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500≤Y＜20000</w:t>
            </w:r>
          </w:p>
        </w:tc>
        <w:tc>
          <w:tcPr>
            <w:tcW w:w="1560" w:type="dxa"/>
            <w:tcBorders>
              <w:top w:val="nil"/>
              <w:left w:val="nil"/>
              <w:bottom w:val="single" w:color="auto" w:sz="4" w:space="0"/>
              <w:right w:val="single" w:color="auto" w:sz="4" w:space="0"/>
            </w:tcBorders>
            <w:vAlign w:val="center"/>
          </w:tcPr>
          <w:p w14:paraId="45EC3764">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100≤Y＜500</w:t>
            </w:r>
          </w:p>
        </w:tc>
        <w:tc>
          <w:tcPr>
            <w:tcW w:w="992" w:type="dxa"/>
            <w:tcBorders>
              <w:top w:val="nil"/>
              <w:left w:val="nil"/>
              <w:bottom w:val="single" w:color="auto" w:sz="4" w:space="0"/>
              <w:right w:val="single" w:color="auto" w:sz="4" w:space="0"/>
            </w:tcBorders>
            <w:vAlign w:val="center"/>
          </w:tcPr>
          <w:p w14:paraId="0870FF39">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Y＜100</w:t>
            </w:r>
          </w:p>
        </w:tc>
      </w:tr>
      <w:tr w14:paraId="19EF7132">
        <w:tblPrEx>
          <w:tblCellMar>
            <w:top w:w="0" w:type="dxa"/>
            <w:left w:w="108" w:type="dxa"/>
            <w:bottom w:w="0" w:type="dxa"/>
            <w:right w:w="108" w:type="dxa"/>
          </w:tblCellMar>
        </w:tblPrEx>
        <w:trPr>
          <w:trHeight w:val="225" w:hRule="atLeast"/>
        </w:trPr>
        <w:tc>
          <w:tcPr>
            <w:tcW w:w="2161" w:type="dxa"/>
            <w:vMerge w:val="restart"/>
            <w:tcBorders>
              <w:top w:val="nil"/>
              <w:left w:val="single" w:color="auto" w:sz="4" w:space="0"/>
              <w:bottom w:val="single" w:color="auto" w:sz="4" w:space="0"/>
              <w:right w:val="single" w:color="auto" w:sz="4" w:space="0"/>
            </w:tcBorders>
            <w:vAlign w:val="center"/>
          </w:tcPr>
          <w:p w14:paraId="3C3E8CFC">
            <w:pPr>
              <w:widowControl/>
              <w:spacing w:line="336" w:lineRule="auto"/>
              <w:jc w:val="center"/>
              <w:rPr>
                <w:rFonts w:hint="eastAsia" w:ascii="宋体" w:hAnsi="宋体" w:cs="宋体"/>
                <w:b/>
                <w:bCs/>
                <w:color w:val="auto"/>
                <w:kern w:val="0"/>
                <w:sz w:val="18"/>
                <w:szCs w:val="18"/>
                <w:highlight w:val="none"/>
              </w:rPr>
            </w:pPr>
            <w:r>
              <w:rPr>
                <w:rFonts w:hint="eastAsia" w:ascii="宋体" w:hAnsi="宋体" w:cs="宋体"/>
                <w:b/>
                <w:bCs/>
                <w:color w:val="auto"/>
                <w:kern w:val="0"/>
                <w:sz w:val="18"/>
                <w:szCs w:val="18"/>
                <w:highlight w:val="none"/>
              </w:rPr>
              <w:t>交通运输业</w:t>
            </w:r>
          </w:p>
        </w:tc>
        <w:tc>
          <w:tcPr>
            <w:tcW w:w="1418" w:type="dxa"/>
            <w:tcBorders>
              <w:top w:val="nil"/>
              <w:left w:val="nil"/>
              <w:bottom w:val="single" w:color="auto" w:sz="4" w:space="0"/>
              <w:right w:val="single" w:color="auto" w:sz="4" w:space="0"/>
            </w:tcBorders>
            <w:vAlign w:val="center"/>
          </w:tcPr>
          <w:p w14:paraId="11E1015A">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从业人员（X）</w:t>
            </w:r>
          </w:p>
        </w:tc>
        <w:tc>
          <w:tcPr>
            <w:tcW w:w="1275" w:type="dxa"/>
            <w:tcBorders>
              <w:top w:val="nil"/>
              <w:left w:val="nil"/>
              <w:bottom w:val="single" w:color="auto" w:sz="4" w:space="0"/>
              <w:right w:val="single" w:color="auto" w:sz="4" w:space="0"/>
            </w:tcBorders>
            <w:vAlign w:val="center"/>
          </w:tcPr>
          <w:p w14:paraId="714068E6">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人</w:t>
            </w:r>
          </w:p>
        </w:tc>
        <w:tc>
          <w:tcPr>
            <w:tcW w:w="1701" w:type="dxa"/>
            <w:tcBorders>
              <w:top w:val="nil"/>
              <w:left w:val="nil"/>
              <w:bottom w:val="single" w:color="auto" w:sz="4" w:space="0"/>
              <w:right w:val="single" w:color="auto" w:sz="4" w:space="0"/>
            </w:tcBorders>
            <w:vAlign w:val="center"/>
          </w:tcPr>
          <w:p w14:paraId="062E9CC1">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300≤X＜1000</w:t>
            </w:r>
          </w:p>
        </w:tc>
        <w:tc>
          <w:tcPr>
            <w:tcW w:w="1560" w:type="dxa"/>
            <w:tcBorders>
              <w:top w:val="nil"/>
              <w:left w:val="nil"/>
              <w:bottom w:val="single" w:color="auto" w:sz="4" w:space="0"/>
              <w:right w:val="single" w:color="auto" w:sz="4" w:space="0"/>
            </w:tcBorders>
            <w:vAlign w:val="center"/>
          </w:tcPr>
          <w:p w14:paraId="3DDEADF4">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20≤X＜300</w:t>
            </w:r>
          </w:p>
        </w:tc>
        <w:tc>
          <w:tcPr>
            <w:tcW w:w="992" w:type="dxa"/>
            <w:tcBorders>
              <w:top w:val="nil"/>
              <w:left w:val="nil"/>
              <w:bottom w:val="single" w:color="auto" w:sz="4" w:space="0"/>
              <w:right w:val="single" w:color="auto" w:sz="4" w:space="0"/>
            </w:tcBorders>
            <w:vAlign w:val="center"/>
          </w:tcPr>
          <w:p w14:paraId="15E136DE">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X＜20</w:t>
            </w:r>
          </w:p>
        </w:tc>
      </w:tr>
      <w:tr w14:paraId="02129FC2">
        <w:tblPrEx>
          <w:tblCellMar>
            <w:top w:w="0" w:type="dxa"/>
            <w:left w:w="108" w:type="dxa"/>
            <w:bottom w:w="0" w:type="dxa"/>
            <w:right w:w="108" w:type="dxa"/>
          </w:tblCellMar>
        </w:tblPrEx>
        <w:trPr>
          <w:trHeight w:val="225" w:hRule="atLeast"/>
        </w:trPr>
        <w:tc>
          <w:tcPr>
            <w:tcW w:w="2161" w:type="dxa"/>
            <w:vMerge w:val="continue"/>
            <w:tcBorders>
              <w:top w:val="nil"/>
              <w:left w:val="single" w:color="auto" w:sz="4" w:space="0"/>
              <w:bottom w:val="single" w:color="auto" w:sz="4" w:space="0"/>
              <w:right w:val="single" w:color="auto" w:sz="4" w:space="0"/>
            </w:tcBorders>
            <w:vAlign w:val="center"/>
          </w:tcPr>
          <w:p w14:paraId="29CFD7C7">
            <w:pPr>
              <w:widowControl/>
              <w:spacing w:line="336" w:lineRule="auto"/>
              <w:jc w:val="center"/>
              <w:rPr>
                <w:rFonts w:hint="eastAsia" w:ascii="宋体" w:hAnsi="宋体" w:cs="宋体"/>
                <w:b/>
                <w:bCs/>
                <w:color w:val="auto"/>
                <w:kern w:val="0"/>
                <w:sz w:val="18"/>
                <w:szCs w:val="18"/>
                <w:highlight w:val="none"/>
              </w:rPr>
            </w:pPr>
          </w:p>
        </w:tc>
        <w:tc>
          <w:tcPr>
            <w:tcW w:w="1418" w:type="dxa"/>
            <w:tcBorders>
              <w:top w:val="nil"/>
              <w:left w:val="nil"/>
              <w:bottom w:val="single" w:color="auto" w:sz="4" w:space="0"/>
              <w:right w:val="single" w:color="auto" w:sz="4" w:space="0"/>
            </w:tcBorders>
            <w:vAlign w:val="center"/>
          </w:tcPr>
          <w:p w14:paraId="36538F6B">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营业收入（Y）</w:t>
            </w:r>
          </w:p>
        </w:tc>
        <w:tc>
          <w:tcPr>
            <w:tcW w:w="1275" w:type="dxa"/>
            <w:tcBorders>
              <w:top w:val="nil"/>
              <w:left w:val="nil"/>
              <w:bottom w:val="single" w:color="auto" w:sz="4" w:space="0"/>
              <w:right w:val="single" w:color="auto" w:sz="4" w:space="0"/>
            </w:tcBorders>
            <w:vAlign w:val="center"/>
          </w:tcPr>
          <w:p w14:paraId="440099C1">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万元</w:t>
            </w:r>
          </w:p>
        </w:tc>
        <w:tc>
          <w:tcPr>
            <w:tcW w:w="1701" w:type="dxa"/>
            <w:tcBorders>
              <w:top w:val="nil"/>
              <w:left w:val="nil"/>
              <w:bottom w:val="single" w:color="auto" w:sz="4" w:space="0"/>
              <w:right w:val="single" w:color="auto" w:sz="4" w:space="0"/>
            </w:tcBorders>
            <w:vAlign w:val="center"/>
          </w:tcPr>
          <w:p w14:paraId="62087B4C">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3000≤Y＜30000</w:t>
            </w:r>
          </w:p>
        </w:tc>
        <w:tc>
          <w:tcPr>
            <w:tcW w:w="1560" w:type="dxa"/>
            <w:tcBorders>
              <w:top w:val="nil"/>
              <w:left w:val="nil"/>
              <w:bottom w:val="single" w:color="auto" w:sz="4" w:space="0"/>
              <w:right w:val="single" w:color="auto" w:sz="4" w:space="0"/>
            </w:tcBorders>
            <w:vAlign w:val="center"/>
          </w:tcPr>
          <w:p w14:paraId="7F71DD04">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200≤Y＜3000</w:t>
            </w:r>
          </w:p>
        </w:tc>
        <w:tc>
          <w:tcPr>
            <w:tcW w:w="992" w:type="dxa"/>
            <w:tcBorders>
              <w:top w:val="nil"/>
              <w:left w:val="nil"/>
              <w:bottom w:val="single" w:color="auto" w:sz="4" w:space="0"/>
              <w:right w:val="single" w:color="auto" w:sz="4" w:space="0"/>
            </w:tcBorders>
            <w:vAlign w:val="center"/>
          </w:tcPr>
          <w:p w14:paraId="240E64BD">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Y＜200</w:t>
            </w:r>
          </w:p>
        </w:tc>
      </w:tr>
      <w:tr w14:paraId="1F27DBF0">
        <w:tblPrEx>
          <w:tblCellMar>
            <w:top w:w="0" w:type="dxa"/>
            <w:left w:w="108" w:type="dxa"/>
            <w:bottom w:w="0" w:type="dxa"/>
            <w:right w:w="108" w:type="dxa"/>
          </w:tblCellMar>
        </w:tblPrEx>
        <w:trPr>
          <w:trHeight w:val="225" w:hRule="atLeast"/>
        </w:trPr>
        <w:tc>
          <w:tcPr>
            <w:tcW w:w="2161" w:type="dxa"/>
            <w:vMerge w:val="restart"/>
            <w:tcBorders>
              <w:top w:val="nil"/>
              <w:left w:val="single" w:color="auto" w:sz="4" w:space="0"/>
              <w:bottom w:val="single" w:color="auto" w:sz="4" w:space="0"/>
              <w:right w:val="single" w:color="auto" w:sz="4" w:space="0"/>
            </w:tcBorders>
            <w:vAlign w:val="center"/>
          </w:tcPr>
          <w:p w14:paraId="79E7FFCC">
            <w:pPr>
              <w:widowControl/>
              <w:spacing w:line="336" w:lineRule="auto"/>
              <w:jc w:val="center"/>
              <w:rPr>
                <w:rFonts w:hint="eastAsia" w:ascii="宋体" w:hAnsi="宋体" w:cs="宋体"/>
                <w:b/>
                <w:bCs/>
                <w:color w:val="auto"/>
                <w:kern w:val="0"/>
                <w:sz w:val="18"/>
                <w:szCs w:val="18"/>
                <w:highlight w:val="none"/>
              </w:rPr>
            </w:pPr>
            <w:r>
              <w:rPr>
                <w:rFonts w:hint="eastAsia" w:ascii="宋体" w:hAnsi="宋体" w:cs="宋体"/>
                <w:b/>
                <w:bCs/>
                <w:color w:val="auto"/>
                <w:kern w:val="0"/>
                <w:sz w:val="18"/>
                <w:szCs w:val="18"/>
                <w:highlight w:val="none"/>
              </w:rPr>
              <w:t>仓储业</w:t>
            </w:r>
          </w:p>
        </w:tc>
        <w:tc>
          <w:tcPr>
            <w:tcW w:w="1418" w:type="dxa"/>
            <w:tcBorders>
              <w:top w:val="nil"/>
              <w:left w:val="nil"/>
              <w:bottom w:val="single" w:color="auto" w:sz="4" w:space="0"/>
              <w:right w:val="single" w:color="auto" w:sz="4" w:space="0"/>
            </w:tcBorders>
            <w:vAlign w:val="center"/>
          </w:tcPr>
          <w:p w14:paraId="150A0A84">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从业人员（X）</w:t>
            </w:r>
          </w:p>
        </w:tc>
        <w:tc>
          <w:tcPr>
            <w:tcW w:w="1275" w:type="dxa"/>
            <w:tcBorders>
              <w:top w:val="nil"/>
              <w:left w:val="nil"/>
              <w:bottom w:val="single" w:color="auto" w:sz="4" w:space="0"/>
              <w:right w:val="single" w:color="auto" w:sz="4" w:space="0"/>
            </w:tcBorders>
            <w:vAlign w:val="center"/>
          </w:tcPr>
          <w:p w14:paraId="289EE033">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人</w:t>
            </w:r>
          </w:p>
        </w:tc>
        <w:tc>
          <w:tcPr>
            <w:tcW w:w="1701" w:type="dxa"/>
            <w:tcBorders>
              <w:top w:val="nil"/>
              <w:left w:val="nil"/>
              <w:bottom w:val="single" w:color="auto" w:sz="4" w:space="0"/>
              <w:right w:val="single" w:color="auto" w:sz="4" w:space="0"/>
            </w:tcBorders>
            <w:vAlign w:val="center"/>
          </w:tcPr>
          <w:p w14:paraId="541BB4D0">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100≤X＜200</w:t>
            </w:r>
          </w:p>
        </w:tc>
        <w:tc>
          <w:tcPr>
            <w:tcW w:w="1560" w:type="dxa"/>
            <w:tcBorders>
              <w:top w:val="nil"/>
              <w:left w:val="nil"/>
              <w:bottom w:val="single" w:color="auto" w:sz="4" w:space="0"/>
              <w:right w:val="single" w:color="auto" w:sz="4" w:space="0"/>
            </w:tcBorders>
            <w:vAlign w:val="center"/>
          </w:tcPr>
          <w:p w14:paraId="1E9E478D">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20≤X＜100</w:t>
            </w:r>
          </w:p>
        </w:tc>
        <w:tc>
          <w:tcPr>
            <w:tcW w:w="992" w:type="dxa"/>
            <w:tcBorders>
              <w:top w:val="nil"/>
              <w:left w:val="nil"/>
              <w:bottom w:val="single" w:color="auto" w:sz="4" w:space="0"/>
              <w:right w:val="single" w:color="auto" w:sz="4" w:space="0"/>
            </w:tcBorders>
            <w:vAlign w:val="center"/>
          </w:tcPr>
          <w:p w14:paraId="197EECB1">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X＜20</w:t>
            </w:r>
          </w:p>
        </w:tc>
      </w:tr>
      <w:tr w14:paraId="7783605F">
        <w:tblPrEx>
          <w:tblCellMar>
            <w:top w:w="0" w:type="dxa"/>
            <w:left w:w="108" w:type="dxa"/>
            <w:bottom w:w="0" w:type="dxa"/>
            <w:right w:w="108" w:type="dxa"/>
          </w:tblCellMar>
        </w:tblPrEx>
        <w:trPr>
          <w:trHeight w:val="225" w:hRule="atLeast"/>
        </w:trPr>
        <w:tc>
          <w:tcPr>
            <w:tcW w:w="2161" w:type="dxa"/>
            <w:vMerge w:val="continue"/>
            <w:tcBorders>
              <w:top w:val="nil"/>
              <w:left w:val="single" w:color="auto" w:sz="4" w:space="0"/>
              <w:bottom w:val="single" w:color="auto" w:sz="4" w:space="0"/>
              <w:right w:val="single" w:color="auto" w:sz="4" w:space="0"/>
            </w:tcBorders>
            <w:vAlign w:val="center"/>
          </w:tcPr>
          <w:p w14:paraId="1D6ED430">
            <w:pPr>
              <w:widowControl/>
              <w:spacing w:line="336" w:lineRule="auto"/>
              <w:jc w:val="center"/>
              <w:rPr>
                <w:rFonts w:hint="eastAsia" w:ascii="宋体" w:hAnsi="宋体" w:cs="宋体"/>
                <w:b/>
                <w:bCs/>
                <w:color w:val="auto"/>
                <w:kern w:val="0"/>
                <w:sz w:val="18"/>
                <w:szCs w:val="18"/>
                <w:highlight w:val="none"/>
              </w:rPr>
            </w:pPr>
          </w:p>
        </w:tc>
        <w:tc>
          <w:tcPr>
            <w:tcW w:w="1418" w:type="dxa"/>
            <w:tcBorders>
              <w:top w:val="nil"/>
              <w:left w:val="nil"/>
              <w:bottom w:val="single" w:color="auto" w:sz="4" w:space="0"/>
              <w:right w:val="single" w:color="auto" w:sz="4" w:space="0"/>
            </w:tcBorders>
            <w:vAlign w:val="center"/>
          </w:tcPr>
          <w:p w14:paraId="6A941486">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营业收入（Y）</w:t>
            </w:r>
          </w:p>
        </w:tc>
        <w:tc>
          <w:tcPr>
            <w:tcW w:w="1275" w:type="dxa"/>
            <w:tcBorders>
              <w:top w:val="nil"/>
              <w:left w:val="nil"/>
              <w:bottom w:val="single" w:color="auto" w:sz="4" w:space="0"/>
              <w:right w:val="single" w:color="auto" w:sz="4" w:space="0"/>
            </w:tcBorders>
            <w:vAlign w:val="center"/>
          </w:tcPr>
          <w:p w14:paraId="5562BC59">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万元</w:t>
            </w:r>
          </w:p>
        </w:tc>
        <w:tc>
          <w:tcPr>
            <w:tcW w:w="1701" w:type="dxa"/>
            <w:tcBorders>
              <w:top w:val="nil"/>
              <w:left w:val="nil"/>
              <w:bottom w:val="single" w:color="auto" w:sz="4" w:space="0"/>
              <w:right w:val="single" w:color="auto" w:sz="4" w:space="0"/>
            </w:tcBorders>
            <w:vAlign w:val="center"/>
          </w:tcPr>
          <w:p w14:paraId="0C88E31E">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1000≤Y＜30000</w:t>
            </w:r>
          </w:p>
        </w:tc>
        <w:tc>
          <w:tcPr>
            <w:tcW w:w="1560" w:type="dxa"/>
            <w:tcBorders>
              <w:top w:val="nil"/>
              <w:left w:val="nil"/>
              <w:bottom w:val="single" w:color="auto" w:sz="4" w:space="0"/>
              <w:right w:val="single" w:color="auto" w:sz="4" w:space="0"/>
            </w:tcBorders>
            <w:vAlign w:val="center"/>
          </w:tcPr>
          <w:p w14:paraId="79A35C88">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100≤Y＜1000</w:t>
            </w:r>
          </w:p>
        </w:tc>
        <w:tc>
          <w:tcPr>
            <w:tcW w:w="992" w:type="dxa"/>
            <w:tcBorders>
              <w:top w:val="nil"/>
              <w:left w:val="nil"/>
              <w:bottom w:val="single" w:color="auto" w:sz="4" w:space="0"/>
              <w:right w:val="single" w:color="auto" w:sz="4" w:space="0"/>
            </w:tcBorders>
            <w:vAlign w:val="center"/>
          </w:tcPr>
          <w:p w14:paraId="095F5D0F">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Y＜100</w:t>
            </w:r>
          </w:p>
        </w:tc>
      </w:tr>
      <w:tr w14:paraId="16AD970F">
        <w:tblPrEx>
          <w:tblCellMar>
            <w:top w:w="0" w:type="dxa"/>
            <w:left w:w="108" w:type="dxa"/>
            <w:bottom w:w="0" w:type="dxa"/>
            <w:right w:w="108" w:type="dxa"/>
          </w:tblCellMar>
        </w:tblPrEx>
        <w:trPr>
          <w:trHeight w:val="225" w:hRule="atLeast"/>
        </w:trPr>
        <w:tc>
          <w:tcPr>
            <w:tcW w:w="2161" w:type="dxa"/>
            <w:vMerge w:val="restart"/>
            <w:tcBorders>
              <w:top w:val="nil"/>
              <w:left w:val="single" w:color="auto" w:sz="4" w:space="0"/>
              <w:bottom w:val="single" w:color="auto" w:sz="4" w:space="0"/>
              <w:right w:val="single" w:color="auto" w:sz="4" w:space="0"/>
            </w:tcBorders>
            <w:vAlign w:val="center"/>
          </w:tcPr>
          <w:p w14:paraId="639AC28A">
            <w:pPr>
              <w:widowControl/>
              <w:spacing w:line="336" w:lineRule="auto"/>
              <w:jc w:val="center"/>
              <w:rPr>
                <w:rFonts w:hint="eastAsia" w:ascii="宋体" w:hAnsi="宋体" w:cs="宋体"/>
                <w:b/>
                <w:bCs/>
                <w:color w:val="auto"/>
                <w:kern w:val="0"/>
                <w:sz w:val="18"/>
                <w:szCs w:val="18"/>
                <w:highlight w:val="none"/>
              </w:rPr>
            </w:pPr>
            <w:r>
              <w:rPr>
                <w:rFonts w:hint="eastAsia" w:ascii="宋体" w:hAnsi="宋体" w:cs="宋体"/>
                <w:b/>
                <w:bCs/>
                <w:color w:val="auto"/>
                <w:kern w:val="0"/>
                <w:sz w:val="18"/>
                <w:szCs w:val="18"/>
                <w:highlight w:val="none"/>
              </w:rPr>
              <w:t>邮政业</w:t>
            </w:r>
          </w:p>
        </w:tc>
        <w:tc>
          <w:tcPr>
            <w:tcW w:w="1418" w:type="dxa"/>
            <w:tcBorders>
              <w:top w:val="nil"/>
              <w:left w:val="nil"/>
              <w:bottom w:val="single" w:color="auto" w:sz="4" w:space="0"/>
              <w:right w:val="single" w:color="auto" w:sz="4" w:space="0"/>
            </w:tcBorders>
            <w:vAlign w:val="center"/>
          </w:tcPr>
          <w:p w14:paraId="3F035E3B">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从业人员（X）</w:t>
            </w:r>
          </w:p>
        </w:tc>
        <w:tc>
          <w:tcPr>
            <w:tcW w:w="1275" w:type="dxa"/>
            <w:tcBorders>
              <w:top w:val="nil"/>
              <w:left w:val="nil"/>
              <w:bottom w:val="single" w:color="auto" w:sz="4" w:space="0"/>
              <w:right w:val="single" w:color="auto" w:sz="4" w:space="0"/>
            </w:tcBorders>
            <w:vAlign w:val="center"/>
          </w:tcPr>
          <w:p w14:paraId="4F730CC4">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人</w:t>
            </w:r>
          </w:p>
        </w:tc>
        <w:tc>
          <w:tcPr>
            <w:tcW w:w="1701" w:type="dxa"/>
            <w:tcBorders>
              <w:top w:val="nil"/>
              <w:left w:val="nil"/>
              <w:bottom w:val="single" w:color="auto" w:sz="4" w:space="0"/>
              <w:right w:val="single" w:color="auto" w:sz="4" w:space="0"/>
            </w:tcBorders>
            <w:vAlign w:val="center"/>
          </w:tcPr>
          <w:p w14:paraId="0DA154C1">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300≤X＜1000</w:t>
            </w:r>
          </w:p>
        </w:tc>
        <w:tc>
          <w:tcPr>
            <w:tcW w:w="1560" w:type="dxa"/>
            <w:tcBorders>
              <w:top w:val="nil"/>
              <w:left w:val="nil"/>
              <w:bottom w:val="single" w:color="auto" w:sz="4" w:space="0"/>
              <w:right w:val="single" w:color="auto" w:sz="4" w:space="0"/>
            </w:tcBorders>
            <w:vAlign w:val="center"/>
          </w:tcPr>
          <w:p w14:paraId="77D24647">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20≤X＜300</w:t>
            </w:r>
          </w:p>
        </w:tc>
        <w:tc>
          <w:tcPr>
            <w:tcW w:w="992" w:type="dxa"/>
            <w:tcBorders>
              <w:top w:val="nil"/>
              <w:left w:val="nil"/>
              <w:bottom w:val="single" w:color="auto" w:sz="4" w:space="0"/>
              <w:right w:val="single" w:color="auto" w:sz="4" w:space="0"/>
            </w:tcBorders>
            <w:vAlign w:val="center"/>
          </w:tcPr>
          <w:p w14:paraId="3AEBF7A6">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X＜20</w:t>
            </w:r>
          </w:p>
        </w:tc>
      </w:tr>
      <w:tr w14:paraId="78139169">
        <w:tblPrEx>
          <w:tblCellMar>
            <w:top w:w="0" w:type="dxa"/>
            <w:left w:w="108" w:type="dxa"/>
            <w:bottom w:w="0" w:type="dxa"/>
            <w:right w:w="108" w:type="dxa"/>
          </w:tblCellMar>
        </w:tblPrEx>
        <w:trPr>
          <w:trHeight w:val="225" w:hRule="atLeast"/>
        </w:trPr>
        <w:tc>
          <w:tcPr>
            <w:tcW w:w="2161" w:type="dxa"/>
            <w:vMerge w:val="continue"/>
            <w:tcBorders>
              <w:top w:val="nil"/>
              <w:left w:val="single" w:color="auto" w:sz="4" w:space="0"/>
              <w:bottom w:val="single" w:color="auto" w:sz="4" w:space="0"/>
              <w:right w:val="single" w:color="auto" w:sz="4" w:space="0"/>
            </w:tcBorders>
            <w:vAlign w:val="center"/>
          </w:tcPr>
          <w:p w14:paraId="7B116ECF">
            <w:pPr>
              <w:widowControl/>
              <w:spacing w:line="336" w:lineRule="auto"/>
              <w:jc w:val="center"/>
              <w:rPr>
                <w:rFonts w:hint="eastAsia" w:ascii="宋体" w:hAnsi="宋体" w:cs="宋体"/>
                <w:b/>
                <w:bCs/>
                <w:color w:val="auto"/>
                <w:kern w:val="0"/>
                <w:sz w:val="18"/>
                <w:szCs w:val="18"/>
                <w:highlight w:val="none"/>
              </w:rPr>
            </w:pPr>
          </w:p>
        </w:tc>
        <w:tc>
          <w:tcPr>
            <w:tcW w:w="1418" w:type="dxa"/>
            <w:tcBorders>
              <w:top w:val="nil"/>
              <w:left w:val="nil"/>
              <w:bottom w:val="single" w:color="auto" w:sz="4" w:space="0"/>
              <w:right w:val="single" w:color="auto" w:sz="4" w:space="0"/>
            </w:tcBorders>
            <w:vAlign w:val="center"/>
          </w:tcPr>
          <w:p w14:paraId="5F37A7F0">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营业收入（Y）</w:t>
            </w:r>
          </w:p>
        </w:tc>
        <w:tc>
          <w:tcPr>
            <w:tcW w:w="1275" w:type="dxa"/>
            <w:tcBorders>
              <w:top w:val="nil"/>
              <w:left w:val="nil"/>
              <w:bottom w:val="single" w:color="auto" w:sz="4" w:space="0"/>
              <w:right w:val="single" w:color="auto" w:sz="4" w:space="0"/>
            </w:tcBorders>
            <w:vAlign w:val="center"/>
          </w:tcPr>
          <w:p w14:paraId="10294B17">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万元</w:t>
            </w:r>
          </w:p>
        </w:tc>
        <w:tc>
          <w:tcPr>
            <w:tcW w:w="1701" w:type="dxa"/>
            <w:tcBorders>
              <w:top w:val="nil"/>
              <w:left w:val="nil"/>
              <w:bottom w:val="single" w:color="auto" w:sz="4" w:space="0"/>
              <w:right w:val="single" w:color="auto" w:sz="4" w:space="0"/>
            </w:tcBorders>
            <w:vAlign w:val="center"/>
          </w:tcPr>
          <w:p w14:paraId="7D6BA761">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2000≤Y＜30000</w:t>
            </w:r>
          </w:p>
        </w:tc>
        <w:tc>
          <w:tcPr>
            <w:tcW w:w="1560" w:type="dxa"/>
            <w:tcBorders>
              <w:top w:val="nil"/>
              <w:left w:val="nil"/>
              <w:bottom w:val="single" w:color="auto" w:sz="4" w:space="0"/>
              <w:right w:val="single" w:color="auto" w:sz="4" w:space="0"/>
            </w:tcBorders>
            <w:vAlign w:val="center"/>
          </w:tcPr>
          <w:p w14:paraId="712955C8">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100≤Y＜2000</w:t>
            </w:r>
          </w:p>
        </w:tc>
        <w:tc>
          <w:tcPr>
            <w:tcW w:w="992" w:type="dxa"/>
            <w:tcBorders>
              <w:top w:val="nil"/>
              <w:left w:val="nil"/>
              <w:bottom w:val="single" w:color="auto" w:sz="4" w:space="0"/>
              <w:right w:val="single" w:color="auto" w:sz="4" w:space="0"/>
            </w:tcBorders>
            <w:vAlign w:val="center"/>
          </w:tcPr>
          <w:p w14:paraId="49B173D4">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Y＜100</w:t>
            </w:r>
          </w:p>
        </w:tc>
      </w:tr>
      <w:tr w14:paraId="58D52BA1">
        <w:tblPrEx>
          <w:tblCellMar>
            <w:top w:w="0" w:type="dxa"/>
            <w:left w:w="108" w:type="dxa"/>
            <w:bottom w:w="0" w:type="dxa"/>
            <w:right w:w="108" w:type="dxa"/>
          </w:tblCellMar>
        </w:tblPrEx>
        <w:trPr>
          <w:trHeight w:val="225" w:hRule="atLeast"/>
        </w:trPr>
        <w:tc>
          <w:tcPr>
            <w:tcW w:w="2161" w:type="dxa"/>
            <w:vMerge w:val="restart"/>
            <w:tcBorders>
              <w:top w:val="nil"/>
              <w:left w:val="single" w:color="auto" w:sz="4" w:space="0"/>
              <w:bottom w:val="single" w:color="auto" w:sz="4" w:space="0"/>
              <w:right w:val="single" w:color="auto" w:sz="4" w:space="0"/>
            </w:tcBorders>
            <w:vAlign w:val="center"/>
          </w:tcPr>
          <w:p w14:paraId="620F2516">
            <w:pPr>
              <w:widowControl/>
              <w:spacing w:line="336" w:lineRule="auto"/>
              <w:jc w:val="center"/>
              <w:rPr>
                <w:rFonts w:hint="eastAsia" w:ascii="宋体" w:hAnsi="宋体" w:cs="宋体"/>
                <w:b/>
                <w:bCs/>
                <w:color w:val="auto"/>
                <w:kern w:val="0"/>
                <w:sz w:val="18"/>
                <w:szCs w:val="18"/>
                <w:highlight w:val="none"/>
              </w:rPr>
            </w:pPr>
            <w:r>
              <w:rPr>
                <w:rFonts w:hint="eastAsia" w:ascii="宋体" w:hAnsi="宋体" w:cs="宋体"/>
                <w:b/>
                <w:bCs/>
                <w:color w:val="auto"/>
                <w:kern w:val="0"/>
                <w:sz w:val="18"/>
                <w:szCs w:val="18"/>
                <w:highlight w:val="none"/>
              </w:rPr>
              <w:t>住宿业</w:t>
            </w:r>
          </w:p>
        </w:tc>
        <w:tc>
          <w:tcPr>
            <w:tcW w:w="1418" w:type="dxa"/>
            <w:tcBorders>
              <w:top w:val="nil"/>
              <w:left w:val="nil"/>
              <w:bottom w:val="single" w:color="auto" w:sz="4" w:space="0"/>
              <w:right w:val="single" w:color="auto" w:sz="4" w:space="0"/>
            </w:tcBorders>
            <w:vAlign w:val="center"/>
          </w:tcPr>
          <w:p w14:paraId="28E34CDD">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从业人员（X）</w:t>
            </w:r>
          </w:p>
        </w:tc>
        <w:tc>
          <w:tcPr>
            <w:tcW w:w="1275" w:type="dxa"/>
            <w:tcBorders>
              <w:top w:val="nil"/>
              <w:left w:val="nil"/>
              <w:bottom w:val="single" w:color="auto" w:sz="4" w:space="0"/>
              <w:right w:val="single" w:color="auto" w:sz="4" w:space="0"/>
            </w:tcBorders>
            <w:vAlign w:val="center"/>
          </w:tcPr>
          <w:p w14:paraId="09D44C03">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人</w:t>
            </w:r>
          </w:p>
        </w:tc>
        <w:tc>
          <w:tcPr>
            <w:tcW w:w="1701" w:type="dxa"/>
            <w:tcBorders>
              <w:top w:val="nil"/>
              <w:left w:val="nil"/>
              <w:bottom w:val="single" w:color="auto" w:sz="4" w:space="0"/>
              <w:right w:val="single" w:color="auto" w:sz="4" w:space="0"/>
            </w:tcBorders>
            <w:vAlign w:val="center"/>
          </w:tcPr>
          <w:p w14:paraId="1994D569">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100≤X＜300</w:t>
            </w:r>
          </w:p>
        </w:tc>
        <w:tc>
          <w:tcPr>
            <w:tcW w:w="1560" w:type="dxa"/>
            <w:tcBorders>
              <w:top w:val="nil"/>
              <w:left w:val="nil"/>
              <w:bottom w:val="single" w:color="auto" w:sz="4" w:space="0"/>
              <w:right w:val="single" w:color="auto" w:sz="4" w:space="0"/>
            </w:tcBorders>
            <w:vAlign w:val="center"/>
          </w:tcPr>
          <w:p w14:paraId="29011F57">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10≤X＜100</w:t>
            </w:r>
          </w:p>
        </w:tc>
        <w:tc>
          <w:tcPr>
            <w:tcW w:w="992" w:type="dxa"/>
            <w:tcBorders>
              <w:top w:val="nil"/>
              <w:left w:val="nil"/>
              <w:bottom w:val="single" w:color="auto" w:sz="4" w:space="0"/>
              <w:right w:val="single" w:color="auto" w:sz="4" w:space="0"/>
            </w:tcBorders>
            <w:vAlign w:val="center"/>
          </w:tcPr>
          <w:p w14:paraId="2DEE88C7">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X＜10</w:t>
            </w:r>
          </w:p>
        </w:tc>
      </w:tr>
      <w:tr w14:paraId="1CCFDFF6">
        <w:tblPrEx>
          <w:tblCellMar>
            <w:top w:w="0" w:type="dxa"/>
            <w:left w:w="108" w:type="dxa"/>
            <w:bottom w:w="0" w:type="dxa"/>
            <w:right w:w="108" w:type="dxa"/>
          </w:tblCellMar>
        </w:tblPrEx>
        <w:trPr>
          <w:trHeight w:val="225" w:hRule="atLeast"/>
        </w:trPr>
        <w:tc>
          <w:tcPr>
            <w:tcW w:w="2161" w:type="dxa"/>
            <w:vMerge w:val="continue"/>
            <w:tcBorders>
              <w:top w:val="nil"/>
              <w:left w:val="single" w:color="auto" w:sz="4" w:space="0"/>
              <w:bottom w:val="single" w:color="auto" w:sz="4" w:space="0"/>
              <w:right w:val="single" w:color="auto" w:sz="4" w:space="0"/>
            </w:tcBorders>
            <w:vAlign w:val="center"/>
          </w:tcPr>
          <w:p w14:paraId="4A3091BD">
            <w:pPr>
              <w:widowControl/>
              <w:spacing w:line="336" w:lineRule="auto"/>
              <w:jc w:val="center"/>
              <w:rPr>
                <w:rFonts w:hint="eastAsia" w:ascii="宋体" w:hAnsi="宋体" w:cs="宋体"/>
                <w:b/>
                <w:bCs/>
                <w:color w:val="auto"/>
                <w:kern w:val="0"/>
                <w:sz w:val="18"/>
                <w:szCs w:val="18"/>
                <w:highlight w:val="none"/>
              </w:rPr>
            </w:pPr>
          </w:p>
        </w:tc>
        <w:tc>
          <w:tcPr>
            <w:tcW w:w="1418" w:type="dxa"/>
            <w:tcBorders>
              <w:top w:val="nil"/>
              <w:left w:val="nil"/>
              <w:bottom w:val="single" w:color="auto" w:sz="4" w:space="0"/>
              <w:right w:val="single" w:color="auto" w:sz="4" w:space="0"/>
            </w:tcBorders>
            <w:vAlign w:val="center"/>
          </w:tcPr>
          <w:p w14:paraId="45A7314B">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营业收入（Y）</w:t>
            </w:r>
          </w:p>
        </w:tc>
        <w:tc>
          <w:tcPr>
            <w:tcW w:w="1275" w:type="dxa"/>
            <w:tcBorders>
              <w:top w:val="nil"/>
              <w:left w:val="nil"/>
              <w:bottom w:val="single" w:color="auto" w:sz="4" w:space="0"/>
              <w:right w:val="single" w:color="auto" w:sz="4" w:space="0"/>
            </w:tcBorders>
            <w:vAlign w:val="center"/>
          </w:tcPr>
          <w:p w14:paraId="692783AA">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万元</w:t>
            </w:r>
          </w:p>
        </w:tc>
        <w:tc>
          <w:tcPr>
            <w:tcW w:w="1701" w:type="dxa"/>
            <w:tcBorders>
              <w:top w:val="nil"/>
              <w:left w:val="nil"/>
              <w:bottom w:val="single" w:color="auto" w:sz="4" w:space="0"/>
              <w:right w:val="single" w:color="auto" w:sz="4" w:space="0"/>
            </w:tcBorders>
            <w:vAlign w:val="center"/>
          </w:tcPr>
          <w:p w14:paraId="11D4FB79">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2000≤Y＜10000</w:t>
            </w:r>
          </w:p>
        </w:tc>
        <w:tc>
          <w:tcPr>
            <w:tcW w:w="1560" w:type="dxa"/>
            <w:tcBorders>
              <w:top w:val="nil"/>
              <w:left w:val="nil"/>
              <w:bottom w:val="single" w:color="auto" w:sz="4" w:space="0"/>
              <w:right w:val="single" w:color="auto" w:sz="4" w:space="0"/>
            </w:tcBorders>
            <w:vAlign w:val="center"/>
          </w:tcPr>
          <w:p w14:paraId="3A5DFA0D">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100≤Y＜2000</w:t>
            </w:r>
          </w:p>
        </w:tc>
        <w:tc>
          <w:tcPr>
            <w:tcW w:w="992" w:type="dxa"/>
            <w:tcBorders>
              <w:top w:val="nil"/>
              <w:left w:val="nil"/>
              <w:bottom w:val="single" w:color="auto" w:sz="4" w:space="0"/>
              <w:right w:val="single" w:color="auto" w:sz="4" w:space="0"/>
            </w:tcBorders>
            <w:vAlign w:val="center"/>
          </w:tcPr>
          <w:p w14:paraId="21D52A2B">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Y＜100</w:t>
            </w:r>
          </w:p>
        </w:tc>
      </w:tr>
      <w:tr w14:paraId="274C1CA9">
        <w:tblPrEx>
          <w:tblCellMar>
            <w:top w:w="0" w:type="dxa"/>
            <w:left w:w="108" w:type="dxa"/>
            <w:bottom w:w="0" w:type="dxa"/>
            <w:right w:w="108" w:type="dxa"/>
          </w:tblCellMar>
        </w:tblPrEx>
        <w:trPr>
          <w:trHeight w:val="225" w:hRule="atLeast"/>
        </w:trPr>
        <w:tc>
          <w:tcPr>
            <w:tcW w:w="2161" w:type="dxa"/>
            <w:vMerge w:val="restart"/>
            <w:tcBorders>
              <w:top w:val="nil"/>
              <w:left w:val="single" w:color="auto" w:sz="4" w:space="0"/>
              <w:bottom w:val="single" w:color="auto" w:sz="4" w:space="0"/>
              <w:right w:val="single" w:color="auto" w:sz="4" w:space="0"/>
            </w:tcBorders>
            <w:vAlign w:val="center"/>
          </w:tcPr>
          <w:p w14:paraId="60464435">
            <w:pPr>
              <w:widowControl/>
              <w:spacing w:line="336" w:lineRule="auto"/>
              <w:jc w:val="center"/>
              <w:rPr>
                <w:rFonts w:hint="eastAsia" w:ascii="宋体" w:hAnsi="宋体" w:cs="宋体"/>
                <w:b/>
                <w:bCs/>
                <w:color w:val="auto"/>
                <w:kern w:val="0"/>
                <w:sz w:val="18"/>
                <w:szCs w:val="18"/>
                <w:highlight w:val="none"/>
              </w:rPr>
            </w:pPr>
            <w:r>
              <w:rPr>
                <w:rFonts w:hint="eastAsia" w:ascii="宋体" w:hAnsi="宋体" w:cs="宋体"/>
                <w:b/>
                <w:bCs/>
                <w:color w:val="auto"/>
                <w:kern w:val="0"/>
                <w:sz w:val="18"/>
                <w:szCs w:val="18"/>
                <w:highlight w:val="none"/>
              </w:rPr>
              <w:t>餐饮业</w:t>
            </w:r>
          </w:p>
        </w:tc>
        <w:tc>
          <w:tcPr>
            <w:tcW w:w="1418" w:type="dxa"/>
            <w:tcBorders>
              <w:top w:val="nil"/>
              <w:left w:val="nil"/>
              <w:bottom w:val="single" w:color="auto" w:sz="4" w:space="0"/>
              <w:right w:val="single" w:color="auto" w:sz="4" w:space="0"/>
            </w:tcBorders>
            <w:vAlign w:val="center"/>
          </w:tcPr>
          <w:p w14:paraId="0DE00FEB">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从业人员（X）</w:t>
            </w:r>
          </w:p>
        </w:tc>
        <w:tc>
          <w:tcPr>
            <w:tcW w:w="1275" w:type="dxa"/>
            <w:tcBorders>
              <w:top w:val="nil"/>
              <w:left w:val="nil"/>
              <w:bottom w:val="single" w:color="auto" w:sz="4" w:space="0"/>
              <w:right w:val="single" w:color="auto" w:sz="4" w:space="0"/>
            </w:tcBorders>
            <w:vAlign w:val="center"/>
          </w:tcPr>
          <w:p w14:paraId="7AFBF06A">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人</w:t>
            </w:r>
          </w:p>
        </w:tc>
        <w:tc>
          <w:tcPr>
            <w:tcW w:w="1701" w:type="dxa"/>
            <w:tcBorders>
              <w:top w:val="nil"/>
              <w:left w:val="nil"/>
              <w:bottom w:val="single" w:color="auto" w:sz="4" w:space="0"/>
              <w:right w:val="single" w:color="auto" w:sz="4" w:space="0"/>
            </w:tcBorders>
            <w:vAlign w:val="center"/>
          </w:tcPr>
          <w:p w14:paraId="3BE5EAF4">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100≤X＜300</w:t>
            </w:r>
          </w:p>
        </w:tc>
        <w:tc>
          <w:tcPr>
            <w:tcW w:w="1560" w:type="dxa"/>
            <w:tcBorders>
              <w:top w:val="nil"/>
              <w:left w:val="nil"/>
              <w:bottom w:val="single" w:color="auto" w:sz="4" w:space="0"/>
              <w:right w:val="single" w:color="auto" w:sz="4" w:space="0"/>
            </w:tcBorders>
            <w:vAlign w:val="center"/>
          </w:tcPr>
          <w:p w14:paraId="65EFA19B">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10≤X＜100</w:t>
            </w:r>
          </w:p>
        </w:tc>
        <w:tc>
          <w:tcPr>
            <w:tcW w:w="992" w:type="dxa"/>
            <w:tcBorders>
              <w:top w:val="nil"/>
              <w:left w:val="nil"/>
              <w:bottom w:val="single" w:color="auto" w:sz="4" w:space="0"/>
              <w:right w:val="single" w:color="auto" w:sz="4" w:space="0"/>
            </w:tcBorders>
            <w:vAlign w:val="center"/>
          </w:tcPr>
          <w:p w14:paraId="21806485">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X＜10</w:t>
            </w:r>
          </w:p>
        </w:tc>
      </w:tr>
      <w:tr w14:paraId="47C9D93C">
        <w:tblPrEx>
          <w:tblCellMar>
            <w:top w:w="0" w:type="dxa"/>
            <w:left w:w="108" w:type="dxa"/>
            <w:bottom w:w="0" w:type="dxa"/>
            <w:right w:w="108" w:type="dxa"/>
          </w:tblCellMar>
        </w:tblPrEx>
        <w:trPr>
          <w:trHeight w:val="225" w:hRule="atLeast"/>
        </w:trPr>
        <w:tc>
          <w:tcPr>
            <w:tcW w:w="2161" w:type="dxa"/>
            <w:vMerge w:val="continue"/>
            <w:tcBorders>
              <w:top w:val="nil"/>
              <w:left w:val="single" w:color="auto" w:sz="4" w:space="0"/>
              <w:bottom w:val="single" w:color="auto" w:sz="4" w:space="0"/>
              <w:right w:val="single" w:color="auto" w:sz="4" w:space="0"/>
            </w:tcBorders>
            <w:vAlign w:val="center"/>
          </w:tcPr>
          <w:p w14:paraId="5356A0FF">
            <w:pPr>
              <w:widowControl/>
              <w:spacing w:line="336" w:lineRule="auto"/>
              <w:jc w:val="center"/>
              <w:rPr>
                <w:rFonts w:hint="eastAsia" w:ascii="宋体" w:hAnsi="宋体" w:cs="宋体"/>
                <w:b/>
                <w:bCs/>
                <w:color w:val="auto"/>
                <w:kern w:val="0"/>
                <w:sz w:val="18"/>
                <w:szCs w:val="18"/>
                <w:highlight w:val="none"/>
              </w:rPr>
            </w:pPr>
          </w:p>
        </w:tc>
        <w:tc>
          <w:tcPr>
            <w:tcW w:w="1418" w:type="dxa"/>
            <w:tcBorders>
              <w:top w:val="nil"/>
              <w:left w:val="nil"/>
              <w:bottom w:val="single" w:color="auto" w:sz="4" w:space="0"/>
              <w:right w:val="single" w:color="auto" w:sz="4" w:space="0"/>
            </w:tcBorders>
            <w:vAlign w:val="center"/>
          </w:tcPr>
          <w:p w14:paraId="22DC7C9D">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营业收入（Y）</w:t>
            </w:r>
          </w:p>
        </w:tc>
        <w:tc>
          <w:tcPr>
            <w:tcW w:w="1275" w:type="dxa"/>
            <w:tcBorders>
              <w:top w:val="nil"/>
              <w:left w:val="nil"/>
              <w:bottom w:val="single" w:color="auto" w:sz="4" w:space="0"/>
              <w:right w:val="single" w:color="auto" w:sz="4" w:space="0"/>
            </w:tcBorders>
            <w:vAlign w:val="center"/>
          </w:tcPr>
          <w:p w14:paraId="3CA7204F">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万元</w:t>
            </w:r>
          </w:p>
        </w:tc>
        <w:tc>
          <w:tcPr>
            <w:tcW w:w="1701" w:type="dxa"/>
            <w:tcBorders>
              <w:top w:val="nil"/>
              <w:left w:val="nil"/>
              <w:bottom w:val="single" w:color="auto" w:sz="4" w:space="0"/>
              <w:right w:val="single" w:color="auto" w:sz="4" w:space="0"/>
            </w:tcBorders>
            <w:vAlign w:val="center"/>
          </w:tcPr>
          <w:p w14:paraId="1B578EF2">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2000≤Y＜10000</w:t>
            </w:r>
          </w:p>
        </w:tc>
        <w:tc>
          <w:tcPr>
            <w:tcW w:w="1560" w:type="dxa"/>
            <w:tcBorders>
              <w:top w:val="nil"/>
              <w:left w:val="nil"/>
              <w:bottom w:val="single" w:color="auto" w:sz="4" w:space="0"/>
              <w:right w:val="single" w:color="auto" w:sz="4" w:space="0"/>
            </w:tcBorders>
            <w:vAlign w:val="center"/>
          </w:tcPr>
          <w:p w14:paraId="01C2FA94">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100≤Y＜2000</w:t>
            </w:r>
          </w:p>
        </w:tc>
        <w:tc>
          <w:tcPr>
            <w:tcW w:w="992" w:type="dxa"/>
            <w:tcBorders>
              <w:top w:val="nil"/>
              <w:left w:val="nil"/>
              <w:bottom w:val="single" w:color="auto" w:sz="4" w:space="0"/>
              <w:right w:val="single" w:color="auto" w:sz="4" w:space="0"/>
            </w:tcBorders>
            <w:vAlign w:val="center"/>
          </w:tcPr>
          <w:p w14:paraId="42C96B68">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Y＜100</w:t>
            </w:r>
          </w:p>
        </w:tc>
      </w:tr>
      <w:tr w14:paraId="73DF9CE1">
        <w:tblPrEx>
          <w:tblCellMar>
            <w:top w:w="0" w:type="dxa"/>
            <w:left w:w="108" w:type="dxa"/>
            <w:bottom w:w="0" w:type="dxa"/>
            <w:right w:w="108" w:type="dxa"/>
          </w:tblCellMar>
        </w:tblPrEx>
        <w:trPr>
          <w:trHeight w:val="225" w:hRule="atLeast"/>
        </w:trPr>
        <w:tc>
          <w:tcPr>
            <w:tcW w:w="2161" w:type="dxa"/>
            <w:vMerge w:val="restart"/>
            <w:tcBorders>
              <w:top w:val="nil"/>
              <w:left w:val="single" w:color="auto" w:sz="4" w:space="0"/>
              <w:bottom w:val="single" w:color="auto" w:sz="4" w:space="0"/>
              <w:right w:val="single" w:color="auto" w:sz="4" w:space="0"/>
            </w:tcBorders>
            <w:vAlign w:val="center"/>
          </w:tcPr>
          <w:p w14:paraId="11C79D8F">
            <w:pPr>
              <w:widowControl/>
              <w:spacing w:line="336" w:lineRule="auto"/>
              <w:jc w:val="center"/>
              <w:rPr>
                <w:rFonts w:hint="eastAsia" w:ascii="宋体" w:hAnsi="宋体" w:cs="宋体"/>
                <w:b/>
                <w:bCs/>
                <w:color w:val="auto"/>
                <w:kern w:val="0"/>
                <w:sz w:val="18"/>
                <w:szCs w:val="18"/>
                <w:highlight w:val="none"/>
              </w:rPr>
            </w:pPr>
            <w:r>
              <w:rPr>
                <w:rFonts w:hint="eastAsia" w:ascii="宋体" w:hAnsi="宋体" w:cs="宋体"/>
                <w:b/>
                <w:bCs/>
                <w:color w:val="auto"/>
                <w:kern w:val="0"/>
                <w:sz w:val="18"/>
                <w:szCs w:val="18"/>
                <w:highlight w:val="none"/>
              </w:rPr>
              <w:t>信息传输业</w:t>
            </w:r>
          </w:p>
        </w:tc>
        <w:tc>
          <w:tcPr>
            <w:tcW w:w="1418" w:type="dxa"/>
            <w:tcBorders>
              <w:top w:val="nil"/>
              <w:left w:val="nil"/>
              <w:bottom w:val="single" w:color="auto" w:sz="4" w:space="0"/>
              <w:right w:val="single" w:color="auto" w:sz="4" w:space="0"/>
            </w:tcBorders>
            <w:vAlign w:val="center"/>
          </w:tcPr>
          <w:p w14:paraId="33B9D6B1">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从业人员（X）</w:t>
            </w:r>
          </w:p>
        </w:tc>
        <w:tc>
          <w:tcPr>
            <w:tcW w:w="1275" w:type="dxa"/>
            <w:tcBorders>
              <w:top w:val="nil"/>
              <w:left w:val="nil"/>
              <w:bottom w:val="single" w:color="auto" w:sz="4" w:space="0"/>
              <w:right w:val="single" w:color="auto" w:sz="4" w:space="0"/>
            </w:tcBorders>
            <w:vAlign w:val="center"/>
          </w:tcPr>
          <w:p w14:paraId="41BD1101">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人</w:t>
            </w:r>
          </w:p>
        </w:tc>
        <w:tc>
          <w:tcPr>
            <w:tcW w:w="1701" w:type="dxa"/>
            <w:tcBorders>
              <w:top w:val="nil"/>
              <w:left w:val="nil"/>
              <w:bottom w:val="single" w:color="auto" w:sz="4" w:space="0"/>
              <w:right w:val="single" w:color="auto" w:sz="4" w:space="0"/>
            </w:tcBorders>
            <w:vAlign w:val="center"/>
          </w:tcPr>
          <w:p w14:paraId="77FC4E1E">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100≤X＜2000</w:t>
            </w:r>
          </w:p>
        </w:tc>
        <w:tc>
          <w:tcPr>
            <w:tcW w:w="1560" w:type="dxa"/>
            <w:tcBorders>
              <w:top w:val="nil"/>
              <w:left w:val="nil"/>
              <w:bottom w:val="single" w:color="auto" w:sz="4" w:space="0"/>
              <w:right w:val="single" w:color="auto" w:sz="4" w:space="0"/>
            </w:tcBorders>
            <w:vAlign w:val="center"/>
          </w:tcPr>
          <w:p w14:paraId="692D6C33">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10≤X＜100</w:t>
            </w:r>
          </w:p>
        </w:tc>
        <w:tc>
          <w:tcPr>
            <w:tcW w:w="992" w:type="dxa"/>
            <w:tcBorders>
              <w:top w:val="nil"/>
              <w:left w:val="nil"/>
              <w:bottom w:val="single" w:color="auto" w:sz="4" w:space="0"/>
              <w:right w:val="single" w:color="auto" w:sz="4" w:space="0"/>
            </w:tcBorders>
            <w:vAlign w:val="center"/>
          </w:tcPr>
          <w:p w14:paraId="4F62D9BA">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X＜10</w:t>
            </w:r>
          </w:p>
        </w:tc>
      </w:tr>
      <w:tr w14:paraId="66948B49">
        <w:tblPrEx>
          <w:tblCellMar>
            <w:top w:w="0" w:type="dxa"/>
            <w:left w:w="108" w:type="dxa"/>
            <w:bottom w:w="0" w:type="dxa"/>
            <w:right w:w="108" w:type="dxa"/>
          </w:tblCellMar>
        </w:tblPrEx>
        <w:trPr>
          <w:trHeight w:val="225" w:hRule="atLeast"/>
        </w:trPr>
        <w:tc>
          <w:tcPr>
            <w:tcW w:w="2161" w:type="dxa"/>
            <w:vMerge w:val="continue"/>
            <w:tcBorders>
              <w:top w:val="nil"/>
              <w:left w:val="single" w:color="auto" w:sz="4" w:space="0"/>
              <w:bottom w:val="single" w:color="auto" w:sz="4" w:space="0"/>
              <w:right w:val="single" w:color="auto" w:sz="4" w:space="0"/>
            </w:tcBorders>
            <w:vAlign w:val="center"/>
          </w:tcPr>
          <w:p w14:paraId="1C11C291">
            <w:pPr>
              <w:widowControl/>
              <w:spacing w:line="336" w:lineRule="auto"/>
              <w:jc w:val="center"/>
              <w:rPr>
                <w:rFonts w:hint="eastAsia" w:ascii="宋体" w:hAnsi="宋体" w:cs="宋体"/>
                <w:b/>
                <w:bCs/>
                <w:color w:val="auto"/>
                <w:kern w:val="0"/>
                <w:sz w:val="18"/>
                <w:szCs w:val="18"/>
                <w:highlight w:val="none"/>
              </w:rPr>
            </w:pPr>
          </w:p>
        </w:tc>
        <w:tc>
          <w:tcPr>
            <w:tcW w:w="1418" w:type="dxa"/>
            <w:tcBorders>
              <w:top w:val="nil"/>
              <w:left w:val="nil"/>
              <w:bottom w:val="single" w:color="auto" w:sz="4" w:space="0"/>
              <w:right w:val="single" w:color="auto" w:sz="4" w:space="0"/>
            </w:tcBorders>
            <w:vAlign w:val="center"/>
          </w:tcPr>
          <w:p w14:paraId="5A4CAED5">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营业收入（Y）</w:t>
            </w:r>
          </w:p>
        </w:tc>
        <w:tc>
          <w:tcPr>
            <w:tcW w:w="1275" w:type="dxa"/>
            <w:tcBorders>
              <w:top w:val="nil"/>
              <w:left w:val="nil"/>
              <w:bottom w:val="single" w:color="auto" w:sz="4" w:space="0"/>
              <w:right w:val="single" w:color="auto" w:sz="4" w:space="0"/>
            </w:tcBorders>
            <w:vAlign w:val="center"/>
          </w:tcPr>
          <w:p w14:paraId="2D4F594C">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万元</w:t>
            </w:r>
          </w:p>
        </w:tc>
        <w:tc>
          <w:tcPr>
            <w:tcW w:w="1701" w:type="dxa"/>
            <w:tcBorders>
              <w:top w:val="nil"/>
              <w:left w:val="nil"/>
              <w:bottom w:val="single" w:color="auto" w:sz="4" w:space="0"/>
              <w:right w:val="single" w:color="auto" w:sz="4" w:space="0"/>
            </w:tcBorders>
            <w:vAlign w:val="center"/>
          </w:tcPr>
          <w:p w14:paraId="5EE1EEC9">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1000≤Y＜100000</w:t>
            </w:r>
          </w:p>
        </w:tc>
        <w:tc>
          <w:tcPr>
            <w:tcW w:w="1560" w:type="dxa"/>
            <w:tcBorders>
              <w:top w:val="nil"/>
              <w:left w:val="nil"/>
              <w:bottom w:val="single" w:color="auto" w:sz="4" w:space="0"/>
              <w:right w:val="single" w:color="auto" w:sz="4" w:space="0"/>
            </w:tcBorders>
            <w:vAlign w:val="center"/>
          </w:tcPr>
          <w:p w14:paraId="1567E477">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100≤Y＜1000</w:t>
            </w:r>
          </w:p>
        </w:tc>
        <w:tc>
          <w:tcPr>
            <w:tcW w:w="992" w:type="dxa"/>
            <w:tcBorders>
              <w:top w:val="nil"/>
              <w:left w:val="nil"/>
              <w:bottom w:val="single" w:color="auto" w:sz="4" w:space="0"/>
              <w:right w:val="single" w:color="auto" w:sz="4" w:space="0"/>
            </w:tcBorders>
            <w:vAlign w:val="center"/>
          </w:tcPr>
          <w:p w14:paraId="3C0AFB50">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Y＜100</w:t>
            </w:r>
          </w:p>
        </w:tc>
      </w:tr>
      <w:tr w14:paraId="0E13D7B0">
        <w:tblPrEx>
          <w:tblCellMar>
            <w:top w:w="0" w:type="dxa"/>
            <w:left w:w="108" w:type="dxa"/>
            <w:bottom w:w="0" w:type="dxa"/>
            <w:right w:w="108" w:type="dxa"/>
          </w:tblCellMar>
        </w:tblPrEx>
        <w:trPr>
          <w:trHeight w:val="225" w:hRule="atLeast"/>
        </w:trPr>
        <w:tc>
          <w:tcPr>
            <w:tcW w:w="2161" w:type="dxa"/>
            <w:vMerge w:val="restart"/>
            <w:tcBorders>
              <w:top w:val="nil"/>
              <w:left w:val="single" w:color="auto" w:sz="4" w:space="0"/>
              <w:bottom w:val="single" w:color="auto" w:sz="4" w:space="0"/>
              <w:right w:val="single" w:color="auto" w:sz="4" w:space="0"/>
            </w:tcBorders>
            <w:vAlign w:val="center"/>
          </w:tcPr>
          <w:p w14:paraId="1D4CCEEA">
            <w:pPr>
              <w:widowControl/>
              <w:spacing w:line="336" w:lineRule="auto"/>
              <w:jc w:val="center"/>
              <w:rPr>
                <w:rFonts w:hint="eastAsia" w:ascii="宋体" w:hAnsi="宋体" w:cs="宋体"/>
                <w:b/>
                <w:bCs/>
                <w:color w:val="auto"/>
                <w:kern w:val="0"/>
                <w:sz w:val="18"/>
                <w:szCs w:val="18"/>
                <w:highlight w:val="none"/>
              </w:rPr>
            </w:pPr>
            <w:r>
              <w:rPr>
                <w:rFonts w:hint="eastAsia" w:ascii="宋体" w:hAnsi="宋体" w:cs="宋体"/>
                <w:b/>
                <w:bCs/>
                <w:color w:val="auto"/>
                <w:kern w:val="0"/>
                <w:sz w:val="18"/>
                <w:szCs w:val="18"/>
                <w:highlight w:val="none"/>
              </w:rPr>
              <w:t>软件和信息技术服务业</w:t>
            </w:r>
          </w:p>
        </w:tc>
        <w:tc>
          <w:tcPr>
            <w:tcW w:w="1418" w:type="dxa"/>
            <w:tcBorders>
              <w:top w:val="nil"/>
              <w:left w:val="nil"/>
              <w:bottom w:val="single" w:color="auto" w:sz="4" w:space="0"/>
              <w:right w:val="single" w:color="auto" w:sz="4" w:space="0"/>
            </w:tcBorders>
            <w:vAlign w:val="center"/>
          </w:tcPr>
          <w:p w14:paraId="08B0C177">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从业人员（X）</w:t>
            </w:r>
          </w:p>
        </w:tc>
        <w:tc>
          <w:tcPr>
            <w:tcW w:w="1275" w:type="dxa"/>
            <w:tcBorders>
              <w:top w:val="nil"/>
              <w:left w:val="nil"/>
              <w:bottom w:val="single" w:color="auto" w:sz="4" w:space="0"/>
              <w:right w:val="single" w:color="auto" w:sz="4" w:space="0"/>
            </w:tcBorders>
            <w:vAlign w:val="center"/>
          </w:tcPr>
          <w:p w14:paraId="72C7E71E">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人</w:t>
            </w:r>
          </w:p>
        </w:tc>
        <w:tc>
          <w:tcPr>
            <w:tcW w:w="1701" w:type="dxa"/>
            <w:tcBorders>
              <w:top w:val="nil"/>
              <w:left w:val="nil"/>
              <w:bottom w:val="single" w:color="auto" w:sz="4" w:space="0"/>
              <w:right w:val="single" w:color="auto" w:sz="4" w:space="0"/>
            </w:tcBorders>
            <w:vAlign w:val="center"/>
          </w:tcPr>
          <w:p w14:paraId="2085FD07">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100≤X＜300</w:t>
            </w:r>
          </w:p>
        </w:tc>
        <w:tc>
          <w:tcPr>
            <w:tcW w:w="1560" w:type="dxa"/>
            <w:tcBorders>
              <w:top w:val="nil"/>
              <w:left w:val="nil"/>
              <w:bottom w:val="single" w:color="auto" w:sz="4" w:space="0"/>
              <w:right w:val="single" w:color="auto" w:sz="4" w:space="0"/>
            </w:tcBorders>
            <w:vAlign w:val="center"/>
          </w:tcPr>
          <w:p w14:paraId="0A54579F">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10≤X＜100</w:t>
            </w:r>
          </w:p>
        </w:tc>
        <w:tc>
          <w:tcPr>
            <w:tcW w:w="992" w:type="dxa"/>
            <w:tcBorders>
              <w:top w:val="nil"/>
              <w:left w:val="nil"/>
              <w:bottom w:val="single" w:color="auto" w:sz="4" w:space="0"/>
              <w:right w:val="single" w:color="auto" w:sz="4" w:space="0"/>
            </w:tcBorders>
            <w:vAlign w:val="center"/>
          </w:tcPr>
          <w:p w14:paraId="5E5DB367">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X＜10</w:t>
            </w:r>
          </w:p>
        </w:tc>
      </w:tr>
      <w:tr w14:paraId="20632FFF">
        <w:tblPrEx>
          <w:tblCellMar>
            <w:top w:w="0" w:type="dxa"/>
            <w:left w:w="108" w:type="dxa"/>
            <w:bottom w:w="0" w:type="dxa"/>
            <w:right w:w="108" w:type="dxa"/>
          </w:tblCellMar>
        </w:tblPrEx>
        <w:trPr>
          <w:trHeight w:val="225" w:hRule="atLeast"/>
        </w:trPr>
        <w:tc>
          <w:tcPr>
            <w:tcW w:w="2161" w:type="dxa"/>
            <w:vMerge w:val="continue"/>
            <w:tcBorders>
              <w:top w:val="nil"/>
              <w:left w:val="single" w:color="auto" w:sz="4" w:space="0"/>
              <w:bottom w:val="single" w:color="auto" w:sz="4" w:space="0"/>
              <w:right w:val="single" w:color="auto" w:sz="4" w:space="0"/>
            </w:tcBorders>
            <w:vAlign w:val="center"/>
          </w:tcPr>
          <w:p w14:paraId="5E86089D">
            <w:pPr>
              <w:widowControl/>
              <w:spacing w:line="336" w:lineRule="auto"/>
              <w:jc w:val="center"/>
              <w:rPr>
                <w:rFonts w:hint="eastAsia" w:ascii="宋体" w:hAnsi="宋体" w:cs="宋体"/>
                <w:b/>
                <w:bCs/>
                <w:color w:val="auto"/>
                <w:kern w:val="0"/>
                <w:sz w:val="18"/>
                <w:szCs w:val="18"/>
                <w:highlight w:val="none"/>
              </w:rPr>
            </w:pPr>
          </w:p>
        </w:tc>
        <w:tc>
          <w:tcPr>
            <w:tcW w:w="1418" w:type="dxa"/>
            <w:tcBorders>
              <w:top w:val="nil"/>
              <w:left w:val="nil"/>
              <w:bottom w:val="single" w:color="auto" w:sz="4" w:space="0"/>
              <w:right w:val="single" w:color="auto" w:sz="4" w:space="0"/>
            </w:tcBorders>
            <w:vAlign w:val="center"/>
          </w:tcPr>
          <w:p w14:paraId="12BB3325">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营业收入（Y）</w:t>
            </w:r>
          </w:p>
        </w:tc>
        <w:tc>
          <w:tcPr>
            <w:tcW w:w="1275" w:type="dxa"/>
            <w:tcBorders>
              <w:top w:val="nil"/>
              <w:left w:val="nil"/>
              <w:bottom w:val="single" w:color="auto" w:sz="4" w:space="0"/>
              <w:right w:val="single" w:color="auto" w:sz="4" w:space="0"/>
            </w:tcBorders>
            <w:vAlign w:val="center"/>
          </w:tcPr>
          <w:p w14:paraId="7D354472">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万元</w:t>
            </w:r>
          </w:p>
        </w:tc>
        <w:tc>
          <w:tcPr>
            <w:tcW w:w="1701" w:type="dxa"/>
            <w:tcBorders>
              <w:top w:val="nil"/>
              <w:left w:val="nil"/>
              <w:bottom w:val="single" w:color="auto" w:sz="4" w:space="0"/>
              <w:right w:val="single" w:color="auto" w:sz="4" w:space="0"/>
            </w:tcBorders>
            <w:vAlign w:val="center"/>
          </w:tcPr>
          <w:p w14:paraId="23603BA1">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1000≤Y＜10000</w:t>
            </w:r>
          </w:p>
        </w:tc>
        <w:tc>
          <w:tcPr>
            <w:tcW w:w="1560" w:type="dxa"/>
            <w:tcBorders>
              <w:top w:val="nil"/>
              <w:left w:val="nil"/>
              <w:bottom w:val="single" w:color="auto" w:sz="4" w:space="0"/>
              <w:right w:val="single" w:color="auto" w:sz="4" w:space="0"/>
            </w:tcBorders>
            <w:vAlign w:val="center"/>
          </w:tcPr>
          <w:p w14:paraId="3580AA8C">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50≤Y＜1000</w:t>
            </w:r>
          </w:p>
        </w:tc>
        <w:tc>
          <w:tcPr>
            <w:tcW w:w="992" w:type="dxa"/>
            <w:tcBorders>
              <w:top w:val="nil"/>
              <w:left w:val="nil"/>
              <w:bottom w:val="single" w:color="auto" w:sz="4" w:space="0"/>
              <w:right w:val="single" w:color="auto" w:sz="4" w:space="0"/>
            </w:tcBorders>
            <w:vAlign w:val="center"/>
          </w:tcPr>
          <w:p w14:paraId="74B5EE02">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Y＜50</w:t>
            </w:r>
          </w:p>
        </w:tc>
      </w:tr>
      <w:tr w14:paraId="12FFEAC0">
        <w:tblPrEx>
          <w:tblCellMar>
            <w:top w:w="0" w:type="dxa"/>
            <w:left w:w="108" w:type="dxa"/>
            <w:bottom w:w="0" w:type="dxa"/>
            <w:right w:w="108" w:type="dxa"/>
          </w:tblCellMar>
        </w:tblPrEx>
        <w:trPr>
          <w:trHeight w:val="225" w:hRule="atLeast"/>
        </w:trPr>
        <w:tc>
          <w:tcPr>
            <w:tcW w:w="2161" w:type="dxa"/>
            <w:vMerge w:val="restart"/>
            <w:tcBorders>
              <w:top w:val="nil"/>
              <w:left w:val="single" w:color="auto" w:sz="4" w:space="0"/>
              <w:bottom w:val="single" w:color="auto" w:sz="4" w:space="0"/>
              <w:right w:val="single" w:color="auto" w:sz="4" w:space="0"/>
            </w:tcBorders>
            <w:vAlign w:val="center"/>
          </w:tcPr>
          <w:p w14:paraId="3D1A7E35">
            <w:pPr>
              <w:widowControl/>
              <w:spacing w:line="336" w:lineRule="auto"/>
              <w:jc w:val="center"/>
              <w:rPr>
                <w:rFonts w:hint="eastAsia" w:ascii="宋体" w:hAnsi="宋体" w:cs="宋体"/>
                <w:b/>
                <w:bCs/>
                <w:color w:val="auto"/>
                <w:kern w:val="0"/>
                <w:sz w:val="18"/>
                <w:szCs w:val="18"/>
                <w:highlight w:val="none"/>
              </w:rPr>
            </w:pPr>
            <w:r>
              <w:rPr>
                <w:rFonts w:hint="eastAsia" w:ascii="宋体" w:hAnsi="宋体" w:cs="宋体"/>
                <w:b/>
                <w:bCs/>
                <w:color w:val="auto"/>
                <w:kern w:val="0"/>
                <w:sz w:val="18"/>
                <w:szCs w:val="18"/>
                <w:highlight w:val="none"/>
              </w:rPr>
              <w:t>房地产开发经营</w:t>
            </w:r>
          </w:p>
        </w:tc>
        <w:tc>
          <w:tcPr>
            <w:tcW w:w="1418" w:type="dxa"/>
            <w:tcBorders>
              <w:top w:val="nil"/>
              <w:left w:val="nil"/>
              <w:bottom w:val="single" w:color="auto" w:sz="4" w:space="0"/>
              <w:right w:val="single" w:color="auto" w:sz="4" w:space="0"/>
            </w:tcBorders>
            <w:vAlign w:val="center"/>
          </w:tcPr>
          <w:p w14:paraId="7033F53D">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营业收入（Y）</w:t>
            </w:r>
          </w:p>
        </w:tc>
        <w:tc>
          <w:tcPr>
            <w:tcW w:w="1275" w:type="dxa"/>
            <w:tcBorders>
              <w:top w:val="nil"/>
              <w:left w:val="nil"/>
              <w:bottom w:val="single" w:color="auto" w:sz="4" w:space="0"/>
              <w:right w:val="single" w:color="auto" w:sz="4" w:space="0"/>
            </w:tcBorders>
            <w:vAlign w:val="center"/>
          </w:tcPr>
          <w:p w14:paraId="17D085D9">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万元</w:t>
            </w:r>
          </w:p>
        </w:tc>
        <w:tc>
          <w:tcPr>
            <w:tcW w:w="1701" w:type="dxa"/>
            <w:tcBorders>
              <w:top w:val="nil"/>
              <w:left w:val="nil"/>
              <w:bottom w:val="single" w:color="auto" w:sz="4" w:space="0"/>
              <w:right w:val="single" w:color="auto" w:sz="4" w:space="0"/>
            </w:tcBorders>
            <w:vAlign w:val="center"/>
          </w:tcPr>
          <w:p w14:paraId="7822FAE5">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1000≤Y＜200000</w:t>
            </w:r>
          </w:p>
        </w:tc>
        <w:tc>
          <w:tcPr>
            <w:tcW w:w="1560" w:type="dxa"/>
            <w:tcBorders>
              <w:top w:val="nil"/>
              <w:left w:val="nil"/>
              <w:bottom w:val="single" w:color="auto" w:sz="4" w:space="0"/>
              <w:right w:val="single" w:color="auto" w:sz="4" w:space="0"/>
            </w:tcBorders>
            <w:vAlign w:val="center"/>
          </w:tcPr>
          <w:p w14:paraId="2417F975">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100≤X＜1000</w:t>
            </w:r>
          </w:p>
        </w:tc>
        <w:tc>
          <w:tcPr>
            <w:tcW w:w="992" w:type="dxa"/>
            <w:tcBorders>
              <w:top w:val="nil"/>
              <w:left w:val="nil"/>
              <w:bottom w:val="single" w:color="auto" w:sz="4" w:space="0"/>
              <w:right w:val="single" w:color="auto" w:sz="4" w:space="0"/>
            </w:tcBorders>
            <w:vAlign w:val="center"/>
          </w:tcPr>
          <w:p w14:paraId="70A40A87">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X＜100</w:t>
            </w:r>
          </w:p>
        </w:tc>
      </w:tr>
      <w:tr w14:paraId="2FB50E23">
        <w:tblPrEx>
          <w:tblCellMar>
            <w:top w:w="0" w:type="dxa"/>
            <w:left w:w="108" w:type="dxa"/>
            <w:bottom w:w="0" w:type="dxa"/>
            <w:right w:w="108" w:type="dxa"/>
          </w:tblCellMar>
        </w:tblPrEx>
        <w:trPr>
          <w:trHeight w:val="225" w:hRule="atLeast"/>
        </w:trPr>
        <w:tc>
          <w:tcPr>
            <w:tcW w:w="2161" w:type="dxa"/>
            <w:vMerge w:val="continue"/>
            <w:tcBorders>
              <w:top w:val="nil"/>
              <w:left w:val="single" w:color="auto" w:sz="4" w:space="0"/>
              <w:bottom w:val="single" w:color="auto" w:sz="4" w:space="0"/>
              <w:right w:val="single" w:color="auto" w:sz="4" w:space="0"/>
            </w:tcBorders>
            <w:vAlign w:val="center"/>
          </w:tcPr>
          <w:p w14:paraId="5E7A0D22">
            <w:pPr>
              <w:widowControl/>
              <w:spacing w:line="336" w:lineRule="auto"/>
              <w:jc w:val="center"/>
              <w:rPr>
                <w:rFonts w:hint="eastAsia" w:ascii="宋体" w:hAnsi="宋体" w:cs="宋体"/>
                <w:b/>
                <w:bCs/>
                <w:color w:val="auto"/>
                <w:kern w:val="0"/>
                <w:sz w:val="18"/>
                <w:szCs w:val="18"/>
                <w:highlight w:val="none"/>
              </w:rPr>
            </w:pPr>
          </w:p>
        </w:tc>
        <w:tc>
          <w:tcPr>
            <w:tcW w:w="1418" w:type="dxa"/>
            <w:tcBorders>
              <w:top w:val="nil"/>
              <w:left w:val="nil"/>
              <w:bottom w:val="single" w:color="auto" w:sz="4" w:space="0"/>
              <w:right w:val="single" w:color="auto" w:sz="4" w:space="0"/>
            </w:tcBorders>
            <w:vAlign w:val="center"/>
          </w:tcPr>
          <w:p w14:paraId="48CC65CC">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资产总额（Z）</w:t>
            </w:r>
          </w:p>
        </w:tc>
        <w:tc>
          <w:tcPr>
            <w:tcW w:w="1275" w:type="dxa"/>
            <w:tcBorders>
              <w:top w:val="nil"/>
              <w:left w:val="nil"/>
              <w:bottom w:val="single" w:color="auto" w:sz="4" w:space="0"/>
              <w:right w:val="single" w:color="auto" w:sz="4" w:space="0"/>
            </w:tcBorders>
            <w:vAlign w:val="center"/>
          </w:tcPr>
          <w:p w14:paraId="29EFF8A1">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万元</w:t>
            </w:r>
          </w:p>
        </w:tc>
        <w:tc>
          <w:tcPr>
            <w:tcW w:w="1701" w:type="dxa"/>
            <w:tcBorders>
              <w:top w:val="nil"/>
              <w:left w:val="nil"/>
              <w:bottom w:val="single" w:color="auto" w:sz="4" w:space="0"/>
              <w:right w:val="single" w:color="auto" w:sz="4" w:space="0"/>
            </w:tcBorders>
            <w:vAlign w:val="center"/>
          </w:tcPr>
          <w:p w14:paraId="0644F115">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5000≤Z＜10000</w:t>
            </w:r>
          </w:p>
        </w:tc>
        <w:tc>
          <w:tcPr>
            <w:tcW w:w="1560" w:type="dxa"/>
            <w:tcBorders>
              <w:top w:val="nil"/>
              <w:left w:val="nil"/>
              <w:bottom w:val="single" w:color="auto" w:sz="4" w:space="0"/>
              <w:right w:val="single" w:color="auto" w:sz="4" w:space="0"/>
            </w:tcBorders>
            <w:vAlign w:val="center"/>
          </w:tcPr>
          <w:p w14:paraId="5F2DFEEC">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2000≤Y＜5000</w:t>
            </w:r>
          </w:p>
        </w:tc>
        <w:tc>
          <w:tcPr>
            <w:tcW w:w="992" w:type="dxa"/>
            <w:tcBorders>
              <w:top w:val="nil"/>
              <w:left w:val="nil"/>
              <w:bottom w:val="single" w:color="auto" w:sz="4" w:space="0"/>
              <w:right w:val="single" w:color="auto" w:sz="4" w:space="0"/>
            </w:tcBorders>
            <w:vAlign w:val="center"/>
          </w:tcPr>
          <w:p w14:paraId="704991D6">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Y＜2000</w:t>
            </w:r>
          </w:p>
        </w:tc>
      </w:tr>
      <w:tr w14:paraId="096AD899">
        <w:tblPrEx>
          <w:tblCellMar>
            <w:top w:w="0" w:type="dxa"/>
            <w:left w:w="108" w:type="dxa"/>
            <w:bottom w:w="0" w:type="dxa"/>
            <w:right w:w="108" w:type="dxa"/>
          </w:tblCellMar>
        </w:tblPrEx>
        <w:trPr>
          <w:trHeight w:val="225" w:hRule="atLeast"/>
        </w:trPr>
        <w:tc>
          <w:tcPr>
            <w:tcW w:w="2161" w:type="dxa"/>
            <w:vMerge w:val="restart"/>
            <w:tcBorders>
              <w:top w:val="nil"/>
              <w:left w:val="single" w:color="auto" w:sz="4" w:space="0"/>
              <w:bottom w:val="single" w:color="auto" w:sz="4" w:space="0"/>
              <w:right w:val="single" w:color="auto" w:sz="4" w:space="0"/>
            </w:tcBorders>
            <w:vAlign w:val="center"/>
          </w:tcPr>
          <w:p w14:paraId="444F771A">
            <w:pPr>
              <w:widowControl/>
              <w:spacing w:line="336" w:lineRule="auto"/>
              <w:jc w:val="center"/>
              <w:rPr>
                <w:rFonts w:hint="eastAsia" w:ascii="宋体" w:hAnsi="宋体" w:cs="宋体"/>
                <w:b/>
                <w:bCs/>
                <w:color w:val="auto"/>
                <w:kern w:val="0"/>
                <w:sz w:val="18"/>
                <w:szCs w:val="18"/>
                <w:highlight w:val="none"/>
              </w:rPr>
            </w:pPr>
            <w:r>
              <w:rPr>
                <w:rFonts w:hint="eastAsia" w:ascii="宋体" w:hAnsi="宋体" w:cs="宋体"/>
                <w:b/>
                <w:bCs/>
                <w:color w:val="auto"/>
                <w:kern w:val="0"/>
                <w:sz w:val="18"/>
                <w:szCs w:val="18"/>
                <w:highlight w:val="none"/>
              </w:rPr>
              <w:t>物业管理</w:t>
            </w:r>
          </w:p>
        </w:tc>
        <w:tc>
          <w:tcPr>
            <w:tcW w:w="1418" w:type="dxa"/>
            <w:tcBorders>
              <w:top w:val="nil"/>
              <w:left w:val="nil"/>
              <w:bottom w:val="single" w:color="auto" w:sz="4" w:space="0"/>
              <w:right w:val="single" w:color="auto" w:sz="4" w:space="0"/>
            </w:tcBorders>
            <w:vAlign w:val="center"/>
          </w:tcPr>
          <w:p w14:paraId="3479F846">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从业人员（X）</w:t>
            </w:r>
          </w:p>
        </w:tc>
        <w:tc>
          <w:tcPr>
            <w:tcW w:w="1275" w:type="dxa"/>
            <w:tcBorders>
              <w:top w:val="nil"/>
              <w:left w:val="nil"/>
              <w:bottom w:val="single" w:color="auto" w:sz="4" w:space="0"/>
              <w:right w:val="single" w:color="auto" w:sz="4" w:space="0"/>
            </w:tcBorders>
            <w:vAlign w:val="center"/>
          </w:tcPr>
          <w:p w14:paraId="163800F6">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人</w:t>
            </w:r>
          </w:p>
        </w:tc>
        <w:tc>
          <w:tcPr>
            <w:tcW w:w="1701" w:type="dxa"/>
            <w:tcBorders>
              <w:top w:val="nil"/>
              <w:left w:val="nil"/>
              <w:bottom w:val="single" w:color="auto" w:sz="4" w:space="0"/>
              <w:right w:val="single" w:color="auto" w:sz="4" w:space="0"/>
            </w:tcBorders>
            <w:vAlign w:val="center"/>
          </w:tcPr>
          <w:p w14:paraId="028ACB45">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300≤X＜1000</w:t>
            </w:r>
          </w:p>
        </w:tc>
        <w:tc>
          <w:tcPr>
            <w:tcW w:w="1560" w:type="dxa"/>
            <w:tcBorders>
              <w:top w:val="nil"/>
              <w:left w:val="nil"/>
              <w:bottom w:val="single" w:color="auto" w:sz="4" w:space="0"/>
              <w:right w:val="single" w:color="auto" w:sz="4" w:space="0"/>
            </w:tcBorders>
            <w:vAlign w:val="center"/>
          </w:tcPr>
          <w:p w14:paraId="24D77024">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100≤X＜300</w:t>
            </w:r>
          </w:p>
        </w:tc>
        <w:tc>
          <w:tcPr>
            <w:tcW w:w="992" w:type="dxa"/>
            <w:tcBorders>
              <w:top w:val="nil"/>
              <w:left w:val="nil"/>
              <w:bottom w:val="single" w:color="auto" w:sz="4" w:space="0"/>
              <w:right w:val="single" w:color="auto" w:sz="4" w:space="0"/>
            </w:tcBorders>
            <w:vAlign w:val="center"/>
          </w:tcPr>
          <w:p w14:paraId="659ADF7E">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X＜100</w:t>
            </w:r>
          </w:p>
        </w:tc>
      </w:tr>
      <w:tr w14:paraId="1DB68BF2">
        <w:tblPrEx>
          <w:tblCellMar>
            <w:top w:w="0" w:type="dxa"/>
            <w:left w:w="108" w:type="dxa"/>
            <w:bottom w:w="0" w:type="dxa"/>
            <w:right w:w="108" w:type="dxa"/>
          </w:tblCellMar>
        </w:tblPrEx>
        <w:trPr>
          <w:trHeight w:val="225" w:hRule="atLeast"/>
        </w:trPr>
        <w:tc>
          <w:tcPr>
            <w:tcW w:w="2161" w:type="dxa"/>
            <w:vMerge w:val="continue"/>
            <w:tcBorders>
              <w:top w:val="nil"/>
              <w:left w:val="single" w:color="auto" w:sz="4" w:space="0"/>
              <w:bottom w:val="single" w:color="auto" w:sz="4" w:space="0"/>
              <w:right w:val="single" w:color="auto" w:sz="4" w:space="0"/>
            </w:tcBorders>
            <w:vAlign w:val="center"/>
          </w:tcPr>
          <w:p w14:paraId="6AD784DE">
            <w:pPr>
              <w:widowControl/>
              <w:spacing w:line="336" w:lineRule="auto"/>
              <w:jc w:val="center"/>
              <w:rPr>
                <w:rFonts w:hint="eastAsia" w:ascii="宋体" w:hAnsi="宋体" w:cs="宋体"/>
                <w:b/>
                <w:bCs/>
                <w:color w:val="auto"/>
                <w:kern w:val="0"/>
                <w:sz w:val="18"/>
                <w:szCs w:val="18"/>
                <w:highlight w:val="none"/>
              </w:rPr>
            </w:pPr>
          </w:p>
        </w:tc>
        <w:tc>
          <w:tcPr>
            <w:tcW w:w="1418" w:type="dxa"/>
            <w:tcBorders>
              <w:top w:val="nil"/>
              <w:left w:val="nil"/>
              <w:bottom w:val="single" w:color="auto" w:sz="4" w:space="0"/>
              <w:right w:val="single" w:color="auto" w:sz="4" w:space="0"/>
            </w:tcBorders>
            <w:vAlign w:val="center"/>
          </w:tcPr>
          <w:p w14:paraId="7A38E1E4">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营业收入（Y）</w:t>
            </w:r>
          </w:p>
        </w:tc>
        <w:tc>
          <w:tcPr>
            <w:tcW w:w="1275" w:type="dxa"/>
            <w:tcBorders>
              <w:top w:val="nil"/>
              <w:left w:val="nil"/>
              <w:bottom w:val="single" w:color="auto" w:sz="4" w:space="0"/>
              <w:right w:val="single" w:color="auto" w:sz="4" w:space="0"/>
            </w:tcBorders>
            <w:vAlign w:val="center"/>
          </w:tcPr>
          <w:p w14:paraId="718A5DCB">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万元</w:t>
            </w:r>
          </w:p>
        </w:tc>
        <w:tc>
          <w:tcPr>
            <w:tcW w:w="1701" w:type="dxa"/>
            <w:tcBorders>
              <w:top w:val="nil"/>
              <w:left w:val="nil"/>
              <w:bottom w:val="single" w:color="auto" w:sz="4" w:space="0"/>
              <w:right w:val="single" w:color="auto" w:sz="4" w:space="0"/>
            </w:tcBorders>
            <w:vAlign w:val="center"/>
          </w:tcPr>
          <w:p w14:paraId="7A3DAA86">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1000≤Y＜5000</w:t>
            </w:r>
          </w:p>
        </w:tc>
        <w:tc>
          <w:tcPr>
            <w:tcW w:w="1560" w:type="dxa"/>
            <w:tcBorders>
              <w:top w:val="nil"/>
              <w:left w:val="nil"/>
              <w:bottom w:val="single" w:color="auto" w:sz="4" w:space="0"/>
              <w:right w:val="single" w:color="auto" w:sz="4" w:space="0"/>
            </w:tcBorders>
            <w:vAlign w:val="center"/>
          </w:tcPr>
          <w:p w14:paraId="27B02450">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500≤Y＜1000</w:t>
            </w:r>
          </w:p>
        </w:tc>
        <w:tc>
          <w:tcPr>
            <w:tcW w:w="992" w:type="dxa"/>
            <w:tcBorders>
              <w:top w:val="nil"/>
              <w:left w:val="nil"/>
              <w:bottom w:val="single" w:color="auto" w:sz="4" w:space="0"/>
              <w:right w:val="single" w:color="auto" w:sz="4" w:space="0"/>
            </w:tcBorders>
            <w:vAlign w:val="center"/>
          </w:tcPr>
          <w:p w14:paraId="5EADD788">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Y＜500</w:t>
            </w:r>
          </w:p>
        </w:tc>
      </w:tr>
      <w:tr w14:paraId="2FAF06EA">
        <w:tblPrEx>
          <w:tblCellMar>
            <w:top w:w="0" w:type="dxa"/>
            <w:left w:w="108" w:type="dxa"/>
            <w:bottom w:w="0" w:type="dxa"/>
            <w:right w:w="108" w:type="dxa"/>
          </w:tblCellMar>
        </w:tblPrEx>
        <w:trPr>
          <w:trHeight w:val="225" w:hRule="atLeast"/>
        </w:trPr>
        <w:tc>
          <w:tcPr>
            <w:tcW w:w="2161" w:type="dxa"/>
            <w:vMerge w:val="restart"/>
            <w:tcBorders>
              <w:top w:val="nil"/>
              <w:left w:val="single" w:color="auto" w:sz="4" w:space="0"/>
              <w:bottom w:val="single" w:color="auto" w:sz="4" w:space="0"/>
              <w:right w:val="single" w:color="auto" w:sz="4" w:space="0"/>
            </w:tcBorders>
            <w:vAlign w:val="center"/>
          </w:tcPr>
          <w:p w14:paraId="1CEFB547">
            <w:pPr>
              <w:widowControl/>
              <w:spacing w:line="336" w:lineRule="auto"/>
              <w:jc w:val="center"/>
              <w:rPr>
                <w:rFonts w:hint="eastAsia" w:ascii="宋体" w:hAnsi="宋体" w:cs="宋体"/>
                <w:b/>
                <w:bCs/>
                <w:color w:val="auto"/>
                <w:kern w:val="0"/>
                <w:sz w:val="18"/>
                <w:szCs w:val="18"/>
                <w:highlight w:val="none"/>
              </w:rPr>
            </w:pPr>
            <w:r>
              <w:rPr>
                <w:rFonts w:hint="eastAsia" w:ascii="宋体" w:hAnsi="宋体" w:cs="宋体"/>
                <w:b/>
                <w:bCs/>
                <w:color w:val="auto"/>
                <w:kern w:val="0"/>
                <w:sz w:val="18"/>
                <w:szCs w:val="18"/>
                <w:highlight w:val="none"/>
              </w:rPr>
              <w:t>租赁和商务服务业</w:t>
            </w:r>
          </w:p>
        </w:tc>
        <w:tc>
          <w:tcPr>
            <w:tcW w:w="1418" w:type="dxa"/>
            <w:tcBorders>
              <w:top w:val="nil"/>
              <w:left w:val="nil"/>
              <w:bottom w:val="single" w:color="auto" w:sz="4" w:space="0"/>
              <w:right w:val="single" w:color="auto" w:sz="4" w:space="0"/>
            </w:tcBorders>
            <w:vAlign w:val="center"/>
          </w:tcPr>
          <w:p w14:paraId="0184F550">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从业人员（X）</w:t>
            </w:r>
          </w:p>
        </w:tc>
        <w:tc>
          <w:tcPr>
            <w:tcW w:w="1275" w:type="dxa"/>
            <w:tcBorders>
              <w:top w:val="nil"/>
              <w:left w:val="nil"/>
              <w:bottom w:val="single" w:color="auto" w:sz="4" w:space="0"/>
              <w:right w:val="single" w:color="auto" w:sz="4" w:space="0"/>
            </w:tcBorders>
            <w:vAlign w:val="center"/>
          </w:tcPr>
          <w:p w14:paraId="61F2F5EC">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人</w:t>
            </w:r>
          </w:p>
        </w:tc>
        <w:tc>
          <w:tcPr>
            <w:tcW w:w="1701" w:type="dxa"/>
            <w:tcBorders>
              <w:top w:val="nil"/>
              <w:left w:val="nil"/>
              <w:bottom w:val="single" w:color="auto" w:sz="4" w:space="0"/>
              <w:right w:val="single" w:color="auto" w:sz="4" w:space="0"/>
            </w:tcBorders>
            <w:vAlign w:val="center"/>
          </w:tcPr>
          <w:p w14:paraId="7CB3D24E">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100≤X＜300</w:t>
            </w:r>
          </w:p>
        </w:tc>
        <w:tc>
          <w:tcPr>
            <w:tcW w:w="1560" w:type="dxa"/>
            <w:tcBorders>
              <w:top w:val="nil"/>
              <w:left w:val="nil"/>
              <w:bottom w:val="single" w:color="auto" w:sz="4" w:space="0"/>
              <w:right w:val="single" w:color="auto" w:sz="4" w:space="0"/>
            </w:tcBorders>
            <w:vAlign w:val="center"/>
          </w:tcPr>
          <w:p w14:paraId="0440D893">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10≤X＜100</w:t>
            </w:r>
          </w:p>
        </w:tc>
        <w:tc>
          <w:tcPr>
            <w:tcW w:w="992" w:type="dxa"/>
            <w:tcBorders>
              <w:top w:val="nil"/>
              <w:left w:val="nil"/>
              <w:bottom w:val="single" w:color="auto" w:sz="4" w:space="0"/>
              <w:right w:val="single" w:color="auto" w:sz="4" w:space="0"/>
            </w:tcBorders>
            <w:vAlign w:val="center"/>
          </w:tcPr>
          <w:p w14:paraId="379145D8">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X＜10</w:t>
            </w:r>
          </w:p>
        </w:tc>
      </w:tr>
      <w:tr w14:paraId="1FF2B662">
        <w:tblPrEx>
          <w:tblCellMar>
            <w:top w:w="0" w:type="dxa"/>
            <w:left w:w="108" w:type="dxa"/>
            <w:bottom w:w="0" w:type="dxa"/>
            <w:right w:w="108" w:type="dxa"/>
          </w:tblCellMar>
        </w:tblPrEx>
        <w:trPr>
          <w:trHeight w:val="225" w:hRule="atLeast"/>
        </w:trPr>
        <w:tc>
          <w:tcPr>
            <w:tcW w:w="2161" w:type="dxa"/>
            <w:vMerge w:val="continue"/>
            <w:tcBorders>
              <w:top w:val="nil"/>
              <w:left w:val="single" w:color="auto" w:sz="4" w:space="0"/>
              <w:bottom w:val="single" w:color="auto" w:sz="4" w:space="0"/>
              <w:right w:val="single" w:color="auto" w:sz="4" w:space="0"/>
            </w:tcBorders>
            <w:vAlign w:val="center"/>
          </w:tcPr>
          <w:p w14:paraId="55D986EE">
            <w:pPr>
              <w:widowControl/>
              <w:spacing w:line="336" w:lineRule="auto"/>
              <w:jc w:val="center"/>
              <w:rPr>
                <w:rFonts w:hint="eastAsia" w:ascii="宋体" w:hAnsi="宋体" w:cs="宋体"/>
                <w:b/>
                <w:bCs/>
                <w:color w:val="auto"/>
                <w:kern w:val="0"/>
                <w:sz w:val="18"/>
                <w:szCs w:val="18"/>
                <w:highlight w:val="none"/>
              </w:rPr>
            </w:pPr>
          </w:p>
        </w:tc>
        <w:tc>
          <w:tcPr>
            <w:tcW w:w="1418" w:type="dxa"/>
            <w:tcBorders>
              <w:top w:val="nil"/>
              <w:left w:val="nil"/>
              <w:bottom w:val="single" w:color="auto" w:sz="4" w:space="0"/>
              <w:right w:val="single" w:color="auto" w:sz="4" w:space="0"/>
            </w:tcBorders>
            <w:vAlign w:val="center"/>
          </w:tcPr>
          <w:p w14:paraId="66E9A997">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资产总额（Z）</w:t>
            </w:r>
          </w:p>
        </w:tc>
        <w:tc>
          <w:tcPr>
            <w:tcW w:w="1275" w:type="dxa"/>
            <w:tcBorders>
              <w:top w:val="nil"/>
              <w:left w:val="nil"/>
              <w:bottom w:val="single" w:color="auto" w:sz="4" w:space="0"/>
              <w:right w:val="single" w:color="auto" w:sz="4" w:space="0"/>
            </w:tcBorders>
            <w:vAlign w:val="center"/>
          </w:tcPr>
          <w:p w14:paraId="706F46A7">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万元</w:t>
            </w:r>
          </w:p>
        </w:tc>
        <w:tc>
          <w:tcPr>
            <w:tcW w:w="1701" w:type="dxa"/>
            <w:tcBorders>
              <w:top w:val="nil"/>
              <w:left w:val="nil"/>
              <w:bottom w:val="single" w:color="auto" w:sz="4" w:space="0"/>
              <w:right w:val="single" w:color="auto" w:sz="4" w:space="0"/>
            </w:tcBorders>
            <w:vAlign w:val="center"/>
          </w:tcPr>
          <w:p w14:paraId="7659CC78">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8000≤Z＜120000</w:t>
            </w:r>
          </w:p>
        </w:tc>
        <w:tc>
          <w:tcPr>
            <w:tcW w:w="1560" w:type="dxa"/>
            <w:tcBorders>
              <w:top w:val="nil"/>
              <w:left w:val="nil"/>
              <w:bottom w:val="single" w:color="auto" w:sz="4" w:space="0"/>
              <w:right w:val="single" w:color="auto" w:sz="4" w:space="0"/>
            </w:tcBorders>
            <w:vAlign w:val="center"/>
          </w:tcPr>
          <w:p w14:paraId="48BCF96D">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100≤Z＜8000</w:t>
            </w:r>
          </w:p>
        </w:tc>
        <w:tc>
          <w:tcPr>
            <w:tcW w:w="992" w:type="dxa"/>
            <w:tcBorders>
              <w:top w:val="nil"/>
              <w:left w:val="nil"/>
              <w:bottom w:val="single" w:color="auto" w:sz="4" w:space="0"/>
              <w:right w:val="single" w:color="auto" w:sz="4" w:space="0"/>
            </w:tcBorders>
            <w:vAlign w:val="center"/>
          </w:tcPr>
          <w:p w14:paraId="70E233D1">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Y＜100</w:t>
            </w:r>
          </w:p>
        </w:tc>
      </w:tr>
      <w:tr w14:paraId="015B189E">
        <w:tblPrEx>
          <w:tblCellMar>
            <w:top w:w="0" w:type="dxa"/>
            <w:left w:w="108" w:type="dxa"/>
            <w:bottom w:w="0" w:type="dxa"/>
            <w:right w:w="108" w:type="dxa"/>
          </w:tblCellMar>
        </w:tblPrEx>
        <w:trPr>
          <w:trHeight w:val="399" w:hRule="atLeast"/>
        </w:trPr>
        <w:tc>
          <w:tcPr>
            <w:tcW w:w="2161" w:type="dxa"/>
            <w:tcBorders>
              <w:top w:val="nil"/>
              <w:left w:val="single" w:color="auto" w:sz="4" w:space="0"/>
              <w:bottom w:val="single" w:color="auto" w:sz="4" w:space="0"/>
              <w:right w:val="single" w:color="auto" w:sz="4" w:space="0"/>
            </w:tcBorders>
            <w:vAlign w:val="center"/>
          </w:tcPr>
          <w:p w14:paraId="0EC343E2">
            <w:pPr>
              <w:widowControl/>
              <w:spacing w:line="336" w:lineRule="auto"/>
              <w:jc w:val="center"/>
              <w:rPr>
                <w:rFonts w:hint="eastAsia" w:ascii="宋体" w:hAnsi="宋体" w:cs="宋体"/>
                <w:b/>
                <w:bCs/>
                <w:color w:val="auto"/>
                <w:kern w:val="0"/>
                <w:sz w:val="18"/>
                <w:szCs w:val="18"/>
                <w:highlight w:val="none"/>
              </w:rPr>
            </w:pPr>
            <w:r>
              <w:rPr>
                <w:rFonts w:hint="eastAsia" w:ascii="宋体" w:hAnsi="宋体" w:cs="宋体"/>
                <w:b/>
                <w:bCs/>
                <w:color w:val="auto"/>
                <w:kern w:val="0"/>
                <w:sz w:val="18"/>
                <w:szCs w:val="18"/>
                <w:highlight w:val="none"/>
              </w:rPr>
              <w:t>其他未列明行业</w:t>
            </w:r>
          </w:p>
        </w:tc>
        <w:tc>
          <w:tcPr>
            <w:tcW w:w="1418" w:type="dxa"/>
            <w:tcBorders>
              <w:top w:val="nil"/>
              <w:left w:val="nil"/>
              <w:bottom w:val="single" w:color="auto" w:sz="4" w:space="0"/>
              <w:right w:val="single" w:color="auto" w:sz="4" w:space="0"/>
            </w:tcBorders>
            <w:vAlign w:val="center"/>
          </w:tcPr>
          <w:p w14:paraId="391BF888">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从业人员（X）</w:t>
            </w:r>
          </w:p>
        </w:tc>
        <w:tc>
          <w:tcPr>
            <w:tcW w:w="1275" w:type="dxa"/>
            <w:tcBorders>
              <w:top w:val="nil"/>
              <w:left w:val="nil"/>
              <w:bottom w:val="single" w:color="auto" w:sz="4" w:space="0"/>
              <w:right w:val="single" w:color="auto" w:sz="4" w:space="0"/>
            </w:tcBorders>
            <w:vAlign w:val="center"/>
          </w:tcPr>
          <w:p w14:paraId="3D0833F8">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人</w:t>
            </w:r>
          </w:p>
        </w:tc>
        <w:tc>
          <w:tcPr>
            <w:tcW w:w="1701" w:type="dxa"/>
            <w:tcBorders>
              <w:top w:val="nil"/>
              <w:left w:val="nil"/>
              <w:bottom w:val="single" w:color="auto" w:sz="4" w:space="0"/>
              <w:right w:val="single" w:color="auto" w:sz="4" w:space="0"/>
            </w:tcBorders>
            <w:vAlign w:val="center"/>
          </w:tcPr>
          <w:p w14:paraId="18BD3DCC">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100≤X＜300</w:t>
            </w:r>
          </w:p>
        </w:tc>
        <w:tc>
          <w:tcPr>
            <w:tcW w:w="1560" w:type="dxa"/>
            <w:tcBorders>
              <w:top w:val="nil"/>
              <w:left w:val="nil"/>
              <w:bottom w:val="single" w:color="auto" w:sz="4" w:space="0"/>
              <w:right w:val="single" w:color="auto" w:sz="4" w:space="0"/>
            </w:tcBorders>
            <w:vAlign w:val="center"/>
          </w:tcPr>
          <w:p w14:paraId="058D202B">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10≤X＜100</w:t>
            </w:r>
          </w:p>
        </w:tc>
        <w:tc>
          <w:tcPr>
            <w:tcW w:w="992" w:type="dxa"/>
            <w:tcBorders>
              <w:top w:val="nil"/>
              <w:left w:val="nil"/>
              <w:bottom w:val="single" w:color="auto" w:sz="4" w:space="0"/>
              <w:right w:val="single" w:color="auto" w:sz="4" w:space="0"/>
            </w:tcBorders>
            <w:vAlign w:val="center"/>
          </w:tcPr>
          <w:p w14:paraId="79F72D4D">
            <w:pPr>
              <w:widowControl/>
              <w:spacing w:line="336"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X＜10</w:t>
            </w:r>
          </w:p>
        </w:tc>
      </w:tr>
    </w:tbl>
    <w:p w14:paraId="6D58AB60">
      <w:pPr>
        <w:pStyle w:val="161"/>
        <w:jc w:val="left"/>
        <w:rPr>
          <w:rFonts w:hint="eastAsia" w:ascii="宋体" w:hAnsi="宋体" w:cs="宋体"/>
          <w:color w:val="auto"/>
          <w:highlight w:val="none"/>
        </w:rPr>
      </w:pPr>
      <w:r>
        <w:rPr>
          <w:rFonts w:hint="eastAsia" w:ascii="宋体" w:hAnsi="宋体" w:cs="宋体"/>
          <w:bCs w:val="0"/>
          <w:color w:val="auto"/>
          <w:spacing w:val="0"/>
          <w:kern w:val="2"/>
          <w:sz w:val="21"/>
          <w:szCs w:val="21"/>
          <w:highlight w:val="none"/>
        </w:rPr>
        <w:t>说明：上述标准参照《关于印发中小企业划型标准规定的通知》（工信部联企业〔2011〕300号），大型、中型和小型企业须同时满足所列指标的下限，否则下划一档；微型企业只需满足所列指标中的一项即可。</w:t>
      </w:r>
    </w:p>
    <w:p w14:paraId="5C8CD9DD">
      <w:pPr>
        <w:pStyle w:val="161"/>
        <w:rPr>
          <w:rFonts w:hint="eastAsia" w:ascii="宋体" w:hAnsi="宋体" w:cs="宋体"/>
          <w:color w:val="auto"/>
          <w:highlight w:val="none"/>
        </w:rPr>
      </w:pPr>
    </w:p>
    <w:p w14:paraId="6E89C618">
      <w:pPr>
        <w:widowControl/>
        <w:jc w:val="left"/>
        <w:rPr>
          <w:rFonts w:hint="eastAsia" w:ascii="宋体" w:hAnsi="宋体" w:cs="宋体"/>
          <w:bCs/>
          <w:color w:val="auto"/>
          <w:spacing w:val="10"/>
          <w:kern w:val="0"/>
          <w:sz w:val="24"/>
          <w:szCs w:val="20"/>
          <w:highlight w:val="none"/>
        </w:rPr>
      </w:pPr>
      <w:r>
        <w:rPr>
          <w:rFonts w:hint="eastAsia" w:ascii="宋体" w:hAnsi="宋体" w:cs="宋体"/>
          <w:color w:val="auto"/>
          <w:highlight w:val="none"/>
        </w:rPr>
        <w:br w:type="page"/>
      </w:r>
    </w:p>
    <w:p w14:paraId="7438C500">
      <w:pPr>
        <w:jc w:val="left"/>
        <w:rPr>
          <w:rFonts w:hint="eastAsia" w:ascii="宋体" w:hAnsi="宋体" w:cs="宋体"/>
          <w:b/>
          <w:bCs/>
          <w:color w:val="auto"/>
          <w:kern w:val="0"/>
          <w:sz w:val="32"/>
          <w:szCs w:val="32"/>
          <w:highlight w:val="none"/>
        </w:rPr>
      </w:pPr>
      <w:r>
        <w:rPr>
          <w:rFonts w:hint="eastAsia" w:ascii="宋体" w:hAnsi="宋体" w:cs="宋体"/>
          <w:b/>
          <w:bCs/>
          <w:color w:val="auto"/>
          <w:kern w:val="0"/>
          <w:sz w:val="32"/>
          <w:szCs w:val="32"/>
          <w:highlight w:val="none"/>
        </w:rPr>
        <w:t>附件3：</w:t>
      </w:r>
    </w:p>
    <w:p w14:paraId="678F93BC">
      <w:pPr>
        <w:widowControl/>
        <w:spacing w:line="480" w:lineRule="atLeast"/>
        <w:jc w:val="center"/>
        <w:rPr>
          <w:rFonts w:hint="eastAsia" w:ascii="宋体" w:hAnsi="宋体" w:cs="宋体"/>
          <w:color w:val="auto"/>
          <w:kern w:val="0"/>
          <w:sz w:val="32"/>
          <w:szCs w:val="32"/>
          <w:highlight w:val="none"/>
        </w:rPr>
      </w:pPr>
      <w:r>
        <w:rPr>
          <w:rFonts w:hint="eastAsia" w:ascii="宋体" w:hAnsi="宋体" w:cs="宋体"/>
          <w:b/>
          <w:bCs/>
          <w:color w:val="auto"/>
          <w:kern w:val="0"/>
          <w:sz w:val="32"/>
          <w:szCs w:val="32"/>
          <w:highlight w:val="none"/>
        </w:rPr>
        <w:t>采购项目合同验收书（格式）</w:t>
      </w:r>
    </w:p>
    <w:p w14:paraId="6F5F4699">
      <w:pPr>
        <w:rPr>
          <w:rFonts w:hint="eastAsia" w:ascii="宋体" w:hAnsi="宋体" w:cs="宋体"/>
          <w:color w:val="auto"/>
          <w:highlight w:val="none"/>
        </w:rPr>
      </w:pPr>
    </w:p>
    <w:p w14:paraId="6FAFC164">
      <w:pPr>
        <w:widowControl/>
        <w:snapToGrid w:val="0"/>
        <w:spacing w:line="320" w:lineRule="atLeast"/>
        <w:ind w:firstLine="48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根据政府采购项目（</w:t>
      </w:r>
      <w:r>
        <w:rPr>
          <w:rFonts w:hint="eastAsia" w:ascii="宋体" w:hAnsi="宋体" w:cs="宋体"/>
          <w:color w:val="auto"/>
          <w:kern w:val="0"/>
          <w:szCs w:val="21"/>
          <w:highlight w:val="none"/>
          <w:u w:val="single"/>
        </w:rPr>
        <w:t>采购合同编号：</w:t>
      </w:r>
      <w:r>
        <w:rPr>
          <w:rFonts w:hint="eastAsia" w:ascii="宋体" w:hAnsi="宋体" w:cs="宋体"/>
          <w:color w:val="auto"/>
          <w:kern w:val="0"/>
          <w:szCs w:val="21"/>
          <w:highlight w:val="none"/>
          <w:u w:val="single"/>
        </w:rPr>
        <w:softHyphen/>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）的约定，我单位对（</w:t>
      </w:r>
      <w:r>
        <w:rPr>
          <w:rFonts w:hint="eastAsia" w:ascii="宋体" w:hAnsi="宋体" w:cs="宋体"/>
          <w:color w:val="auto"/>
          <w:kern w:val="0"/>
          <w:szCs w:val="21"/>
          <w:highlight w:val="none"/>
          <w:u w:val="single"/>
        </w:rPr>
        <w:t xml:space="preserve"> 项目名称 </w:t>
      </w:r>
      <w:r>
        <w:rPr>
          <w:rFonts w:hint="eastAsia" w:ascii="宋体" w:hAnsi="宋体" w:cs="宋体"/>
          <w:color w:val="auto"/>
          <w:kern w:val="0"/>
          <w:szCs w:val="21"/>
          <w:highlight w:val="none"/>
        </w:rPr>
        <w:t>） 政府采购项目成交供应商（</w:t>
      </w:r>
      <w:r>
        <w:rPr>
          <w:rFonts w:hint="eastAsia" w:ascii="宋体" w:hAnsi="宋体" w:cs="宋体"/>
          <w:color w:val="auto"/>
          <w:kern w:val="0"/>
          <w:szCs w:val="21"/>
          <w:highlight w:val="none"/>
          <w:u w:val="single"/>
        </w:rPr>
        <w:t xml:space="preserve"> 公司名称 </w:t>
      </w:r>
      <w:r>
        <w:rPr>
          <w:rFonts w:hint="eastAsia" w:ascii="宋体" w:hAnsi="宋体" w:cs="宋体"/>
          <w:color w:val="auto"/>
          <w:kern w:val="0"/>
          <w:szCs w:val="21"/>
          <w:highlight w:val="none"/>
        </w:rPr>
        <w:t>） 提供的货物（或者工程、服务）进行了验收，验收情况如下：</w:t>
      </w:r>
    </w:p>
    <w:tbl>
      <w:tblPr>
        <w:tblStyle w:val="62"/>
        <w:tblW w:w="9319" w:type="dxa"/>
        <w:jc w:val="center"/>
        <w:tblLayout w:type="fixed"/>
        <w:tblCellMar>
          <w:top w:w="0" w:type="dxa"/>
          <w:left w:w="0" w:type="dxa"/>
          <w:bottom w:w="0" w:type="dxa"/>
          <w:right w:w="0" w:type="dxa"/>
        </w:tblCellMar>
      </w:tblPr>
      <w:tblGrid>
        <w:gridCol w:w="887"/>
        <w:gridCol w:w="910"/>
        <w:gridCol w:w="1791"/>
        <w:gridCol w:w="880"/>
        <w:gridCol w:w="114"/>
        <w:gridCol w:w="2208"/>
        <w:gridCol w:w="196"/>
        <w:gridCol w:w="756"/>
        <w:gridCol w:w="1577"/>
      </w:tblGrid>
      <w:tr w14:paraId="5E93649A">
        <w:tblPrEx>
          <w:tblCellMar>
            <w:top w:w="0" w:type="dxa"/>
            <w:left w:w="0" w:type="dxa"/>
            <w:bottom w:w="0" w:type="dxa"/>
            <w:right w:w="0" w:type="dxa"/>
          </w:tblCellMar>
        </w:tblPrEx>
        <w:trPr>
          <w:trHeight w:val="506" w:hRule="atLeast"/>
          <w:jc w:val="center"/>
        </w:trPr>
        <w:tc>
          <w:tcPr>
            <w:tcW w:w="3588" w:type="dxa"/>
            <w:gridSpan w:val="3"/>
            <w:tcBorders>
              <w:top w:val="single" w:color="auto" w:sz="8" w:space="0"/>
              <w:left w:val="single" w:color="auto" w:sz="8" w:space="0"/>
              <w:bottom w:val="single" w:color="auto" w:sz="8" w:space="0"/>
              <w:right w:val="single" w:color="auto" w:sz="8" w:space="0"/>
            </w:tcBorders>
            <w:vAlign w:val="center"/>
          </w:tcPr>
          <w:p w14:paraId="4B158B91">
            <w:pPr>
              <w:widowControl/>
              <w:snapToGrid w:val="0"/>
              <w:spacing w:before="100" w:beforeAutospacing="1" w:after="100" w:afterAutospacing="1" w:line="320" w:lineRule="atLeast"/>
              <w:ind w:firstLine="5"/>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验收方式：</w:t>
            </w:r>
          </w:p>
        </w:tc>
        <w:tc>
          <w:tcPr>
            <w:tcW w:w="5731" w:type="dxa"/>
            <w:gridSpan w:val="6"/>
            <w:tcBorders>
              <w:top w:val="single" w:color="auto" w:sz="8" w:space="0"/>
              <w:left w:val="nil"/>
              <w:bottom w:val="single" w:color="auto" w:sz="8" w:space="0"/>
              <w:right w:val="single" w:color="auto" w:sz="8" w:space="0"/>
            </w:tcBorders>
            <w:vAlign w:val="center"/>
          </w:tcPr>
          <w:p w14:paraId="0A2DD0C4">
            <w:pPr>
              <w:widowControl/>
              <w:snapToGrid w:val="0"/>
              <w:spacing w:before="100" w:beforeAutospacing="1" w:after="100" w:afterAutospacing="1" w:line="320" w:lineRule="atLeas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sym w:font="Wingdings 2" w:char="00A3"/>
            </w:r>
            <w:r>
              <w:rPr>
                <w:rFonts w:hint="eastAsia" w:ascii="宋体" w:hAnsi="宋体" w:cs="宋体"/>
                <w:color w:val="auto"/>
                <w:kern w:val="0"/>
                <w:szCs w:val="21"/>
                <w:highlight w:val="none"/>
              </w:rPr>
              <w:t xml:space="preserve">自行验收 </w:t>
            </w:r>
            <w:r>
              <w:rPr>
                <w:rFonts w:hint="eastAsia" w:ascii="宋体" w:hAnsi="宋体" w:cs="宋体"/>
                <w:color w:val="auto"/>
                <w:kern w:val="0"/>
                <w:szCs w:val="21"/>
                <w:highlight w:val="none"/>
              </w:rPr>
              <w:sym w:font="Wingdings 2" w:char="00A3"/>
            </w:r>
            <w:r>
              <w:rPr>
                <w:rFonts w:hint="eastAsia" w:ascii="宋体" w:hAnsi="宋体" w:cs="宋体"/>
                <w:color w:val="auto"/>
                <w:kern w:val="0"/>
                <w:szCs w:val="21"/>
                <w:highlight w:val="none"/>
              </w:rPr>
              <w:t>委托验收</w:t>
            </w:r>
          </w:p>
        </w:tc>
      </w:tr>
      <w:tr w14:paraId="58E67A04">
        <w:tblPrEx>
          <w:tblCellMar>
            <w:top w:w="0" w:type="dxa"/>
            <w:left w:w="0" w:type="dxa"/>
            <w:bottom w:w="0" w:type="dxa"/>
            <w:right w:w="0" w:type="dxa"/>
          </w:tblCellMar>
        </w:tblPrEx>
        <w:trPr>
          <w:trHeight w:val="645" w:hRule="atLeast"/>
          <w:jc w:val="center"/>
        </w:trPr>
        <w:tc>
          <w:tcPr>
            <w:tcW w:w="887" w:type="dxa"/>
            <w:tcBorders>
              <w:top w:val="nil"/>
              <w:left w:val="single" w:color="auto" w:sz="8" w:space="0"/>
              <w:bottom w:val="single" w:color="auto" w:sz="8" w:space="0"/>
              <w:right w:val="single" w:color="auto" w:sz="8" w:space="0"/>
            </w:tcBorders>
            <w:vAlign w:val="center"/>
          </w:tcPr>
          <w:p w14:paraId="03220002">
            <w:pPr>
              <w:widowControl/>
              <w:snapToGrid w:val="0"/>
              <w:spacing w:before="100" w:beforeAutospacing="1" w:after="100" w:afterAutospacing="1" w:line="320" w:lineRule="atLeast"/>
              <w:ind w:firstLine="2"/>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序号</w:t>
            </w:r>
          </w:p>
        </w:tc>
        <w:tc>
          <w:tcPr>
            <w:tcW w:w="2701" w:type="dxa"/>
            <w:gridSpan w:val="2"/>
            <w:tcBorders>
              <w:top w:val="nil"/>
              <w:left w:val="nil"/>
              <w:bottom w:val="single" w:color="auto" w:sz="8" w:space="0"/>
              <w:right w:val="single" w:color="auto" w:sz="8" w:space="0"/>
            </w:tcBorders>
            <w:vAlign w:val="center"/>
          </w:tcPr>
          <w:p w14:paraId="2B03243F">
            <w:pPr>
              <w:widowControl/>
              <w:snapToGrid w:val="0"/>
              <w:spacing w:before="100" w:beforeAutospacing="1" w:after="100" w:afterAutospacing="1" w:line="320" w:lineRule="atLeast"/>
              <w:ind w:firstLine="2"/>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名称</w:t>
            </w:r>
          </w:p>
        </w:tc>
        <w:tc>
          <w:tcPr>
            <w:tcW w:w="3202" w:type="dxa"/>
            <w:gridSpan w:val="3"/>
            <w:tcBorders>
              <w:top w:val="nil"/>
              <w:left w:val="nil"/>
              <w:bottom w:val="single" w:color="auto" w:sz="8" w:space="0"/>
              <w:right w:val="single" w:color="auto" w:sz="8" w:space="0"/>
            </w:tcBorders>
            <w:vAlign w:val="center"/>
          </w:tcPr>
          <w:p w14:paraId="7D63270D">
            <w:pPr>
              <w:widowControl/>
              <w:snapToGrid w:val="0"/>
              <w:spacing w:before="100" w:beforeAutospacing="1" w:after="100" w:afterAutospacing="1" w:line="320" w:lineRule="atLeast"/>
              <w:ind w:firstLine="2"/>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货物型号规格、标准及配置等（或者服务内容、标准）</w:t>
            </w:r>
          </w:p>
        </w:tc>
        <w:tc>
          <w:tcPr>
            <w:tcW w:w="952" w:type="dxa"/>
            <w:gridSpan w:val="2"/>
            <w:tcBorders>
              <w:top w:val="nil"/>
              <w:left w:val="nil"/>
              <w:bottom w:val="single" w:color="auto" w:sz="8" w:space="0"/>
              <w:right w:val="single" w:color="auto" w:sz="8" w:space="0"/>
            </w:tcBorders>
            <w:vAlign w:val="center"/>
          </w:tcPr>
          <w:p w14:paraId="153DB990">
            <w:pPr>
              <w:widowControl/>
              <w:snapToGrid w:val="0"/>
              <w:spacing w:before="100" w:beforeAutospacing="1" w:after="100" w:afterAutospacing="1" w:line="320" w:lineRule="atLeas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数量</w:t>
            </w:r>
          </w:p>
        </w:tc>
        <w:tc>
          <w:tcPr>
            <w:tcW w:w="1577" w:type="dxa"/>
            <w:tcBorders>
              <w:top w:val="nil"/>
              <w:left w:val="nil"/>
              <w:bottom w:val="single" w:color="auto" w:sz="8" w:space="0"/>
              <w:right w:val="single" w:color="auto" w:sz="8" w:space="0"/>
            </w:tcBorders>
            <w:vAlign w:val="center"/>
          </w:tcPr>
          <w:p w14:paraId="0D3EAA9E">
            <w:pPr>
              <w:widowControl/>
              <w:snapToGrid w:val="0"/>
              <w:spacing w:before="100" w:beforeAutospacing="1" w:after="100" w:afterAutospacing="1" w:line="320" w:lineRule="atLeast"/>
              <w:ind w:firstLine="2"/>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金额</w:t>
            </w:r>
          </w:p>
        </w:tc>
      </w:tr>
      <w:tr w14:paraId="5AF4D525">
        <w:tblPrEx>
          <w:tblCellMar>
            <w:top w:w="0" w:type="dxa"/>
            <w:left w:w="0" w:type="dxa"/>
            <w:bottom w:w="0" w:type="dxa"/>
            <w:right w:w="0" w:type="dxa"/>
          </w:tblCellMar>
        </w:tblPrEx>
        <w:trPr>
          <w:trHeight w:val="496" w:hRule="atLeast"/>
          <w:jc w:val="center"/>
        </w:trPr>
        <w:tc>
          <w:tcPr>
            <w:tcW w:w="887" w:type="dxa"/>
            <w:tcBorders>
              <w:top w:val="nil"/>
              <w:left w:val="single" w:color="auto" w:sz="8" w:space="0"/>
              <w:bottom w:val="single" w:color="auto" w:sz="8" w:space="0"/>
              <w:right w:val="single" w:color="auto" w:sz="8" w:space="0"/>
            </w:tcBorders>
            <w:vAlign w:val="center"/>
          </w:tcPr>
          <w:p w14:paraId="33D86618">
            <w:pPr>
              <w:widowControl/>
              <w:spacing w:before="100" w:beforeAutospacing="1" w:after="100" w:afterAutospacing="1" w:line="240" w:lineRule="atLeast"/>
              <w:jc w:val="center"/>
              <w:rPr>
                <w:rFonts w:hint="eastAsia" w:ascii="宋体" w:hAnsi="宋体" w:cs="宋体"/>
                <w:color w:val="auto"/>
                <w:kern w:val="0"/>
                <w:szCs w:val="21"/>
                <w:highlight w:val="none"/>
              </w:rPr>
            </w:pPr>
          </w:p>
        </w:tc>
        <w:tc>
          <w:tcPr>
            <w:tcW w:w="2701" w:type="dxa"/>
            <w:gridSpan w:val="2"/>
            <w:tcBorders>
              <w:top w:val="nil"/>
              <w:left w:val="nil"/>
              <w:bottom w:val="single" w:color="auto" w:sz="8" w:space="0"/>
              <w:right w:val="single" w:color="auto" w:sz="8" w:space="0"/>
            </w:tcBorders>
            <w:vAlign w:val="center"/>
          </w:tcPr>
          <w:p w14:paraId="04B2B171">
            <w:pPr>
              <w:widowControl/>
              <w:spacing w:before="100" w:beforeAutospacing="1" w:after="100" w:afterAutospacing="1" w:line="240" w:lineRule="atLeast"/>
              <w:jc w:val="center"/>
              <w:rPr>
                <w:rFonts w:hint="eastAsia" w:ascii="宋体" w:hAnsi="宋体" w:cs="宋体"/>
                <w:color w:val="auto"/>
                <w:kern w:val="0"/>
                <w:szCs w:val="21"/>
                <w:highlight w:val="none"/>
              </w:rPr>
            </w:pPr>
          </w:p>
        </w:tc>
        <w:tc>
          <w:tcPr>
            <w:tcW w:w="3202" w:type="dxa"/>
            <w:gridSpan w:val="3"/>
            <w:tcBorders>
              <w:top w:val="nil"/>
              <w:left w:val="nil"/>
              <w:bottom w:val="single" w:color="auto" w:sz="8" w:space="0"/>
              <w:right w:val="single" w:color="auto" w:sz="8" w:space="0"/>
            </w:tcBorders>
            <w:vAlign w:val="center"/>
          </w:tcPr>
          <w:p w14:paraId="44C6DA59">
            <w:pPr>
              <w:widowControl/>
              <w:spacing w:before="100" w:beforeAutospacing="1" w:after="100" w:afterAutospacing="1" w:line="240" w:lineRule="atLeast"/>
              <w:jc w:val="center"/>
              <w:rPr>
                <w:rFonts w:hint="eastAsia" w:ascii="宋体" w:hAnsi="宋体" w:cs="宋体"/>
                <w:color w:val="auto"/>
                <w:kern w:val="0"/>
                <w:szCs w:val="21"/>
                <w:highlight w:val="none"/>
              </w:rPr>
            </w:pPr>
          </w:p>
        </w:tc>
        <w:tc>
          <w:tcPr>
            <w:tcW w:w="952" w:type="dxa"/>
            <w:gridSpan w:val="2"/>
            <w:tcBorders>
              <w:top w:val="nil"/>
              <w:left w:val="nil"/>
              <w:bottom w:val="single" w:color="auto" w:sz="8" w:space="0"/>
              <w:right w:val="single" w:color="auto" w:sz="8" w:space="0"/>
            </w:tcBorders>
            <w:vAlign w:val="center"/>
          </w:tcPr>
          <w:p w14:paraId="7D9F3A6B">
            <w:pPr>
              <w:widowControl/>
              <w:spacing w:before="100" w:beforeAutospacing="1" w:after="100" w:afterAutospacing="1" w:line="240" w:lineRule="atLeast"/>
              <w:jc w:val="center"/>
              <w:rPr>
                <w:rFonts w:hint="eastAsia" w:ascii="宋体" w:hAnsi="宋体" w:cs="宋体"/>
                <w:color w:val="auto"/>
                <w:kern w:val="0"/>
                <w:szCs w:val="21"/>
                <w:highlight w:val="none"/>
              </w:rPr>
            </w:pPr>
          </w:p>
        </w:tc>
        <w:tc>
          <w:tcPr>
            <w:tcW w:w="1577" w:type="dxa"/>
            <w:tcBorders>
              <w:top w:val="nil"/>
              <w:left w:val="nil"/>
              <w:bottom w:val="single" w:color="auto" w:sz="8" w:space="0"/>
              <w:right w:val="single" w:color="auto" w:sz="8" w:space="0"/>
            </w:tcBorders>
            <w:vAlign w:val="center"/>
          </w:tcPr>
          <w:p w14:paraId="6DF466A3">
            <w:pPr>
              <w:widowControl/>
              <w:spacing w:before="100" w:beforeAutospacing="1" w:after="100" w:afterAutospacing="1" w:line="240" w:lineRule="atLeast"/>
              <w:jc w:val="center"/>
              <w:rPr>
                <w:rFonts w:hint="eastAsia" w:ascii="宋体" w:hAnsi="宋体" w:cs="宋体"/>
                <w:color w:val="auto"/>
                <w:kern w:val="0"/>
                <w:szCs w:val="21"/>
                <w:highlight w:val="none"/>
              </w:rPr>
            </w:pPr>
          </w:p>
        </w:tc>
      </w:tr>
      <w:tr w14:paraId="4B0AAA3A">
        <w:tblPrEx>
          <w:tblCellMar>
            <w:top w:w="0" w:type="dxa"/>
            <w:left w:w="0" w:type="dxa"/>
            <w:bottom w:w="0" w:type="dxa"/>
            <w:right w:w="0" w:type="dxa"/>
          </w:tblCellMar>
        </w:tblPrEx>
        <w:trPr>
          <w:trHeight w:val="496" w:hRule="atLeast"/>
          <w:jc w:val="center"/>
        </w:trPr>
        <w:tc>
          <w:tcPr>
            <w:tcW w:w="887" w:type="dxa"/>
            <w:tcBorders>
              <w:top w:val="nil"/>
              <w:left w:val="single" w:color="auto" w:sz="8" w:space="0"/>
              <w:bottom w:val="single" w:color="auto" w:sz="8" w:space="0"/>
              <w:right w:val="single" w:color="auto" w:sz="8" w:space="0"/>
            </w:tcBorders>
            <w:vAlign w:val="center"/>
          </w:tcPr>
          <w:p w14:paraId="6C0D3954">
            <w:pPr>
              <w:widowControl/>
              <w:spacing w:before="100" w:beforeAutospacing="1" w:after="100" w:afterAutospacing="1" w:line="240" w:lineRule="atLeast"/>
              <w:jc w:val="center"/>
              <w:rPr>
                <w:rFonts w:hint="eastAsia" w:ascii="宋体" w:hAnsi="宋体" w:cs="宋体"/>
                <w:color w:val="auto"/>
                <w:kern w:val="0"/>
                <w:szCs w:val="21"/>
                <w:highlight w:val="none"/>
              </w:rPr>
            </w:pPr>
          </w:p>
        </w:tc>
        <w:tc>
          <w:tcPr>
            <w:tcW w:w="2701" w:type="dxa"/>
            <w:gridSpan w:val="2"/>
            <w:tcBorders>
              <w:top w:val="nil"/>
              <w:left w:val="nil"/>
              <w:bottom w:val="single" w:color="auto" w:sz="8" w:space="0"/>
              <w:right w:val="single" w:color="auto" w:sz="8" w:space="0"/>
            </w:tcBorders>
            <w:vAlign w:val="center"/>
          </w:tcPr>
          <w:p w14:paraId="746695E6">
            <w:pPr>
              <w:widowControl/>
              <w:spacing w:before="100" w:beforeAutospacing="1" w:after="100" w:afterAutospacing="1" w:line="240" w:lineRule="atLeast"/>
              <w:jc w:val="center"/>
              <w:rPr>
                <w:rFonts w:hint="eastAsia" w:ascii="宋体" w:hAnsi="宋体" w:cs="宋体"/>
                <w:color w:val="auto"/>
                <w:kern w:val="0"/>
                <w:szCs w:val="21"/>
                <w:highlight w:val="none"/>
              </w:rPr>
            </w:pPr>
          </w:p>
        </w:tc>
        <w:tc>
          <w:tcPr>
            <w:tcW w:w="3202" w:type="dxa"/>
            <w:gridSpan w:val="3"/>
            <w:tcBorders>
              <w:top w:val="nil"/>
              <w:left w:val="nil"/>
              <w:bottom w:val="single" w:color="auto" w:sz="8" w:space="0"/>
              <w:right w:val="single" w:color="auto" w:sz="8" w:space="0"/>
            </w:tcBorders>
            <w:vAlign w:val="center"/>
          </w:tcPr>
          <w:p w14:paraId="2296B9B5">
            <w:pPr>
              <w:widowControl/>
              <w:spacing w:before="100" w:beforeAutospacing="1" w:after="100" w:afterAutospacing="1" w:line="240" w:lineRule="atLeast"/>
              <w:jc w:val="center"/>
              <w:rPr>
                <w:rFonts w:hint="eastAsia" w:ascii="宋体" w:hAnsi="宋体" w:cs="宋体"/>
                <w:color w:val="auto"/>
                <w:kern w:val="0"/>
                <w:szCs w:val="21"/>
                <w:highlight w:val="none"/>
              </w:rPr>
            </w:pPr>
          </w:p>
        </w:tc>
        <w:tc>
          <w:tcPr>
            <w:tcW w:w="952" w:type="dxa"/>
            <w:gridSpan w:val="2"/>
            <w:tcBorders>
              <w:top w:val="nil"/>
              <w:left w:val="nil"/>
              <w:bottom w:val="single" w:color="auto" w:sz="8" w:space="0"/>
              <w:right w:val="single" w:color="auto" w:sz="8" w:space="0"/>
            </w:tcBorders>
            <w:vAlign w:val="center"/>
          </w:tcPr>
          <w:p w14:paraId="7AE03C77">
            <w:pPr>
              <w:widowControl/>
              <w:spacing w:before="100" w:beforeAutospacing="1" w:after="100" w:afterAutospacing="1" w:line="240" w:lineRule="atLeast"/>
              <w:jc w:val="center"/>
              <w:rPr>
                <w:rFonts w:hint="eastAsia" w:ascii="宋体" w:hAnsi="宋体" w:cs="宋体"/>
                <w:color w:val="auto"/>
                <w:kern w:val="0"/>
                <w:szCs w:val="21"/>
                <w:highlight w:val="none"/>
              </w:rPr>
            </w:pPr>
          </w:p>
        </w:tc>
        <w:tc>
          <w:tcPr>
            <w:tcW w:w="1577" w:type="dxa"/>
            <w:tcBorders>
              <w:top w:val="nil"/>
              <w:left w:val="nil"/>
              <w:bottom w:val="single" w:color="auto" w:sz="8" w:space="0"/>
              <w:right w:val="single" w:color="auto" w:sz="8" w:space="0"/>
            </w:tcBorders>
            <w:vAlign w:val="center"/>
          </w:tcPr>
          <w:p w14:paraId="241C75CF">
            <w:pPr>
              <w:widowControl/>
              <w:spacing w:before="100" w:beforeAutospacing="1" w:after="100" w:afterAutospacing="1" w:line="240" w:lineRule="atLeast"/>
              <w:jc w:val="center"/>
              <w:rPr>
                <w:rFonts w:hint="eastAsia" w:ascii="宋体" w:hAnsi="宋体" w:cs="宋体"/>
                <w:color w:val="auto"/>
                <w:kern w:val="0"/>
                <w:szCs w:val="21"/>
                <w:highlight w:val="none"/>
              </w:rPr>
            </w:pPr>
          </w:p>
        </w:tc>
      </w:tr>
      <w:tr w14:paraId="5F1F695D">
        <w:tblPrEx>
          <w:tblCellMar>
            <w:top w:w="0" w:type="dxa"/>
            <w:left w:w="0" w:type="dxa"/>
            <w:bottom w:w="0" w:type="dxa"/>
            <w:right w:w="0" w:type="dxa"/>
          </w:tblCellMar>
        </w:tblPrEx>
        <w:trPr>
          <w:trHeight w:val="496" w:hRule="atLeast"/>
          <w:jc w:val="center"/>
        </w:trPr>
        <w:tc>
          <w:tcPr>
            <w:tcW w:w="887" w:type="dxa"/>
            <w:tcBorders>
              <w:top w:val="nil"/>
              <w:left w:val="single" w:color="auto" w:sz="8" w:space="0"/>
              <w:bottom w:val="single" w:color="auto" w:sz="8" w:space="0"/>
              <w:right w:val="single" w:color="auto" w:sz="8" w:space="0"/>
            </w:tcBorders>
            <w:vAlign w:val="center"/>
          </w:tcPr>
          <w:p w14:paraId="0ABA1FE2">
            <w:pPr>
              <w:widowControl/>
              <w:spacing w:before="100" w:beforeAutospacing="1" w:after="100" w:afterAutospacing="1" w:line="240" w:lineRule="atLeast"/>
              <w:jc w:val="center"/>
              <w:rPr>
                <w:rFonts w:hint="eastAsia" w:ascii="宋体" w:hAnsi="宋体" w:cs="宋体"/>
                <w:color w:val="auto"/>
                <w:kern w:val="0"/>
                <w:szCs w:val="21"/>
                <w:highlight w:val="none"/>
              </w:rPr>
            </w:pPr>
          </w:p>
        </w:tc>
        <w:tc>
          <w:tcPr>
            <w:tcW w:w="2701" w:type="dxa"/>
            <w:gridSpan w:val="2"/>
            <w:tcBorders>
              <w:top w:val="nil"/>
              <w:left w:val="nil"/>
              <w:bottom w:val="single" w:color="auto" w:sz="8" w:space="0"/>
              <w:right w:val="single" w:color="auto" w:sz="8" w:space="0"/>
            </w:tcBorders>
            <w:vAlign w:val="center"/>
          </w:tcPr>
          <w:p w14:paraId="0DA71440">
            <w:pPr>
              <w:widowControl/>
              <w:spacing w:before="100" w:beforeAutospacing="1" w:after="100" w:afterAutospacing="1" w:line="240" w:lineRule="atLeast"/>
              <w:jc w:val="center"/>
              <w:rPr>
                <w:rFonts w:hint="eastAsia" w:ascii="宋体" w:hAnsi="宋体" w:cs="宋体"/>
                <w:color w:val="auto"/>
                <w:kern w:val="0"/>
                <w:szCs w:val="21"/>
                <w:highlight w:val="none"/>
              </w:rPr>
            </w:pPr>
          </w:p>
        </w:tc>
        <w:tc>
          <w:tcPr>
            <w:tcW w:w="3202" w:type="dxa"/>
            <w:gridSpan w:val="3"/>
            <w:tcBorders>
              <w:top w:val="nil"/>
              <w:left w:val="nil"/>
              <w:bottom w:val="single" w:color="auto" w:sz="8" w:space="0"/>
              <w:right w:val="single" w:color="auto" w:sz="8" w:space="0"/>
            </w:tcBorders>
            <w:vAlign w:val="center"/>
          </w:tcPr>
          <w:p w14:paraId="3E310F88">
            <w:pPr>
              <w:widowControl/>
              <w:spacing w:before="100" w:beforeAutospacing="1" w:after="100" w:afterAutospacing="1" w:line="240" w:lineRule="atLeast"/>
              <w:jc w:val="center"/>
              <w:rPr>
                <w:rFonts w:hint="eastAsia" w:ascii="宋体" w:hAnsi="宋体" w:cs="宋体"/>
                <w:color w:val="auto"/>
                <w:kern w:val="0"/>
                <w:szCs w:val="21"/>
                <w:highlight w:val="none"/>
              </w:rPr>
            </w:pPr>
          </w:p>
        </w:tc>
        <w:tc>
          <w:tcPr>
            <w:tcW w:w="952" w:type="dxa"/>
            <w:gridSpan w:val="2"/>
            <w:tcBorders>
              <w:top w:val="nil"/>
              <w:left w:val="nil"/>
              <w:bottom w:val="single" w:color="auto" w:sz="8" w:space="0"/>
              <w:right w:val="single" w:color="auto" w:sz="8" w:space="0"/>
            </w:tcBorders>
            <w:vAlign w:val="center"/>
          </w:tcPr>
          <w:p w14:paraId="3274AD26">
            <w:pPr>
              <w:widowControl/>
              <w:spacing w:before="100" w:beforeAutospacing="1" w:after="100" w:afterAutospacing="1" w:line="240" w:lineRule="atLeast"/>
              <w:jc w:val="center"/>
              <w:rPr>
                <w:rFonts w:hint="eastAsia" w:ascii="宋体" w:hAnsi="宋体" w:cs="宋体"/>
                <w:color w:val="auto"/>
                <w:kern w:val="0"/>
                <w:szCs w:val="21"/>
                <w:highlight w:val="none"/>
              </w:rPr>
            </w:pPr>
          </w:p>
        </w:tc>
        <w:tc>
          <w:tcPr>
            <w:tcW w:w="1577" w:type="dxa"/>
            <w:tcBorders>
              <w:top w:val="nil"/>
              <w:left w:val="nil"/>
              <w:bottom w:val="single" w:color="auto" w:sz="8" w:space="0"/>
              <w:right w:val="single" w:color="auto" w:sz="8" w:space="0"/>
            </w:tcBorders>
            <w:vAlign w:val="center"/>
          </w:tcPr>
          <w:p w14:paraId="2498F590">
            <w:pPr>
              <w:widowControl/>
              <w:spacing w:before="100" w:beforeAutospacing="1" w:after="100" w:afterAutospacing="1" w:line="240" w:lineRule="atLeast"/>
              <w:jc w:val="center"/>
              <w:rPr>
                <w:rFonts w:hint="eastAsia" w:ascii="宋体" w:hAnsi="宋体" w:cs="宋体"/>
                <w:color w:val="auto"/>
                <w:kern w:val="0"/>
                <w:szCs w:val="21"/>
                <w:highlight w:val="none"/>
              </w:rPr>
            </w:pPr>
          </w:p>
        </w:tc>
      </w:tr>
      <w:tr w14:paraId="5B3A6FE2">
        <w:tblPrEx>
          <w:tblCellMar>
            <w:top w:w="0" w:type="dxa"/>
            <w:left w:w="0" w:type="dxa"/>
            <w:bottom w:w="0" w:type="dxa"/>
            <w:right w:w="0" w:type="dxa"/>
          </w:tblCellMar>
        </w:tblPrEx>
        <w:trPr>
          <w:trHeight w:val="496" w:hRule="atLeast"/>
          <w:jc w:val="center"/>
        </w:trPr>
        <w:tc>
          <w:tcPr>
            <w:tcW w:w="6790" w:type="dxa"/>
            <w:gridSpan w:val="6"/>
            <w:tcBorders>
              <w:top w:val="nil"/>
              <w:left w:val="single" w:color="auto" w:sz="8" w:space="0"/>
              <w:bottom w:val="single" w:color="auto" w:sz="8" w:space="0"/>
              <w:right w:val="single" w:color="auto" w:sz="8" w:space="0"/>
            </w:tcBorders>
            <w:vAlign w:val="center"/>
          </w:tcPr>
          <w:p w14:paraId="7EF8A5C8">
            <w:pPr>
              <w:widowControl/>
              <w:snapToGrid w:val="0"/>
              <w:spacing w:before="100" w:beforeAutospacing="1" w:after="100" w:afterAutospacing="1" w:line="320" w:lineRule="atLeast"/>
              <w:ind w:firstLine="5"/>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合 计</w:t>
            </w:r>
          </w:p>
        </w:tc>
        <w:tc>
          <w:tcPr>
            <w:tcW w:w="952" w:type="dxa"/>
            <w:gridSpan w:val="2"/>
            <w:tcBorders>
              <w:top w:val="nil"/>
              <w:left w:val="nil"/>
              <w:bottom w:val="single" w:color="auto" w:sz="8" w:space="0"/>
              <w:right w:val="single" w:color="auto" w:sz="8" w:space="0"/>
            </w:tcBorders>
            <w:vAlign w:val="center"/>
          </w:tcPr>
          <w:p w14:paraId="65E1BF10">
            <w:pPr>
              <w:widowControl/>
              <w:spacing w:before="100" w:beforeAutospacing="1" w:after="100" w:afterAutospacing="1" w:line="240" w:lineRule="atLeast"/>
              <w:jc w:val="center"/>
              <w:rPr>
                <w:rFonts w:hint="eastAsia" w:ascii="宋体" w:hAnsi="宋体" w:cs="宋体"/>
                <w:color w:val="auto"/>
                <w:kern w:val="0"/>
                <w:szCs w:val="21"/>
                <w:highlight w:val="none"/>
              </w:rPr>
            </w:pPr>
          </w:p>
        </w:tc>
        <w:tc>
          <w:tcPr>
            <w:tcW w:w="1577" w:type="dxa"/>
            <w:tcBorders>
              <w:top w:val="nil"/>
              <w:left w:val="nil"/>
              <w:bottom w:val="single" w:color="auto" w:sz="8" w:space="0"/>
              <w:right w:val="single" w:color="auto" w:sz="8" w:space="0"/>
            </w:tcBorders>
            <w:vAlign w:val="center"/>
          </w:tcPr>
          <w:p w14:paraId="4776749B">
            <w:pPr>
              <w:widowControl/>
              <w:spacing w:before="100" w:beforeAutospacing="1" w:after="100" w:afterAutospacing="1" w:line="240" w:lineRule="atLeast"/>
              <w:jc w:val="center"/>
              <w:rPr>
                <w:rFonts w:hint="eastAsia" w:ascii="宋体" w:hAnsi="宋体" w:cs="宋体"/>
                <w:color w:val="auto"/>
                <w:kern w:val="0"/>
                <w:szCs w:val="21"/>
                <w:highlight w:val="none"/>
              </w:rPr>
            </w:pPr>
          </w:p>
        </w:tc>
      </w:tr>
      <w:tr w14:paraId="0E525187">
        <w:tblPrEx>
          <w:tblCellMar>
            <w:top w:w="0" w:type="dxa"/>
            <w:left w:w="0" w:type="dxa"/>
            <w:bottom w:w="0" w:type="dxa"/>
            <w:right w:w="0" w:type="dxa"/>
          </w:tblCellMar>
        </w:tblPrEx>
        <w:trPr>
          <w:trHeight w:val="646" w:hRule="atLeast"/>
          <w:jc w:val="center"/>
        </w:trPr>
        <w:tc>
          <w:tcPr>
            <w:tcW w:w="9319" w:type="dxa"/>
            <w:gridSpan w:val="9"/>
            <w:tcBorders>
              <w:top w:val="nil"/>
              <w:left w:val="single" w:color="auto" w:sz="8" w:space="0"/>
              <w:bottom w:val="single" w:color="auto" w:sz="8" w:space="0"/>
              <w:right w:val="single" w:color="auto" w:sz="8" w:space="0"/>
            </w:tcBorders>
            <w:vAlign w:val="center"/>
          </w:tcPr>
          <w:p w14:paraId="01760EF2">
            <w:pPr>
              <w:widowControl/>
              <w:snapToGrid w:val="0"/>
              <w:spacing w:before="100" w:beforeAutospacing="1" w:after="100" w:afterAutospacing="1" w:line="320" w:lineRule="atLeast"/>
              <w:ind w:firstLine="210" w:firstLineChars="1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合计大写金额：  仟  佰  拾  万  仟  佰  拾  元</w:t>
            </w:r>
          </w:p>
        </w:tc>
      </w:tr>
      <w:tr w14:paraId="530A4EB1">
        <w:tblPrEx>
          <w:tblCellMar>
            <w:top w:w="0" w:type="dxa"/>
            <w:left w:w="0" w:type="dxa"/>
            <w:bottom w:w="0" w:type="dxa"/>
            <w:right w:w="0" w:type="dxa"/>
          </w:tblCellMar>
        </w:tblPrEx>
        <w:trPr>
          <w:trHeight w:val="646" w:hRule="atLeast"/>
          <w:jc w:val="center"/>
        </w:trPr>
        <w:tc>
          <w:tcPr>
            <w:tcW w:w="1797" w:type="dxa"/>
            <w:gridSpan w:val="2"/>
            <w:tcBorders>
              <w:top w:val="nil"/>
              <w:left w:val="single" w:color="auto" w:sz="8" w:space="0"/>
              <w:bottom w:val="single" w:color="auto" w:sz="8" w:space="0"/>
              <w:right w:val="single" w:color="auto" w:sz="8" w:space="0"/>
            </w:tcBorders>
            <w:vAlign w:val="center"/>
          </w:tcPr>
          <w:p w14:paraId="693D6EE4">
            <w:pPr>
              <w:widowControl/>
              <w:snapToGrid w:val="0"/>
              <w:spacing w:before="100" w:beforeAutospacing="1" w:after="100" w:afterAutospacing="1" w:line="320" w:lineRule="atLeast"/>
              <w:ind w:firstLine="2"/>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实际供货日期</w:t>
            </w:r>
          </w:p>
        </w:tc>
        <w:tc>
          <w:tcPr>
            <w:tcW w:w="2671" w:type="dxa"/>
            <w:gridSpan w:val="2"/>
            <w:tcBorders>
              <w:top w:val="nil"/>
              <w:left w:val="nil"/>
              <w:bottom w:val="single" w:color="auto" w:sz="8" w:space="0"/>
              <w:right w:val="single" w:color="auto" w:sz="8" w:space="0"/>
            </w:tcBorders>
            <w:vAlign w:val="center"/>
          </w:tcPr>
          <w:p w14:paraId="6A3A1836">
            <w:pPr>
              <w:widowControl/>
              <w:spacing w:before="100" w:beforeAutospacing="1" w:after="100" w:afterAutospacing="1" w:line="240" w:lineRule="atLeast"/>
              <w:jc w:val="center"/>
              <w:rPr>
                <w:rFonts w:hint="eastAsia" w:ascii="宋体" w:hAnsi="宋体" w:cs="宋体"/>
                <w:color w:val="auto"/>
                <w:kern w:val="0"/>
                <w:szCs w:val="21"/>
                <w:highlight w:val="none"/>
              </w:rPr>
            </w:pPr>
          </w:p>
        </w:tc>
        <w:tc>
          <w:tcPr>
            <w:tcW w:w="2518" w:type="dxa"/>
            <w:gridSpan w:val="3"/>
            <w:tcBorders>
              <w:top w:val="nil"/>
              <w:left w:val="nil"/>
              <w:bottom w:val="single" w:color="auto" w:sz="8" w:space="0"/>
              <w:right w:val="single" w:color="auto" w:sz="8" w:space="0"/>
            </w:tcBorders>
            <w:vAlign w:val="center"/>
          </w:tcPr>
          <w:p w14:paraId="044F6B82">
            <w:pPr>
              <w:widowControl/>
              <w:snapToGrid w:val="0"/>
              <w:spacing w:before="100" w:beforeAutospacing="1" w:after="100" w:afterAutospacing="1" w:line="320" w:lineRule="atLeast"/>
              <w:ind w:firstLine="46"/>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合同交货验收日期</w:t>
            </w:r>
          </w:p>
        </w:tc>
        <w:tc>
          <w:tcPr>
            <w:tcW w:w="2333" w:type="dxa"/>
            <w:gridSpan w:val="2"/>
            <w:tcBorders>
              <w:top w:val="nil"/>
              <w:left w:val="nil"/>
              <w:bottom w:val="single" w:color="auto" w:sz="8" w:space="0"/>
              <w:right w:val="single" w:color="auto" w:sz="8" w:space="0"/>
            </w:tcBorders>
            <w:vAlign w:val="center"/>
          </w:tcPr>
          <w:p w14:paraId="21C32156">
            <w:pPr>
              <w:widowControl/>
              <w:spacing w:before="100" w:beforeAutospacing="1" w:after="100" w:afterAutospacing="1" w:line="240" w:lineRule="atLeast"/>
              <w:jc w:val="center"/>
              <w:rPr>
                <w:rFonts w:hint="eastAsia" w:ascii="宋体" w:hAnsi="宋体" w:cs="宋体"/>
                <w:color w:val="auto"/>
                <w:kern w:val="0"/>
                <w:szCs w:val="21"/>
                <w:highlight w:val="none"/>
              </w:rPr>
            </w:pPr>
          </w:p>
        </w:tc>
      </w:tr>
      <w:tr w14:paraId="7FFCF493">
        <w:tblPrEx>
          <w:tblCellMar>
            <w:top w:w="0" w:type="dxa"/>
            <w:left w:w="0" w:type="dxa"/>
            <w:bottom w:w="0" w:type="dxa"/>
            <w:right w:w="0" w:type="dxa"/>
          </w:tblCellMar>
        </w:tblPrEx>
        <w:trPr>
          <w:trHeight w:val="1271" w:hRule="atLeast"/>
          <w:jc w:val="center"/>
        </w:trPr>
        <w:tc>
          <w:tcPr>
            <w:tcW w:w="1797" w:type="dxa"/>
            <w:gridSpan w:val="2"/>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2A1CEC35">
            <w:pPr>
              <w:widowControl/>
              <w:snapToGrid w:val="0"/>
              <w:spacing w:before="100" w:beforeAutospacing="1" w:after="100" w:afterAutospacing="1" w:line="320" w:lineRule="atLeast"/>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验收具体内容</w:t>
            </w:r>
          </w:p>
        </w:tc>
        <w:tc>
          <w:tcPr>
            <w:tcW w:w="7522" w:type="dxa"/>
            <w:gridSpan w:val="7"/>
            <w:tcBorders>
              <w:top w:val="nil"/>
              <w:left w:val="nil"/>
              <w:bottom w:val="single" w:color="auto" w:sz="8" w:space="0"/>
              <w:right w:val="single" w:color="auto" w:sz="8" w:space="0"/>
            </w:tcBorders>
            <w:tcMar>
              <w:top w:w="0" w:type="dxa"/>
              <w:left w:w="108" w:type="dxa"/>
              <w:bottom w:w="0" w:type="dxa"/>
              <w:right w:w="108" w:type="dxa"/>
            </w:tcMar>
            <w:vAlign w:val="center"/>
          </w:tcPr>
          <w:p w14:paraId="47FC6E94">
            <w:pPr>
              <w:widowControl/>
              <w:snapToGrid w:val="0"/>
              <w:spacing w:before="100" w:beforeAutospacing="1" w:after="100" w:afterAutospacing="1" w:line="320" w:lineRule="atLeast"/>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应按采购合同、采购文件、投标文件及验收方案等进行验收；并核对成交供应商在安装调试等方面是否违反合同约定或者服务规范要求、提供的质量保证证明材料是否齐全、应有的配件及附件是否达到合同约定等。可附件)</w:t>
            </w:r>
          </w:p>
        </w:tc>
      </w:tr>
      <w:tr w14:paraId="773B1ACC">
        <w:tblPrEx>
          <w:tblCellMar>
            <w:top w:w="0" w:type="dxa"/>
            <w:left w:w="0" w:type="dxa"/>
            <w:bottom w:w="0" w:type="dxa"/>
            <w:right w:w="0" w:type="dxa"/>
          </w:tblCellMar>
        </w:tblPrEx>
        <w:trPr>
          <w:trHeight w:val="1272" w:hRule="atLeast"/>
          <w:jc w:val="center"/>
        </w:trPr>
        <w:tc>
          <w:tcPr>
            <w:tcW w:w="1797" w:type="dxa"/>
            <w:gridSpan w:val="2"/>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5CE08FD2">
            <w:pPr>
              <w:widowControl/>
              <w:spacing w:before="100" w:beforeAutospacing="1" w:after="100" w:afterAutospacing="1" w:line="320" w:lineRule="atLeast"/>
              <w:rPr>
                <w:rFonts w:hint="eastAsia" w:ascii="宋体" w:hAnsi="宋体" w:cs="宋体"/>
                <w:color w:val="auto"/>
                <w:kern w:val="0"/>
                <w:szCs w:val="21"/>
                <w:highlight w:val="none"/>
              </w:rPr>
            </w:pPr>
            <w:r>
              <w:rPr>
                <w:rFonts w:hint="eastAsia" w:ascii="宋体" w:hAnsi="宋体" w:cs="宋体"/>
                <w:color w:val="auto"/>
                <w:kern w:val="0"/>
                <w:szCs w:val="21"/>
                <w:highlight w:val="none"/>
              </w:rPr>
              <w:t>验收小组意见</w:t>
            </w:r>
          </w:p>
        </w:tc>
        <w:tc>
          <w:tcPr>
            <w:tcW w:w="7522" w:type="dxa"/>
            <w:gridSpan w:val="7"/>
            <w:tcBorders>
              <w:top w:val="nil"/>
              <w:left w:val="nil"/>
              <w:bottom w:val="single" w:color="auto" w:sz="8" w:space="0"/>
              <w:right w:val="single" w:color="auto" w:sz="8" w:space="0"/>
            </w:tcBorders>
            <w:vAlign w:val="center"/>
          </w:tcPr>
          <w:p w14:paraId="7B808105">
            <w:pPr>
              <w:widowControl/>
              <w:spacing w:before="100" w:beforeAutospacing="1" w:after="100" w:afterAutospacing="1" w:line="320" w:lineRule="atLeast"/>
              <w:ind w:firstLine="210" w:firstLineChars="100"/>
              <w:rPr>
                <w:rFonts w:hint="eastAsia" w:ascii="宋体" w:hAnsi="宋体" w:cs="宋体"/>
                <w:color w:val="auto"/>
                <w:kern w:val="0"/>
                <w:szCs w:val="21"/>
                <w:highlight w:val="none"/>
              </w:rPr>
            </w:pPr>
            <w:r>
              <w:rPr>
                <w:rFonts w:hint="eastAsia" w:ascii="宋体" w:hAnsi="宋体" w:cs="宋体"/>
                <w:color w:val="auto"/>
                <w:kern w:val="0"/>
                <w:szCs w:val="21"/>
                <w:highlight w:val="none"/>
              </w:rPr>
              <w:t>验收结论性意见：</w:t>
            </w:r>
          </w:p>
        </w:tc>
      </w:tr>
      <w:tr w14:paraId="74DF3CEE">
        <w:tblPrEx>
          <w:tblCellMar>
            <w:top w:w="0" w:type="dxa"/>
            <w:left w:w="0" w:type="dxa"/>
            <w:bottom w:w="0" w:type="dxa"/>
            <w:right w:w="0" w:type="dxa"/>
          </w:tblCellMar>
        </w:tblPrEx>
        <w:trPr>
          <w:trHeight w:val="919" w:hRule="atLeast"/>
          <w:jc w:val="center"/>
        </w:trPr>
        <w:tc>
          <w:tcPr>
            <w:tcW w:w="1797" w:type="dxa"/>
            <w:gridSpan w:val="2"/>
            <w:vMerge w:val="continue"/>
            <w:tcBorders>
              <w:top w:val="nil"/>
              <w:left w:val="single" w:color="auto" w:sz="8" w:space="0"/>
              <w:bottom w:val="single" w:color="auto" w:sz="8" w:space="0"/>
              <w:right w:val="single" w:color="auto" w:sz="8" w:space="0"/>
            </w:tcBorders>
            <w:vAlign w:val="center"/>
          </w:tcPr>
          <w:p w14:paraId="3CBF5CE6">
            <w:pPr>
              <w:widowControl/>
              <w:jc w:val="left"/>
              <w:rPr>
                <w:rFonts w:hint="eastAsia" w:ascii="宋体" w:hAnsi="宋体" w:cs="宋体"/>
                <w:color w:val="auto"/>
                <w:kern w:val="0"/>
                <w:szCs w:val="21"/>
                <w:highlight w:val="none"/>
              </w:rPr>
            </w:pPr>
          </w:p>
        </w:tc>
        <w:tc>
          <w:tcPr>
            <w:tcW w:w="7522" w:type="dxa"/>
            <w:gridSpan w:val="7"/>
            <w:tcBorders>
              <w:top w:val="nil"/>
              <w:left w:val="nil"/>
              <w:bottom w:val="single" w:color="auto" w:sz="8" w:space="0"/>
              <w:right w:val="single" w:color="auto" w:sz="8" w:space="0"/>
            </w:tcBorders>
            <w:vAlign w:val="center"/>
          </w:tcPr>
          <w:p w14:paraId="2510BFC9">
            <w:pPr>
              <w:widowControl/>
              <w:spacing w:before="100" w:beforeAutospacing="1" w:after="100" w:afterAutospacing="1" w:line="320" w:lineRule="atLeast"/>
              <w:ind w:firstLine="210" w:firstLineChars="1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有异议的意见和说明理由：</w:t>
            </w:r>
          </w:p>
          <w:p w14:paraId="38A4E4AC">
            <w:pPr>
              <w:widowControl/>
              <w:spacing w:before="100" w:beforeAutospacing="1" w:after="100" w:afterAutospacing="1" w:line="320" w:lineRule="atLeast"/>
              <w:ind w:firstLine="210" w:firstLineChars="1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签字：</w:t>
            </w:r>
          </w:p>
        </w:tc>
      </w:tr>
      <w:tr w14:paraId="3EF1510E">
        <w:tblPrEx>
          <w:tblCellMar>
            <w:top w:w="0" w:type="dxa"/>
            <w:left w:w="0" w:type="dxa"/>
            <w:bottom w:w="0" w:type="dxa"/>
            <w:right w:w="0" w:type="dxa"/>
          </w:tblCellMar>
        </w:tblPrEx>
        <w:trPr>
          <w:trHeight w:val="515" w:hRule="atLeast"/>
          <w:jc w:val="center"/>
        </w:trPr>
        <w:tc>
          <w:tcPr>
            <w:tcW w:w="9319" w:type="dxa"/>
            <w:gridSpan w:val="9"/>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57426ED2">
            <w:pPr>
              <w:widowControl/>
              <w:spacing w:before="100" w:beforeAutospacing="1" w:after="100" w:afterAutospacing="1" w:line="320" w:lineRule="atLeast"/>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验收小组成员签字：</w:t>
            </w:r>
          </w:p>
        </w:tc>
      </w:tr>
      <w:tr w14:paraId="6C098313">
        <w:tblPrEx>
          <w:tblCellMar>
            <w:top w:w="0" w:type="dxa"/>
            <w:left w:w="0" w:type="dxa"/>
            <w:bottom w:w="0" w:type="dxa"/>
            <w:right w:w="0" w:type="dxa"/>
          </w:tblCellMar>
        </w:tblPrEx>
        <w:trPr>
          <w:trHeight w:val="919" w:hRule="atLeast"/>
          <w:jc w:val="center"/>
        </w:trPr>
        <w:tc>
          <w:tcPr>
            <w:tcW w:w="9319" w:type="dxa"/>
            <w:gridSpan w:val="9"/>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0E2B99B9">
            <w:pPr>
              <w:widowControl/>
              <w:spacing w:before="100" w:beforeAutospacing="1" w:after="100" w:afterAutospacing="1" w:line="320" w:lineRule="atLeast"/>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监督人员或者其他相关人员签字：</w:t>
            </w:r>
          </w:p>
          <w:p w14:paraId="6C12B210">
            <w:pPr>
              <w:widowControl/>
              <w:spacing w:before="100" w:beforeAutospacing="1" w:after="100" w:afterAutospacing="1" w:line="320" w:lineRule="atLeast"/>
              <w:ind w:firstLine="74"/>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或者受邀机构的意见（盖章）：</w:t>
            </w:r>
          </w:p>
        </w:tc>
      </w:tr>
      <w:tr w14:paraId="69BA30FB">
        <w:tblPrEx>
          <w:tblCellMar>
            <w:top w:w="0" w:type="dxa"/>
            <w:left w:w="0" w:type="dxa"/>
            <w:bottom w:w="0" w:type="dxa"/>
            <w:right w:w="0" w:type="dxa"/>
          </w:tblCellMar>
        </w:tblPrEx>
        <w:trPr>
          <w:trHeight w:val="1525" w:hRule="atLeast"/>
          <w:jc w:val="center"/>
        </w:trPr>
        <w:tc>
          <w:tcPr>
            <w:tcW w:w="4582" w:type="dxa"/>
            <w:gridSpan w:val="5"/>
            <w:tcBorders>
              <w:top w:val="nil"/>
              <w:left w:val="single" w:color="auto" w:sz="8" w:space="0"/>
              <w:bottom w:val="single" w:color="auto" w:sz="8" w:space="0"/>
              <w:right w:val="nil"/>
            </w:tcBorders>
            <w:tcMar>
              <w:top w:w="0" w:type="dxa"/>
              <w:left w:w="108" w:type="dxa"/>
              <w:bottom w:w="0" w:type="dxa"/>
              <w:right w:w="108" w:type="dxa"/>
            </w:tcMar>
            <w:vAlign w:val="center"/>
          </w:tcPr>
          <w:p w14:paraId="778E0F81">
            <w:pPr>
              <w:widowControl/>
              <w:spacing w:before="100" w:beforeAutospacing="1" w:after="100" w:afterAutospacing="1" w:line="320" w:lineRule="atLeast"/>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成交供应商负责人签字或者盖章：</w:t>
            </w:r>
          </w:p>
          <w:p w14:paraId="04DE6274">
            <w:pPr>
              <w:widowControl/>
              <w:spacing w:before="100" w:beforeAutospacing="1" w:after="100" w:afterAutospacing="1" w:line="320" w:lineRule="atLeast"/>
              <w:jc w:val="left"/>
              <w:rPr>
                <w:rFonts w:hint="eastAsia" w:ascii="宋体" w:hAnsi="宋体" w:cs="宋体"/>
                <w:color w:val="auto"/>
                <w:kern w:val="0"/>
                <w:szCs w:val="21"/>
                <w:highlight w:val="none"/>
              </w:rPr>
            </w:pPr>
          </w:p>
          <w:p w14:paraId="7ACCF170">
            <w:pPr>
              <w:widowControl/>
              <w:spacing w:before="100" w:beforeAutospacing="1" w:after="100" w:afterAutospacing="1" w:line="320" w:lineRule="atLeast"/>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联系电话：                年  月  日</w:t>
            </w:r>
          </w:p>
        </w:tc>
        <w:tc>
          <w:tcPr>
            <w:tcW w:w="4737" w:type="dxa"/>
            <w:gridSpan w:val="4"/>
            <w:tcBorders>
              <w:top w:val="nil"/>
              <w:left w:val="nil"/>
              <w:bottom w:val="single" w:color="auto" w:sz="8" w:space="0"/>
              <w:right w:val="single" w:color="auto" w:sz="8" w:space="0"/>
            </w:tcBorders>
            <w:vAlign w:val="center"/>
          </w:tcPr>
          <w:p w14:paraId="1C6289BE">
            <w:pPr>
              <w:widowControl/>
              <w:spacing w:before="100" w:beforeAutospacing="1" w:after="100" w:afterAutospacing="1" w:line="320" w:lineRule="atLeast"/>
              <w:ind w:firstLine="210" w:firstLineChars="1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采购人或者受托机构的意见（盖章）：</w:t>
            </w:r>
          </w:p>
          <w:p w14:paraId="7465764B">
            <w:pPr>
              <w:widowControl/>
              <w:spacing w:before="100" w:beforeAutospacing="1" w:after="100" w:afterAutospacing="1" w:line="320" w:lineRule="atLeast"/>
              <w:ind w:firstLine="210" w:firstLineChars="100"/>
              <w:jc w:val="left"/>
              <w:rPr>
                <w:rFonts w:hint="eastAsia" w:ascii="宋体" w:hAnsi="宋体" w:cs="宋体"/>
                <w:color w:val="auto"/>
                <w:kern w:val="0"/>
                <w:szCs w:val="21"/>
                <w:highlight w:val="none"/>
              </w:rPr>
            </w:pPr>
          </w:p>
          <w:p w14:paraId="7AB02B5A">
            <w:pPr>
              <w:widowControl/>
              <w:spacing w:before="100" w:beforeAutospacing="1" w:after="100" w:afterAutospacing="1" w:line="320" w:lineRule="atLeast"/>
              <w:ind w:firstLine="210" w:firstLineChars="1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联系电话：                  年  月  日</w:t>
            </w:r>
          </w:p>
        </w:tc>
      </w:tr>
    </w:tbl>
    <w:p w14:paraId="20A1799A">
      <w:pPr>
        <w:jc w:val="left"/>
        <w:rPr>
          <w:rFonts w:hint="eastAsia" w:ascii="宋体" w:hAnsi="宋体" w:cs="宋体"/>
          <w:b/>
          <w:bCs/>
          <w:color w:val="auto"/>
          <w:kern w:val="0"/>
          <w:sz w:val="32"/>
          <w:szCs w:val="32"/>
          <w:highlight w:val="none"/>
        </w:rPr>
      </w:pPr>
      <w:r>
        <w:rPr>
          <w:rFonts w:hint="eastAsia" w:ascii="宋体" w:hAnsi="宋体" w:cs="宋体"/>
          <w:color w:val="auto"/>
          <w:highlight w:val="none"/>
        </w:rPr>
        <w:br w:type="page"/>
      </w:r>
      <w:r>
        <w:rPr>
          <w:rFonts w:hint="eastAsia" w:ascii="宋体" w:hAnsi="宋体" w:cs="宋体"/>
          <w:b/>
          <w:bCs/>
          <w:color w:val="auto"/>
          <w:kern w:val="0"/>
          <w:sz w:val="32"/>
          <w:szCs w:val="32"/>
          <w:highlight w:val="none"/>
        </w:rPr>
        <w:t>附件4：</w:t>
      </w:r>
    </w:p>
    <w:p w14:paraId="7796010B">
      <w:pPr>
        <w:jc w:val="center"/>
        <w:rPr>
          <w:rFonts w:hint="eastAsia" w:ascii="宋体" w:hAnsi="宋体" w:cs="宋体"/>
          <w:b/>
          <w:bCs/>
          <w:color w:val="auto"/>
          <w:sz w:val="32"/>
          <w:szCs w:val="32"/>
          <w:highlight w:val="none"/>
        </w:rPr>
      </w:pPr>
      <w:r>
        <w:rPr>
          <w:rFonts w:hint="eastAsia" w:ascii="宋体" w:hAnsi="宋体" w:cs="宋体"/>
          <w:b/>
          <w:bCs/>
          <w:color w:val="auto"/>
          <w:sz w:val="32"/>
          <w:szCs w:val="32"/>
          <w:highlight w:val="none"/>
        </w:rPr>
        <w:t>采购项目履约保证金退付意见书</w:t>
      </w:r>
    </w:p>
    <w:p w14:paraId="2B9B560A">
      <w:pPr>
        <w:jc w:val="center"/>
        <w:rPr>
          <w:rFonts w:hint="eastAsia" w:ascii="宋体" w:hAnsi="宋体" w:cs="宋体"/>
          <w:color w:val="auto"/>
          <w:sz w:val="36"/>
          <w:szCs w:val="36"/>
          <w:highlight w:val="none"/>
        </w:rPr>
      </w:pPr>
    </w:p>
    <w:tbl>
      <w:tblPr>
        <w:tblStyle w:val="62"/>
        <w:tblW w:w="88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8009"/>
      </w:tblGrid>
      <w:tr w14:paraId="7CC8E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817" w:type="dxa"/>
            <w:vMerge w:val="restart"/>
            <w:tcBorders>
              <w:top w:val="single" w:color="auto" w:sz="4" w:space="0"/>
              <w:left w:val="single" w:color="auto" w:sz="4" w:space="0"/>
              <w:bottom w:val="single" w:color="auto" w:sz="4" w:space="0"/>
              <w:right w:val="single" w:color="auto" w:sz="4" w:space="0"/>
            </w:tcBorders>
            <w:vAlign w:val="center"/>
          </w:tcPr>
          <w:p w14:paraId="5B7D7317">
            <w:pPr>
              <w:jc w:val="center"/>
              <w:rPr>
                <w:rFonts w:hint="eastAsia" w:ascii="宋体" w:hAnsi="宋体" w:cs="宋体"/>
                <w:color w:val="auto"/>
                <w:sz w:val="24"/>
                <w:highlight w:val="none"/>
              </w:rPr>
            </w:pPr>
            <w:r>
              <w:rPr>
                <w:rFonts w:hint="eastAsia" w:ascii="宋体" w:hAnsi="宋体" w:cs="宋体"/>
                <w:color w:val="auto"/>
                <w:sz w:val="24"/>
                <w:highlight w:val="none"/>
              </w:rPr>
              <w:t>供</w:t>
            </w:r>
          </w:p>
          <w:p w14:paraId="1E58CA1C">
            <w:pPr>
              <w:jc w:val="center"/>
              <w:rPr>
                <w:rFonts w:hint="eastAsia" w:ascii="宋体" w:hAnsi="宋体" w:cs="宋体"/>
                <w:color w:val="auto"/>
                <w:sz w:val="24"/>
                <w:highlight w:val="none"/>
              </w:rPr>
            </w:pPr>
            <w:r>
              <w:rPr>
                <w:rFonts w:hint="eastAsia" w:ascii="宋体" w:hAnsi="宋体" w:cs="宋体"/>
                <w:color w:val="auto"/>
                <w:sz w:val="24"/>
                <w:highlight w:val="none"/>
              </w:rPr>
              <w:t>应</w:t>
            </w:r>
          </w:p>
          <w:p w14:paraId="062907FC">
            <w:pPr>
              <w:jc w:val="center"/>
              <w:rPr>
                <w:rFonts w:hint="eastAsia" w:ascii="宋体" w:hAnsi="宋体" w:cs="宋体"/>
                <w:color w:val="auto"/>
                <w:sz w:val="24"/>
                <w:highlight w:val="none"/>
              </w:rPr>
            </w:pPr>
            <w:r>
              <w:rPr>
                <w:rFonts w:hint="eastAsia" w:ascii="宋体" w:hAnsi="宋体" w:cs="宋体"/>
                <w:color w:val="auto"/>
                <w:sz w:val="24"/>
                <w:highlight w:val="none"/>
              </w:rPr>
              <w:t>商</w:t>
            </w:r>
          </w:p>
          <w:p w14:paraId="5EB03901">
            <w:pPr>
              <w:jc w:val="center"/>
              <w:rPr>
                <w:rFonts w:hint="eastAsia" w:ascii="宋体" w:hAnsi="宋体" w:cs="宋体"/>
                <w:color w:val="auto"/>
                <w:sz w:val="24"/>
                <w:highlight w:val="none"/>
              </w:rPr>
            </w:pPr>
            <w:r>
              <w:rPr>
                <w:rFonts w:hint="eastAsia" w:ascii="宋体" w:hAnsi="宋体" w:cs="宋体"/>
                <w:color w:val="auto"/>
                <w:sz w:val="24"/>
                <w:highlight w:val="none"/>
              </w:rPr>
              <w:t>申</w:t>
            </w:r>
          </w:p>
          <w:p w14:paraId="2AE48717">
            <w:pPr>
              <w:jc w:val="center"/>
              <w:rPr>
                <w:rFonts w:hint="eastAsia" w:ascii="宋体" w:hAnsi="宋体" w:cs="宋体"/>
                <w:color w:val="auto"/>
                <w:sz w:val="24"/>
                <w:highlight w:val="none"/>
              </w:rPr>
            </w:pPr>
            <w:r>
              <w:rPr>
                <w:rFonts w:hint="eastAsia" w:ascii="宋体" w:hAnsi="宋体" w:cs="宋体"/>
                <w:color w:val="auto"/>
                <w:sz w:val="24"/>
                <w:highlight w:val="none"/>
              </w:rPr>
              <w:t>请</w:t>
            </w:r>
          </w:p>
        </w:tc>
        <w:tc>
          <w:tcPr>
            <w:tcW w:w="8009" w:type="dxa"/>
            <w:tcBorders>
              <w:top w:val="single" w:color="auto" w:sz="4" w:space="0"/>
              <w:left w:val="single" w:color="auto" w:sz="4" w:space="0"/>
              <w:bottom w:val="single" w:color="auto" w:sz="4" w:space="0"/>
              <w:right w:val="single" w:color="auto" w:sz="4" w:space="0"/>
            </w:tcBorders>
            <w:vAlign w:val="center"/>
          </w:tcPr>
          <w:p w14:paraId="44922918">
            <w:pPr>
              <w:rPr>
                <w:rFonts w:hint="eastAsia" w:ascii="宋体" w:hAnsi="宋体" w:cs="宋体"/>
                <w:color w:val="auto"/>
                <w:sz w:val="24"/>
                <w:highlight w:val="none"/>
              </w:rPr>
            </w:pPr>
            <w:r>
              <w:rPr>
                <w:rFonts w:hint="eastAsia" w:ascii="宋体" w:hAnsi="宋体" w:cs="宋体"/>
                <w:color w:val="auto"/>
                <w:sz w:val="24"/>
                <w:highlight w:val="none"/>
              </w:rPr>
              <w:t>项目编号：</w:t>
            </w:r>
          </w:p>
        </w:tc>
      </w:tr>
      <w:tr w14:paraId="7DD28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 w:hRule="atLeast"/>
          <w:jc w:val="center"/>
        </w:trPr>
        <w:tc>
          <w:tcPr>
            <w:tcW w:w="817" w:type="dxa"/>
            <w:vMerge w:val="continue"/>
            <w:tcBorders>
              <w:top w:val="single" w:color="auto" w:sz="4" w:space="0"/>
              <w:left w:val="single" w:color="auto" w:sz="4" w:space="0"/>
              <w:bottom w:val="single" w:color="auto" w:sz="4" w:space="0"/>
              <w:right w:val="single" w:color="auto" w:sz="4" w:space="0"/>
            </w:tcBorders>
            <w:vAlign w:val="center"/>
          </w:tcPr>
          <w:p w14:paraId="1B53C817">
            <w:pPr>
              <w:widowControl/>
              <w:jc w:val="left"/>
              <w:rPr>
                <w:rFonts w:hint="eastAsia" w:ascii="宋体" w:hAnsi="宋体" w:cs="宋体"/>
                <w:color w:val="auto"/>
                <w:sz w:val="24"/>
                <w:highlight w:val="none"/>
              </w:rPr>
            </w:pPr>
          </w:p>
        </w:tc>
        <w:tc>
          <w:tcPr>
            <w:tcW w:w="8009" w:type="dxa"/>
            <w:tcBorders>
              <w:top w:val="single" w:color="auto" w:sz="4" w:space="0"/>
              <w:left w:val="single" w:color="auto" w:sz="4" w:space="0"/>
              <w:bottom w:val="single" w:color="auto" w:sz="4" w:space="0"/>
              <w:right w:val="single" w:color="auto" w:sz="4" w:space="0"/>
            </w:tcBorders>
            <w:vAlign w:val="center"/>
          </w:tcPr>
          <w:p w14:paraId="07BC40F8">
            <w:pPr>
              <w:rPr>
                <w:rFonts w:hint="eastAsia" w:ascii="宋体" w:hAnsi="宋体" w:cs="宋体"/>
                <w:color w:val="auto"/>
                <w:sz w:val="24"/>
                <w:highlight w:val="none"/>
              </w:rPr>
            </w:pPr>
            <w:r>
              <w:rPr>
                <w:rFonts w:hint="eastAsia" w:ascii="宋体" w:hAnsi="宋体" w:cs="宋体"/>
                <w:color w:val="auto"/>
                <w:sz w:val="24"/>
                <w:highlight w:val="none"/>
              </w:rPr>
              <w:t>项目名称：</w:t>
            </w:r>
          </w:p>
        </w:tc>
      </w:tr>
      <w:tr w14:paraId="3F49A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7" w:type="dxa"/>
            <w:vMerge w:val="continue"/>
            <w:tcBorders>
              <w:top w:val="single" w:color="auto" w:sz="4" w:space="0"/>
              <w:left w:val="single" w:color="auto" w:sz="4" w:space="0"/>
              <w:bottom w:val="single" w:color="auto" w:sz="4" w:space="0"/>
              <w:right w:val="single" w:color="auto" w:sz="4" w:space="0"/>
            </w:tcBorders>
            <w:vAlign w:val="center"/>
          </w:tcPr>
          <w:p w14:paraId="5077E900">
            <w:pPr>
              <w:widowControl/>
              <w:jc w:val="left"/>
              <w:rPr>
                <w:rFonts w:hint="eastAsia" w:ascii="宋体" w:hAnsi="宋体" w:cs="宋体"/>
                <w:color w:val="auto"/>
                <w:sz w:val="24"/>
                <w:highlight w:val="none"/>
              </w:rPr>
            </w:pPr>
          </w:p>
        </w:tc>
        <w:tc>
          <w:tcPr>
            <w:tcW w:w="8009" w:type="dxa"/>
            <w:tcBorders>
              <w:top w:val="single" w:color="auto" w:sz="4" w:space="0"/>
              <w:left w:val="single" w:color="auto" w:sz="4" w:space="0"/>
              <w:bottom w:val="single" w:color="auto" w:sz="4" w:space="0"/>
              <w:right w:val="single" w:color="auto" w:sz="4" w:space="0"/>
            </w:tcBorders>
          </w:tcPr>
          <w:p w14:paraId="15CB162F">
            <w:pPr>
              <w:rPr>
                <w:rFonts w:hint="eastAsia" w:ascii="宋体" w:hAnsi="宋体" w:cs="宋体"/>
                <w:color w:val="auto"/>
                <w:sz w:val="24"/>
                <w:highlight w:val="none"/>
              </w:rPr>
            </w:pPr>
            <w:r>
              <w:rPr>
                <w:rFonts w:hint="eastAsia" w:ascii="宋体" w:hAnsi="宋体" w:cs="宋体"/>
                <w:color w:val="auto"/>
                <w:sz w:val="24"/>
                <w:highlight w:val="none"/>
              </w:rPr>
              <w:t xml:space="preserve">  </w:t>
            </w:r>
          </w:p>
          <w:p w14:paraId="69A8C31E">
            <w:pPr>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该项目已于</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日验收并交付使用。根据合同规定，该项目的履约保证金期限于</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日已满，请将履约保证金</w:t>
            </w:r>
          </w:p>
          <w:p w14:paraId="22089624">
            <w:pPr>
              <w:rPr>
                <w:rFonts w:hint="eastAsia" w:ascii="宋体" w:hAnsi="宋体" w:cs="宋体"/>
                <w:color w:val="auto"/>
                <w:sz w:val="24"/>
                <w:highlight w:val="none"/>
              </w:rPr>
            </w:pP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（大写）¥</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（小写）退付到达以下账户。</w:t>
            </w:r>
          </w:p>
          <w:p w14:paraId="1C3BB0E3">
            <w:pPr>
              <w:rPr>
                <w:rFonts w:hint="eastAsia" w:ascii="宋体" w:hAnsi="宋体" w:cs="宋体"/>
                <w:color w:val="auto"/>
                <w:sz w:val="24"/>
                <w:highlight w:val="none"/>
              </w:rPr>
            </w:pPr>
            <w:r>
              <w:rPr>
                <w:rFonts w:hint="eastAsia" w:ascii="宋体" w:hAnsi="宋体" w:cs="宋体"/>
                <w:color w:val="auto"/>
                <w:sz w:val="24"/>
                <w:highlight w:val="none"/>
              </w:rPr>
              <w:t>单位名称：</w:t>
            </w:r>
          </w:p>
          <w:p w14:paraId="2E6FFBDE">
            <w:pPr>
              <w:rPr>
                <w:rFonts w:hint="eastAsia" w:ascii="宋体" w:hAnsi="宋体" w:cs="宋体"/>
                <w:color w:val="auto"/>
                <w:sz w:val="24"/>
                <w:highlight w:val="none"/>
              </w:rPr>
            </w:pPr>
            <w:r>
              <w:rPr>
                <w:rFonts w:hint="eastAsia" w:ascii="宋体" w:hAnsi="宋体" w:cs="宋体"/>
                <w:color w:val="auto"/>
                <w:sz w:val="24"/>
                <w:highlight w:val="none"/>
              </w:rPr>
              <w:t>开户银行：</w:t>
            </w:r>
          </w:p>
          <w:p w14:paraId="3D440376">
            <w:pPr>
              <w:rPr>
                <w:rFonts w:hint="eastAsia" w:ascii="宋体" w:hAnsi="宋体" w:cs="宋体"/>
                <w:color w:val="auto"/>
                <w:sz w:val="24"/>
                <w:highlight w:val="none"/>
              </w:rPr>
            </w:pPr>
            <w:r>
              <w:rPr>
                <w:rFonts w:hint="eastAsia" w:ascii="宋体" w:hAnsi="宋体" w:cs="宋体"/>
                <w:color w:val="auto"/>
                <w:sz w:val="24"/>
                <w:highlight w:val="none"/>
              </w:rPr>
              <w:t>帐    号：</w:t>
            </w:r>
          </w:p>
          <w:p w14:paraId="1A57074E">
            <w:pPr>
              <w:rPr>
                <w:rFonts w:hint="eastAsia" w:ascii="宋体" w:hAnsi="宋体" w:cs="宋体"/>
                <w:color w:val="auto"/>
                <w:sz w:val="24"/>
                <w:highlight w:val="none"/>
              </w:rPr>
            </w:pPr>
            <w:r>
              <w:rPr>
                <w:rFonts w:hint="eastAsia" w:ascii="宋体" w:hAnsi="宋体" w:cs="宋体"/>
                <w:color w:val="auto"/>
                <w:sz w:val="24"/>
                <w:highlight w:val="none"/>
              </w:rPr>
              <w:t>联系人及电话：</w:t>
            </w:r>
          </w:p>
          <w:p w14:paraId="731281F0">
            <w:pPr>
              <w:rPr>
                <w:rFonts w:hint="eastAsia" w:ascii="宋体" w:hAnsi="宋体" w:cs="宋体"/>
                <w:color w:val="auto"/>
                <w:sz w:val="24"/>
                <w:highlight w:val="none"/>
              </w:rPr>
            </w:pPr>
          </w:p>
          <w:p w14:paraId="02BDCD81">
            <w:pPr>
              <w:jc w:val="center"/>
              <w:rPr>
                <w:rFonts w:hint="eastAsia" w:ascii="宋体" w:hAnsi="宋体" w:cs="宋体"/>
                <w:color w:val="auto"/>
                <w:sz w:val="24"/>
                <w:highlight w:val="none"/>
              </w:rPr>
            </w:pPr>
            <w:r>
              <w:rPr>
                <w:rFonts w:hint="eastAsia" w:ascii="宋体" w:hAnsi="宋体" w:cs="宋体"/>
                <w:color w:val="auto"/>
                <w:sz w:val="24"/>
                <w:highlight w:val="none"/>
              </w:rPr>
              <w:t xml:space="preserve">                           供应商签章：</w:t>
            </w:r>
          </w:p>
          <w:p w14:paraId="7B77BDEC">
            <w:pPr>
              <w:jc w:val="center"/>
              <w:rPr>
                <w:rFonts w:hint="eastAsia" w:ascii="宋体" w:hAnsi="宋体" w:cs="宋体"/>
                <w:color w:val="auto"/>
                <w:sz w:val="24"/>
                <w:highlight w:val="none"/>
              </w:rPr>
            </w:pPr>
            <w:r>
              <w:rPr>
                <w:rFonts w:hint="eastAsia" w:ascii="宋体" w:hAnsi="宋体" w:cs="宋体"/>
                <w:color w:val="auto"/>
                <w:sz w:val="24"/>
                <w:highlight w:val="none"/>
              </w:rPr>
              <w:t xml:space="preserve">                                                年    月    日</w:t>
            </w:r>
          </w:p>
        </w:tc>
      </w:tr>
      <w:tr w14:paraId="49D9C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5"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4EB6ABCA">
            <w:pPr>
              <w:jc w:val="center"/>
              <w:rPr>
                <w:rFonts w:hint="eastAsia" w:ascii="宋体" w:hAnsi="宋体" w:cs="宋体"/>
                <w:color w:val="auto"/>
                <w:sz w:val="24"/>
                <w:highlight w:val="none"/>
              </w:rPr>
            </w:pPr>
            <w:r>
              <w:rPr>
                <w:rFonts w:hint="eastAsia" w:ascii="宋体" w:hAnsi="宋体" w:cs="宋体"/>
                <w:color w:val="auto"/>
                <w:sz w:val="24"/>
                <w:highlight w:val="none"/>
              </w:rPr>
              <w:t>采</w:t>
            </w:r>
          </w:p>
          <w:p w14:paraId="3A058537">
            <w:pPr>
              <w:jc w:val="center"/>
              <w:rPr>
                <w:rFonts w:hint="eastAsia" w:ascii="宋体" w:hAnsi="宋体" w:cs="宋体"/>
                <w:color w:val="auto"/>
                <w:sz w:val="24"/>
                <w:highlight w:val="none"/>
              </w:rPr>
            </w:pPr>
            <w:r>
              <w:rPr>
                <w:rFonts w:hint="eastAsia" w:ascii="宋体" w:hAnsi="宋体" w:cs="宋体"/>
                <w:color w:val="auto"/>
                <w:sz w:val="24"/>
                <w:highlight w:val="none"/>
              </w:rPr>
              <w:t>购</w:t>
            </w:r>
          </w:p>
          <w:p w14:paraId="16ADB380">
            <w:pPr>
              <w:jc w:val="center"/>
              <w:rPr>
                <w:rFonts w:hint="eastAsia" w:ascii="宋体" w:hAnsi="宋体" w:cs="宋体"/>
                <w:color w:val="auto"/>
                <w:sz w:val="24"/>
                <w:highlight w:val="none"/>
              </w:rPr>
            </w:pPr>
            <w:r>
              <w:rPr>
                <w:rFonts w:hint="eastAsia" w:ascii="宋体" w:hAnsi="宋体" w:cs="宋体"/>
                <w:color w:val="auto"/>
                <w:sz w:val="24"/>
                <w:highlight w:val="none"/>
              </w:rPr>
              <w:t>单</w:t>
            </w:r>
          </w:p>
          <w:p w14:paraId="000E9737">
            <w:pPr>
              <w:jc w:val="center"/>
              <w:rPr>
                <w:rFonts w:hint="eastAsia" w:ascii="宋体" w:hAnsi="宋体" w:cs="宋体"/>
                <w:color w:val="auto"/>
                <w:sz w:val="24"/>
                <w:highlight w:val="none"/>
              </w:rPr>
            </w:pPr>
            <w:r>
              <w:rPr>
                <w:rFonts w:hint="eastAsia" w:ascii="宋体" w:hAnsi="宋体" w:cs="宋体"/>
                <w:color w:val="auto"/>
                <w:sz w:val="24"/>
                <w:highlight w:val="none"/>
              </w:rPr>
              <w:t>位</w:t>
            </w:r>
          </w:p>
          <w:p w14:paraId="01FB26EA">
            <w:pPr>
              <w:jc w:val="center"/>
              <w:rPr>
                <w:rFonts w:hint="eastAsia" w:ascii="宋体" w:hAnsi="宋体" w:cs="宋体"/>
                <w:color w:val="auto"/>
                <w:sz w:val="24"/>
                <w:highlight w:val="none"/>
              </w:rPr>
            </w:pPr>
            <w:r>
              <w:rPr>
                <w:rFonts w:hint="eastAsia" w:ascii="宋体" w:hAnsi="宋体" w:cs="宋体"/>
                <w:color w:val="auto"/>
                <w:sz w:val="24"/>
                <w:highlight w:val="none"/>
              </w:rPr>
              <w:t>意</w:t>
            </w:r>
          </w:p>
          <w:p w14:paraId="17A67FD3">
            <w:pPr>
              <w:jc w:val="center"/>
              <w:rPr>
                <w:rFonts w:hint="eastAsia" w:ascii="宋体" w:hAnsi="宋体" w:cs="宋体"/>
                <w:color w:val="auto"/>
                <w:sz w:val="24"/>
                <w:highlight w:val="none"/>
              </w:rPr>
            </w:pPr>
            <w:r>
              <w:rPr>
                <w:rFonts w:hint="eastAsia" w:ascii="宋体" w:hAnsi="宋体" w:cs="宋体"/>
                <w:color w:val="auto"/>
                <w:sz w:val="24"/>
                <w:highlight w:val="none"/>
              </w:rPr>
              <w:t>见</w:t>
            </w:r>
          </w:p>
        </w:tc>
        <w:tc>
          <w:tcPr>
            <w:tcW w:w="8009" w:type="dxa"/>
            <w:tcBorders>
              <w:top w:val="single" w:color="auto" w:sz="4" w:space="0"/>
              <w:left w:val="single" w:color="auto" w:sz="4" w:space="0"/>
              <w:bottom w:val="single" w:color="auto" w:sz="4" w:space="0"/>
              <w:right w:val="single" w:color="auto" w:sz="4" w:space="0"/>
            </w:tcBorders>
          </w:tcPr>
          <w:p w14:paraId="2461F5A8">
            <w:pPr>
              <w:rPr>
                <w:rFonts w:hint="eastAsia" w:ascii="宋体" w:hAnsi="宋体" w:cs="宋体"/>
                <w:color w:val="auto"/>
                <w:sz w:val="24"/>
                <w:highlight w:val="none"/>
              </w:rPr>
            </w:pPr>
          </w:p>
          <w:p w14:paraId="3C13AED4">
            <w:pPr>
              <w:rPr>
                <w:rFonts w:hint="eastAsia" w:ascii="宋体" w:hAnsi="宋体" w:cs="宋体"/>
                <w:color w:val="auto"/>
                <w:sz w:val="24"/>
                <w:highlight w:val="none"/>
              </w:rPr>
            </w:pPr>
            <w:r>
              <w:rPr>
                <w:rFonts w:hint="eastAsia" w:ascii="宋体" w:hAnsi="宋体" w:cs="宋体"/>
                <w:color w:val="auto"/>
                <w:sz w:val="24"/>
                <w:highlight w:val="none"/>
              </w:rPr>
              <w:t>退付意见：是否同意退付履约保证金及退付金额：</w:t>
            </w:r>
          </w:p>
          <w:p w14:paraId="5DC9D6B0">
            <w:pPr>
              <w:rPr>
                <w:rFonts w:hint="eastAsia" w:ascii="宋体" w:hAnsi="宋体" w:cs="宋体"/>
                <w:color w:val="auto"/>
                <w:sz w:val="24"/>
                <w:highlight w:val="none"/>
              </w:rPr>
            </w:pPr>
          </w:p>
          <w:p w14:paraId="5BFBC902">
            <w:pPr>
              <w:rPr>
                <w:rFonts w:hint="eastAsia" w:ascii="宋体" w:hAnsi="宋体" w:cs="宋体"/>
                <w:color w:val="auto"/>
                <w:sz w:val="24"/>
                <w:highlight w:val="none"/>
              </w:rPr>
            </w:pPr>
          </w:p>
          <w:p w14:paraId="16F33ABC">
            <w:pPr>
              <w:rPr>
                <w:rFonts w:hint="eastAsia" w:ascii="宋体" w:hAnsi="宋体" w:cs="宋体"/>
                <w:color w:val="auto"/>
                <w:sz w:val="24"/>
                <w:highlight w:val="none"/>
              </w:rPr>
            </w:pPr>
            <w:r>
              <w:rPr>
                <w:rFonts w:hint="eastAsia" w:ascii="宋体" w:hAnsi="宋体" w:cs="宋体"/>
                <w:color w:val="auto"/>
                <w:sz w:val="24"/>
                <w:highlight w:val="none"/>
              </w:rPr>
              <w:t xml:space="preserve">联系人及电话：                                </w:t>
            </w:r>
          </w:p>
          <w:p w14:paraId="4DBE0F5A">
            <w:pPr>
              <w:rPr>
                <w:rFonts w:hint="eastAsia" w:ascii="宋体" w:hAnsi="宋体" w:cs="宋体"/>
                <w:color w:val="auto"/>
                <w:sz w:val="24"/>
                <w:highlight w:val="none"/>
              </w:rPr>
            </w:pPr>
          </w:p>
          <w:p w14:paraId="31A22248">
            <w:pPr>
              <w:ind w:firstLine="4560" w:firstLineChars="1900"/>
              <w:rPr>
                <w:rFonts w:hint="eastAsia" w:ascii="宋体" w:hAnsi="宋体" w:cs="宋体"/>
                <w:color w:val="auto"/>
                <w:sz w:val="24"/>
                <w:highlight w:val="none"/>
              </w:rPr>
            </w:pPr>
            <w:r>
              <w:rPr>
                <w:rFonts w:hint="eastAsia" w:ascii="宋体" w:hAnsi="宋体" w:cs="宋体"/>
                <w:color w:val="auto"/>
                <w:sz w:val="24"/>
                <w:highlight w:val="none"/>
              </w:rPr>
              <w:t xml:space="preserve"> 采购人签章：</w:t>
            </w:r>
          </w:p>
          <w:p w14:paraId="2BA6F971">
            <w:pPr>
              <w:jc w:val="center"/>
              <w:rPr>
                <w:rFonts w:hint="eastAsia" w:ascii="宋体" w:hAnsi="宋体" w:cs="宋体"/>
                <w:color w:val="auto"/>
                <w:sz w:val="24"/>
                <w:highlight w:val="none"/>
              </w:rPr>
            </w:pPr>
            <w:r>
              <w:rPr>
                <w:rFonts w:hint="eastAsia" w:ascii="宋体" w:hAnsi="宋体" w:cs="宋体"/>
                <w:color w:val="auto"/>
                <w:sz w:val="24"/>
                <w:highlight w:val="none"/>
              </w:rPr>
              <w:t xml:space="preserve">                                                年    月    日</w:t>
            </w:r>
          </w:p>
        </w:tc>
      </w:tr>
      <w:tr w14:paraId="06A02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1471D16B">
            <w:pPr>
              <w:jc w:val="center"/>
              <w:rPr>
                <w:rFonts w:hint="eastAsia" w:ascii="宋体" w:hAnsi="宋体" w:cs="宋体"/>
                <w:color w:val="auto"/>
                <w:sz w:val="24"/>
                <w:highlight w:val="none"/>
              </w:rPr>
            </w:pPr>
            <w:r>
              <w:rPr>
                <w:rFonts w:hint="eastAsia" w:ascii="宋体" w:hAnsi="宋体" w:cs="宋体"/>
                <w:color w:val="auto"/>
                <w:sz w:val="24"/>
                <w:highlight w:val="none"/>
              </w:rPr>
              <w:t>备注</w:t>
            </w:r>
          </w:p>
        </w:tc>
        <w:tc>
          <w:tcPr>
            <w:tcW w:w="8009" w:type="dxa"/>
            <w:tcBorders>
              <w:top w:val="single" w:color="auto" w:sz="4" w:space="0"/>
              <w:left w:val="single" w:color="auto" w:sz="4" w:space="0"/>
              <w:bottom w:val="single" w:color="auto" w:sz="4" w:space="0"/>
              <w:right w:val="single" w:color="auto" w:sz="4" w:space="0"/>
            </w:tcBorders>
          </w:tcPr>
          <w:p w14:paraId="29B37DDF">
            <w:pPr>
              <w:rPr>
                <w:rFonts w:hint="eastAsia" w:ascii="宋体" w:hAnsi="宋体" w:cs="宋体"/>
                <w:color w:val="auto"/>
                <w:sz w:val="24"/>
                <w:highlight w:val="none"/>
              </w:rPr>
            </w:pPr>
          </w:p>
        </w:tc>
      </w:tr>
    </w:tbl>
    <w:p w14:paraId="7352DE2F">
      <w:pPr>
        <w:spacing w:line="380" w:lineRule="exact"/>
        <w:ind w:left="1" w:firstLine="2" w:firstLineChars="1"/>
        <w:rPr>
          <w:rFonts w:hint="eastAsia" w:ascii="宋体" w:hAnsi="宋体" w:cs="宋体"/>
          <w:b/>
          <w:bCs/>
          <w:color w:val="auto"/>
          <w:kern w:val="0"/>
          <w:sz w:val="18"/>
          <w:szCs w:val="18"/>
          <w:highlight w:val="none"/>
        </w:rPr>
      </w:pPr>
      <w:r>
        <w:rPr>
          <w:rFonts w:hint="eastAsia" w:ascii="宋体" w:hAnsi="宋体" w:cs="宋体"/>
          <w:b/>
          <w:bCs/>
          <w:color w:val="auto"/>
          <w:kern w:val="0"/>
          <w:sz w:val="18"/>
          <w:szCs w:val="18"/>
          <w:highlight w:val="none"/>
        </w:rPr>
        <w:t>注：供应商凭经采购人审批的退付意见书到履约保证金收取单位财务部门办理履约保证金退付事宜。</w:t>
      </w:r>
    </w:p>
    <w:p w14:paraId="0E9B1E7F">
      <w:pPr>
        <w:pStyle w:val="161"/>
        <w:rPr>
          <w:rFonts w:hint="eastAsia" w:ascii="宋体" w:hAnsi="宋体" w:cs="宋体"/>
          <w:color w:val="auto"/>
          <w:highlight w:val="none"/>
        </w:rPr>
      </w:pPr>
    </w:p>
    <w:p w14:paraId="5827C49B">
      <w:pPr>
        <w:pStyle w:val="161"/>
        <w:rPr>
          <w:rFonts w:hint="eastAsia" w:ascii="宋体" w:hAnsi="宋体" w:cs="宋体"/>
          <w:color w:val="auto"/>
          <w:highlight w:val="none"/>
        </w:rPr>
        <w:sectPr>
          <w:headerReference r:id="rId6" w:type="first"/>
          <w:footerReference r:id="rId8" w:type="first"/>
          <w:footerReference r:id="rId7" w:type="default"/>
          <w:pgSz w:w="11910" w:h="16840"/>
          <w:pgMar w:top="1134" w:right="1134" w:bottom="1134" w:left="1134" w:header="720" w:footer="720" w:gutter="0"/>
          <w:pgNumType w:start="0"/>
          <w:cols w:space="0" w:num="1"/>
          <w:titlePg/>
          <w:docGrid w:linePitch="286" w:charSpace="0"/>
        </w:sectPr>
      </w:pPr>
    </w:p>
    <w:p w14:paraId="70F601C5">
      <w:pPr>
        <w:pStyle w:val="2"/>
        <w:keepNext w:val="0"/>
        <w:keepLines w:val="0"/>
        <w:tabs>
          <w:tab w:val="left" w:pos="0"/>
          <w:tab w:val="left" w:pos="3165"/>
          <w:tab w:val="center" w:pos="4153"/>
        </w:tabs>
        <w:autoSpaceDE w:val="0"/>
        <w:autoSpaceDN w:val="0"/>
        <w:adjustRightInd w:val="0"/>
        <w:spacing w:before="0" w:after="0" w:line="360" w:lineRule="auto"/>
        <w:jc w:val="center"/>
        <w:rPr>
          <w:rFonts w:hint="eastAsia" w:ascii="宋体" w:hAnsi="宋体" w:cs="宋体"/>
          <w:color w:val="auto"/>
          <w:highlight w:val="none"/>
        </w:rPr>
      </w:pPr>
      <w:bookmarkStart w:id="44" w:name="_Toc2582"/>
      <w:bookmarkStart w:id="45" w:name="_Toc18664"/>
      <w:r>
        <w:rPr>
          <w:rFonts w:hint="eastAsia" w:ascii="宋体" w:hAnsi="宋体" w:cs="宋体"/>
          <w:color w:val="auto"/>
          <w:highlight w:val="none"/>
        </w:rPr>
        <w:t>第三章  投标人须知</w:t>
      </w:r>
      <w:bookmarkEnd w:id="44"/>
      <w:bookmarkEnd w:id="45"/>
    </w:p>
    <w:p w14:paraId="3244A36C">
      <w:pPr>
        <w:jc w:val="center"/>
        <w:rPr>
          <w:rFonts w:hint="eastAsia" w:ascii="宋体" w:hAnsi="宋体" w:cs="宋体"/>
          <w:color w:val="auto"/>
          <w:sz w:val="36"/>
          <w:szCs w:val="36"/>
          <w:highlight w:val="none"/>
        </w:rPr>
      </w:pPr>
      <w:bookmarkStart w:id="46" w:name="_Toc254970667"/>
      <w:bookmarkStart w:id="47" w:name="_Toc254970526"/>
      <w:r>
        <w:rPr>
          <w:rFonts w:hint="eastAsia" w:ascii="宋体" w:hAnsi="宋体" w:cs="宋体"/>
          <w:color w:val="auto"/>
          <w:sz w:val="36"/>
          <w:szCs w:val="36"/>
          <w:highlight w:val="none"/>
        </w:rPr>
        <w:t>投标人须知前附表</w:t>
      </w:r>
      <w:bookmarkEnd w:id="46"/>
      <w:bookmarkEnd w:id="47"/>
    </w:p>
    <w:tbl>
      <w:tblPr>
        <w:tblStyle w:val="62"/>
        <w:tblW w:w="915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78"/>
        <w:gridCol w:w="8175"/>
      </w:tblGrid>
      <w:tr w14:paraId="6F0121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978" w:type="dxa"/>
            <w:tcBorders>
              <w:top w:val="single" w:color="auto" w:sz="4" w:space="0"/>
              <w:left w:val="single" w:color="auto" w:sz="4" w:space="0"/>
              <w:bottom w:val="single" w:color="auto" w:sz="4" w:space="0"/>
              <w:right w:val="single" w:color="auto" w:sz="4" w:space="0"/>
            </w:tcBorders>
            <w:vAlign w:val="center"/>
          </w:tcPr>
          <w:p w14:paraId="5B13D054">
            <w:pPr>
              <w:snapToGrid w:val="0"/>
              <w:spacing w:line="360" w:lineRule="auto"/>
              <w:jc w:val="left"/>
              <w:rPr>
                <w:rFonts w:hint="eastAsia" w:ascii="宋体" w:hAnsi="宋体" w:cs="宋体"/>
                <w:b/>
                <w:bCs/>
                <w:color w:val="auto"/>
                <w:szCs w:val="21"/>
                <w:highlight w:val="none"/>
              </w:rPr>
            </w:pPr>
            <w:r>
              <w:rPr>
                <w:rFonts w:hint="eastAsia" w:ascii="宋体" w:hAnsi="宋体" w:cs="宋体"/>
                <w:b/>
                <w:bCs/>
                <w:color w:val="auto"/>
                <w:szCs w:val="21"/>
                <w:highlight w:val="none"/>
              </w:rPr>
              <w:t>条款号</w:t>
            </w:r>
          </w:p>
        </w:tc>
        <w:tc>
          <w:tcPr>
            <w:tcW w:w="8175" w:type="dxa"/>
            <w:tcBorders>
              <w:top w:val="single" w:color="auto" w:sz="4" w:space="0"/>
              <w:left w:val="single" w:color="auto" w:sz="4" w:space="0"/>
              <w:bottom w:val="single" w:color="auto" w:sz="4" w:space="0"/>
              <w:right w:val="single" w:color="auto" w:sz="4" w:space="0"/>
            </w:tcBorders>
            <w:vAlign w:val="center"/>
          </w:tcPr>
          <w:p w14:paraId="0F0D18BB">
            <w:pPr>
              <w:snapToGrid w:val="0"/>
              <w:spacing w:line="360" w:lineRule="auto"/>
              <w:jc w:val="center"/>
              <w:rPr>
                <w:rFonts w:hint="eastAsia" w:ascii="宋体" w:hAnsi="宋体" w:cs="宋体"/>
                <w:b/>
                <w:bCs/>
                <w:color w:val="auto"/>
                <w:szCs w:val="21"/>
                <w:highlight w:val="none"/>
              </w:rPr>
            </w:pPr>
            <w:r>
              <w:rPr>
                <w:rFonts w:hint="eastAsia" w:ascii="宋体" w:hAnsi="宋体" w:cs="宋体"/>
                <w:b/>
                <w:bCs/>
                <w:color w:val="auto"/>
                <w:szCs w:val="21"/>
                <w:highlight w:val="none"/>
              </w:rPr>
              <w:t>编列内容</w:t>
            </w:r>
          </w:p>
        </w:tc>
      </w:tr>
      <w:tr w14:paraId="4286179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978" w:type="dxa"/>
            <w:tcBorders>
              <w:top w:val="single" w:color="auto" w:sz="4" w:space="0"/>
              <w:left w:val="single" w:color="auto" w:sz="4" w:space="0"/>
              <w:bottom w:val="single" w:color="auto" w:sz="4" w:space="0"/>
              <w:right w:val="single" w:color="auto" w:sz="4" w:space="0"/>
            </w:tcBorders>
            <w:vAlign w:val="center"/>
          </w:tcPr>
          <w:p w14:paraId="354B934B">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1</w:t>
            </w:r>
          </w:p>
        </w:tc>
        <w:tc>
          <w:tcPr>
            <w:tcW w:w="8175" w:type="dxa"/>
            <w:tcBorders>
              <w:top w:val="single" w:color="auto" w:sz="4" w:space="0"/>
              <w:left w:val="single" w:color="auto" w:sz="4" w:space="0"/>
              <w:bottom w:val="single" w:color="auto" w:sz="4" w:space="0"/>
              <w:right w:val="single" w:color="auto" w:sz="4" w:space="0"/>
            </w:tcBorders>
            <w:vAlign w:val="center"/>
          </w:tcPr>
          <w:p w14:paraId="66FA72B4">
            <w:pPr>
              <w:snapToGrid w:val="0"/>
              <w:spacing w:line="360" w:lineRule="auto"/>
              <w:jc w:val="left"/>
              <w:rPr>
                <w:rFonts w:hint="eastAsia" w:ascii="宋体" w:hAnsi="宋体" w:cs="宋体"/>
                <w:color w:val="auto"/>
                <w:szCs w:val="21"/>
                <w:highlight w:val="none"/>
              </w:rPr>
            </w:pPr>
            <w:r>
              <w:rPr>
                <w:rFonts w:hint="eastAsia" w:ascii="宋体" w:hAnsi="宋体" w:cs="宋体"/>
                <w:color w:val="auto"/>
                <w:szCs w:val="21"/>
                <w:highlight w:val="none"/>
              </w:rPr>
              <w:t>1.投标人的资格要求详见招标公告。</w:t>
            </w:r>
          </w:p>
          <w:p w14:paraId="6608FB9A">
            <w:pPr>
              <w:snapToGrid w:val="0"/>
              <w:spacing w:line="360" w:lineRule="auto"/>
              <w:jc w:val="left"/>
              <w:rPr>
                <w:rFonts w:hint="eastAsia" w:ascii="宋体" w:hAnsi="宋体" w:cs="宋体"/>
                <w:color w:val="auto"/>
                <w:szCs w:val="21"/>
                <w:highlight w:val="none"/>
              </w:rPr>
            </w:pPr>
            <w:r>
              <w:rPr>
                <w:rFonts w:hint="eastAsia" w:ascii="宋体" w:hAnsi="宋体" w:cs="宋体"/>
                <w:color w:val="auto"/>
                <w:szCs w:val="21"/>
                <w:highlight w:val="none"/>
              </w:rPr>
              <w:t>2.投标人出现下列情形之一的，不得参加政府采购活动：</w:t>
            </w:r>
          </w:p>
          <w:p w14:paraId="39DF0ADA">
            <w:pPr>
              <w:snapToGrid w:val="0"/>
              <w:spacing w:line="360" w:lineRule="auto"/>
              <w:jc w:val="left"/>
              <w:rPr>
                <w:rFonts w:hint="eastAsia" w:ascii="宋体" w:hAnsi="宋体" w:cs="宋体"/>
                <w:color w:val="auto"/>
                <w:szCs w:val="21"/>
                <w:highlight w:val="none"/>
              </w:rPr>
            </w:pPr>
            <w:r>
              <w:rPr>
                <w:rFonts w:hint="eastAsia" w:ascii="宋体" w:hAnsi="宋体" w:cs="宋体"/>
                <w:color w:val="auto"/>
                <w:szCs w:val="21"/>
                <w:highlight w:val="none"/>
              </w:rPr>
              <w:t>2.1单位负责人为同一人或者存在直接控股、管理关系的不同供应商，不得参加同一合同项下的政府采购活动。为本项目提供过整体设计、规范编制或者项目管理、监理、检测等服务的供应商，不得再参加本项目上述服务以外的其他采购活动。</w:t>
            </w:r>
          </w:p>
          <w:p w14:paraId="549E66C9">
            <w:pPr>
              <w:snapToGrid w:val="0"/>
              <w:spacing w:line="360" w:lineRule="auto"/>
              <w:jc w:val="left"/>
              <w:rPr>
                <w:rFonts w:hint="eastAsia" w:ascii="宋体" w:hAnsi="宋体" w:cs="宋体"/>
                <w:color w:val="auto"/>
                <w:szCs w:val="21"/>
                <w:highlight w:val="none"/>
              </w:rPr>
            </w:pPr>
            <w:r>
              <w:rPr>
                <w:rFonts w:hint="eastAsia" w:ascii="宋体" w:hAnsi="宋体" w:cs="宋体"/>
                <w:color w:val="auto"/>
                <w:szCs w:val="21"/>
                <w:highlight w:val="none"/>
              </w:rPr>
              <w:t>2.2对在“信用中国”网站（www.creditchina.gov.cn） 、中国政府采购网（www.ccgp.gov.cn）被列入失信被执行人、重大税收违法失信主体、政府采购严重违法失信行为记录名单及其他不符合《中华人民共和国政府采购法》第二十二条规定条件的供应商，不得参与政府采购活动。</w:t>
            </w:r>
          </w:p>
        </w:tc>
      </w:tr>
      <w:tr w14:paraId="7DA4353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978" w:type="dxa"/>
            <w:tcBorders>
              <w:top w:val="single" w:color="auto" w:sz="4" w:space="0"/>
              <w:left w:val="single" w:color="auto" w:sz="4" w:space="0"/>
              <w:bottom w:val="single" w:color="auto" w:sz="4" w:space="0"/>
              <w:right w:val="single" w:color="auto" w:sz="4" w:space="0"/>
            </w:tcBorders>
            <w:vAlign w:val="center"/>
          </w:tcPr>
          <w:p w14:paraId="21E3E591">
            <w:pPr>
              <w:spacing w:line="360" w:lineRule="auto"/>
              <w:jc w:val="center"/>
              <w:rPr>
                <w:rFonts w:hint="eastAsia" w:ascii="宋体" w:hAnsi="宋体" w:cs="宋体"/>
                <w:color w:val="auto"/>
                <w:szCs w:val="21"/>
                <w:highlight w:val="none"/>
              </w:rPr>
            </w:pPr>
            <w:bookmarkStart w:id="48" w:name="_9.2"/>
            <w:bookmarkEnd w:id="48"/>
            <w:bookmarkStart w:id="49" w:name="_5"/>
            <w:bookmarkEnd w:id="49"/>
            <w:bookmarkStart w:id="50" w:name="_8.1"/>
            <w:bookmarkEnd w:id="50"/>
            <w:r>
              <w:rPr>
                <w:rFonts w:hint="eastAsia" w:ascii="宋体" w:hAnsi="宋体" w:cs="宋体"/>
                <w:color w:val="auto"/>
                <w:szCs w:val="21"/>
                <w:highlight w:val="none"/>
              </w:rPr>
              <w:t>2</w:t>
            </w:r>
          </w:p>
        </w:tc>
        <w:tc>
          <w:tcPr>
            <w:tcW w:w="8175" w:type="dxa"/>
            <w:tcBorders>
              <w:top w:val="single" w:color="auto" w:sz="4" w:space="0"/>
              <w:left w:val="single" w:color="auto" w:sz="4" w:space="0"/>
              <w:bottom w:val="single" w:color="auto" w:sz="4" w:space="0"/>
              <w:right w:val="single" w:color="auto" w:sz="4" w:space="0"/>
            </w:tcBorders>
            <w:vAlign w:val="center"/>
          </w:tcPr>
          <w:p w14:paraId="46E4DD69">
            <w:pPr>
              <w:pStyle w:val="19"/>
              <w:spacing w:line="360" w:lineRule="auto"/>
              <w:rPr>
                <w:rFonts w:hint="eastAsia" w:ascii="宋体" w:hAnsi="宋体" w:cs="宋体"/>
                <w:color w:val="auto"/>
                <w:szCs w:val="21"/>
                <w:highlight w:val="none"/>
              </w:rPr>
            </w:pPr>
            <w:r>
              <w:rPr>
                <w:rFonts w:hint="eastAsia" w:ascii="宋体" w:hAnsi="宋体" w:cs="宋体"/>
                <w:color w:val="auto"/>
                <w:szCs w:val="21"/>
                <w:highlight w:val="none"/>
              </w:rPr>
              <w:t>本项目是否接受联合体投标：详见招标公告。</w:t>
            </w:r>
          </w:p>
        </w:tc>
      </w:tr>
      <w:tr w14:paraId="72E93A5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978" w:type="dxa"/>
            <w:tcBorders>
              <w:top w:val="single" w:color="auto" w:sz="4" w:space="0"/>
              <w:left w:val="single" w:color="auto" w:sz="4" w:space="0"/>
              <w:bottom w:val="single" w:color="auto" w:sz="4" w:space="0"/>
              <w:right w:val="single" w:color="auto" w:sz="4" w:space="0"/>
            </w:tcBorders>
            <w:vAlign w:val="center"/>
          </w:tcPr>
          <w:p w14:paraId="08F50D17">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3</w:t>
            </w:r>
          </w:p>
        </w:tc>
        <w:tc>
          <w:tcPr>
            <w:tcW w:w="8175" w:type="dxa"/>
            <w:tcBorders>
              <w:top w:val="single" w:color="auto" w:sz="4" w:space="0"/>
              <w:left w:val="single" w:color="auto" w:sz="4" w:space="0"/>
              <w:bottom w:val="single" w:color="auto" w:sz="4" w:space="0"/>
              <w:right w:val="single" w:color="auto" w:sz="4" w:space="0"/>
            </w:tcBorders>
            <w:vAlign w:val="center"/>
          </w:tcPr>
          <w:p w14:paraId="73AEB7F3">
            <w:pPr>
              <w:pStyle w:val="19"/>
              <w:spacing w:line="360" w:lineRule="auto"/>
              <w:rPr>
                <w:rFonts w:hint="eastAsia" w:ascii="宋体" w:hAnsi="宋体" w:cs="宋体"/>
                <w:color w:val="auto"/>
                <w:szCs w:val="21"/>
                <w:highlight w:val="none"/>
              </w:rPr>
            </w:pPr>
            <w:r>
              <w:rPr>
                <w:rFonts w:hint="eastAsia" w:ascii="宋体" w:hAnsi="宋体" w:cs="宋体"/>
                <w:color w:val="auto"/>
                <w:szCs w:val="21"/>
                <w:highlight w:val="none"/>
              </w:rPr>
              <w:t>√不允许分包</w:t>
            </w:r>
          </w:p>
          <w:p w14:paraId="3B4BDD54">
            <w:pPr>
              <w:pStyle w:val="19"/>
              <w:spacing w:line="360" w:lineRule="auto"/>
              <w:rPr>
                <w:rFonts w:hint="eastAsia" w:ascii="宋体" w:hAnsi="宋体" w:cs="宋体"/>
                <w:color w:val="auto"/>
                <w:szCs w:val="21"/>
                <w:highlight w:val="none"/>
              </w:rPr>
            </w:pPr>
            <w:r>
              <w:rPr>
                <w:rFonts w:hint="eastAsia" w:ascii="宋体" w:hAnsi="宋体" w:cs="宋体"/>
                <w:color w:val="auto"/>
                <w:szCs w:val="21"/>
                <w:highlight w:val="none"/>
              </w:rPr>
              <w:t>□允许分包</w:t>
            </w:r>
          </w:p>
          <w:p w14:paraId="188C68D7">
            <w:pPr>
              <w:pStyle w:val="19"/>
              <w:spacing w:line="360" w:lineRule="auto"/>
              <w:rPr>
                <w:rFonts w:hint="eastAsia" w:ascii="宋体" w:hAnsi="宋体" w:cs="宋体"/>
                <w:color w:val="auto"/>
                <w:szCs w:val="21"/>
                <w:highlight w:val="none"/>
                <w:u w:val="single"/>
              </w:rPr>
            </w:pPr>
            <w:r>
              <w:rPr>
                <w:rFonts w:hint="eastAsia" w:ascii="宋体" w:hAnsi="宋体" w:cs="宋体"/>
                <w:color w:val="auto"/>
                <w:szCs w:val="21"/>
                <w:highlight w:val="none"/>
              </w:rPr>
              <w:t>分包内容：</w:t>
            </w:r>
            <w:r>
              <w:rPr>
                <w:rFonts w:hint="eastAsia" w:ascii="宋体" w:hAnsi="宋体" w:cs="宋体"/>
                <w:color w:val="auto"/>
                <w:szCs w:val="21"/>
                <w:highlight w:val="none"/>
                <w:u w:val="single"/>
              </w:rPr>
              <w:t xml:space="preserve">                                     。</w:t>
            </w:r>
          </w:p>
          <w:p w14:paraId="1D891A7F">
            <w:pPr>
              <w:pStyle w:val="19"/>
              <w:spacing w:line="360" w:lineRule="auto"/>
              <w:jc w:val="both"/>
              <w:rPr>
                <w:rFonts w:hint="eastAsia" w:ascii="宋体" w:hAnsi="宋体" w:cs="宋体"/>
                <w:color w:val="auto"/>
                <w:szCs w:val="21"/>
                <w:highlight w:val="none"/>
                <w:u w:val="single"/>
              </w:rPr>
            </w:pPr>
            <w:r>
              <w:rPr>
                <w:rFonts w:hint="eastAsia" w:ascii="宋体" w:hAnsi="宋体" w:cs="宋体"/>
                <w:color w:val="auto"/>
                <w:szCs w:val="21"/>
                <w:highlight w:val="none"/>
              </w:rPr>
              <w:t>分包金额或者比例：</w:t>
            </w:r>
            <w:r>
              <w:rPr>
                <w:rFonts w:hint="eastAsia" w:ascii="宋体" w:hAnsi="宋体" w:cs="宋体"/>
                <w:color w:val="auto"/>
                <w:szCs w:val="21"/>
                <w:highlight w:val="none"/>
                <w:u w:val="single"/>
              </w:rPr>
              <w:t xml:space="preserve">                                     。</w:t>
            </w:r>
          </w:p>
        </w:tc>
      </w:tr>
      <w:tr w14:paraId="4BCF1A5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978" w:type="dxa"/>
            <w:vMerge w:val="restart"/>
            <w:tcBorders>
              <w:top w:val="single" w:color="auto" w:sz="4" w:space="0"/>
              <w:left w:val="single" w:color="auto" w:sz="4" w:space="0"/>
              <w:right w:val="single" w:color="auto" w:sz="4" w:space="0"/>
            </w:tcBorders>
            <w:vAlign w:val="center"/>
          </w:tcPr>
          <w:p w14:paraId="31411056">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4</w:t>
            </w:r>
          </w:p>
        </w:tc>
        <w:tc>
          <w:tcPr>
            <w:tcW w:w="8175" w:type="dxa"/>
            <w:tcBorders>
              <w:top w:val="single" w:color="auto" w:sz="4" w:space="0"/>
              <w:left w:val="single" w:color="auto" w:sz="4" w:space="0"/>
              <w:bottom w:val="single" w:color="auto" w:sz="4" w:space="0"/>
              <w:right w:val="single" w:color="auto" w:sz="4" w:space="0"/>
            </w:tcBorders>
            <w:vAlign w:val="center"/>
          </w:tcPr>
          <w:p w14:paraId="2C8DE0EB">
            <w:pPr>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√不组织现场考察</w:t>
            </w:r>
          </w:p>
          <w:p w14:paraId="69CBC7D8">
            <w:pPr>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□组织现场考察：</w:t>
            </w:r>
          </w:p>
          <w:p w14:paraId="4D5BCE1A">
            <w:pPr>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详见《</w:t>
            </w:r>
            <w:r>
              <w:rPr>
                <w:rFonts w:hint="eastAsia" w:ascii="宋体" w:hAnsi="宋体" w:cs="宋体"/>
                <w:color w:val="auto"/>
                <w:highlight w:val="none"/>
              </w:rPr>
              <w:t>第二章采购需求</w:t>
            </w:r>
            <w:r>
              <w:rPr>
                <w:rFonts w:hint="eastAsia" w:ascii="宋体" w:hAnsi="宋体" w:cs="宋体"/>
                <w:color w:val="auto"/>
                <w:szCs w:val="21"/>
                <w:highlight w:val="none"/>
              </w:rPr>
              <w:t>》</w:t>
            </w:r>
          </w:p>
        </w:tc>
      </w:tr>
      <w:tr w14:paraId="28B6D57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978" w:type="dxa"/>
            <w:vMerge w:val="continue"/>
            <w:tcBorders>
              <w:left w:val="single" w:color="auto" w:sz="4" w:space="0"/>
              <w:bottom w:val="single" w:color="auto" w:sz="4" w:space="0"/>
              <w:right w:val="single" w:color="auto" w:sz="4" w:space="0"/>
            </w:tcBorders>
            <w:vAlign w:val="center"/>
          </w:tcPr>
          <w:p w14:paraId="0B9EBB2F">
            <w:pPr>
              <w:spacing w:line="360" w:lineRule="auto"/>
              <w:jc w:val="center"/>
              <w:rPr>
                <w:rFonts w:hint="eastAsia" w:ascii="宋体" w:hAnsi="宋体" w:cs="宋体"/>
                <w:color w:val="auto"/>
                <w:szCs w:val="21"/>
                <w:highlight w:val="none"/>
              </w:rPr>
            </w:pPr>
          </w:p>
        </w:tc>
        <w:tc>
          <w:tcPr>
            <w:tcW w:w="8175" w:type="dxa"/>
            <w:tcBorders>
              <w:top w:val="single" w:color="auto" w:sz="4" w:space="0"/>
              <w:left w:val="single" w:color="auto" w:sz="4" w:space="0"/>
              <w:bottom w:val="single" w:color="auto" w:sz="4" w:space="0"/>
              <w:right w:val="single" w:color="auto" w:sz="4" w:space="0"/>
            </w:tcBorders>
            <w:vAlign w:val="center"/>
          </w:tcPr>
          <w:p w14:paraId="2613400B">
            <w:pPr>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√不组织召开开标前答疑会</w:t>
            </w:r>
          </w:p>
          <w:p w14:paraId="0A3000A5">
            <w:pPr>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□组织召开开标前答疑会</w:t>
            </w:r>
          </w:p>
          <w:p w14:paraId="6D42F4DE">
            <w:pPr>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会议开始时间：/年/月/日/时/分，逾期后果自负。会议地点：/</w:t>
            </w:r>
          </w:p>
        </w:tc>
      </w:tr>
      <w:tr w14:paraId="3BEBF7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978" w:type="dxa"/>
            <w:vMerge w:val="restart"/>
            <w:tcBorders>
              <w:top w:val="single" w:color="auto" w:sz="4" w:space="0"/>
              <w:left w:val="single" w:color="auto" w:sz="4" w:space="0"/>
              <w:right w:val="single" w:color="auto" w:sz="4" w:space="0"/>
            </w:tcBorders>
            <w:vAlign w:val="center"/>
          </w:tcPr>
          <w:p w14:paraId="169ED707">
            <w:pPr>
              <w:spacing w:line="360" w:lineRule="auto"/>
              <w:jc w:val="center"/>
              <w:rPr>
                <w:rFonts w:hint="eastAsia" w:ascii="宋体" w:hAnsi="宋体" w:cs="宋体"/>
                <w:color w:val="auto"/>
                <w:szCs w:val="21"/>
                <w:highlight w:val="none"/>
              </w:rPr>
            </w:pPr>
            <w:bookmarkStart w:id="51" w:name="_13.1"/>
            <w:bookmarkEnd w:id="51"/>
            <w:r>
              <w:rPr>
                <w:rFonts w:hint="eastAsia" w:ascii="宋体" w:hAnsi="宋体" w:cs="宋体"/>
                <w:color w:val="auto"/>
                <w:szCs w:val="21"/>
                <w:highlight w:val="none"/>
              </w:rPr>
              <w:t>5</w:t>
            </w:r>
          </w:p>
        </w:tc>
        <w:tc>
          <w:tcPr>
            <w:tcW w:w="8175" w:type="dxa"/>
            <w:tcBorders>
              <w:top w:val="single" w:color="auto" w:sz="4" w:space="0"/>
              <w:left w:val="single" w:color="auto" w:sz="4" w:space="0"/>
              <w:bottom w:val="single" w:color="auto" w:sz="4" w:space="0"/>
              <w:right w:val="single" w:color="auto" w:sz="4" w:space="0"/>
            </w:tcBorders>
            <w:vAlign w:val="center"/>
          </w:tcPr>
          <w:p w14:paraId="3F2EC25C">
            <w:pPr>
              <w:snapToGrid w:val="0"/>
              <w:spacing w:line="360" w:lineRule="auto"/>
              <w:jc w:val="left"/>
              <w:rPr>
                <w:rFonts w:hint="eastAsia" w:ascii="宋体" w:hAnsi="宋体" w:cs="宋体"/>
                <w:b/>
                <w:color w:val="auto"/>
                <w:szCs w:val="21"/>
                <w:highlight w:val="none"/>
              </w:rPr>
            </w:pPr>
            <w:r>
              <w:rPr>
                <w:rFonts w:hint="eastAsia" w:ascii="宋体" w:hAnsi="宋体" w:cs="宋体"/>
                <w:b/>
                <w:color w:val="auto"/>
                <w:szCs w:val="21"/>
                <w:highlight w:val="none"/>
              </w:rPr>
              <w:t>报价文件：</w:t>
            </w:r>
          </w:p>
          <w:p w14:paraId="5BA3F342">
            <w:pPr>
              <w:tabs>
                <w:tab w:val="left" w:pos="459"/>
              </w:tabs>
              <w:snapToGrid w:val="0"/>
              <w:spacing w:line="360" w:lineRule="auto"/>
              <w:ind w:left="420"/>
              <w:jc w:val="left"/>
              <w:rPr>
                <w:rFonts w:hint="eastAsia" w:ascii="宋体" w:hAnsi="宋体" w:cs="宋体"/>
                <w:color w:val="auto"/>
                <w:szCs w:val="21"/>
                <w:highlight w:val="none"/>
              </w:rPr>
            </w:pPr>
            <w:r>
              <w:rPr>
                <w:rFonts w:hint="eastAsia" w:ascii="宋体" w:hAnsi="宋体" w:cs="宋体"/>
                <w:color w:val="auto"/>
                <w:szCs w:val="21"/>
                <w:highlight w:val="none"/>
              </w:rPr>
              <w:t>1.投标函（格式后附）；</w:t>
            </w:r>
            <w:r>
              <w:rPr>
                <w:rFonts w:hint="eastAsia" w:ascii="宋体" w:hAnsi="宋体" w:cs="宋体"/>
                <w:b/>
                <w:color w:val="auto"/>
                <w:szCs w:val="21"/>
                <w:highlight w:val="none"/>
              </w:rPr>
              <w:t>（必须提供，否则按无效投标处理）</w:t>
            </w:r>
          </w:p>
          <w:p w14:paraId="47B2105C">
            <w:pPr>
              <w:tabs>
                <w:tab w:val="left" w:pos="459"/>
              </w:tabs>
              <w:snapToGrid w:val="0"/>
              <w:spacing w:line="360" w:lineRule="auto"/>
              <w:ind w:left="420"/>
              <w:jc w:val="left"/>
              <w:rPr>
                <w:rFonts w:hint="eastAsia" w:ascii="宋体" w:hAnsi="宋体" w:cs="宋体"/>
                <w:b/>
                <w:color w:val="auto"/>
                <w:szCs w:val="21"/>
                <w:highlight w:val="none"/>
              </w:rPr>
            </w:pPr>
            <w:r>
              <w:rPr>
                <w:rFonts w:hint="eastAsia" w:ascii="宋体" w:hAnsi="宋体" w:cs="宋体"/>
                <w:color w:val="auto"/>
                <w:szCs w:val="21"/>
                <w:highlight w:val="none"/>
              </w:rPr>
              <w:t xml:space="preserve">2.开标一览表（格式后附）； </w:t>
            </w:r>
            <w:r>
              <w:rPr>
                <w:rFonts w:hint="eastAsia" w:ascii="宋体" w:hAnsi="宋体" w:cs="宋体"/>
                <w:b/>
                <w:color w:val="auto"/>
                <w:szCs w:val="21"/>
                <w:highlight w:val="none"/>
              </w:rPr>
              <w:t>（必须提供，否则按无效投标处理）</w:t>
            </w:r>
          </w:p>
          <w:p w14:paraId="23488E24">
            <w:pPr>
              <w:tabs>
                <w:tab w:val="left" w:pos="459"/>
              </w:tabs>
              <w:snapToGrid w:val="0"/>
              <w:spacing w:line="360" w:lineRule="auto"/>
              <w:ind w:left="420"/>
              <w:jc w:val="left"/>
              <w:rPr>
                <w:rFonts w:hint="eastAsia" w:ascii="宋体" w:hAnsi="宋体" w:cs="宋体"/>
                <w:color w:val="auto"/>
                <w:szCs w:val="21"/>
                <w:highlight w:val="none"/>
              </w:rPr>
            </w:pPr>
            <w:r>
              <w:rPr>
                <w:rFonts w:hint="eastAsia" w:ascii="宋体" w:hAnsi="宋体" w:cs="宋体"/>
                <w:color w:val="auto"/>
                <w:szCs w:val="21"/>
                <w:highlight w:val="none"/>
              </w:rPr>
              <w:t>3.投标人针对报价需要说明的其他文件和说明（格式自拟）。</w:t>
            </w:r>
            <w:r>
              <w:rPr>
                <w:rFonts w:hint="eastAsia" w:ascii="宋体" w:hAnsi="宋体" w:cs="宋体"/>
                <w:b/>
                <w:color w:val="auto"/>
                <w:szCs w:val="21"/>
                <w:highlight w:val="none"/>
              </w:rPr>
              <w:t>如《中小企业声明函》</w:t>
            </w:r>
          </w:p>
          <w:p w14:paraId="444EAD93">
            <w:pPr>
              <w:snapToGrid w:val="0"/>
              <w:spacing w:line="360" w:lineRule="auto"/>
              <w:jc w:val="left"/>
              <w:rPr>
                <w:rFonts w:hint="eastAsia" w:ascii="宋体" w:hAnsi="宋体" w:cs="宋体"/>
                <w:color w:val="auto"/>
                <w:szCs w:val="21"/>
                <w:highlight w:val="none"/>
              </w:rPr>
            </w:pPr>
            <w:r>
              <w:rPr>
                <w:rFonts w:hint="eastAsia" w:ascii="宋体" w:hAnsi="宋体" w:cs="宋体"/>
                <w:b/>
                <w:bCs/>
                <w:color w:val="auto"/>
                <w:szCs w:val="21"/>
                <w:highlight w:val="none"/>
              </w:rPr>
              <w:t>注：以上标明“必须提供”的材料属于复印件的，必须加盖投标人电子签章，否则按无效投标</w:t>
            </w:r>
            <w:r>
              <w:rPr>
                <w:rFonts w:hint="eastAsia" w:ascii="宋体" w:hAnsi="宋体" w:cs="宋体"/>
                <w:b/>
                <w:color w:val="auto"/>
                <w:szCs w:val="21"/>
                <w:highlight w:val="none"/>
              </w:rPr>
              <w:t>处理。</w:t>
            </w:r>
          </w:p>
        </w:tc>
      </w:tr>
      <w:tr w14:paraId="1B4A8AC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978" w:type="dxa"/>
            <w:vMerge w:val="continue"/>
            <w:tcBorders>
              <w:left w:val="single" w:color="auto" w:sz="4" w:space="0"/>
              <w:right w:val="single" w:color="auto" w:sz="4" w:space="0"/>
            </w:tcBorders>
            <w:vAlign w:val="center"/>
          </w:tcPr>
          <w:p w14:paraId="016237E6">
            <w:pPr>
              <w:spacing w:line="360" w:lineRule="auto"/>
              <w:rPr>
                <w:rFonts w:hint="eastAsia" w:ascii="宋体" w:hAnsi="宋体" w:cs="宋体"/>
                <w:color w:val="auto"/>
                <w:szCs w:val="21"/>
                <w:highlight w:val="none"/>
              </w:rPr>
            </w:pPr>
            <w:bookmarkStart w:id="52" w:name="_13.2"/>
            <w:bookmarkEnd w:id="52"/>
          </w:p>
        </w:tc>
        <w:tc>
          <w:tcPr>
            <w:tcW w:w="8175" w:type="dxa"/>
            <w:tcBorders>
              <w:top w:val="single" w:color="auto" w:sz="4" w:space="0"/>
              <w:left w:val="single" w:color="auto" w:sz="4" w:space="0"/>
              <w:bottom w:val="single" w:color="auto" w:sz="4" w:space="0"/>
              <w:right w:val="single" w:color="auto" w:sz="4" w:space="0"/>
            </w:tcBorders>
            <w:vAlign w:val="center"/>
          </w:tcPr>
          <w:p w14:paraId="474A7ED5">
            <w:pPr>
              <w:snapToGrid w:val="0"/>
              <w:spacing w:line="360" w:lineRule="auto"/>
              <w:jc w:val="left"/>
              <w:rPr>
                <w:rFonts w:hint="eastAsia" w:ascii="宋体" w:hAnsi="宋体" w:cs="宋体"/>
                <w:b/>
                <w:color w:val="auto"/>
                <w:szCs w:val="21"/>
                <w:highlight w:val="none"/>
              </w:rPr>
            </w:pPr>
            <w:r>
              <w:rPr>
                <w:rFonts w:hint="eastAsia" w:ascii="宋体" w:hAnsi="宋体" w:cs="宋体"/>
                <w:b/>
                <w:color w:val="auto"/>
                <w:szCs w:val="21"/>
                <w:highlight w:val="none"/>
              </w:rPr>
              <w:t>资格证明文件</w:t>
            </w:r>
          </w:p>
          <w:p w14:paraId="7047B933">
            <w:pPr>
              <w:snapToGrid w:val="0"/>
              <w:spacing w:line="360" w:lineRule="auto"/>
              <w:ind w:firstLine="420" w:firstLineChars="200"/>
              <w:jc w:val="left"/>
              <w:rPr>
                <w:rFonts w:hint="eastAsia" w:ascii="宋体" w:hAnsi="宋体" w:cs="宋体"/>
                <w:b/>
                <w:color w:val="auto"/>
                <w:szCs w:val="21"/>
                <w:highlight w:val="none"/>
              </w:rPr>
            </w:pPr>
            <w:r>
              <w:rPr>
                <w:rFonts w:hint="eastAsia" w:ascii="宋体" w:hAnsi="宋体" w:cs="宋体"/>
                <w:color w:val="auto"/>
                <w:szCs w:val="21"/>
                <w:highlight w:val="none"/>
              </w:rPr>
              <w:t>1.投标人为法人或者其他组织的，提供营业执照等证明文件（如营业执照或者事业单位法人证书或者</w:t>
            </w:r>
            <w:r>
              <w:rPr>
                <w:rStyle w:val="347"/>
                <w:rFonts w:hint="eastAsia"/>
                <w:color w:val="auto"/>
                <w:sz w:val="21"/>
                <w:szCs w:val="21"/>
                <w:highlight w:val="none"/>
              </w:rPr>
              <w:t>执业许可证</w:t>
            </w:r>
            <w:r>
              <w:rPr>
                <w:rFonts w:hint="eastAsia" w:ascii="宋体" w:hAnsi="宋体" w:cs="宋体"/>
                <w:color w:val="auto"/>
                <w:szCs w:val="21"/>
                <w:highlight w:val="none"/>
              </w:rPr>
              <w:t>或者登记证书等），投标人为自然人的，提供身份证复印件；（</w:t>
            </w:r>
            <w:r>
              <w:rPr>
                <w:rFonts w:hint="eastAsia" w:ascii="宋体" w:hAnsi="宋体" w:cs="宋体"/>
                <w:b/>
                <w:color w:val="auto"/>
                <w:szCs w:val="21"/>
                <w:highlight w:val="none"/>
              </w:rPr>
              <w:t>必须提供，否则按无效投标处理</w:t>
            </w:r>
            <w:r>
              <w:rPr>
                <w:rFonts w:hint="eastAsia" w:ascii="宋体" w:hAnsi="宋体" w:cs="宋体"/>
                <w:color w:val="auto"/>
                <w:szCs w:val="21"/>
                <w:highlight w:val="none"/>
              </w:rPr>
              <w:t>）</w:t>
            </w:r>
          </w:p>
          <w:p w14:paraId="1CC9E716">
            <w:pPr>
              <w:snapToGri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2.投标人依法缴纳税收的相关材料（2025年1月至2025年</w:t>
            </w:r>
            <w:r>
              <w:rPr>
                <w:rFonts w:hint="eastAsia" w:ascii="宋体" w:hAnsi="宋体" w:cs="宋体"/>
                <w:color w:val="auto"/>
                <w:szCs w:val="21"/>
                <w:highlight w:val="none"/>
                <w:lang w:val="en-US" w:eastAsia="zh-CN"/>
              </w:rPr>
              <w:t>7</w:t>
            </w:r>
            <w:r>
              <w:rPr>
                <w:rFonts w:hint="eastAsia" w:ascii="宋体" w:hAnsi="宋体" w:cs="宋体"/>
                <w:color w:val="auto"/>
                <w:szCs w:val="21"/>
                <w:highlight w:val="none"/>
              </w:rPr>
              <w:t>月内任意3个月的依法缴纳税收的凭据复印件；依法免税的供应商，必须提供符合免税条件的证明材料。从成立之日起到投标文件提交截止时间止不足要求月数的，只需提供从成立之日起的依法缴纳税收相应证明文件）；</w:t>
            </w:r>
            <w:r>
              <w:rPr>
                <w:rFonts w:hint="eastAsia" w:ascii="宋体" w:hAnsi="宋体" w:cs="宋体"/>
                <w:b/>
                <w:bCs/>
                <w:color w:val="auto"/>
                <w:szCs w:val="21"/>
                <w:highlight w:val="none"/>
              </w:rPr>
              <w:t>（必须提供，否则按无效投标处理）</w:t>
            </w:r>
          </w:p>
          <w:p w14:paraId="575DDE36">
            <w:pPr>
              <w:snapToGrid w:val="0"/>
              <w:spacing w:line="360" w:lineRule="auto"/>
              <w:ind w:firstLine="420" w:firstLineChars="200"/>
              <w:jc w:val="left"/>
              <w:rPr>
                <w:rFonts w:hint="eastAsia" w:ascii="宋体" w:hAnsi="宋体" w:cs="宋体"/>
                <w:b/>
                <w:color w:val="auto"/>
                <w:szCs w:val="21"/>
                <w:highlight w:val="none"/>
              </w:rPr>
            </w:pPr>
            <w:r>
              <w:rPr>
                <w:rFonts w:hint="eastAsia" w:ascii="宋体" w:hAnsi="宋体" w:cs="宋体"/>
                <w:color w:val="auto"/>
                <w:szCs w:val="21"/>
                <w:highlight w:val="none"/>
              </w:rPr>
              <w:t>3.投标人依法缴纳社会保障资金的相关材料[2025年1月至2025年</w:t>
            </w:r>
            <w:r>
              <w:rPr>
                <w:rFonts w:hint="eastAsia" w:ascii="宋体" w:hAnsi="宋体" w:cs="宋体"/>
                <w:color w:val="auto"/>
                <w:szCs w:val="21"/>
                <w:highlight w:val="none"/>
                <w:lang w:val="en-US" w:eastAsia="zh-CN"/>
              </w:rPr>
              <w:t>7</w:t>
            </w:r>
            <w:r>
              <w:rPr>
                <w:rFonts w:hint="eastAsia" w:ascii="宋体" w:hAnsi="宋体" w:cs="宋体"/>
                <w:color w:val="auto"/>
                <w:szCs w:val="21"/>
                <w:highlight w:val="none"/>
              </w:rPr>
              <w:t>月内任意3个月的依法缴纳社会保障资金的缴费证明材料（</w:t>
            </w:r>
            <w:r>
              <w:rPr>
                <w:rFonts w:hint="eastAsia" w:ascii="宋体" w:hAnsi="宋体" w:cs="宋体"/>
                <w:color w:val="auto"/>
                <w:highlight w:val="none"/>
              </w:rPr>
              <w:t>如：</w:t>
            </w:r>
            <w:r>
              <w:rPr>
                <w:rFonts w:hint="eastAsia" w:ascii="宋体" w:hAnsi="宋体" w:cs="宋体"/>
                <w:color w:val="auto"/>
                <w:szCs w:val="21"/>
                <w:highlight w:val="none"/>
              </w:rPr>
              <w:t>专用收据、社会保险缴纳清单或者社保部门的证明）复印件；依法不需要缴纳社会保障资金的供应商，必须提供相应文件证明不需要缴纳社会保障资金。从成立之日起到投标文件提交截止时间止不足要求月数的只需提供从成立之日起的依法缴纳社会保障资金的相应证明文件]；（</w:t>
            </w:r>
            <w:r>
              <w:rPr>
                <w:rFonts w:hint="eastAsia" w:ascii="宋体" w:hAnsi="宋体" w:cs="宋体"/>
                <w:b/>
                <w:color w:val="auto"/>
                <w:szCs w:val="21"/>
                <w:highlight w:val="none"/>
              </w:rPr>
              <w:t>必须提供，否则按无效投标处理</w:t>
            </w:r>
            <w:r>
              <w:rPr>
                <w:rFonts w:hint="eastAsia" w:ascii="宋体" w:hAnsi="宋体" w:cs="宋体"/>
                <w:color w:val="auto"/>
                <w:szCs w:val="21"/>
                <w:highlight w:val="none"/>
              </w:rPr>
              <w:t>）</w:t>
            </w:r>
          </w:p>
          <w:p w14:paraId="75A0553A">
            <w:pPr>
              <w:snapToGrid w:val="0"/>
              <w:spacing w:line="360" w:lineRule="auto"/>
              <w:ind w:firstLine="420" w:firstLineChars="200"/>
              <w:jc w:val="left"/>
              <w:rPr>
                <w:rFonts w:hint="eastAsia" w:ascii="宋体" w:hAnsi="宋体" w:cs="宋体"/>
                <w:b/>
                <w:color w:val="auto"/>
                <w:szCs w:val="21"/>
                <w:highlight w:val="none"/>
              </w:rPr>
            </w:pPr>
            <w:r>
              <w:rPr>
                <w:rFonts w:hint="eastAsia" w:ascii="宋体" w:hAnsi="宋体" w:cs="宋体"/>
                <w:color w:val="auto"/>
                <w:szCs w:val="21"/>
                <w:highlight w:val="none"/>
              </w:rPr>
              <w:t>4.投标人财务状况报告（</w:t>
            </w:r>
            <w:r>
              <w:rPr>
                <w:rFonts w:hint="eastAsia" w:ascii="宋体" w:hAnsi="宋体" w:cs="宋体"/>
                <w:color w:val="auto"/>
                <w:szCs w:val="21"/>
                <w:highlight w:val="none"/>
                <w:u w:val="single"/>
              </w:rPr>
              <w:t>2023</w:t>
            </w:r>
            <w:r>
              <w:rPr>
                <w:rFonts w:hint="eastAsia" w:ascii="宋体" w:hAnsi="宋体" w:cs="宋体"/>
                <w:color w:val="auto"/>
                <w:szCs w:val="21"/>
                <w:highlight w:val="none"/>
              </w:rPr>
              <w:t>年度或</w:t>
            </w:r>
            <w:r>
              <w:rPr>
                <w:rFonts w:hint="eastAsia" w:ascii="宋体" w:hAnsi="宋体" w:cs="宋体"/>
                <w:color w:val="auto"/>
                <w:szCs w:val="21"/>
                <w:highlight w:val="none"/>
                <w:u w:val="single"/>
              </w:rPr>
              <w:t>2024</w:t>
            </w:r>
            <w:r>
              <w:rPr>
                <w:rFonts w:hint="eastAsia" w:ascii="宋体" w:hAnsi="宋体" w:cs="宋体"/>
                <w:color w:val="auto"/>
                <w:szCs w:val="21"/>
                <w:highlight w:val="none"/>
              </w:rPr>
              <w:t>年度财务报表复印件，或者银行出具的资信证明，或者中国人民银行征信中心出具的信用报告（企业投标的提供企业信用报告</w:t>
            </w:r>
            <w:r>
              <w:rPr>
                <w:rFonts w:hint="eastAsia" w:ascii="宋体" w:hAnsi="宋体" w:cs="宋体"/>
                <w:color w:val="auto"/>
                <w:highlight w:val="none"/>
              </w:rPr>
              <w:t>，投标人属于成立时间在规定年度之后的法人或其他组织，需提供成立之日起至投标截止时间前的月报表</w:t>
            </w:r>
            <w:r>
              <w:rPr>
                <w:rFonts w:hint="eastAsia" w:ascii="宋体" w:hAnsi="宋体" w:cs="宋体"/>
                <w:color w:val="auto"/>
                <w:szCs w:val="21"/>
                <w:highlight w:val="none"/>
              </w:rPr>
              <w:t>或银行出具的资信证明或者中国人民银行征信中心出具的企业信用报告；资信证明应在有效期内，未注明有效期的，银行出具时间至投标截止时间不超过一年）；（</w:t>
            </w:r>
            <w:r>
              <w:rPr>
                <w:rFonts w:hint="eastAsia" w:ascii="宋体" w:hAnsi="宋体" w:cs="宋体"/>
                <w:b/>
                <w:color w:val="auto"/>
                <w:szCs w:val="21"/>
                <w:highlight w:val="none"/>
              </w:rPr>
              <w:t>必须提供，否则按无效投标处理</w:t>
            </w:r>
            <w:r>
              <w:rPr>
                <w:rFonts w:hint="eastAsia" w:ascii="宋体" w:hAnsi="宋体" w:cs="宋体"/>
                <w:color w:val="auto"/>
                <w:szCs w:val="21"/>
                <w:highlight w:val="none"/>
              </w:rPr>
              <w:t>）</w:t>
            </w:r>
          </w:p>
          <w:p w14:paraId="2164DDB2">
            <w:pPr>
              <w:snapToGri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5.投标人直接控股信息表（格式后附）；（</w:t>
            </w:r>
            <w:r>
              <w:rPr>
                <w:rFonts w:hint="eastAsia" w:ascii="宋体" w:hAnsi="宋体" w:cs="宋体"/>
                <w:b/>
                <w:color w:val="auto"/>
                <w:szCs w:val="21"/>
                <w:highlight w:val="none"/>
              </w:rPr>
              <w:t>必须提供，否则按无效投标处理</w:t>
            </w:r>
            <w:r>
              <w:rPr>
                <w:rFonts w:hint="eastAsia" w:ascii="宋体" w:hAnsi="宋体" w:cs="宋体"/>
                <w:color w:val="auto"/>
                <w:szCs w:val="21"/>
                <w:highlight w:val="none"/>
              </w:rPr>
              <w:t>）</w:t>
            </w:r>
          </w:p>
          <w:p w14:paraId="14F1BB47">
            <w:pPr>
              <w:snapToGri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6.投标人直接管理关系信息表（格式后附）；（</w:t>
            </w:r>
            <w:r>
              <w:rPr>
                <w:rFonts w:hint="eastAsia" w:ascii="宋体" w:hAnsi="宋体" w:cs="宋体"/>
                <w:b/>
                <w:color w:val="auto"/>
                <w:szCs w:val="21"/>
                <w:highlight w:val="none"/>
              </w:rPr>
              <w:t>必须提供，否则按无效投标处理</w:t>
            </w:r>
            <w:r>
              <w:rPr>
                <w:rFonts w:hint="eastAsia" w:ascii="宋体" w:hAnsi="宋体" w:cs="宋体"/>
                <w:color w:val="auto"/>
                <w:szCs w:val="21"/>
                <w:highlight w:val="none"/>
              </w:rPr>
              <w:t>）</w:t>
            </w:r>
          </w:p>
          <w:p w14:paraId="433D00F8">
            <w:pPr>
              <w:snapToGrid w:val="0"/>
              <w:spacing w:line="360" w:lineRule="auto"/>
              <w:ind w:firstLine="420" w:firstLineChars="200"/>
              <w:jc w:val="left"/>
              <w:rPr>
                <w:rFonts w:hint="eastAsia" w:ascii="宋体" w:hAnsi="宋体" w:cs="宋体"/>
                <w:b/>
                <w:color w:val="auto"/>
                <w:szCs w:val="21"/>
                <w:highlight w:val="none"/>
              </w:rPr>
            </w:pPr>
            <w:r>
              <w:rPr>
                <w:rFonts w:hint="eastAsia" w:ascii="宋体" w:hAnsi="宋体" w:cs="宋体"/>
                <w:color w:val="auto"/>
                <w:szCs w:val="21"/>
                <w:highlight w:val="none"/>
              </w:rPr>
              <w:t>7.投标声明（格式后附）；（</w:t>
            </w:r>
            <w:r>
              <w:rPr>
                <w:rFonts w:hint="eastAsia" w:ascii="宋体" w:hAnsi="宋体" w:cs="宋体"/>
                <w:b/>
                <w:color w:val="auto"/>
                <w:szCs w:val="21"/>
                <w:highlight w:val="none"/>
              </w:rPr>
              <w:t>必须提供，否则按无效投标处理</w:t>
            </w:r>
            <w:r>
              <w:rPr>
                <w:rFonts w:hint="eastAsia" w:ascii="宋体" w:hAnsi="宋体" w:cs="宋体"/>
                <w:color w:val="auto"/>
                <w:szCs w:val="21"/>
                <w:highlight w:val="none"/>
              </w:rPr>
              <w:t>）</w:t>
            </w:r>
          </w:p>
          <w:p w14:paraId="755C6932">
            <w:pPr>
              <w:snapToGri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8.除招标文件规定必须提供以外，投标人认为需要提供的其他证明材料。</w:t>
            </w:r>
          </w:p>
          <w:p w14:paraId="510E67AB">
            <w:pPr>
              <w:snapToGrid w:val="0"/>
              <w:spacing w:line="360" w:lineRule="auto"/>
              <w:jc w:val="left"/>
              <w:rPr>
                <w:rFonts w:hint="eastAsia" w:ascii="宋体" w:hAnsi="宋体" w:cs="宋体"/>
                <w:b/>
                <w:bCs/>
                <w:color w:val="auto"/>
                <w:szCs w:val="21"/>
                <w:highlight w:val="none"/>
              </w:rPr>
            </w:pPr>
            <w:r>
              <w:rPr>
                <w:rFonts w:hint="eastAsia" w:ascii="宋体" w:hAnsi="宋体" w:cs="宋体"/>
                <w:b/>
                <w:bCs/>
                <w:color w:val="auto"/>
                <w:szCs w:val="21"/>
                <w:highlight w:val="none"/>
              </w:rPr>
              <w:t>注：以上标明“必须提供”的材料的，必须加盖投标人电子签章，否则按无效投标</w:t>
            </w:r>
            <w:r>
              <w:rPr>
                <w:rFonts w:hint="eastAsia" w:ascii="宋体" w:hAnsi="宋体" w:cs="宋体"/>
                <w:b/>
                <w:color w:val="auto"/>
                <w:szCs w:val="21"/>
                <w:highlight w:val="none"/>
              </w:rPr>
              <w:t>处理。</w:t>
            </w:r>
          </w:p>
        </w:tc>
      </w:tr>
      <w:tr w14:paraId="30D8003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978" w:type="dxa"/>
            <w:vMerge w:val="continue"/>
            <w:tcBorders>
              <w:left w:val="single" w:color="auto" w:sz="4" w:space="0"/>
              <w:right w:val="single" w:color="auto" w:sz="4" w:space="0"/>
            </w:tcBorders>
            <w:vAlign w:val="center"/>
          </w:tcPr>
          <w:p w14:paraId="60D67D77">
            <w:pPr>
              <w:spacing w:line="360" w:lineRule="auto"/>
              <w:rPr>
                <w:rFonts w:hint="eastAsia" w:ascii="宋体" w:hAnsi="宋体" w:cs="宋体"/>
                <w:color w:val="auto"/>
                <w:szCs w:val="21"/>
                <w:highlight w:val="none"/>
              </w:rPr>
            </w:pPr>
            <w:bookmarkStart w:id="53" w:name="_13.3"/>
            <w:bookmarkEnd w:id="53"/>
          </w:p>
        </w:tc>
        <w:tc>
          <w:tcPr>
            <w:tcW w:w="8175" w:type="dxa"/>
            <w:tcBorders>
              <w:top w:val="single" w:color="auto" w:sz="4" w:space="0"/>
              <w:left w:val="single" w:color="auto" w:sz="4" w:space="0"/>
              <w:bottom w:val="single" w:color="auto" w:sz="4" w:space="0"/>
              <w:right w:val="single" w:color="auto" w:sz="4" w:space="0"/>
            </w:tcBorders>
            <w:vAlign w:val="center"/>
          </w:tcPr>
          <w:p w14:paraId="31B54C47">
            <w:pPr>
              <w:snapToGrid w:val="0"/>
              <w:spacing w:line="360" w:lineRule="auto"/>
              <w:jc w:val="left"/>
              <w:rPr>
                <w:rFonts w:hint="eastAsia" w:ascii="宋体" w:hAnsi="宋体" w:cs="宋体"/>
                <w:b/>
                <w:color w:val="auto"/>
                <w:szCs w:val="21"/>
                <w:highlight w:val="none"/>
              </w:rPr>
            </w:pPr>
            <w:r>
              <w:rPr>
                <w:rFonts w:hint="eastAsia" w:ascii="宋体" w:hAnsi="宋体" w:cs="宋体"/>
                <w:b/>
                <w:color w:val="auto"/>
                <w:szCs w:val="21"/>
                <w:highlight w:val="none"/>
              </w:rPr>
              <w:t>商务及技术文件：</w:t>
            </w:r>
          </w:p>
          <w:p w14:paraId="0DE84E5A">
            <w:pPr>
              <w:snapToGrid w:val="0"/>
              <w:spacing w:line="360" w:lineRule="auto"/>
              <w:ind w:left="413"/>
              <w:jc w:val="left"/>
              <w:rPr>
                <w:rFonts w:hint="eastAsia" w:ascii="宋体" w:hAnsi="宋体" w:cs="宋体"/>
                <w:color w:val="auto"/>
                <w:szCs w:val="21"/>
                <w:highlight w:val="none"/>
              </w:rPr>
            </w:pPr>
            <w:r>
              <w:rPr>
                <w:rFonts w:hint="eastAsia" w:ascii="宋体" w:hAnsi="宋体" w:cs="宋体"/>
                <w:color w:val="auto"/>
                <w:szCs w:val="21"/>
                <w:highlight w:val="none"/>
              </w:rPr>
              <w:t>1.无串通投标行为的承诺函（格式后附）；（</w:t>
            </w:r>
            <w:r>
              <w:rPr>
                <w:rFonts w:hint="eastAsia" w:ascii="宋体" w:hAnsi="宋体" w:cs="宋体"/>
                <w:b/>
                <w:color w:val="auto"/>
                <w:szCs w:val="21"/>
                <w:highlight w:val="none"/>
              </w:rPr>
              <w:t>必须提供，否则按无效投标处理</w:t>
            </w:r>
            <w:r>
              <w:rPr>
                <w:rFonts w:hint="eastAsia" w:ascii="宋体" w:hAnsi="宋体" w:cs="宋体"/>
                <w:color w:val="auto"/>
                <w:szCs w:val="21"/>
                <w:highlight w:val="none"/>
              </w:rPr>
              <w:t>）</w:t>
            </w:r>
          </w:p>
          <w:p w14:paraId="6EDBA731">
            <w:pPr>
              <w:snapToGrid w:val="0"/>
              <w:spacing w:line="360" w:lineRule="auto"/>
              <w:ind w:left="413"/>
              <w:jc w:val="left"/>
              <w:rPr>
                <w:rFonts w:hint="eastAsia" w:ascii="宋体" w:hAnsi="宋体" w:cs="宋体"/>
                <w:color w:val="auto"/>
                <w:szCs w:val="21"/>
                <w:highlight w:val="none"/>
              </w:rPr>
            </w:pPr>
            <w:r>
              <w:rPr>
                <w:rFonts w:hint="eastAsia" w:ascii="宋体" w:hAnsi="宋体" w:cs="宋体"/>
                <w:color w:val="auto"/>
                <w:szCs w:val="21"/>
                <w:highlight w:val="none"/>
              </w:rPr>
              <w:t>2.投标保证金提交凭证；（</w:t>
            </w:r>
            <w:r>
              <w:rPr>
                <w:rFonts w:hint="eastAsia" w:ascii="宋体" w:hAnsi="宋体" w:cs="宋体"/>
                <w:b/>
                <w:color w:val="auto"/>
                <w:szCs w:val="21"/>
                <w:highlight w:val="none"/>
              </w:rPr>
              <w:t>必须提供，否则按无效投标处理</w:t>
            </w:r>
            <w:r>
              <w:rPr>
                <w:rFonts w:hint="eastAsia" w:ascii="宋体" w:hAnsi="宋体" w:cs="宋体"/>
                <w:color w:val="auto"/>
                <w:szCs w:val="21"/>
                <w:highlight w:val="none"/>
              </w:rPr>
              <w:t>）</w:t>
            </w:r>
          </w:p>
          <w:p w14:paraId="008E4097">
            <w:pPr>
              <w:snapToGrid w:val="0"/>
              <w:spacing w:line="360" w:lineRule="auto"/>
              <w:ind w:left="413"/>
              <w:jc w:val="left"/>
              <w:rPr>
                <w:rFonts w:hint="eastAsia" w:ascii="宋体" w:hAnsi="宋体" w:cs="宋体"/>
                <w:color w:val="auto"/>
                <w:szCs w:val="21"/>
                <w:highlight w:val="none"/>
              </w:rPr>
            </w:pPr>
            <w:r>
              <w:rPr>
                <w:rFonts w:hint="eastAsia" w:ascii="宋体" w:hAnsi="宋体" w:cs="宋体"/>
                <w:color w:val="auto"/>
                <w:szCs w:val="21"/>
                <w:highlight w:val="none"/>
              </w:rPr>
              <w:t>3.法定代表人身份证明及法定代表人有效身份证正反面复印件（格式后附）；（</w:t>
            </w:r>
            <w:r>
              <w:rPr>
                <w:rFonts w:hint="eastAsia" w:ascii="宋体" w:hAnsi="宋体" w:cs="宋体"/>
                <w:b/>
                <w:color w:val="auto"/>
                <w:szCs w:val="21"/>
                <w:highlight w:val="none"/>
              </w:rPr>
              <w:t>必须提供，否则按无效投标处理</w:t>
            </w:r>
            <w:r>
              <w:rPr>
                <w:rFonts w:hint="eastAsia" w:ascii="宋体" w:hAnsi="宋体" w:cs="宋体"/>
                <w:color w:val="auto"/>
                <w:szCs w:val="21"/>
                <w:highlight w:val="none"/>
              </w:rPr>
              <w:t>）</w:t>
            </w:r>
          </w:p>
          <w:p w14:paraId="6FF3712B">
            <w:pPr>
              <w:snapToGrid w:val="0"/>
              <w:spacing w:line="360" w:lineRule="auto"/>
              <w:ind w:left="413"/>
              <w:jc w:val="left"/>
              <w:rPr>
                <w:rFonts w:hint="eastAsia" w:ascii="宋体" w:hAnsi="宋体" w:cs="宋体"/>
                <w:color w:val="auto"/>
                <w:szCs w:val="21"/>
                <w:highlight w:val="none"/>
              </w:rPr>
            </w:pPr>
            <w:r>
              <w:rPr>
                <w:rFonts w:hint="eastAsia" w:ascii="宋体" w:hAnsi="宋体" w:cs="宋体"/>
                <w:color w:val="auto"/>
                <w:szCs w:val="21"/>
                <w:highlight w:val="none"/>
              </w:rPr>
              <w:t>4.授权委托书及委托代理人有效身份证正反面复印件（格式后附）；（</w:t>
            </w:r>
            <w:r>
              <w:rPr>
                <w:rFonts w:hint="eastAsia" w:ascii="宋体" w:hAnsi="宋体" w:cs="宋体"/>
                <w:b/>
                <w:color w:val="auto"/>
                <w:szCs w:val="21"/>
                <w:highlight w:val="none"/>
              </w:rPr>
              <w:t>委托时必须提供，否则按无效投标处理</w:t>
            </w:r>
            <w:r>
              <w:rPr>
                <w:rFonts w:hint="eastAsia" w:ascii="宋体" w:hAnsi="宋体" w:cs="宋体"/>
                <w:color w:val="auto"/>
                <w:szCs w:val="21"/>
                <w:highlight w:val="none"/>
              </w:rPr>
              <w:t>）</w:t>
            </w:r>
          </w:p>
          <w:p w14:paraId="50CA4E13">
            <w:pPr>
              <w:snapToGrid w:val="0"/>
              <w:spacing w:line="360" w:lineRule="auto"/>
              <w:ind w:left="413"/>
              <w:jc w:val="left"/>
              <w:rPr>
                <w:rFonts w:hint="eastAsia" w:ascii="宋体" w:hAnsi="宋体" w:cs="宋体"/>
                <w:color w:val="auto"/>
                <w:szCs w:val="21"/>
                <w:highlight w:val="none"/>
              </w:rPr>
            </w:pPr>
            <w:r>
              <w:rPr>
                <w:rFonts w:hint="eastAsia" w:ascii="宋体" w:hAnsi="宋体" w:cs="宋体"/>
                <w:color w:val="auto"/>
                <w:szCs w:val="21"/>
                <w:highlight w:val="none"/>
              </w:rPr>
              <w:t>5.商务要求偏离表（格式后附）；（</w:t>
            </w:r>
            <w:r>
              <w:rPr>
                <w:rFonts w:hint="eastAsia" w:ascii="宋体" w:hAnsi="宋体" w:cs="宋体"/>
                <w:b/>
                <w:color w:val="auto"/>
                <w:szCs w:val="21"/>
                <w:highlight w:val="none"/>
              </w:rPr>
              <w:t>必须提供，否则按无效投标处理</w:t>
            </w:r>
            <w:r>
              <w:rPr>
                <w:rFonts w:hint="eastAsia" w:ascii="宋体" w:hAnsi="宋体" w:cs="宋体"/>
                <w:color w:val="auto"/>
                <w:szCs w:val="21"/>
                <w:highlight w:val="none"/>
              </w:rPr>
              <w:t>）</w:t>
            </w:r>
          </w:p>
          <w:p w14:paraId="7C18B789">
            <w:pPr>
              <w:snapToGrid w:val="0"/>
              <w:spacing w:line="360" w:lineRule="auto"/>
              <w:ind w:left="420"/>
              <w:jc w:val="left"/>
              <w:rPr>
                <w:rFonts w:hint="eastAsia" w:ascii="宋体" w:hAnsi="宋体" w:cs="宋体"/>
                <w:color w:val="auto"/>
                <w:szCs w:val="21"/>
                <w:highlight w:val="none"/>
              </w:rPr>
            </w:pPr>
            <w:r>
              <w:rPr>
                <w:rFonts w:hint="eastAsia" w:ascii="宋体" w:hAnsi="宋体" w:cs="宋体"/>
                <w:color w:val="auto"/>
                <w:szCs w:val="21"/>
                <w:highlight w:val="none"/>
              </w:rPr>
              <w:t>6.技术要求偏离表（格式后附）；（</w:t>
            </w:r>
            <w:r>
              <w:rPr>
                <w:rFonts w:hint="eastAsia" w:ascii="宋体" w:hAnsi="宋体" w:cs="宋体"/>
                <w:b/>
                <w:color w:val="auto"/>
                <w:szCs w:val="21"/>
                <w:highlight w:val="none"/>
              </w:rPr>
              <w:t>必须提供，否则按无效投标处理</w:t>
            </w:r>
            <w:r>
              <w:rPr>
                <w:rFonts w:hint="eastAsia" w:ascii="宋体" w:hAnsi="宋体" w:cs="宋体"/>
                <w:color w:val="auto"/>
                <w:szCs w:val="21"/>
                <w:highlight w:val="none"/>
              </w:rPr>
              <w:t>）</w:t>
            </w:r>
          </w:p>
          <w:p w14:paraId="1CA6AA5E">
            <w:pPr>
              <w:snapToGrid w:val="0"/>
              <w:spacing w:line="360" w:lineRule="auto"/>
              <w:ind w:left="420"/>
              <w:jc w:val="left"/>
              <w:rPr>
                <w:rFonts w:hint="eastAsia" w:ascii="宋体" w:hAnsi="宋体" w:cs="宋体"/>
                <w:color w:val="auto"/>
                <w:szCs w:val="21"/>
                <w:highlight w:val="none"/>
              </w:rPr>
            </w:pPr>
            <w:r>
              <w:rPr>
                <w:rFonts w:hint="eastAsia" w:ascii="宋体" w:hAnsi="宋体" w:cs="宋体"/>
                <w:color w:val="auto"/>
                <w:szCs w:val="21"/>
                <w:highlight w:val="none"/>
              </w:rPr>
              <w:t>7.服务方案（格式自拟）【包括但不限于：项目前期准备、项目实施计划（人员构成、技术服务、技术培训）】；（</w:t>
            </w:r>
            <w:r>
              <w:rPr>
                <w:rFonts w:hint="eastAsia" w:ascii="宋体" w:hAnsi="宋体" w:cs="宋体"/>
                <w:b/>
                <w:color w:val="auto"/>
                <w:szCs w:val="21"/>
                <w:highlight w:val="none"/>
              </w:rPr>
              <w:t>必须提供，否则按无效投标处理</w:t>
            </w:r>
            <w:r>
              <w:rPr>
                <w:rFonts w:hint="eastAsia" w:ascii="宋体" w:hAnsi="宋体" w:cs="宋体"/>
                <w:color w:val="auto"/>
                <w:szCs w:val="21"/>
                <w:highlight w:val="none"/>
              </w:rPr>
              <w:t>）</w:t>
            </w:r>
          </w:p>
          <w:p w14:paraId="66BB7879">
            <w:pPr>
              <w:snapToGrid w:val="0"/>
              <w:spacing w:line="360" w:lineRule="auto"/>
              <w:ind w:left="420"/>
              <w:jc w:val="left"/>
              <w:rPr>
                <w:rFonts w:hint="eastAsia" w:ascii="宋体" w:hAnsi="宋体" w:cs="宋体"/>
                <w:color w:val="auto"/>
                <w:szCs w:val="21"/>
                <w:highlight w:val="none"/>
              </w:rPr>
            </w:pPr>
            <w:r>
              <w:rPr>
                <w:rFonts w:hint="eastAsia" w:ascii="宋体" w:hAnsi="宋体" w:cs="宋体"/>
                <w:color w:val="auto"/>
                <w:szCs w:val="21"/>
                <w:highlight w:val="none"/>
              </w:rPr>
              <w:t>8.项目实施人员一览表（格式后附）；（</w:t>
            </w:r>
            <w:r>
              <w:rPr>
                <w:rFonts w:hint="eastAsia" w:ascii="宋体" w:hAnsi="宋体" w:cs="宋体"/>
                <w:b/>
                <w:color w:val="auto"/>
                <w:szCs w:val="21"/>
                <w:highlight w:val="none"/>
              </w:rPr>
              <w:t>必须提供，否则按无效投标处理</w:t>
            </w:r>
            <w:r>
              <w:rPr>
                <w:rFonts w:hint="eastAsia" w:ascii="宋体" w:hAnsi="宋体" w:cs="宋体"/>
                <w:color w:val="auto"/>
                <w:szCs w:val="21"/>
                <w:highlight w:val="none"/>
              </w:rPr>
              <w:t>）</w:t>
            </w:r>
          </w:p>
          <w:p w14:paraId="3B590DAA">
            <w:pPr>
              <w:snapToGrid w:val="0"/>
              <w:spacing w:line="360" w:lineRule="auto"/>
              <w:ind w:left="413"/>
              <w:jc w:val="left"/>
              <w:rPr>
                <w:rFonts w:hint="eastAsia" w:ascii="宋体" w:hAnsi="宋体" w:cs="宋体"/>
                <w:color w:val="auto"/>
                <w:szCs w:val="21"/>
                <w:highlight w:val="none"/>
              </w:rPr>
            </w:pPr>
            <w:r>
              <w:rPr>
                <w:rFonts w:hint="eastAsia" w:ascii="宋体" w:hAnsi="宋体" w:cs="宋体"/>
                <w:color w:val="auto"/>
                <w:szCs w:val="21"/>
                <w:highlight w:val="none"/>
              </w:rPr>
              <w:t>9.投标人情况介绍（格式自拟）；</w:t>
            </w:r>
          </w:p>
          <w:p w14:paraId="05F58147">
            <w:pPr>
              <w:snapToGrid w:val="0"/>
              <w:spacing w:line="360" w:lineRule="auto"/>
              <w:ind w:left="420"/>
              <w:jc w:val="left"/>
              <w:rPr>
                <w:rFonts w:hint="eastAsia" w:ascii="宋体" w:hAnsi="宋体" w:cs="宋体"/>
                <w:color w:val="auto"/>
                <w:szCs w:val="21"/>
                <w:highlight w:val="none"/>
              </w:rPr>
            </w:pPr>
            <w:r>
              <w:rPr>
                <w:rFonts w:hint="eastAsia" w:ascii="宋体" w:hAnsi="宋体" w:cs="宋体"/>
                <w:color w:val="auto"/>
                <w:szCs w:val="21"/>
                <w:highlight w:val="none"/>
              </w:rPr>
              <w:t>10.项目实施方案（</w:t>
            </w:r>
            <w:r>
              <w:rPr>
                <w:rFonts w:hint="eastAsia" w:ascii="宋体" w:hAnsi="宋体" w:cs="宋体"/>
                <w:b/>
                <w:color w:val="auto"/>
                <w:szCs w:val="21"/>
                <w:highlight w:val="none"/>
              </w:rPr>
              <w:t>必须提供，否则按无效投标处理</w:t>
            </w:r>
            <w:r>
              <w:rPr>
                <w:rFonts w:hint="eastAsia" w:ascii="宋体" w:hAnsi="宋体" w:cs="宋体"/>
                <w:color w:val="auto"/>
                <w:szCs w:val="21"/>
                <w:highlight w:val="none"/>
              </w:rPr>
              <w:t>）；</w:t>
            </w:r>
          </w:p>
          <w:p w14:paraId="78A31AE1">
            <w:pPr>
              <w:snapToGrid w:val="0"/>
              <w:spacing w:line="360" w:lineRule="auto"/>
              <w:ind w:left="413"/>
              <w:jc w:val="left"/>
              <w:rPr>
                <w:rFonts w:hint="eastAsia" w:ascii="宋体" w:hAnsi="宋体" w:cs="宋体"/>
                <w:color w:val="auto"/>
                <w:szCs w:val="21"/>
                <w:highlight w:val="none"/>
              </w:rPr>
            </w:pPr>
            <w:r>
              <w:rPr>
                <w:rFonts w:hint="eastAsia" w:ascii="宋体" w:hAnsi="宋体" w:cs="宋体"/>
                <w:color w:val="auto"/>
                <w:szCs w:val="21"/>
                <w:highlight w:val="none"/>
              </w:rPr>
              <w:t>11.除招标文件规定必须提供以外，投标人认为需要提供的其他证明材料（格式自拟）。（投标人根据“第二章 采购需求”及“第四章 评标方法及评标标准”提供有关证明材料）。</w:t>
            </w:r>
          </w:p>
          <w:p w14:paraId="24EE4993">
            <w:pPr>
              <w:snapToGrid w:val="0"/>
              <w:spacing w:line="360" w:lineRule="auto"/>
              <w:jc w:val="left"/>
              <w:rPr>
                <w:rFonts w:hint="eastAsia" w:ascii="宋体" w:hAnsi="宋体" w:cs="宋体"/>
                <w:b/>
                <w:color w:val="auto"/>
                <w:szCs w:val="21"/>
                <w:highlight w:val="none"/>
              </w:rPr>
            </w:pPr>
            <w:r>
              <w:rPr>
                <w:rFonts w:hint="eastAsia" w:ascii="宋体" w:hAnsi="宋体" w:cs="宋体"/>
                <w:b/>
                <w:bCs/>
                <w:color w:val="auto"/>
                <w:szCs w:val="21"/>
                <w:highlight w:val="none"/>
              </w:rPr>
              <w:t>注：以上标明“必须提供”的材料的，必须加盖投标人电子签章，否则按无效投标</w:t>
            </w:r>
            <w:r>
              <w:rPr>
                <w:rFonts w:hint="eastAsia" w:ascii="宋体" w:hAnsi="宋体" w:cs="宋体"/>
                <w:b/>
                <w:color w:val="auto"/>
                <w:szCs w:val="21"/>
                <w:highlight w:val="none"/>
              </w:rPr>
              <w:t>处理</w:t>
            </w:r>
            <w:r>
              <w:rPr>
                <w:rFonts w:hint="eastAsia" w:ascii="宋体" w:hAnsi="宋体" w:cs="宋体"/>
                <w:b/>
                <w:bCs/>
                <w:color w:val="auto"/>
                <w:szCs w:val="21"/>
                <w:highlight w:val="none"/>
              </w:rPr>
              <w:t>。</w:t>
            </w:r>
          </w:p>
        </w:tc>
      </w:tr>
      <w:tr w14:paraId="085FE8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978" w:type="dxa"/>
            <w:tcBorders>
              <w:top w:val="single" w:color="auto" w:sz="4" w:space="0"/>
              <w:left w:val="single" w:color="auto" w:sz="4" w:space="0"/>
              <w:bottom w:val="single" w:color="auto" w:sz="4" w:space="0"/>
              <w:right w:val="single" w:color="auto" w:sz="4" w:space="0"/>
            </w:tcBorders>
            <w:vAlign w:val="center"/>
          </w:tcPr>
          <w:p w14:paraId="373EE15F">
            <w:pPr>
              <w:spacing w:line="360" w:lineRule="auto"/>
              <w:jc w:val="center"/>
              <w:rPr>
                <w:rFonts w:hint="eastAsia" w:ascii="宋体" w:hAnsi="宋体" w:cs="宋体"/>
                <w:color w:val="auto"/>
                <w:szCs w:val="21"/>
                <w:highlight w:val="none"/>
              </w:rPr>
            </w:pPr>
            <w:bookmarkStart w:id="54" w:name="_13.4"/>
            <w:bookmarkEnd w:id="54"/>
            <w:bookmarkStart w:id="55" w:name="_13.5"/>
            <w:bookmarkEnd w:id="55"/>
            <w:bookmarkStart w:id="56" w:name="_16.2"/>
            <w:bookmarkEnd w:id="56"/>
            <w:r>
              <w:rPr>
                <w:rFonts w:hint="eastAsia" w:ascii="宋体" w:hAnsi="宋体" w:cs="宋体"/>
                <w:color w:val="auto"/>
                <w:szCs w:val="21"/>
                <w:highlight w:val="none"/>
              </w:rPr>
              <w:t>6</w:t>
            </w:r>
          </w:p>
        </w:tc>
        <w:tc>
          <w:tcPr>
            <w:tcW w:w="8175" w:type="dxa"/>
            <w:tcBorders>
              <w:top w:val="single" w:color="auto" w:sz="4" w:space="0"/>
              <w:left w:val="single" w:color="auto" w:sz="4" w:space="0"/>
              <w:bottom w:val="single" w:color="auto" w:sz="4" w:space="0"/>
              <w:right w:val="single" w:color="auto" w:sz="4" w:space="0"/>
            </w:tcBorders>
            <w:vAlign w:val="center"/>
          </w:tcPr>
          <w:p w14:paraId="768B8C7C">
            <w:pPr>
              <w:snapToGrid w:val="0"/>
              <w:spacing w:line="360" w:lineRule="auto"/>
              <w:jc w:val="left"/>
              <w:rPr>
                <w:rFonts w:hint="eastAsia" w:ascii="宋体" w:hAnsi="宋体" w:cs="宋体"/>
                <w:color w:val="auto"/>
                <w:highlight w:val="none"/>
              </w:rPr>
            </w:pPr>
            <w:r>
              <w:rPr>
                <w:rFonts w:hint="eastAsia" w:ascii="宋体" w:hAnsi="宋体" w:cs="宋体"/>
                <w:color w:val="auto"/>
                <w:highlight w:val="none"/>
              </w:rPr>
              <w:t>投标报价是履行合同的最终价格，必须包含满足本次投标全部采购需求所应提供的服务，以及伴随的货物和工程（如有）的价格；包含投标服务、货物、工程的成本、运输（含保险）、安装（如有）、调试、检验、技术服务、培训、税费等所有费用。（采购需求另有约定的，从其约定）</w:t>
            </w:r>
          </w:p>
        </w:tc>
      </w:tr>
      <w:tr w14:paraId="06D5987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978" w:type="dxa"/>
            <w:tcBorders>
              <w:top w:val="single" w:color="auto" w:sz="4" w:space="0"/>
              <w:left w:val="single" w:color="auto" w:sz="4" w:space="0"/>
              <w:bottom w:val="single" w:color="auto" w:sz="4" w:space="0"/>
              <w:right w:val="single" w:color="auto" w:sz="4" w:space="0"/>
            </w:tcBorders>
            <w:vAlign w:val="center"/>
          </w:tcPr>
          <w:p w14:paraId="73ABA198">
            <w:pPr>
              <w:spacing w:line="360" w:lineRule="auto"/>
              <w:jc w:val="center"/>
              <w:rPr>
                <w:rFonts w:hint="eastAsia" w:ascii="宋体" w:hAnsi="宋体" w:cs="宋体"/>
                <w:color w:val="auto"/>
                <w:szCs w:val="21"/>
                <w:highlight w:val="none"/>
              </w:rPr>
            </w:pPr>
            <w:bookmarkStart w:id="57" w:name="_17.1"/>
            <w:bookmarkEnd w:id="57"/>
            <w:r>
              <w:rPr>
                <w:rFonts w:hint="eastAsia" w:ascii="宋体" w:hAnsi="宋体" w:cs="宋体"/>
                <w:color w:val="auto"/>
                <w:szCs w:val="21"/>
                <w:highlight w:val="none"/>
              </w:rPr>
              <w:t>7</w:t>
            </w:r>
          </w:p>
        </w:tc>
        <w:tc>
          <w:tcPr>
            <w:tcW w:w="8175" w:type="dxa"/>
            <w:tcBorders>
              <w:top w:val="single" w:color="auto" w:sz="4" w:space="0"/>
              <w:left w:val="single" w:color="auto" w:sz="4" w:space="0"/>
              <w:bottom w:val="single" w:color="auto" w:sz="4" w:space="0"/>
              <w:right w:val="single" w:color="auto" w:sz="4" w:space="0"/>
            </w:tcBorders>
            <w:vAlign w:val="center"/>
          </w:tcPr>
          <w:p w14:paraId="343429FC">
            <w:pPr>
              <w:snapToGrid w:val="0"/>
              <w:spacing w:line="360" w:lineRule="auto"/>
              <w:jc w:val="left"/>
              <w:rPr>
                <w:rFonts w:hint="eastAsia" w:ascii="宋体" w:hAnsi="宋体" w:cs="宋体"/>
                <w:color w:val="auto"/>
                <w:highlight w:val="none"/>
              </w:rPr>
            </w:pPr>
            <w:r>
              <w:rPr>
                <w:rFonts w:hint="eastAsia" w:ascii="宋体" w:hAnsi="宋体" w:cs="宋体"/>
                <w:color w:val="auto"/>
                <w:highlight w:val="none"/>
              </w:rPr>
              <w:t>投标有效期：自投标截止之日起</w:t>
            </w:r>
            <w:r>
              <w:rPr>
                <w:rFonts w:hint="eastAsia" w:ascii="宋体" w:hAnsi="宋体" w:cs="宋体"/>
                <w:color w:val="auto"/>
                <w:highlight w:val="none"/>
                <w:u w:val="single"/>
              </w:rPr>
              <w:t>60</w:t>
            </w:r>
            <w:r>
              <w:rPr>
                <w:rFonts w:hint="eastAsia" w:ascii="宋体" w:hAnsi="宋体" w:cs="宋体"/>
                <w:color w:val="auto"/>
                <w:highlight w:val="none"/>
              </w:rPr>
              <w:t>日。</w:t>
            </w:r>
          </w:p>
        </w:tc>
      </w:tr>
      <w:tr w14:paraId="2FFF129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978" w:type="dxa"/>
            <w:tcBorders>
              <w:top w:val="single" w:color="auto" w:sz="4" w:space="0"/>
              <w:left w:val="single" w:color="auto" w:sz="4" w:space="0"/>
              <w:bottom w:val="single" w:color="auto" w:sz="4" w:space="0"/>
              <w:right w:val="single" w:color="auto" w:sz="4" w:space="0"/>
            </w:tcBorders>
            <w:vAlign w:val="center"/>
          </w:tcPr>
          <w:p w14:paraId="6B42F798">
            <w:pPr>
              <w:jc w:val="center"/>
              <w:rPr>
                <w:rFonts w:hint="eastAsia" w:ascii="宋体" w:hAnsi="宋体" w:cs="宋体"/>
                <w:color w:val="auto"/>
                <w:szCs w:val="21"/>
                <w:highlight w:val="none"/>
              </w:rPr>
            </w:pPr>
            <w:bookmarkStart w:id="58" w:name="_18"/>
            <w:bookmarkEnd w:id="58"/>
            <w:r>
              <w:rPr>
                <w:rFonts w:hint="eastAsia" w:ascii="宋体" w:hAnsi="宋体" w:cs="宋体"/>
                <w:color w:val="auto"/>
                <w:highlight w:val="none"/>
              </w:rPr>
              <w:br w:type="page"/>
            </w:r>
            <w:r>
              <w:rPr>
                <w:rFonts w:hint="eastAsia" w:ascii="宋体" w:hAnsi="宋体" w:cs="宋体"/>
                <w:color w:val="auto"/>
                <w:szCs w:val="21"/>
                <w:highlight w:val="none"/>
              </w:rPr>
              <w:t>8</w:t>
            </w:r>
          </w:p>
        </w:tc>
        <w:tc>
          <w:tcPr>
            <w:tcW w:w="8175" w:type="dxa"/>
            <w:tcBorders>
              <w:top w:val="single" w:color="auto" w:sz="4" w:space="0"/>
              <w:left w:val="single" w:color="auto" w:sz="4" w:space="0"/>
              <w:bottom w:val="single" w:color="auto" w:sz="4" w:space="0"/>
              <w:right w:val="single" w:color="auto" w:sz="4" w:space="0"/>
            </w:tcBorders>
            <w:vAlign w:val="center"/>
          </w:tcPr>
          <w:p w14:paraId="3086AFB8">
            <w:pPr>
              <w:autoSpaceDE w:val="0"/>
              <w:autoSpaceDN w:val="0"/>
              <w:snapToGrid w:val="0"/>
              <w:spacing w:line="360" w:lineRule="auto"/>
              <w:textAlignment w:val="bottom"/>
              <w:rPr>
                <w:rFonts w:hint="eastAsia" w:ascii="宋体" w:hAnsi="宋体" w:cs="宋体"/>
                <w:color w:val="auto"/>
                <w:szCs w:val="21"/>
                <w:highlight w:val="none"/>
              </w:rPr>
            </w:pPr>
            <w:r>
              <w:rPr>
                <w:rFonts w:hint="eastAsia" w:ascii="宋体" w:hAnsi="宋体" w:cs="宋体"/>
                <w:color w:val="auto"/>
                <w:szCs w:val="21"/>
                <w:highlight w:val="none"/>
              </w:rPr>
              <w:t>□本项目不收取投标保证金。</w:t>
            </w:r>
          </w:p>
          <w:p w14:paraId="6576AB50">
            <w:pPr>
              <w:snapToGrid w:val="0"/>
              <w:spacing w:line="360" w:lineRule="auto"/>
              <w:rPr>
                <w:rFonts w:hint="eastAsia" w:ascii="宋体" w:hAnsi="宋体" w:cs="宋体"/>
                <w:b/>
                <w:color w:val="auto"/>
                <w:szCs w:val="21"/>
                <w:highlight w:val="none"/>
              </w:rPr>
            </w:pPr>
            <w:r>
              <w:rPr>
                <w:rFonts w:hint="eastAsia" w:ascii="宋体" w:hAnsi="宋体" w:cs="宋体"/>
                <w:b/>
                <w:color w:val="auto"/>
                <w:szCs w:val="21"/>
                <w:highlight w:val="none"/>
              </w:rPr>
              <w:t>√本项目收取投标保证金，具体规定如下：</w:t>
            </w:r>
          </w:p>
          <w:p w14:paraId="519A2528">
            <w:pPr>
              <w:snapToGrid w:val="0"/>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rPr>
              <w:t>A分标投标保证金人民币10000.00元</w:t>
            </w:r>
          </w:p>
          <w:p w14:paraId="38655FF2">
            <w:pPr>
              <w:snapToGrid w:val="0"/>
              <w:spacing w:line="360" w:lineRule="auto"/>
              <w:rPr>
                <w:rFonts w:hint="eastAsia" w:ascii="宋体" w:hAnsi="宋体" w:cs="宋体"/>
                <w:color w:val="auto"/>
                <w:szCs w:val="21"/>
                <w:highlight w:val="none"/>
              </w:rPr>
            </w:pPr>
            <w:r>
              <w:rPr>
                <w:rFonts w:hint="eastAsia" w:ascii="宋体" w:hAnsi="宋体" w:cs="宋体"/>
                <w:color w:val="auto"/>
                <w:kern w:val="0"/>
                <w:szCs w:val="21"/>
                <w:highlight w:val="none"/>
              </w:rPr>
              <w:t>B分标投标保证金人民币10000.00元</w:t>
            </w:r>
          </w:p>
          <w:p w14:paraId="001D5B65">
            <w:pPr>
              <w:snapToGrid w:val="0"/>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rPr>
              <w:t>C分标投标保证金人民币10000.00元</w:t>
            </w:r>
          </w:p>
          <w:p w14:paraId="611234F4">
            <w:pPr>
              <w:snapToGrid w:val="0"/>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rPr>
              <w:t>D分标投标保证金人民币10000.00元</w:t>
            </w:r>
          </w:p>
          <w:p w14:paraId="43C54744">
            <w:pPr>
              <w:snapToGrid w:val="0"/>
              <w:spacing w:line="360" w:lineRule="auto"/>
              <w:rPr>
                <w:rFonts w:hint="eastAsia" w:ascii="宋体" w:hAnsi="宋体" w:cs="宋体"/>
                <w:color w:val="auto"/>
                <w:szCs w:val="21"/>
                <w:highlight w:val="none"/>
              </w:rPr>
            </w:pPr>
            <w:r>
              <w:rPr>
                <w:rFonts w:hint="eastAsia" w:ascii="宋体" w:hAnsi="宋体" w:cs="宋体"/>
                <w:color w:val="auto"/>
                <w:kern w:val="0"/>
                <w:szCs w:val="21"/>
                <w:highlight w:val="none"/>
              </w:rPr>
              <w:t>投标保证金的交纳方式：银行转账、支票、汇票、本票或者银行、保险机构出具的保函（含电子保函），禁止采用现钞方式。采用银行转账方式的，在投标截止时间前从投标人账户交至指定账户并且到账（</w:t>
            </w:r>
            <w:r>
              <w:rPr>
                <w:rFonts w:hint="eastAsia" w:ascii="宋体" w:hAnsi="宋体" w:cs="宋体"/>
                <w:b/>
                <w:bCs/>
                <w:color w:val="auto"/>
                <w:kern w:val="0"/>
                <w:szCs w:val="21"/>
                <w:highlight w:val="none"/>
              </w:rPr>
              <w:t>开户名称：广西中启招标咨询有限公司</w:t>
            </w:r>
            <w:r>
              <w:rPr>
                <w:rFonts w:hint="eastAsia" w:ascii="宋体" w:hAnsi="宋体" w:cs="宋体"/>
                <w:b/>
                <w:bCs/>
                <w:color w:val="auto"/>
                <w:szCs w:val="21"/>
                <w:highlight w:val="none"/>
              </w:rPr>
              <w:t>，开户银行：广西北部湾银行股份有限公司南宁市秀灵支行，银行账号：</w:t>
            </w:r>
            <w:r>
              <w:rPr>
                <w:rFonts w:hint="eastAsia" w:ascii="宋体" w:hAnsi="宋体" w:cs="宋体"/>
                <w:color w:val="auto"/>
                <w:szCs w:val="21"/>
                <w:highlight w:val="none"/>
              </w:rPr>
              <w:t>8050 1770 2500 001</w:t>
            </w:r>
            <w:r>
              <w:rPr>
                <w:rFonts w:hint="eastAsia" w:ascii="宋体" w:hAnsi="宋体" w:cs="宋体"/>
                <w:color w:val="auto"/>
                <w:kern w:val="0"/>
                <w:szCs w:val="21"/>
                <w:highlight w:val="none"/>
              </w:rPr>
              <w:t>；采用支票、汇票、本票或者保函（含电子保函）等方式的，</w:t>
            </w:r>
            <w:r>
              <w:rPr>
                <w:rFonts w:hint="eastAsia" w:ascii="宋体" w:hAnsi="宋体" w:cs="宋体"/>
                <w:b/>
                <w:bCs/>
                <w:color w:val="auto"/>
                <w:kern w:val="0"/>
                <w:szCs w:val="21"/>
                <w:highlight w:val="none"/>
              </w:rPr>
              <w:t>在2025年</w:t>
            </w:r>
            <w:r>
              <w:rPr>
                <w:rFonts w:hint="eastAsia" w:ascii="宋体" w:hAnsi="宋体" w:cs="宋体"/>
                <w:b/>
                <w:bCs/>
                <w:color w:val="auto"/>
                <w:kern w:val="0"/>
                <w:szCs w:val="21"/>
                <w:highlight w:val="none"/>
                <w:lang w:val="en-US" w:eastAsia="zh-CN"/>
              </w:rPr>
              <w:t>7</w:t>
            </w:r>
            <w:r>
              <w:rPr>
                <w:rFonts w:hint="eastAsia" w:ascii="宋体" w:hAnsi="宋体" w:cs="宋体"/>
                <w:b/>
                <w:bCs/>
                <w:color w:val="auto"/>
                <w:kern w:val="0"/>
                <w:szCs w:val="21"/>
                <w:highlight w:val="none"/>
              </w:rPr>
              <w:t>月</w:t>
            </w:r>
            <w:r>
              <w:rPr>
                <w:rFonts w:hint="eastAsia" w:ascii="宋体" w:hAnsi="宋体" w:cs="宋体"/>
                <w:b/>
                <w:bCs/>
                <w:color w:val="auto"/>
                <w:kern w:val="0"/>
                <w:szCs w:val="21"/>
                <w:highlight w:val="none"/>
                <w:lang w:val="en-US" w:eastAsia="zh-CN"/>
              </w:rPr>
              <w:t>30</w:t>
            </w:r>
            <w:r>
              <w:rPr>
                <w:rFonts w:hint="eastAsia" w:ascii="宋体" w:hAnsi="宋体" w:cs="宋体"/>
                <w:b/>
                <w:bCs/>
                <w:color w:val="auto"/>
                <w:kern w:val="0"/>
                <w:szCs w:val="21"/>
                <w:highlight w:val="none"/>
              </w:rPr>
              <w:t>日18:00前</w:t>
            </w:r>
            <w:r>
              <w:rPr>
                <w:rFonts w:hint="eastAsia" w:ascii="宋体" w:hAnsi="宋体" w:cs="宋体"/>
                <w:color w:val="auto"/>
                <w:kern w:val="0"/>
                <w:szCs w:val="21"/>
                <w:highlight w:val="none"/>
              </w:rPr>
              <w:t>，投标人必须递交单独密封的支票、汇票、本票或者保函（含电子保函）原件。否则视为无效投标保证金。</w:t>
            </w:r>
          </w:p>
          <w:p w14:paraId="6F615287">
            <w:pPr>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相关要求：</w:t>
            </w:r>
          </w:p>
          <w:p w14:paraId="1F442BB9">
            <w:pPr>
              <w:pStyle w:val="19"/>
              <w:spacing w:line="360" w:lineRule="auto"/>
              <w:rPr>
                <w:rFonts w:hint="eastAsia" w:ascii="宋体" w:hAnsi="宋体" w:cs="宋体"/>
                <w:color w:val="auto"/>
                <w:szCs w:val="21"/>
                <w:highlight w:val="none"/>
              </w:rPr>
            </w:pPr>
            <w:r>
              <w:rPr>
                <w:rFonts w:hint="eastAsia" w:ascii="宋体" w:hAnsi="宋体" w:cs="宋体"/>
                <w:color w:val="auto"/>
                <w:szCs w:val="21"/>
                <w:highlight w:val="none"/>
              </w:rPr>
              <w:t>1.投标保证金采用银行转账交纳方式的，在投标截止时间前交至指定账户并且到账，投标人应将银行转账底单的复印件作为投标保证金提交凭证，放置于商务文件中，</w:t>
            </w:r>
            <w:r>
              <w:rPr>
                <w:rFonts w:hint="eastAsia" w:ascii="宋体" w:hAnsi="宋体" w:cs="宋体"/>
                <w:b/>
                <w:color w:val="auto"/>
                <w:szCs w:val="21"/>
                <w:highlight w:val="none"/>
              </w:rPr>
              <w:t>否则投标无效</w:t>
            </w:r>
            <w:r>
              <w:rPr>
                <w:rFonts w:hint="eastAsia" w:ascii="宋体" w:hAnsi="宋体" w:cs="宋体"/>
                <w:color w:val="auto"/>
                <w:szCs w:val="21"/>
                <w:highlight w:val="none"/>
              </w:rPr>
              <w:t>。</w:t>
            </w:r>
          </w:p>
          <w:p w14:paraId="5B631700">
            <w:pPr>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2.投标保证金采用支票、汇票、本票或者银行、保险机构出具的保函</w:t>
            </w:r>
            <w:r>
              <w:rPr>
                <w:rFonts w:hint="eastAsia" w:ascii="宋体" w:hAnsi="宋体" w:cs="宋体"/>
                <w:color w:val="auto"/>
                <w:kern w:val="0"/>
                <w:szCs w:val="21"/>
                <w:highlight w:val="none"/>
              </w:rPr>
              <w:t>（含电子保函）</w:t>
            </w:r>
            <w:r>
              <w:rPr>
                <w:rFonts w:hint="eastAsia" w:ascii="宋体" w:hAnsi="宋体" w:cs="宋体"/>
                <w:color w:val="auto"/>
                <w:szCs w:val="21"/>
                <w:highlight w:val="none"/>
              </w:rPr>
              <w:t>交纳方式的，投标人应将支票、汇票、本票或者银行、保险机构出具的保函</w:t>
            </w:r>
            <w:r>
              <w:rPr>
                <w:rFonts w:hint="eastAsia" w:ascii="宋体" w:hAnsi="宋体" w:cs="宋体"/>
                <w:color w:val="auto"/>
                <w:kern w:val="0"/>
                <w:szCs w:val="21"/>
                <w:highlight w:val="none"/>
              </w:rPr>
              <w:t>（含电子保函）</w:t>
            </w:r>
            <w:r>
              <w:rPr>
                <w:rFonts w:hint="eastAsia" w:ascii="宋体" w:hAnsi="宋体" w:cs="宋体"/>
                <w:color w:val="auto"/>
                <w:szCs w:val="21"/>
                <w:highlight w:val="none"/>
              </w:rPr>
              <w:t>的复印件作为投标保证金提交凭证，放置于商务文件中，</w:t>
            </w:r>
            <w:r>
              <w:rPr>
                <w:rFonts w:hint="eastAsia" w:ascii="宋体" w:hAnsi="宋体" w:cs="宋体"/>
                <w:b/>
                <w:color w:val="auto"/>
                <w:szCs w:val="21"/>
                <w:highlight w:val="none"/>
              </w:rPr>
              <w:t>否则投标无效</w:t>
            </w:r>
            <w:r>
              <w:rPr>
                <w:rFonts w:hint="eastAsia" w:ascii="宋体" w:hAnsi="宋体" w:cs="宋体"/>
                <w:color w:val="auto"/>
                <w:szCs w:val="21"/>
                <w:highlight w:val="none"/>
              </w:rPr>
              <w:t>。投标人必须</w:t>
            </w:r>
            <w:r>
              <w:rPr>
                <w:rFonts w:hint="eastAsia" w:ascii="宋体" w:hAnsi="宋体" w:cs="宋体"/>
                <w:color w:val="auto"/>
                <w:highlight w:val="none"/>
              </w:rPr>
              <w:t>在投标截止时间前采用现场或邮寄方式</w:t>
            </w:r>
            <w:r>
              <w:rPr>
                <w:rFonts w:hint="eastAsia" w:ascii="宋体" w:hAnsi="宋体" w:cs="宋体"/>
                <w:color w:val="auto"/>
                <w:szCs w:val="21"/>
                <w:highlight w:val="none"/>
              </w:rPr>
              <w:t>（现场提交地址：广西南宁市那洪大道7号研祥智谷A1栋7楼，收件人： 雷工，联系方式：</w:t>
            </w:r>
            <w:r>
              <w:rPr>
                <w:rFonts w:hint="eastAsia" w:ascii="宋体" w:hAnsi="宋体" w:cs="宋体"/>
                <w:color w:val="auto"/>
                <w:highlight w:val="none"/>
              </w:rPr>
              <w:t>0771-3154419</w:t>
            </w:r>
            <w:r>
              <w:rPr>
                <w:rFonts w:hint="eastAsia" w:ascii="宋体" w:hAnsi="宋体" w:cs="宋体"/>
                <w:color w:val="auto"/>
                <w:szCs w:val="21"/>
                <w:highlight w:val="none"/>
              </w:rPr>
              <w:t>）将</w:t>
            </w:r>
            <w:r>
              <w:rPr>
                <w:rFonts w:hint="eastAsia" w:ascii="宋体" w:hAnsi="宋体" w:cs="宋体"/>
                <w:color w:val="auto"/>
                <w:kern w:val="0"/>
                <w:szCs w:val="21"/>
                <w:highlight w:val="none"/>
              </w:rPr>
              <w:t>单独密封的</w:t>
            </w:r>
            <w:r>
              <w:rPr>
                <w:rFonts w:hint="eastAsia" w:ascii="宋体" w:hAnsi="宋体" w:cs="宋体"/>
                <w:color w:val="auto"/>
                <w:szCs w:val="21"/>
                <w:highlight w:val="none"/>
              </w:rPr>
              <w:t>支票、汇票、本票或者银行、保险机构出具的保函</w:t>
            </w:r>
            <w:r>
              <w:rPr>
                <w:rFonts w:hint="eastAsia" w:ascii="宋体" w:hAnsi="宋体" w:cs="宋体"/>
                <w:color w:val="auto"/>
                <w:kern w:val="0"/>
                <w:szCs w:val="21"/>
                <w:highlight w:val="none"/>
              </w:rPr>
              <w:t>（含电子保函）</w:t>
            </w:r>
            <w:r>
              <w:rPr>
                <w:rFonts w:hint="eastAsia" w:ascii="宋体" w:hAnsi="宋体" w:cs="宋体"/>
                <w:color w:val="auto"/>
                <w:szCs w:val="21"/>
                <w:highlight w:val="none"/>
              </w:rPr>
              <w:t>原件提交给采购人或者采购代理机构，未按时提交的</w:t>
            </w:r>
            <w:r>
              <w:rPr>
                <w:rFonts w:hint="eastAsia" w:ascii="宋体" w:hAnsi="宋体" w:cs="宋体"/>
                <w:b/>
                <w:color w:val="auto"/>
                <w:szCs w:val="21"/>
                <w:highlight w:val="none"/>
              </w:rPr>
              <w:t>，投标无效，</w:t>
            </w:r>
            <w:r>
              <w:rPr>
                <w:rFonts w:hint="eastAsia" w:ascii="宋体" w:hAnsi="宋体" w:cs="宋体"/>
                <w:color w:val="auto"/>
                <w:szCs w:val="21"/>
                <w:highlight w:val="none"/>
              </w:rPr>
              <w:t>由采购人或者采购代理机构向投标人出具回执（邮寄方式的除外），并妥善保管。</w:t>
            </w:r>
          </w:p>
          <w:p w14:paraId="3D2AD1B1">
            <w:pPr>
              <w:snapToGrid w:val="0"/>
              <w:spacing w:line="360" w:lineRule="auto"/>
              <w:rPr>
                <w:rFonts w:hint="eastAsia" w:ascii="宋体" w:hAnsi="宋体" w:cs="宋体"/>
                <w:b/>
                <w:color w:val="auto"/>
                <w:szCs w:val="21"/>
                <w:highlight w:val="none"/>
              </w:rPr>
            </w:pPr>
            <w:r>
              <w:rPr>
                <w:rFonts w:hint="eastAsia" w:ascii="宋体" w:hAnsi="宋体" w:cs="宋体"/>
                <w:b/>
                <w:color w:val="auto"/>
                <w:szCs w:val="21"/>
                <w:highlight w:val="none"/>
              </w:rPr>
              <w:t xml:space="preserve">备注： </w:t>
            </w:r>
          </w:p>
          <w:p w14:paraId="28EAF8D4">
            <w:pPr>
              <w:snapToGrid w:val="0"/>
              <w:spacing w:line="360" w:lineRule="auto"/>
              <w:rPr>
                <w:rFonts w:hint="eastAsia" w:ascii="宋体" w:hAnsi="宋体" w:cs="宋体"/>
                <w:b/>
                <w:color w:val="auto"/>
                <w:szCs w:val="21"/>
                <w:highlight w:val="none"/>
              </w:rPr>
            </w:pPr>
            <w:r>
              <w:rPr>
                <w:rFonts w:hint="eastAsia" w:ascii="宋体" w:hAnsi="宋体" w:cs="宋体"/>
                <w:b/>
                <w:color w:val="auto"/>
                <w:szCs w:val="21"/>
                <w:highlight w:val="none"/>
              </w:rPr>
              <w:t>1. 投标保证金在投标截止时间后提交的，或者不按规定交纳方式交纳的，或者未足额交纳的（包含保函额度不足的），视为无效投标保证金。</w:t>
            </w:r>
          </w:p>
          <w:p w14:paraId="05FD1E8F">
            <w:pPr>
              <w:snapToGrid w:val="0"/>
              <w:spacing w:line="360" w:lineRule="auto"/>
              <w:rPr>
                <w:rFonts w:hint="eastAsia" w:ascii="宋体" w:hAnsi="宋体" w:cs="宋体"/>
                <w:b/>
                <w:color w:val="auto"/>
                <w:szCs w:val="21"/>
                <w:highlight w:val="none"/>
              </w:rPr>
            </w:pPr>
            <w:r>
              <w:rPr>
                <w:rFonts w:hint="eastAsia" w:ascii="宋体" w:hAnsi="宋体" w:cs="宋体"/>
                <w:b/>
                <w:color w:val="auto"/>
                <w:szCs w:val="21"/>
                <w:highlight w:val="none"/>
              </w:rPr>
              <w:t>2.投标人采用现钞方式或者从个人账户（自然人投标除外）转出的投标保证金，视为无效投标保证金。</w:t>
            </w:r>
          </w:p>
          <w:p w14:paraId="53260733">
            <w:pPr>
              <w:snapToGrid w:val="0"/>
              <w:spacing w:line="360" w:lineRule="auto"/>
              <w:rPr>
                <w:rFonts w:hint="eastAsia" w:ascii="宋体" w:hAnsi="宋体" w:cs="宋体"/>
                <w:b/>
                <w:color w:val="auto"/>
                <w:szCs w:val="21"/>
                <w:highlight w:val="none"/>
              </w:rPr>
            </w:pPr>
            <w:r>
              <w:rPr>
                <w:rFonts w:hint="eastAsia" w:ascii="宋体" w:hAnsi="宋体" w:cs="宋体"/>
                <w:b/>
                <w:color w:val="auto"/>
                <w:szCs w:val="21"/>
                <w:highlight w:val="none"/>
              </w:rPr>
              <w:t>3.支票、汇票或者本票出现无效或者背书情形的，视为无效投标保证金。</w:t>
            </w:r>
          </w:p>
          <w:p w14:paraId="1D2B0985">
            <w:pPr>
              <w:snapToGrid w:val="0"/>
              <w:spacing w:line="360" w:lineRule="auto"/>
              <w:rPr>
                <w:rFonts w:hint="eastAsia" w:ascii="宋体" w:hAnsi="宋体" w:cs="宋体"/>
                <w:b/>
                <w:color w:val="auto"/>
                <w:szCs w:val="21"/>
                <w:highlight w:val="none"/>
              </w:rPr>
            </w:pPr>
            <w:r>
              <w:rPr>
                <w:rFonts w:hint="eastAsia" w:ascii="宋体" w:hAnsi="宋体" w:cs="宋体"/>
                <w:b/>
                <w:color w:val="auto"/>
                <w:szCs w:val="21"/>
                <w:highlight w:val="none"/>
              </w:rPr>
              <w:t>4.保函有效期低于投标有效期的，视为无效投标保证金。</w:t>
            </w:r>
          </w:p>
          <w:p w14:paraId="1151E99E">
            <w:pPr>
              <w:snapToGrid w:val="0"/>
              <w:spacing w:line="360" w:lineRule="auto"/>
              <w:rPr>
                <w:rFonts w:hint="eastAsia" w:ascii="宋体" w:hAnsi="宋体" w:cs="宋体"/>
                <w:b/>
                <w:color w:val="auto"/>
                <w:szCs w:val="21"/>
                <w:highlight w:val="none"/>
              </w:rPr>
            </w:pPr>
            <w:r>
              <w:rPr>
                <w:rFonts w:hint="eastAsia" w:ascii="宋体" w:hAnsi="宋体" w:cs="宋体"/>
                <w:b/>
                <w:color w:val="auto"/>
                <w:szCs w:val="21"/>
                <w:highlight w:val="none"/>
              </w:rPr>
              <w:t>5.采用银行、保险机构出具保函（含电子保函）的，必须为无条件保函，否则视为无效投标保证金。</w:t>
            </w:r>
          </w:p>
        </w:tc>
      </w:tr>
      <w:tr w14:paraId="2E2B124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3" w:hRule="atLeast"/>
          <w:jc w:val="center"/>
        </w:trPr>
        <w:tc>
          <w:tcPr>
            <w:tcW w:w="978" w:type="dxa"/>
            <w:tcBorders>
              <w:top w:val="single" w:color="auto" w:sz="4" w:space="0"/>
              <w:left w:val="single" w:color="auto" w:sz="4" w:space="0"/>
              <w:bottom w:val="single" w:color="auto" w:sz="4" w:space="0"/>
              <w:right w:val="single" w:color="auto" w:sz="4" w:space="0"/>
            </w:tcBorders>
            <w:vAlign w:val="center"/>
          </w:tcPr>
          <w:p w14:paraId="065E885E">
            <w:pPr>
              <w:spacing w:line="360" w:lineRule="auto"/>
              <w:jc w:val="center"/>
              <w:rPr>
                <w:rFonts w:hint="eastAsia" w:ascii="宋体" w:hAnsi="宋体" w:cs="宋体"/>
                <w:color w:val="auto"/>
                <w:szCs w:val="21"/>
                <w:highlight w:val="none"/>
              </w:rPr>
            </w:pPr>
            <w:bookmarkStart w:id="59" w:name="_19.2"/>
            <w:bookmarkEnd w:id="59"/>
            <w:bookmarkStart w:id="60" w:name="_21.1"/>
            <w:bookmarkEnd w:id="60"/>
            <w:r>
              <w:rPr>
                <w:rFonts w:hint="eastAsia" w:ascii="宋体" w:hAnsi="宋体" w:cs="宋体"/>
                <w:color w:val="auto"/>
                <w:szCs w:val="21"/>
                <w:highlight w:val="none"/>
              </w:rPr>
              <w:t>9</w:t>
            </w:r>
          </w:p>
        </w:tc>
        <w:tc>
          <w:tcPr>
            <w:tcW w:w="8175" w:type="dxa"/>
            <w:tcBorders>
              <w:top w:val="single" w:color="auto" w:sz="4" w:space="0"/>
              <w:left w:val="single" w:color="auto" w:sz="4" w:space="0"/>
              <w:bottom w:val="single" w:color="auto" w:sz="4" w:space="0"/>
              <w:right w:val="single" w:color="auto" w:sz="4" w:space="0"/>
            </w:tcBorders>
            <w:vAlign w:val="center"/>
          </w:tcPr>
          <w:p w14:paraId="6860A06B">
            <w:pPr>
              <w:autoSpaceDE w:val="0"/>
              <w:autoSpaceDN w:val="0"/>
              <w:snapToGrid w:val="0"/>
              <w:spacing w:line="360" w:lineRule="auto"/>
              <w:textAlignment w:val="bottom"/>
              <w:rPr>
                <w:rFonts w:hint="eastAsia" w:ascii="宋体" w:hAnsi="宋体" w:cs="宋体"/>
                <w:color w:val="auto"/>
                <w:szCs w:val="21"/>
                <w:highlight w:val="none"/>
              </w:rPr>
            </w:pPr>
            <w:r>
              <w:rPr>
                <w:rFonts w:hint="eastAsia" w:ascii="宋体" w:hAnsi="宋体" w:cs="宋体"/>
                <w:color w:val="auto"/>
                <w:szCs w:val="21"/>
                <w:highlight w:val="none"/>
              </w:rPr>
              <w:t>本项目不接受</w:t>
            </w:r>
            <w:r>
              <w:rPr>
                <w:rFonts w:hint="eastAsia" w:ascii="宋体" w:hAnsi="宋体" w:cs="宋体"/>
                <w:color w:val="auto"/>
                <w:highlight w:val="none"/>
              </w:rPr>
              <w:t>电子</w:t>
            </w:r>
            <w:r>
              <w:rPr>
                <w:rFonts w:hint="eastAsia" w:ascii="宋体" w:hAnsi="宋体" w:cs="宋体"/>
                <w:color w:val="auto"/>
                <w:szCs w:val="21"/>
                <w:highlight w:val="none"/>
              </w:rPr>
              <w:t>备份投标文件</w:t>
            </w:r>
          </w:p>
        </w:tc>
      </w:tr>
      <w:tr w14:paraId="3B1A1F8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76" w:hRule="atLeast"/>
          <w:jc w:val="center"/>
        </w:trPr>
        <w:tc>
          <w:tcPr>
            <w:tcW w:w="978" w:type="dxa"/>
            <w:tcBorders>
              <w:top w:val="single" w:color="auto" w:sz="4" w:space="0"/>
              <w:left w:val="single" w:color="auto" w:sz="4" w:space="0"/>
              <w:bottom w:val="single" w:color="auto" w:sz="4" w:space="0"/>
              <w:right w:val="single" w:color="auto" w:sz="4" w:space="0"/>
            </w:tcBorders>
            <w:vAlign w:val="center"/>
          </w:tcPr>
          <w:p w14:paraId="295B822C">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10</w:t>
            </w:r>
          </w:p>
        </w:tc>
        <w:tc>
          <w:tcPr>
            <w:tcW w:w="8175" w:type="dxa"/>
            <w:tcBorders>
              <w:top w:val="single" w:color="auto" w:sz="4" w:space="0"/>
              <w:left w:val="single" w:color="auto" w:sz="4" w:space="0"/>
              <w:bottom w:val="single" w:color="auto" w:sz="4" w:space="0"/>
              <w:right w:val="single" w:color="auto" w:sz="4" w:space="0"/>
            </w:tcBorders>
            <w:vAlign w:val="center"/>
          </w:tcPr>
          <w:p w14:paraId="6BC97BBF">
            <w:pPr>
              <w:snapToGrid w:val="0"/>
              <w:spacing w:line="360" w:lineRule="auto"/>
              <w:rPr>
                <w:rFonts w:hint="eastAsia" w:ascii="宋体" w:hAnsi="宋体" w:cs="宋体"/>
                <w:color w:val="auto"/>
                <w:szCs w:val="21"/>
                <w:highlight w:val="none"/>
                <w:u w:val="single"/>
              </w:rPr>
            </w:pPr>
            <w:r>
              <w:rPr>
                <w:rFonts w:hint="eastAsia" w:ascii="宋体" w:hAnsi="宋体" w:cs="宋体"/>
                <w:color w:val="auto"/>
                <w:szCs w:val="21"/>
                <w:highlight w:val="none"/>
              </w:rPr>
              <w:t>1. 提交投标文件截止时间：详见招标公告</w:t>
            </w:r>
          </w:p>
          <w:p w14:paraId="12EDA711">
            <w:pPr>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2.投标地点：详见招标公告</w:t>
            </w:r>
          </w:p>
        </w:tc>
      </w:tr>
      <w:tr w14:paraId="29D71E9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978" w:type="dxa"/>
            <w:tcBorders>
              <w:top w:val="single" w:color="auto" w:sz="4" w:space="0"/>
              <w:left w:val="single" w:color="auto" w:sz="4" w:space="0"/>
              <w:bottom w:val="single" w:color="auto" w:sz="4" w:space="0"/>
              <w:right w:val="single" w:color="auto" w:sz="4" w:space="0"/>
            </w:tcBorders>
            <w:vAlign w:val="center"/>
          </w:tcPr>
          <w:p w14:paraId="3800B904">
            <w:pPr>
              <w:spacing w:line="360" w:lineRule="auto"/>
              <w:jc w:val="center"/>
              <w:rPr>
                <w:rFonts w:hint="eastAsia" w:ascii="宋体" w:hAnsi="宋体" w:cs="宋体"/>
                <w:color w:val="auto"/>
                <w:szCs w:val="21"/>
                <w:highlight w:val="none"/>
              </w:rPr>
            </w:pPr>
            <w:bookmarkStart w:id="61" w:name="_23"/>
            <w:bookmarkEnd w:id="61"/>
            <w:r>
              <w:rPr>
                <w:rFonts w:hint="eastAsia" w:ascii="宋体" w:hAnsi="宋体" w:cs="宋体"/>
                <w:color w:val="auto"/>
                <w:szCs w:val="21"/>
                <w:highlight w:val="none"/>
              </w:rPr>
              <w:t>11</w:t>
            </w:r>
          </w:p>
        </w:tc>
        <w:tc>
          <w:tcPr>
            <w:tcW w:w="8175" w:type="dxa"/>
            <w:tcBorders>
              <w:top w:val="single" w:color="auto" w:sz="4" w:space="0"/>
              <w:left w:val="single" w:color="auto" w:sz="4" w:space="0"/>
              <w:bottom w:val="single" w:color="auto" w:sz="4" w:space="0"/>
              <w:right w:val="single" w:color="auto" w:sz="4" w:space="0"/>
            </w:tcBorders>
            <w:vAlign w:val="center"/>
          </w:tcPr>
          <w:p w14:paraId="7B3BC8BD">
            <w:pPr>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1.开标时间：详见招标公告</w:t>
            </w:r>
          </w:p>
          <w:p w14:paraId="6A904E1E">
            <w:pPr>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2.开标地点：详见招标公告</w:t>
            </w:r>
          </w:p>
        </w:tc>
      </w:tr>
      <w:tr w14:paraId="09AD5E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978" w:type="dxa"/>
            <w:tcBorders>
              <w:top w:val="single" w:color="auto" w:sz="4" w:space="0"/>
              <w:left w:val="single" w:color="auto" w:sz="4" w:space="0"/>
              <w:bottom w:val="single" w:color="auto" w:sz="4" w:space="0"/>
              <w:right w:val="single" w:color="auto" w:sz="4" w:space="0"/>
            </w:tcBorders>
            <w:vAlign w:val="center"/>
          </w:tcPr>
          <w:p w14:paraId="74CEF65A">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12</w:t>
            </w:r>
          </w:p>
        </w:tc>
        <w:tc>
          <w:tcPr>
            <w:tcW w:w="8175" w:type="dxa"/>
            <w:tcBorders>
              <w:top w:val="single" w:color="auto" w:sz="4" w:space="0"/>
              <w:left w:val="single" w:color="auto" w:sz="4" w:space="0"/>
              <w:bottom w:val="single" w:color="auto" w:sz="4" w:space="0"/>
              <w:right w:val="single" w:color="auto" w:sz="4" w:space="0"/>
            </w:tcBorders>
            <w:vAlign w:val="center"/>
          </w:tcPr>
          <w:p w14:paraId="3BBCD782">
            <w:pPr>
              <w:snapToGrid w:val="0"/>
              <w:spacing w:line="360" w:lineRule="auto"/>
              <w:rPr>
                <w:rFonts w:hint="eastAsia" w:ascii="宋体" w:hAnsi="宋体" w:cs="宋体"/>
                <w:color w:val="auto"/>
                <w:szCs w:val="21"/>
                <w:highlight w:val="none"/>
              </w:rPr>
            </w:pPr>
            <w:r>
              <w:rPr>
                <w:rFonts w:hint="eastAsia" w:ascii="宋体" w:hAnsi="宋体" w:cs="宋体"/>
                <w:color w:val="auto"/>
                <w:highlight w:val="none"/>
              </w:rPr>
              <w:t>电子投标文件解密时间：</w:t>
            </w:r>
            <w:r>
              <w:rPr>
                <w:rFonts w:hint="eastAsia" w:ascii="宋体" w:hAnsi="宋体" w:cs="宋体"/>
                <w:color w:val="auto"/>
                <w:highlight w:val="none"/>
                <w:u w:val="single"/>
              </w:rPr>
              <w:t>30</w:t>
            </w:r>
            <w:r>
              <w:rPr>
                <w:rFonts w:hint="eastAsia" w:ascii="宋体" w:hAnsi="宋体" w:cs="宋体"/>
                <w:color w:val="auto"/>
                <w:highlight w:val="none"/>
              </w:rPr>
              <w:t>分钟</w:t>
            </w:r>
          </w:p>
        </w:tc>
      </w:tr>
      <w:tr w14:paraId="3A6AF46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978" w:type="dxa"/>
            <w:tcBorders>
              <w:top w:val="single" w:color="auto" w:sz="4" w:space="0"/>
              <w:left w:val="single" w:color="auto" w:sz="4" w:space="0"/>
              <w:bottom w:val="single" w:color="auto" w:sz="4" w:space="0"/>
              <w:right w:val="single" w:color="auto" w:sz="4" w:space="0"/>
            </w:tcBorders>
            <w:vAlign w:val="center"/>
          </w:tcPr>
          <w:p w14:paraId="772B9BBA">
            <w:pPr>
              <w:spacing w:line="360" w:lineRule="auto"/>
              <w:jc w:val="center"/>
              <w:rPr>
                <w:rFonts w:hint="eastAsia" w:ascii="宋体" w:hAnsi="宋体" w:cs="宋体"/>
                <w:color w:val="auto"/>
                <w:szCs w:val="21"/>
                <w:highlight w:val="none"/>
              </w:rPr>
            </w:pPr>
            <w:bookmarkStart w:id="62" w:name="_25.3"/>
            <w:bookmarkEnd w:id="62"/>
            <w:r>
              <w:rPr>
                <w:rFonts w:hint="eastAsia" w:ascii="宋体" w:hAnsi="宋体" w:cs="宋体"/>
                <w:color w:val="auto"/>
                <w:szCs w:val="21"/>
                <w:highlight w:val="none"/>
              </w:rPr>
              <w:t>13</w:t>
            </w:r>
          </w:p>
        </w:tc>
        <w:tc>
          <w:tcPr>
            <w:tcW w:w="8175" w:type="dxa"/>
            <w:tcBorders>
              <w:top w:val="single" w:color="auto" w:sz="4" w:space="0"/>
              <w:left w:val="single" w:color="auto" w:sz="4" w:space="0"/>
              <w:bottom w:val="single" w:color="auto" w:sz="4" w:space="0"/>
              <w:right w:val="single" w:color="auto" w:sz="4" w:space="0"/>
            </w:tcBorders>
            <w:vAlign w:val="center"/>
          </w:tcPr>
          <w:p w14:paraId="566A9F11">
            <w:pPr>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采购人或者采购代理机构在资格审查结束前，对投标人进行信用查询。</w:t>
            </w:r>
          </w:p>
          <w:p w14:paraId="4F793462">
            <w:pPr>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查询渠道：“信用中国”网站（www.creditchina.gov.cn）、中国政府采购网（www.ccgp.gov.cn）。</w:t>
            </w:r>
          </w:p>
          <w:p w14:paraId="7E69237B">
            <w:pPr>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信用查询截止时点：资格审查结束前</w:t>
            </w:r>
          </w:p>
          <w:p w14:paraId="31E3BF6D">
            <w:pPr>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查询记录和证据留存方式：在查询网站中直接截图查询记录，截图作为在“广西政府采购云平台”作为附件上传保存。</w:t>
            </w:r>
          </w:p>
          <w:p w14:paraId="1DC112EC">
            <w:pPr>
              <w:snapToGrid w:val="0"/>
              <w:spacing w:line="360" w:lineRule="auto"/>
              <w:rPr>
                <w:rFonts w:hint="eastAsia" w:ascii="宋体" w:hAnsi="宋体" w:cs="宋体"/>
                <w:b/>
                <w:color w:val="auto"/>
                <w:szCs w:val="21"/>
                <w:highlight w:val="none"/>
              </w:rPr>
            </w:pPr>
            <w:r>
              <w:rPr>
                <w:rFonts w:hint="eastAsia" w:ascii="宋体" w:hAnsi="宋体" w:cs="宋体"/>
                <w:color w:val="auto"/>
                <w:szCs w:val="21"/>
                <w:highlight w:val="none"/>
              </w:rPr>
              <w:t>信用信息使用规则：对在“信用中国”网站（www.creditchina.gov.cn） 、中国政府采购网（www.ccgp.gov.cn）被列入失信被执行人、重大税收违法失信主体、政府采购严重违法失信行为记录名单及其他不符合《中华人民共和国政府采购法》第二十二条规定条件的供应商，采购人或者采购代理机构应当拒绝其参与政府采购活动。</w:t>
            </w:r>
          </w:p>
        </w:tc>
      </w:tr>
      <w:tr w14:paraId="3F4DD20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978" w:type="dxa"/>
            <w:tcBorders>
              <w:top w:val="single" w:color="auto" w:sz="4" w:space="0"/>
              <w:left w:val="single" w:color="auto" w:sz="4" w:space="0"/>
              <w:bottom w:val="single" w:color="auto" w:sz="4" w:space="0"/>
              <w:right w:val="single" w:color="auto" w:sz="4" w:space="0"/>
            </w:tcBorders>
            <w:vAlign w:val="center"/>
          </w:tcPr>
          <w:p w14:paraId="08D8578E">
            <w:pPr>
              <w:spacing w:line="360" w:lineRule="auto"/>
              <w:jc w:val="center"/>
              <w:rPr>
                <w:rFonts w:hint="eastAsia" w:ascii="宋体" w:hAnsi="宋体" w:cs="宋体"/>
                <w:color w:val="auto"/>
                <w:szCs w:val="21"/>
                <w:highlight w:val="none"/>
              </w:rPr>
            </w:pPr>
            <w:bookmarkStart w:id="63" w:name="_26"/>
            <w:bookmarkEnd w:id="63"/>
            <w:r>
              <w:rPr>
                <w:rFonts w:hint="eastAsia" w:ascii="宋体" w:hAnsi="宋体" w:cs="宋体"/>
                <w:color w:val="auto"/>
                <w:szCs w:val="21"/>
                <w:highlight w:val="none"/>
              </w:rPr>
              <w:t>14</w:t>
            </w:r>
          </w:p>
        </w:tc>
        <w:tc>
          <w:tcPr>
            <w:tcW w:w="8175" w:type="dxa"/>
            <w:tcBorders>
              <w:top w:val="single" w:color="auto" w:sz="4" w:space="0"/>
              <w:left w:val="single" w:color="auto" w:sz="4" w:space="0"/>
              <w:bottom w:val="single" w:color="auto" w:sz="4" w:space="0"/>
              <w:right w:val="single" w:color="auto" w:sz="4" w:space="0"/>
            </w:tcBorders>
            <w:vAlign w:val="center"/>
          </w:tcPr>
          <w:p w14:paraId="7E2872B5">
            <w:pPr>
              <w:autoSpaceDE w:val="0"/>
              <w:autoSpaceDN w:val="0"/>
              <w:snapToGrid w:val="0"/>
              <w:spacing w:line="360" w:lineRule="auto"/>
              <w:textAlignment w:val="bottom"/>
              <w:rPr>
                <w:rFonts w:hint="eastAsia" w:ascii="宋体" w:hAnsi="宋体" w:cs="宋体"/>
                <w:color w:val="auto"/>
                <w:szCs w:val="21"/>
                <w:highlight w:val="none"/>
              </w:rPr>
            </w:pPr>
            <w:r>
              <w:rPr>
                <w:rFonts w:hint="eastAsia" w:ascii="宋体" w:hAnsi="宋体" w:cs="宋体"/>
                <w:color w:val="auto"/>
                <w:szCs w:val="21"/>
                <w:highlight w:val="none"/>
              </w:rPr>
              <w:t>评标委员会的人数：</w:t>
            </w:r>
            <w:r>
              <w:rPr>
                <w:rFonts w:hint="eastAsia" w:ascii="宋体" w:hAnsi="宋体" w:cs="宋体"/>
                <w:color w:val="auto"/>
                <w:szCs w:val="21"/>
                <w:highlight w:val="none"/>
                <w:u w:val="single"/>
              </w:rPr>
              <w:t>5</w:t>
            </w:r>
            <w:r>
              <w:rPr>
                <w:rFonts w:hint="eastAsia" w:ascii="宋体" w:hAnsi="宋体" w:cs="宋体"/>
                <w:color w:val="auto"/>
                <w:szCs w:val="21"/>
                <w:highlight w:val="none"/>
              </w:rPr>
              <w:t>人或以上单数。</w:t>
            </w:r>
          </w:p>
        </w:tc>
      </w:tr>
      <w:tr w14:paraId="509A325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978" w:type="dxa"/>
            <w:tcBorders>
              <w:top w:val="single" w:color="auto" w:sz="4" w:space="0"/>
              <w:left w:val="single" w:color="auto" w:sz="4" w:space="0"/>
              <w:bottom w:val="single" w:color="auto" w:sz="4" w:space="0"/>
              <w:right w:val="single" w:color="auto" w:sz="4" w:space="0"/>
            </w:tcBorders>
            <w:vAlign w:val="center"/>
          </w:tcPr>
          <w:p w14:paraId="6C7DFC29">
            <w:pPr>
              <w:spacing w:line="360" w:lineRule="auto"/>
              <w:jc w:val="center"/>
              <w:rPr>
                <w:rFonts w:hint="eastAsia" w:ascii="宋体" w:hAnsi="宋体" w:cs="宋体"/>
                <w:color w:val="auto"/>
                <w:szCs w:val="21"/>
                <w:highlight w:val="none"/>
              </w:rPr>
            </w:pPr>
            <w:bookmarkStart w:id="64" w:name="_28.3"/>
            <w:bookmarkEnd w:id="64"/>
            <w:r>
              <w:rPr>
                <w:rFonts w:hint="eastAsia" w:ascii="宋体" w:hAnsi="宋体" w:cs="宋体"/>
                <w:color w:val="auto"/>
                <w:szCs w:val="21"/>
                <w:highlight w:val="none"/>
              </w:rPr>
              <w:t>15</w:t>
            </w:r>
          </w:p>
        </w:tc>
        <w:tc>
          <w:tcPr>
            <w:tcW w:w="8175" w:type="dxa"/>
            <w:tcBorders>
              <w:top w:val="single" w:color="auto" w:sz="4" w:space="0"/>
              <w:left w:val="single" w:color="auto" w:sz="4" w:space="0"/>
              <w:bottom w:val="single" w:color="auto" w:sz="4" w:space="0"/>
              <w:right w:val="single" w:color="auto" w:sz="4" w:space="0"/>
            </w:tcBorders>
            <w:vAlign w:val="center"/>
          </w:tcPr>
          <w:p w14:paraId="3F103DFE">
            <w:pPr>
              <w:autoSpaceDE w:val="0"/>
              <w:autoSpaceDN w:val="0"/>
              <w:snapToGrid w:val="0"/>
              <w:spacing w:line="360" w:lineRule="auto"/>
              <w:textAlignment w:val="bottom"/>
              <w:rPr>
                <w:rFonts w:hint="eastAsia" w:ascii="宋体" w:hAnsi="宋体" w:cs="宋体"/>
                <w:color w:val="auto"/>
                <w:szCs w:val="21"/>
                <w:highlight w:val="none"/>
              </w:rPr>
            </w:pPr>
            <w:r>
              <w:rPr>
                <w:rFonts w:hint="eastAsia" w:ascii="宋体" w:hAnsi="宋体" w:cs="宋体"/>
                <w:color w:val="auto"/>
                <w:szCs w:val="21"/>
                <w:highlight w:val="none"/>
              </w:rPr>
              <w:t>评标方法：</w:t>
            </w:r>
          </w:p>
          <w:p w14:paraId="49D40E56">
            <w:pPr>
              <w:autoSpaceDE w:val="0"/>
              <w:autoSpaceDN w:val="0"/>
              <w:snapToGrid w:val="0"/>
              <w:spacing w:line="360" w:lineRule="auto"/>
              <w:textAlignment w:val="bottom"/>
              <w:rPr>
                <w:rFonts w:hint="eastAsia" w:ascii="宋体" w:hAnsi="宋体" w:cs="宋体"/>
                <w:color w:val="auto"/>
                <w:szCs w:val="21"/>
                <w:highlight w:val="none"/>
              </w:rPr>
            </w:pPr>
            <w:r>
              <w:rPr>
                <w:rFonts w:hint="eastAsia" w:ascii="宋体" w:hAnsi="宋体" w:cs="宋体"/>
                <w:color w:val="auto"/>
                <w:szCs w:val="21"/>
                <w:highlight w:val="none"/>
              </w:rPr>
              <w:t>√综合评分法</w:t>
            </w:r>
          </w:p>
          <w:p w14:paraId="47090537">
            <w:pPr>
              <w:autoSpaceDE w:val="0"/>
              <w:autoSpaceDN w:val="0"/>
              <w:snapToGrid w:val="0"/>
              <w:spacing w:line="360" w:lineRule="auto"/>
              <w:textAlignment w:val="bottom"/>
              <w:rPr>
                <w:rFonts w:hint="eastAsia" w:ascii="宋体" w:hAnsi="宋体" w:cs="宋体"/>
                <w:color w:val="auto"/>
                <w:szCs w:val="21"/>
                <w:highlight w:val="none"/>
              </w:rPr>
            </w:pPr>
            <w:r>
              <w:rPr>
                <w:rFonts w:hint="eastAsia" w:ascii="宋体" w:hAnsi="宋体" w:cs="宋体"/>
                <w:color w:val="auto"/>
                <w:szCs w:val="21"/>
                <w:highlight w:val="none"/>
              </w:rPr>
              <w:t>□最低评标价法</w:t>
            </w:r>
          </w:p>
        </w:tc>
      </w:tr>
      <w:tr w14:paraId="447EE43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78" w:type="dxa"/>
            <w:tcBorders>
              <w:top w:val="single" w:color="auto" w:sz="4" w:space="0"/>
              <w:left w:val="single" w:color="auto" w:sz="4" w:space="0"/>
              <w:bottom w:val="single" w:color="auto" w:sz="4" w:space="0"/>
              <w:right w:val="single" w:color="auto" w:sz="4" w:space="0"/>
            </w:tcBorders>
            <w:vAlign w:val="center"/>
          </w:tcPr>
          <w:p w14:paraId="67CF51B3">
            <w:pPr>
              <w:spacing w:line="360" w:lineRule="auto"/>
              <w:jc w:val="center"/>
              <w:rPr>
                <w:rFonts w:hint="eastAsia" w:ascii="宋体" w:hAnsi="宋体" w:cs="宋体"/>
                <w:color w:val="auto"/>
                <w:szCs w:val="21"/>
                <w:highlight w:val="none"/>
              </w:rPr>
            </w:pPr>
            <w:bookmarkStart w:id="65" w:name="_29.2.2（2）"/>
            <w:bookmarkEnd w:id="65"/>
            <w:r>
              <w:rPr>
                <w:rFonts w:hint="eastAsia" w:ascii="宋体" w:hAnsi="宋体" w:cs="宋体"/>
                <w:color w:val="auto"/>
                <w:szCs w:val="21"/>
                <w:highlight w:val="none"/>
              </w:rPr>
              <w:t>16</w:t>
            </w:r>
          </w:p>
        </w:tc>
        <w:tc>
          <w:tcPr>
            <w:tcW w:w="8175" w:type="dxa"/>
            <w:tcBorders>
              <w:top w:val="single" w:color="auto" w:sz="4" w:space="0"/>
              <w:left w:val="single" w:color="auto" w:sz="4" w:space="0"/>
              <w:right w:val="single" w:color="auto" w:sz="4" w:space="0"/>
            </w:tcBorders>
            <w:vAlign w:val="center"/>
          </w:tcPr>
          <w:p w14:paraId="0DF9105B">
            <w:pPr>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商务要求评审中允许负偏离的条款数为</w:t>
            </w:r>
            <w:r>
              <w:rPr>
                <w:rFonts w:hint="eastAsia" w:ascii="宋体" w:hAnsi="宋体" w:cs="宋体"/>
                <w:color w:val="auto"/>
                <w:szCs w:val="21"/>
                <w:highlight w:val="none"/>
                <w:u w:val="single"/>
              </w:rPr>
              <w:t>0</w:t>
            </w:r>
            <w:r>
              <w:rPr>
                <w:rFonts w:hint="eastAsia" w:ascii="宋体" w:hAnsi="宋体" w:cs="宋体"/>
                <w:color w:val="auto"/>
                <w:szCs w:val="21"/>
                <w:highlight w:val="none"/>
              </w:rPr>
              <w:t>项。</w:t>
            </w:r>
          </w:p>
          <w:p w14:paraId="3525AA71">
            <w:pPr>
              <w:snapToGrid w:val="0"/>
              <w:spacing w:line="360" w:lineRule="auto"/>
              <w:rPr>
                <w:rFonts w:hint="eastAsia" w:ascii="宋体" w:hAnsi="宋体" w:cs="宋体"/>
                <w:bCs/>
                <w:color w:val="auto"/>
                <w:szCs w:val="21"/>
                <w:highlight w:val="none"/>
              </w:rPr>
            </w:pPr>
            <w:r>
              <w:rPr>
                <w:rFonts w:hint="eastAsia" w:ascii="宋体" w:hAnsi="宋体" w:cs="宋体"/>
                <w:color w:val="auto"/>
                <w:szCs w:val="21"/>
                <w:highlight w:val="none"/>
              </w:rPr>
              <w:t>采购需求及技术要求评审中允许负偏离的条款数为</w:t>
            </w:r>
            <w:r>
              <w:rPr>
                <w:rFonts w:hint="eastAsia" w:ascii="宋体" w:hAnsi="宋体" w:cs="宋体"/>
                <w:color w:val="auto"/>
                <w:szCs w:val="21"/>
                <w:highlight w:val="none"/>
                <w:u w:val="single"/>
              </w:rPr>
              <w:t>5</w:t>
            </w:r>
            <w:r>
              <w:rPr>
                <w:rFonts w:hint="eastAsia" w:ascii="宋体" w:hAnsi="宋体" w:cs="宋体"/>
                <w:color w:val="auto"/>
                <w:szCs w:val="21"/>
                <w:highlight w:val="none"/>
              </w:rPr>
              <w:t>项。</w:t>
            </w:r>
          </w:p>
        </w:tc>
      </w:tr>
      <w:tr w14:paraId="3C2CCE4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78" w:type="dxa"/>
            <w:tcBorders>
              <w:top w:val="single" w:color="auto" w:sz="4" w:space="0"/>
              <w:left w:val="single" w:color="auto" w:sz="4" w:space="0"/>
              <w:right w:val="single" w:color="auto" w:sz="4" w:space="0"/>
            </w:tcBorders>
            <w:vAlign w:val="center"/>
          </w:tcPr>
          <w:p w14:paraId="6DB7652D">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17</w:t>
            </w:r>
          </w:p>
        </w:tc>
        <w:tc>
          <w:tcPr>
            <w:tcW w:w="8175" w:type="dxa"/>
            <w:tcBorders>
              <w:top w:val="single" w:color="auto" w:sz="4" w:space="0"/>
              <w:left w:val="single" w:color="auto" w:sz="4" w:space="0"/>
              <w:right w:val="single" w:color="auto" w:sz="4" w:space="0"/>
            </w:tcBorders>
            <w:vAlign w:val="center"/>
          </w:tcPr>
          <w:p w14:paraId="04453CAA">
            <w:pPr>
              <w:snapToGrid w:val="0"/>
              <w:spacing w:line="360" w:lineRule="auto"/>
              <w:rPr>
                <w:rFonts w:hint="eastAsia" w:ascii="宋体" w:hAnsi="宋体" w:cs="宋体"/>
                <w:color w:val="auto"/>
                <w:highlight w:val="none"/>
              </w:rPr>
            </w:pPr>
            <w:r>
              <w:rPr>
                <w:rFonts w:hint="eastAsia" w:ascii="宋体" w:hAnsi="宋体" w:cs="宋体"/>
                <w:color w:val="auto"/>
                <w:highlight w:val="none"/>
              </w:rPr>
              <w:t>中标候选人推荐数量：</w:t>
            </w:r>
          </w:p>
          <w:p w14:paraId="45A7F912">
            <w:pPr>
              <w:pStyle w:val="220"/>
              <w:numPr>
                <w:ilvl w:val="0"/>
                <w:numId w:val="22"/>
              </w:numPr>
              <w:snapToGrid w:val="0"/>
              <w:spacing w:line="360" w:lineRule="auto"/>
              <w:ind w:firstLineChars="0"/>
              <w:rPr>
                <w:rFonts w:hint="eastAsia" w:ascii="宋体" w:hAnsi="宋体" w:cs="宋体"/>
                <w:color w:val="auto"/>
                <w:highlight w:val="none"/>
              </w:rPr>
            </w:pPr>
            <w:r>
              <w:rPr>
                <w:rFonts w:hint="eastAsia" w:ascii="宋体" w:hAnsi="宋体" w:cs="宋体"/>
                <w:color w:val="auto"/>
                <w:highlight w:val="none"/>
                <w:u w:val="single"/>
              </w:rPr>
              <w:t xml:space="preserve">   </w:t>
            </w:r>
            <w:r>
              <w:rPr>
                <w:rFonts w:hint="eastAsia" w:ascii="宋体" w:hAnsi="宋体" w:cs="宋体"/>
                <w:color w:val="auto"/>
                <w:highlight w:val="none"/>
              </w:rPr>
              <w:t>名</w:t>
            </w:r>
          </w:p>
          <w:p w14:paraId="61FE05B9">
            <w:pPr>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highlight w:val="none"/>
              </w:rPr>
              <w:t>根据[总得分由高到低]排列次序并全部推荐为中标候选人</w:t>
            </w:r>
          </w:p>
        </w:tc>
      </w:tr>
      <w:tr w14:paraId="153FA10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978" w:type="dxa"/>
            <w:tcBorders>
              <w:top w:val="single" w:color="auto" w:sz="4" w:space="0"/>
              <w:left w:val="single" w:color="auto" w:sz="4" w:space="0"/>
              <w:bottom w:val="single" w:color="auto" w:sz="4" w:space="0"/>
              <w:right w:val="single" w:color="auto" w:sz="4" w:space="0"/>
            </w:tcBorders>
            <w:vAlign w:val="center"/>
          </w:tcPr>
          <w:p w14:paraId="2D3B4E53">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18</w:t>
            </w:r>
          </w:p>
        </w:tc>
        <w:tc>
          <w:tcPr>
            <w:tcW w:w="8175" w:type="dxa"/>
            <w:tcBorders>
              <w:top w:val="single" w:color="auto" w:sz="4" w:space="0"/>
              <w:left w:val="single" w:color="auto" w:sz="4" w:space="0"/>
              <w:bottom w:val="single" w:color="auto" w:sz="4" w:space="0"/>
              <w:right w:val="single" w:color="auto" w:sz="4" w:space="0"/>
            </w:tcBorders>
            <w:vAlign w:val="center"/>
          </w:tcPr>
          <w:p w14:paraId="5A373DD1">
            <w:pPr>
              <w:autoSpaceDE w:val="0"/>
              <w:autoSpaceDN w:val="0"/>
              <w:snapToGrid w:val="0"/>
              <w:spacing w:line="360" w:lineRule="auto"/>
              <w:textAlignment w:val="bottom"/>
              <w:rPr>
                <w:rFonts w:hint="eastAsia" w:ascii="宋体" w:hAnsi="宋体" w:cs="宋体"/>
                <w:color w:val="auto"/>
                <w:szCs w:val="21"/>
                <w:highlight w:val="none"/>
              </w:rPr>
            </w:pPr>
            <w:r>
              <w:rPr>
                <w:rFonts w:hint="eastAsia" w:ascii="宋体" w:hAnsi="宋体" w:cs="宋体"/>
                <w:color w:val="auto"/>
                <w:szCs w:val="21"/>
                <w:highlight w:val="none"/>
              </w:rPr>
              <w:t>采用综合评分法的采购项目，采购人确定中标人时，出现中标候选人并列的情形，采购人按以下的方式确定中标人：</w:t>
            </w:r>
          </w:p>
          <w:p w14:paraId="6B08219C">
            <w:pPr>
              <w:autoSpaceDE w:val="0"/>
              <w:autoSpaceDN w:val="0"/>
              <w:snapToGrid w:val="0"/>
              <w:spacing w:line="360" w:lineRule="auto"/>
              <w:textAlignment w:val="bottom"/>
              <w:rPr>
                <w:rFonts w:hint="eastAsia" w:ascii="宋体" w:hAnsi="宋体" w:cs="宋体"/>
                <w:color w:val="auto"/>
                <w:szCs w:val="21"/>
                <w:highlight w:val="none"/>
              </w:rPr>
            </w:pPr>
            <w:r>
              <w:rPr>
                <w:rFonts w:hint="eastAsia" w:ascii="宋体" w:hAnsi="宋体" w:cs="宋体"/>
                <w:color w:val="auto"/>
                <w:szCs w:val="21"/>
                <w:highlight w:val="none"/>
              </w:rPr>
              <w:t>√依次按投标报价低的优先、政策分得分高的优先、技术评分高的优先、商务评分高的优先、故障响应时间短优先的顺序确定；</w:t>
            </w:r>
          </w:p>
          <w:p w14:paraId="2ED44A9D">
            <w:pPr>
              <w:autoSpaceDE w:val="0"/>
              <w:autoSpaceDN w:val="0"/>
              <w:snapToGrid w:val="0"/>
              <w:spacing w:line="360" w:lineRule="auto"/>
              <w:textAlignment w:val="bottom"/>
              <w:rPr>
                <w:rFonts w:hint="eastAsia" w:ascii="宋体" w:hAnsi="宋体" w:cs="宋体"/>
                <w:b/>
                <w:color w:val="auto"/>
                <w:szCs w:val="21"/>
                <w:highlight w:val="none"/>
              </w:rPr>
            </w:pPr>
            <w:r>
              <w:rPr>
                <w:rFonts w:hint="eastAsia" w:ascii="宋体" w:hAnsi="宋体" w:cs="宋体"/>
                <w:color w:val="auto"/>
                <w:szCs w:val="21"/>
                <w:highlight w:val="none"/>
              </w:rPr>
              <w:t>□随机抽取；</w:t>
            </w:r>
          </w:p>
        </w:tc>
      </w:tr>
      <w:tr w14:paraId="4B034D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978" w:type="dxa"/>
            <w:tcBorders>
              <w:top w:val="single" w:color="auto" w:sz="4" w:space="0"/>
              <w:left w:val="single" w:color="auto" w:sz="4" w:space="0"/>
              <w:bottom w:val="single" w:color="auto" w:sz="4" w:space="0"/>
              <w:right w:val="single" w:color="auto" w:sz="4" w:space="0"/>
            </w:tcBorders>
            <w:vAlign w:val="center"/>
          </w:tcPr>
          <w:p w14:paraId="30B82149">
            <w:pPr>
              <w:spacing w:line="360" w:lineRule="auto"/>
              <w:jc w:val="center"/>
              <w:rPr>
                <w:rFonts w:hint="eastAsia" w:ascii="宋体" w:hAnsi="宋体" w:cs="宋体"/>
                <w:color w:val="auto"/>
                <w:szCs w:val="21"/>
                <w:highlight w:val="none"/>
              </w:rPr>
            </w:pPr>
            <w:bookmarkStart w:id="66" w:name="_39.1"/>
            <w:bookmarkEnd w:id="66"/>
            <w:r>
              <w:rPr>
                <w:rFonts w:hint="eastAsia" w:ascii="宋体" w:hAnsi="宋体" w:cs="宋体"/>
                <w:color w:val="auto"/>
                <w:szCs w:val="21"/>
                <w:highlight w:val="none"/>
              </w:rPr>
              <w:t>19</w:t>
            </w:r>
          </w:p>
        </w:tc>
        <w:tc>
          <w:tcPr>
            <w:tcW w:w="8175" w:type="dxa"/>
            <w:tcBorders>
              <w:top w:val="single" w:color="auto" w:sz="4" w:space="0"/>
              <w:left w:val="single" w:color="auto" w:sz="4" w:space="0"/>
              <w:bottom w:val="single" w:color="auto" w:sz="4" w:space="0"/>
              <w:right w:val="single" w:color="auto" w:sz="4" w:space="0"/>
            </w:tcBorders>
            <w:vAlign w:val="center"/>
          </w:tcPr>
          <w:p w14:paraId="3BA14774">
            <w:pPr>
              <w:autoSpaceDE w:val="0"/>
              <w:autoSpaceDN w:val="0"/>
              <w:snapToGrid w:val="0"/>
              <w:spacing w:line="360" w:lineRule="auto"/>
              <w:textAlignment w:val="bottom"/>
              <w:rPr>
                <w:rFonts w:hint="eastAsia" w:ascii="宋体" w:hAnsi="宋体" w:cs="宋体"/>
                <w:color w:val="auto"/>
                <w:szCs w:val="21"/>
                <w:highlight w:val="none"/>
              </w:rPr>
            </w:pPr>
            <w:r>
              <w:rPr>
                <w:rFonts w:hint="eastAsia" w:ascii="宋体" w:hAnsi="宋体" w:cs="宋体"/>
                <w:color w:val="auto"/>
                <w:szCs w:val="21"/>
                <w:highlight w:val="none"/>
              </w:rPr>
              <w:t>□本项目不收取履约保证金。</w:t>
            </w:r>
          </w:p>
          <w:p w14:paraId="2CC4694E">
            <w:pPr>
              <w:autoSpaceDE w:val="0"/>
              <w:autoSpaceDN w:val="0"/>
              <w:snapToGrid w:val="0"/>
              <w:spacing w:line="360" w:lineRule="auto"/>
              <w:textAlignment w:val="bottom"/>
              <w:rPr>
                <w:rFonts w:hint="eastAsia" w:ascii="宋体" w:hAnsi="宋体" w:cs="宋体"/>
                <w:color w:val="auto"/>
                <w:szCs w:val="21"/>
                <w:highlight w:val="none"/>
              </w:rPr>
            </w:pPr>
            <w:r>
              <w:rPr>
                <w:rFonts w:hint="eastAsia" w:ascii="宋体" w:hAnsi="宋体" w:cs="宋体"/>
                <w:b/>
                <w:bCs/>
                <w:color w:val="auto"/>
                <w:szCs w:val="21"/>
                <w:highlight w:val="none"/>
              </w:rPr>
              <w:t>√</w:t>
            </w:r>
            <w:r>
              <w:rPr>
                <w:rFonts w:hint="eastAsia" w:ascii="宋体" w:hAnsi="宋体" w:cs="宋体"/>
                <w:color w:val="auto"/>
                <w:szCs w:val="21"/>
                <w:highlight w:val="none"/>
              </w:rPr>
              <w:t>本项目收取履约保证金，具体规定如下：</w:t>
            </w:r>
          </w:p>
          <w:p w14:paraId="7F5E1FE7">
            <w:pPr>
              <w:pStyle w:val="19"/>
              <w:spacing w:line="360" w:lineRule="auto"/>
              <w:ind w:left="420" w:leftChars="200"/>
              <w:rPr>
                <w:rFonts w:hint="eastAsia" w:ascii="宋体" w:hAnsi="宋体" w:cs="宋体"/>
                <w:color w:val="auto"/>
                <w:szCs w:val="21"/>
                <w:highlight w:val="none"/>
              </w:rPr>
            </w:pPr>
            <w:r>
              <w:rPr>
                <w:rFonts w:hint="eastAsia" w:ascii="宋体" w:hAnsi="宋体" w:cs="宋体"/>
                <w:color w:val="auto"/>
                <w:szCs w:val="21"/>
                <w:highlight w:val="none"/>
              </w:rPr>
              <w:t>履约保证金金额：每分标按中标金额的</w:t>
            </w:r>
            <w:r>
              <w:rPr>
                <w:rFonts w:hint="eastAsia" w:ascii="宋体" w:hAnsi="宋体" w:cs="宋体"/>
                <w:b/>
                <w:bCs/>
                <w:color w:val="auto"/>
                <w:szCs w:val="21"/>
                <w:highlight w:val="none"/>
              </w:rPr>
              <w:t>2%</w:t>
            </w:r>
            <w:r>
              <w:rPr>
                <w:rFonts w:hint="eastAsia" w:ascii="宋体" w:hAnsi="宋体" w:cs="宋体"/>
                <w:color w:val="auto"/>
                <w:szCs w:val="21"/>
                <w:highlight w:val="none"/>
              </w:rPr>
              <w:t>。</w:t>
            </w:r>
          </w:p>
          <w:p w14:paraId="6D01AF63">
            <w:pPr>
              <w:pStyle w:val="19"/>
              <w:spacing w:line="360" w:lineRule="auto"/>
              <w:ind w:left="420" w:leftChars="200"/>
              <w:rPr>
                <w:rFonts w:hint="eastAsia" w:ascii="宋体" w:hAnsi="宋体" w:cs="宋体"/>
                <w:color w:val="auto"/>
                <w:szCs w:val="21"/>
                <w:highlight w:val="none"/>
              </w:rPr>
            </w:pPr>
            <w:r>
              <w:rPr>
                <w:rFonts w:hint="eastAsia" w:ascii="宋体" w:hAnsi="宋体" w:cs="宋体"/>
                <w:color w:val="auto"/>
                <w:szCs w:val="21"/>
                <w:highlight w:val="none"/>
              </w:rPr>
              <w:t>签订合同前交至指定账户，否则不予签订合同</w:t>
            </w:r>
          </w:p>
          <w:p w14:paraId="609D7F48">
            <w:pPr>
              <w:snapToGrid w:val="0"/>
              <w:spacing w:line="360" w:lineRule="auto"/>
              <w:ind w:left="420" w:leftChars="200"/>
              <w:rPr>
                <w:rFonts w:hint="eastAsia" w:ascii="宋体" w:hAnsi="宋体" w:cs="宋体"/>
                <w:color w:val="auto"/>
                <w:szCs w:val="21"/>
                <w:highlight w:val="none"/>
              </w:rPr>
            </w:pPr>
            <w:r>
              <w:rPr>
                <w:rFonts w:hint="eastAsia" w:ascii="宋体" w:hAnsi="宋体" w:cs="宋体"/>
                <w:color w:val="auto"/>
                <w:szCs w:val="21"/>
                <w:highlight w:val="none"/>
              </w:rPr>
              <w:t>履约保证金递交方式：银行转账、电汇或网上支付、支票、汇票、本票或者银行、保险机构出具的保函（含电子保函）等非现金方式</w:t>
            </w:r>
          </w:p>
          <w:p w14:paraId="1AECBCA2">
            <w:pPr>
              <w:snapToGrid w:val="0"/>
              <w:spacing w:line="360" w:lineRule="auto"/>
              <w:ind w:left="420" w:leftChars="200"/>
              <w:rPr>
                <w:rFonts w:hint="eastAsia" w:ascii="宋体" w:hAnsi="宋体" w:cs="宋体"/>
                <w:color w:val="auto"/>
                <w:szCs w:val="21"/>
                <w:highlight w:val="none"/>
              </w:rPr>
            </w:pPr>
            <w:r>
              <w:rPr>
                <w:rFonts w:hint="eastAsia" w:ascii="宋体" w:hAnsi="宋体" w:cs="宋体"/>
                <w:color w:val="auto"/>
                <w:szCs w:val="21"/>
                <w:highlight w:val="none"/>
              </w:rPr>
              <w:t>履约保证金退付方式、时间及条件：项目验收完成后无息退付。履约保证金退付方式同投标保证金退付方式。</w:t>
            </w:r>
          </w:p>
          <w:p w14:paraId="3065A77F">
            <w:pPr>
              <w:snapToGrid w:val="0"/>
              <w:spacing w:line="360" w:lineRule="auto"/>
              <w:ind w:left="420" w:leftChars="200"/>
              <w:rPr>
                <w:rFonts w:hint="eastAsia" w:ascii="宋体" w:hAnsi="宋体" w:cs="宋体"/>
                <w:color w:val="auto"/>
                <w:szCs w:val="21"/>
                <w:highlight w:val="none"/>
              </w:rPr>
            </w:pPr>
            <w:r>
              <w:rPr>
                <w:rFonts w:hint="eastAsia" w:ascii="宋体" w:hAnsi="宋体" w:cs="宋体"/>
                <w:color w:val="auto"/>
                <w:szCs w:val="21"/>
                <w:highlight w:val="none"/>
              </w:rPr>
              <w:t>由中标人向履约保证金收取单位提供《政府采购项目合同验收书》、《政府采购项目履约保证金退付意见书》、《广西壮族自治区政府采购项目验收考核评分表》，保证金收取单位在收到合格材料后10个工作日内办理退还手续（不计利息）。</w:t>
            </w:r>
          </w:p>
          <w:p w14:paraId="56836090">
            <w:pPr>
              <w:snapToGrid w:val="0"/>
              <w:spacing w:line="360" w:lineRule="auto"/>
              <w:ind w:left="420" w:leftChars="200"/>
              <w:rPr>
                <w:rFonts w:hint="eastAsia" w:ascii="宋体" w:hAnsi="宋体" w:cs="宋体"/>
                <w:color w:val="auto"/>
                <w:szCs w:val="21"/>
                <w:highlight w:val="none"/>
              </w:rPr>
            </w:pPr>
            <w:r>
              <w:rPr>
                <w:rFonts w:hint="eastAsia" w:ascii="宋体" w:hAnsi="宋体" w:cs="宋体"/>
                <w:color w:val="auto"/>
                <w:szCs w:val="21"/>
                <w:highlight w:val="none"/>
              </w:rPr>
              <w:t>履约保证金收取单位指定账户：</w:t>
            </w:r>
          </w:p>
          <w:p w14:paraId="0414F011">
            <w:pPr>
              <w:snapToGrid w:val="0"/>
              <w:spacing w:line="360" w:lineRule="auto"/>
              <w:ind w:left="420" w:leftChars="200"/>
              <w:rPr>
                <w:rFonts w:hint="eastAsia" w:ascii="宋体" w:hAnsi="宋体" w:cs="宋体"/>
                <w:b/>
                <w:bCs/>
                <w:color w:val="auto"/>
                <w:szCs w:val="21"/>
                <w:highlight w:val="none"/>
              </w:rPr>
            </w:pPr>
            <w:r>
              <w:rPr>
                <w:rFonts w:hint="eastAsia" w:ascii="宋体" w:hAnsi="宋体" w:cs="宋体"/>
                <w:b/>
                <w:bCs/>
                <w:color w:val="auto"/>
                <w:szCs w:val="21"/>
                <w:highlight w:val="none"/>
              </w:rPr>
              <w:t>开户名称：广西壮族自治区农业农村厅</w:t>
            </w:r>
          </w:p>
          <w:p w14:paraId="0E6EEC17">
            <w:pPr>
              <w:snapToGrid w:val="0"/>
              <w:spacing w:line="360" w:lineRule="auto"/>
              <w:ind w:left="420" w:leftChars="200"/>
              <w:rPr>
                <w:rFonts w:hint="eastAsia" w:ascii="宋体" w:hAnsi="宋体" w:cs="宋体"/>
                <w:b/>
                <w:bCs/>
                <w:color w:val="auto"/>
                <w:szCs w:val="21"/>
                <w:highlight w:val="none"/>
              </w:rPr>
            </w:pPr>
            <w:r>
              <w:rPr>
                <w:rFonts w:hint="eastAsia" w:ascii="宋体" w:hAnsi="宋体" w:cs="宋体"/>
                <w:b/>
                <w:bCs/>
                <w:color w:val="auto"/>
                <w:szCs w:val="21"/>
                <w:highlight w:val="none"/>
              </w:rPr>
              <w:t>开户银行：20022101040001679</w:t>
            </w:r>
          </w:p>
          <w:p w14:paraId="67121164">
            <w:pPr>
              <w:snapToGrid w:val="0"/>
              <w:spacing w:line="360" w:lineRule="auto"/>
              <w:ind w:left="420" w:leftChars="200"/>
              <w:rPr>
                <w:rFonts w:hint="eastAsia" w:ascii="宋体" w:hAnsi="宋体" w:cs="宋体"/>
                <w:color w:val="auto"/>
                <w:szCs w:val="21"/>
                <w:highlight w:val="none"/>
              </w:rPr>
            </w:pPr>
            <w:r>
              <w:rPr>
                <w:rFonts w:hint="eastAsia" w:ascii="宋体" w:hAnsi="宋体" w:cs="宋体"/>
                <w:b/>
                <w:bCs/>
                <w:color w:val="auto"/>
                <w:szCs w:val="21"/>
                <w:highlight w:val="none"/>
              </w:rPr>
              <w:t>银行账号：农行南宁天桃支行</w:t>
            </w:r>
            <w:r>
              <w:rPr>
                <w:rFonts w:hint="eastAsia" w:ascii="宋体" w:hAnsi="宋体" w:cs="宋体"/>
                <w:color w:val="auto"/>
                <w:szCs w:val="21"/>
                <w:highlight w:val="none"/>
              </w:rPr>
              <w:t>。</w:t>
            </w:r>
          </w:p>
          <w:p w14:paraId="58724DC6">
            <w:pPr>
              <w:spacing w:line="360" w:lineRule="auto"/>
              <w:jc w:val="left"/>
              <w:rPr>
                <w:rFonts w:hint="eastAsia" w:ascii="宋体" w:hAnsi="宋体" w:cs="宋体"/>
                <w:color w:val="auto"/>
                <w:szCs w:val="21"/>
                <w:highlight w:val="none"/>
              </w:rPr>
            </w:pPr>
            <w:r>
              <w:rPr>
                <w:rFonts w:hint="eastAsia" w:ascii="宋体" w:hAnsi="宋体" w:cs="宋体"/>
                <w:color w:val="auto"/>
                <w:szCs w:val="21"/>
                <w:highlight w:val="none"/>
              </w:rPr>
              <w:t>备注：</w:t>
            </w:r>
          </w:p>
          <w:p w14:paraId="4ED4D13C">
            <w:pPr>
              <w:spacing w:line="360" w:lineRule="auto"/>
              <w:jc w:val="left"/>
              <w:rPr>
                <w:rFonts w:hint="eastAsia" w:ascii="宋体" w:hAnsi="宋体" w:cs="宋体"/>
                <w:color w:val="auto"/>
                <w:kern w:val="0"/>
                <w:szCs w:val="21"/>
                <w:highlight w:val="none"/>
              </w:rPr>
            </w:pPr>
            <w:r>
              <w:rPr>
                <w:rFonts w:hint="eastAsia" w:ascii="宋体" w:hAnsi="宋体" w:cs="宋体"/>
                <w:b/>
                <w:color w:val="auto"/>
                <w:szCs w:val="21"/>
                <w:highlight w:val="none"/>
              </w:rPr>
              <w:t>1.</w:t>
            </w:r>
            <w:bookmarkStart w:id="67" w:name="_Hlk54170335"/>
            <w:r>
              <w:rPr>
                <w:rFonts w:hint="eastAsia" w:ascii="宋体" w:hAnsi="宋体" w:cs="宋体"/>
                <w:b/>
                <w:color w:val="auto"/>
                <w:szCs w:val="21"/>
                <w:highlight w:val="none"/>
              </w:rPr>
              <w:t>根据《桂财规〔2022〕8号广西壮族自治区财政厅关于规范政府采购货物和服务项目保证金管理的通知》规定，采购文件要求中标或者中标人提交履约保证金的，履约保证金数额不得超过政府采购合同金额的5%，对中小企业收取的履约保证金数额不得超过政府采购合同金额的2%。</w:t>
            </w:r>
            <w:bookmarkEnd w:id="67"/>
            <w:r>
              <w:rPr>
                <w:rFonts w:hint="eastAsia" w:ascii="宋体" w:hAnsi="宋体" w:cs="宋体"/>
                <w:color w:val="auto"/>
                <w:szCs w:val="21"/>
                <w:highlight w:val="none"/>
              </w:rPr>
              <w:br w:type="textWrapping"/>
            </w:r>
            <w:r>
              <w:rPr>
                <w:rFonts w:hint="eastAsia" w:ascii="宋体" w:hAnsi="宋体" w:cs="宋体"/>
                <w:b/>
                <w:color w:val="auto"/>
                <w:szCs w:val="21"/>
                <w:highlight w:val="none"/>
              </w:rPr>
              <w:t>2.履约保证金不足额缴纳的（包含保函额度不足的），或者不按规定提交方式提交的，或者保函有效期低于合同履行期限（即合同中规定的当事人履行自己的义务，如交付标的物、价款或者报酬，履行劳务、完成工作的时间界限）的，不予签订合同。</w:t>
            </w:r>
            <w:r>
              <w:rPr>
                <w:rFonts w:hint="eastAsia" w:ascii="宋体" w:hAnsi="宋体" w:cs="宋体"/>
                <w:b/>
                <w:color w:val="auto"/>
                <w:szCs w:val="21"/>
                <w:highlight w:val="none"/>
              </w:rPr>
              <w:br w:type="textWrapping"/>
            </w:r>
            <w:r>
              <w:rPr>
                <w:rFonts w:hint="eastAsia" w:ascii="宋体" w:hAnsi="宋体" w:cs="宋体"/>
                <w:b/>
                <w:color w:val="auto"/>
                <w:szCs w:val="21"/>
                <w:highlight w:val="none"/>
              </w:rPr>
              <w:t>3.采用银行、保险机构出具的保函（含电子保函）的，必须为无条件保函，否则不予签订合同。</w:t>
            </w:r>
          </w:p>
        </w:tc>
      </w:tr>
      <w:tr w14:paraId="181369F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978" w:type="dxa"/>
            <w:tcBorders>
              <w:top w:val="single" w:color="auto" w:sz="4" w:space="0"/>
              <w:left w:val="single" w:color="auto" w:sz="4" w:space="0"/>
              <w:bottom w:val="single" w:color="auto" w:sz="4" w:space="0"/>
              <w:right w:val="single" w:color="auto" w:sz="4" w:space="0"/>
            </w:tcBorders>
            <w:vAlign w:val="center"/>
          </w:tcPr>
          <w:p w14:paraId="458D592E">
            <w:pPr>
              <w:spacing w:line="360" w:lineRule="auto"/>
              <w:jc w:val="center"/>
              <w:rPr>
                <w:rFonts w:hint="eastAsia" w:ascii="宋体" w:hAnsi="宋体" w:cs="宋体"/>
                <w:color w:val="auto"/>
                <w:szCs w:val="21"/>
                <w:highlight w:val="none"/>
              </w:rPr>
            </w:pPr>
            <w:bookmarkStart w:id="68" w:name="_40.1"/>
            <w:bookmarkEnd w:id="68"/>
            <w:r>
              <w:rPr>
                <w:rFonts w:hint="eastAsia" w:ascii="宋体" w:hAnsi="宋体" w:cs="宋体"/>
                <w:color w:val="auto"/>
                <w:szCs w:val="21"/>
                <w:highlight w:val="none"/>
              </w:rPr>
              <w:t>20</w:t>
            </w:r>
          </w:p>
        </w:tc>
        <w:tc>
          <w:tcPr>
            <w:tcW w:w="8175" w:type="dxa"/>
            <w:tcBorders>
              <w:top w:val="single" w:color="auto" w:sz="4" w:space="0"/>
              <w:left w:val="single" w:color="auto" w:sz="4" w:space="0"/>
              <w:bottom w:val="single" w:color="auto" w:sz="4" w:space="0"/>
              <w:right w:val="single" w:color="auto" w:sz="4" w:space="0"/>
            </w:tcBorders>
            <w:vAlign w:val="center"/>
          </w:tcPr>
          <w:p w14:paraId="7150E60A">
            <w:pPr>
              <w:autoSpaceDE w:val="0"/>
              <w:autoSpaceDN w:val="0"/>
              <w:snapToGrid w:val="0"/>
              <w:spacing w:line="360" w:lineRule="auto"/>
              <w:textAlignment w:val="bottom"/>
              <w:rPr>
                <w:rFonts w:hint="eastAsia" w:ascii="宋体" w:hAnsi="宋体" w:cs="宋体"/>
                <w:color w:val="auto"/>
                <w:szCs w:val="21"/>
                <w:highlight w:val="none"/>
              </w:rPr>
            </w:pPr>
            <w:r>
              <w:rPr>
                <w:rFonts w:hint="eastAsia" w:ascii="宋体" w:hAnsi="宋体" w:cs="宋体"/>
                <w:color w:val="auto"/>
                <w:szCs w:val="21"/>
                <w:highlight w:val="none"/>
              </w:rPr>
              <w:t xml:space="preserve">签订合同携带的证明材料： </w:t>
            </w:r>
          </w:p>
          <w:p w14:paraId="158F9D68">
            <w:pPr>
              <w:autoSpaceDE w:val="0"/>
              <w:autoSpaceDN w:val="0"/>
              <w:snapToGrid w:val="0"/>
              <w:spacing w:line="360" w:lineRule="auto"/>
              <w:textAlignment w:val="bottom"/>
              <w:rPr>
                <w:rFonts w:hint="eastAsia" w:ascii="宋体" w:hAnsi="宋体" w:cs="宋体"/>
                <w:color w:val="auto"/>
                <w:szCs w:val="21"/>
                <w:highlight w:val="none"/>
              </w:rPr>
            </w:pPr>
            <w:r>
              <w:rPr>
                <w:rFonts w:hint="eastAsia" w:ascii="宋体" w:hAnsi="宋体" w:cs="宋体"/>
                <w:color w:val="auto"/>
                <w:szCs w:val="21"/>
                <w:highlight w:val="none"/>
              </w:rPr>
              <w:t>委托代理人负责签订合同的，须携带授权委托书及委托代理人身份证原件等其他资格证件。</w:t>
            </w:r>
          </w:p>
          <w:p w14:paraId="4BF52FCB">
            <w:pPr>
              <w:autoSpaceDE w:val="0"/>
              <w:autoSpaceDN w:val="0"/>
              <w:snapToGrid w:val="0"/>
              <w:spacing w:line="360" w:lineRule="auto"/>
              <w:textAlignment w:val="bottom"/>
              <w:rPr>
                <w:rFonts w:hint="eastAsia" w:ascii="宋体" w:hAnsi="宋体" w:cs="宋体"/>
                <w:color w:val="auto"/>
                <w:szCs w:val="21"/>
                <w:highlight w:val="none"/>
              </w:rPr>
            </w:pPr>
            <w:r>
              <w:rPr>
                <w:rFonts w:hint="eastAsia" w:ascii="宋体" w:hAnsi="宋体" w:cs="宋体"/>
                <w:color w:val="auto"/>
                <w:szCs w:val="21"/>
                <w:highlight w:val="none"/>
              </w:rPr>
              <w:t>法定代表人负责签订合同的，须携带法定代表人身份证明原件及身份证原件等其他证明材料。</w:t>
            </w:r>
          </w:p>
        </w:tc>
      </w:tr>
      <w:tr w14:paraId="5894A50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978" w:type="dxa"/>
            <w:tcBorders>
              <w:top w:val="single" w:color="auto" w:sz="4" w:space="0"/>
              <w:left w:val="single" w:color="auto" w:sz="4" w:space="0"/>
              <w:bottom w:val="single" w:color="auto" w:sz="4" w:space="0"/>
              <w:right w:val="single" w:color="auto" w:sz="4" w:space="0"/>
            </w:tcBorders>
            <w:vAlign w:val="center"/>
          </w:tcPr>
          <w:p w14:paraId="4B48F9F8">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21</w:t>
            </w:r>
          </w:p>
        </w:tc>
        <w:tc>
          <w:tcPr>
            <w:tcW w:w="8175" w:type="dxa"/>
            <w:tcBorders>
              <w:top w:val="single" w:color="auto" w:sz="4" w:space="0"/>
              <w:left w:val="single" w:color="auto" w:sz="4" w:space="0"/>
              <w:bottom w:val="single" w:color="auto" w:sz="4" w:space="0"/>
              <w:right w:val="single" w:color="auto" w:sz="4" w:space="0"/>
            </w:tcBorders>
            <w:vAlign w:val="center"/>
          </w:tcPr>
          <w:p w14:paraId="2B3FC6C0">
            <w:pPr>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接收质疑函方式：以书面形式</w:t>
            </w:r>
          </w:p>
          <w:p w14:paraId="1F571A2B">
            <w:pPr>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质疑联系部门及联系方式：广西中启招标咨询有限公司</w:t>
            </w:r>
          </w:p>
          <w:p w14:paraId="22C4AC05">
            <w:pPr>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联系电话：0771-3154419</w:t>
            </w:r>
          </w:p>
          <w:p w14:paraId="6246E65A">
            <w:pPr>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通讯地址：</w:t>
            </w:r>
            <w:r>
              <w:rPr>
                <w:rFonts w:hint="eastAsia" w:ascii="宋体" w:hAnsi="宋体" w:cs="宋体"/>
                <w:color w:val="auto"/>
                <w:szCs w:val="21"/>
                <w:highlight w:val="none"/>
                <w:u w:val="single"/>
              </w:rPr>
              <w:t>广西南宁市那洪大道7号研祥智谷A1栋7楼</w:t>
            </w:r>
          </w:p>
          <w:p w14:paraId="4D27C9F3">
            <w:pPr>
              <w:autoSpaceDE w:val="0"/>
              <w:autoSpaceDN w:val="0"/>
              <w:snapToGrid w:val="0"/>
              <w:spacing w:line="360" w:lineRule="auto"/>
              <w:textAlignment w:val="bottom"/>
              <w:rPr>
                <w:rFonts w:hint="eastAsia" w:ascii="宋体" w:hAnsi="宋体" w:cs="宋体"/>
                <w:color w:val="auto"/>
                <w:szCs w:val="21"/>
                <w:highlight w:val="none"/>
              </w:rPr>
            </w:pPr>
            <w:r>
              <w:rPr>
                <w:rFonts w:hint="eastAsia" w:ascii="宋体" w:hAnsi="宋体" w:cs="宋体"/>
                <w:color w:val="auto"/>
                <w:szCs w:val="21"/>
                <w:highlight w:val="none"/>
              </w:rPr>
              <w:t>现场提交质疑办理业务时间：工作日每天9时00分00秒到12时00分00秒，15时00分00秒到18时00分00秒，双休日和法定节假日不办理业务。</w:t>
            </w:r>
          </w:p>
        </w:tc>
      </w:tr>
      <w:tr w14:paraId="5785B7D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978" w:type="dxa"/>
            <w:tcBorders>
              <w:top w:val="single" w:color="auto" w:sz="4" w:space="0"/>
              <w:left w:val="single" w:color="auto" w:sz="4" w:space="0"/>
              <w:bottom w:val="single" w:color="auto" w:sz="4" w:space="0"/>
              <w:right w:val="single" w:color="auto" w:sz="4" w:space="0"/>
            </w:tcBorders>
            <w:vAlign w:val="center"/>
          </w:tcPr>
          <w:p w14:paraId="3685E089">
            <w:pPr>
              <w:spacing w:line="360" w:lineRule="auto"/>
              <w:jc w:val="center"/>
              <w:rPr>
                <w:rFonts w:hint="eastAsia" w:ascii="宋体" w:hAnsi="宋体" w:cs="宋体"/>
                <w:color w:val="auto"/>
                <w:szCs w:val="21"/>
                <w:highlight w:val="none"/>
              </w:rPr>
            </w:pPr>
            <w:bookmarkStart w:id="69" w:name="_41"/>
            <w:bookmarkEnd w:id="69"/>
            <w:bookmarkStart w:id="70" w:name="_42"/>
            <w:bookmarkEnd w:id="70"/>
            <w:r>
              <w:rPr>
                <w:rFonts w:hint="eastAsia" w:ascii="宋体" w:hAnsi="宋体" w:cs="宋体"/>
                <w:color w:val="auto"/>
                <w:szCs w:val="21"/>
                <w:highlight w:val="none"/>
              </w:rPr>
              <w:t>22</w:t>
            </w:r>
          </w:p>
        </w:tc>
        <w:tc>
          <w:tcPr>
            <w:tcW w:w="8175" w:type="dxa"/>
            <w:tcBorders>
              <w:top w:val="single" w:color="auto" w:sz="4" w:space="0"/>
              <w:left w:val="single" w:color="auto" w:sz="4" w:space="0"/>
              <w:bottom w:val="single" w:color="auto" w:sz="4" w:space="0"/>
              <w:right w:val="single" w:color="auto" w:sz="4" w:space="0"/>
            </w:tcBorders>
            <w:vAlign w:val="center"/>
          </w:tcPr>
          <w:p w14:paraId="67CD8D7B">
            <w:pPr>
              <w:pStyle w:val="32"/>
              <w:spacing w:before="0" w:after="0" w:line="360" w:lineRule="auto"/>
              <w:rPr>
                <w:rFonts w:hint="eastAsia" w:hAnsi="宋体" w:cs="宋体"/>
                <w:color w:val="auto"/>
                <w:w w:val="100"/>
                <w:highlight w:val="none"/>
              </w:rPr>
            </w:pPr>
            <w:r>
              <w:rPr>
                <w:rFonts w:hint="eastAsia" w:hAnsi="宋体" w:cs="宋体"/>
                <w:color w:val="auto"/>
                <w:w w:val="100"/>
                <w:highlight w:val="none"/>
              </w:rPr>
              <w:t>1.采购代理费支付方式：</w:t>
            </w:r>
          </w:p>
          <w:p w14:paraId="1FDECD4E">
            <w:pPr>
              <w:pStyle w:val="32"/>
              <w:spacing w:before="0" w:after="0" w:line="360" w:lineRule="auto"/>
              <w:rPr>
                <w:rFonts w:hint="eastAsia" w:hAnsi="宋体" w:cs="宋体"/>
                <w:color w:val="auto"/>
                <w:w w:val="100"/>
                <w:highlight w:val="none"/>
              </w:rPr>
            </w:pPr>
            <w:r>
              <w:rPr>
                <w:rFonts w:hint="eastAsia" w:hAnsi="宋体" w:cs="宋体"/>
                <w:color w:val="auto"/>
                <w:w w:val="100"/>
                <w:highlight w:val="none"/>
              </w:rPr>
              <w:t>√本项目代理服务费由中标人在领取中标通知书前，一次性向采购代理机构支付。</w:t>
            </w:r>
          </w:p>
          <w:p w14:paraId="42A3C2B3">
            <w:pPr>
              <w:pStyle w:val="32"/>
              <w:spacing w:before="0" w:after="0" w:line="360" w:lineRule="auto"/>
              <w:rPr>
                <w:rFonts w:hint="eastAsia" w:hAnsi="宋体" w:cs="宋体"/>
                <w:color w:val="auto"/>
                <w:w w:val="100"/>
                <w:highlight w:val="none"/>
              </w:rPr>
            </w:pPr>
            <w:r>
              <w:rPr>
                <w:rFonts w:hint="eastAsia" w:hAnsi="宋体" w:cs="宋体"/>
                <w:color w:val="auto"/>
                <w:w w:val="100"/>
                <w:highlight w:val="none"/>
              </w:rPr>
              <w:t>□采购人支付。</w:t>
            </w:r>
          </w:p>
          <w:p w14:paraId="00148539">
            <w:pPr>
              <w:pStyle w:val="32"/>
              <w:spacing w:before="0" w:after="0" w:line="360" w:lineRule="auto"/>
              <w:rPr>
                <w:rFonts w:hint="eastAsia" w:hAnsi="宋体" w:cs="宋体"/>
                <w:color w:val="auto"/>
                <w:w w:val="100"/>
                <w:highlight w:val="none"/>
              </w:rPr>
            </w:pPr>
            <w:r>
              <w:rPr>
                <w:rFonts w:hint="eastAsia" w:hAnsi="宋体" w:cs="宋体"/>
                <w:color w:val="auto"/>
                <w:w w:val="100"/>
                <w:highlight w:val="none"/>
              </w:rPr>
              <w:t>2.采购代理费收取标准：</w:t>
            </w:r>
          </w:p>
          <w:p w14:paraId="43717F8C">
            <w:pPr>
              <w:pStyle w:val="32"/>
              <w:spacing w:before="0" w:after="0" w:line="360" w:lineRule="auto"/>
              <w:rPr>
                <w:rFonts w:hint="eastAsia" w:hAnsi="宋体" w:cs="宋体"/>
                <w:color w:val="auto"/>
                <w:w w:val="100"/>
                <w:highlight w:val="none"/>
              </w:rPr>
            </w:pPr>
            <w:bookmarkStart w:id="71" w:name="OLE_LINK17"/>
            <w:r>
              <w:rPr>
                <w:rFonts w:hint="eastAsia" w:hAnsi="宋体" w:cs="宋体"/>
                <w:color w:val="auto"/>
                <w:w w:val="100"/>
                <w:highlight w:val="none"/>
              </w:rPr>
              <w:t>√</w:t>
            </w:r>
            <w:bookmarkEnd w:id="71"/>
            <w:r>
              <w:rPr>
                <w:rFonts w:hint="eastAsia" w:hAnsi="宋体" w:cs="宋体"/>
                <w:color w:val="auto"/>
                <w:w w:val="100"/>
                <w:highlight w:val="none"/>
              </w:rPr>
              <w:t>以分标（□中标金额/√采购预算/□暂定中标金额/□其他）为计费额，按本须知正文第39.2条规定的收费计算标准（□货物招标/√服务招标/□工程招标）采用差额定率累进法计算出收费基准价格，采购代理收费以（√收费基准价格/□收费基准价格下浮%/□收费基准价格上浮%）收取。</w:t>
            </w:r>
          </w:p>
          <w:p w14:paraId="31530691">
            <w:pPr>
              <w:pStyle w:val="32"/>
              <w:spacing w:before="0" w:after="0" w:line="360" w:lineRule="auto"/>
              <w:rPr>
                <w:rFonts w:hint="eastAsia" w:hAnsi="宋体" w:cs="宋体"/>
                <w:color w:val="auto"/>
                <w:w w:val="100"/>
                <w:highlight w:val="none"/>
              </w:rPr>
            </w:pPr>
            <w:r>
              <w:rPr>
                <w:rFonts w:hint="eastAsia" w:hAnsi="宋体" w:cs="宋体"/>
                <w:color w:val="auto"/>
                <w:w w:val="100"/>
                <w:highlight w:val="none"/>
              </w:rPr>
              <w:t>□固定采购代理收费：</w:t>
            </w:r>
          </w:p>
          <w:p w14:paraId="57F90D49">
            <w:pPr>
              <w:snapToGrid w:val="0"/>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3.账户信息： </w:t>
            </w:r>
          </w:p>
          <w:p w14:paraId="5F187E97">
            <w:pPr>
              <w:snapToGrid w:val="0"/>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rPr>
              <w:t>账户名称：</w:t>
            </w:r>
            <w:r>
              <w:rPr>
                <w:rFonts w:hint="eastAsia" w:ascii="宋体" w:hAnsi="宋体" w:cs="宋体"/>
                <w:color w:val="auto"/>
                <w:szCs w:val="21"/>
                <w:highlight w:val="none"/>
              </w:rPr>
              <w:t>广西中启招标咨询有限公司</w:t>
            </w:r>
          </w:p>
          <w:p w14:paraId="14523029">
            <w:pPr>
              <w:snapToGrid w:val="0"/>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rPr>
              <w:t>开户银行：</w:t>
            </w:r>
            <w:r>
              <w:rPr>
                <w:rFonts w:hint="eastAsia" w:ascii="宋体" w:hAnsi="宋体" w:cs="宋体"/>
                <w:color w:val="auto"/>
                <w:szCs w:val="21"/>
                <w:highlight w:val="none"/>
              </w:rPr>
              <w:t>广西北部湾银行股份有限公司南宁市秀灵支行</w:t>
            </w:r>
          </w:p>
          <w:p w14:paraId="7F485A52">
            <w:pPr>
              <w:snapToGrid w:val="0"/>
              <w:spacing w:line="360" w:lineRule="auto"/>
              <w:rPr>
                <w:rFonts w:hint="eastAsia" w:ascii="宋体" w:hAnsi="宋体" w:cs="宋体"/>
                <w:color w:val="auto"/>
                <w:highlight w:val="none"/>
              </w:rPr>
            </w:pPr>
            <w:r>
              <w:rPr>
                <w:rFonts w:hint="eastAsia" w:ascii="宋体" w:hAnsi="宋体" w:cs="宋体"/>
                <w:color w:val="auto"/>
                <w:kern w:val="0"/>
                <w:szCs w:val="21"/>
                <w:highlight w:val="none"/>
              </w:rPr>
              <w:t>银行账号：8050 1770 2500 001</w:t>
            </w:r>
          </w:p>
        </w:tc>
      </w:tr>
      <w:tr w14:paraId="6F6A76C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978" w:type="dxa"/>
            <w:tcBorders>
              <w:top w:val="single" w:color="auto" w:sz="4" w:space="0"/>
              <w:left w:val="single" w:color="auto" w:sz="4" w:space="0"/>
              <w:bottom w:val="single" w:color="auto" w:sz="4" w:space="0"/>
              <w:right w:val="single" w:color="auto" w:sz="4" w:space="0"/>
            </w:tcBorders>
            <w:vAlign w:val="center"/>
          </w:tcPr>
          <w:p w14:paraId="772E9887">
            <w:pPr>
              <w:snapToGrid w:val="0"/>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23</w:t>
            </w:r>
          </w:p>
        </w:tc>
        <w:tc>
          <w:tcPr>
            <w:tcW w:w="8175" w:type="dxa"/>
            <w:tcBorders>
              <w:top w:val="single" w:color="auto" w:sz="4" w:space="0"/>
              <w:left w:val="single" w:color="auto" w:sz="4" w:space="0"/>
              <w:bottom w:val="single" w:color="auto" w:sz="4" w:space="0"/>
              <w:right w:val="single" w:color="auto" w:sz="4" w:space="0"/>
            </w:tcBorders>
            <w:vAlign w:val="center"/>
          </w:tcPr>
          <w:p w14:paraId="6C454D2B">
            <w:pPr>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解释：构成本招标文件的各个组成文件应互为解释，互为说明；除招标文件中有特别规定外，仅适用于招标投标阶段的规定，按更正公告（澄清公告）、招标公告、采购需求、投标人须知、评标方法及评标标准、拟签订的合同文本、投标文件格式的先后顺序解释；同一组成文件中就同一事项的规定或者约定不一致的，以编排顺序在后者为准；同一组成文件不同版本之间有不一致的，以形成时间在后者为准；更正公告（澄清公告）与同步更新的招标文件不一致时以更正公告（澄清公告）为准。按本款前述规定仍不能形成结论的，由采购人或者采购代理机构负责解释。</w:t>
            </w:r>
          </w:p>
        </w:tc>
      </w:tr>
      <w:tr w14:paraId="7BA26CD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978" w:type="dxa"/>
            <w:tcBorders>
              <w:top w:val="single" w:color="auto" w:sz="4" w:space="0"/>
              <w:left w:val="single" w:color="auto" w:sz="4" w:space="0"/>
              <w:bottom w:val="single" w:color="auto" w:sz="4" w:space="0"/>
              <w:right w:val="single" w:color="auto" w:sz="4" w:space="0"/>
            </w:tcBorders>
            <w:vAlign w:val="center"/>
          </w:tcPr>
          <w:p w14:paraId="70972FBD">
            <w:pPr>
              <w:snapToGrid w:val="0"/>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24</w:t>
            </w:r>
          </w:p>
        </w:tc>
        <w:tc>
          <w:tcPr>
            <w:tcW w:w="8175" w:type="dxa"/>
            <w:tcBorders>
              <w:top w:val="single" w:color="auto" w:sz="4" w:space="0"/>
              <w:left w:val="single" w:color="auto" w:sz="4" w:space="0"/>
              <w:bottom w:val="single" w:color="auto" w:sz="4" w:space="0"/>
              <w:right w:val="single" w:color="auto" w:sz="4" w:space="0"/>
            </w:tcBorders>
            <w:vAlign w:val="center"/>
          </w:tcPr>
          <w:p w14:paraId="217936EA">
            <w:pPr>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1.本招标文件中描述投标人的“公章”是指根据我国对公章的管理规定，用投标人法定主体行为名称制作的印章，除本招标文件有特殊规定外，投标人的财务章、部门章、分公司章、工会章、合同章、投标专用章、业务专用章及银行的转账章、现金收讫章、现金付讫章等其他形式印章均不能代替公章。</w:t>
            </w:r>
          </w:p>
          <w:p w14:paraId="147699ED">
            <w:pPr>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2.本招标文件所称的“电子签章”、“电子签名”，是指经“广西政府采购云平台”认可的CA认证的电子签名数据为表现形式的印章，可用于签署电子投标文件，电子印章与实物印章具有同等法律效力，不因其采用电子化表现形式而否定其法律效力。</w:t>
            </w:r>
          </w:p>
          <w:p w14:paraId="62DF6DED">
            <w:pPr>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3.</w:t>
            </w:r>
            <w:bookmarkStart w:id="72" w:name="OLE_LINK2"/>
            <w:r>
              <w:rPr>
                <w:rFonts w:hint="eastAsia" w:ascii="宋体" w:hAnsi="宋体" w:cs="宋体"/>
                <w:color w:val="auto"/>
                <w:szCs w:val="21"/>
                <w:highlight w:val="none"/>
              </w:rPr>
              <w:t>投标人为其他组织或者自然人时，本招标文件规定的法定代表人指负责人或者自然人。本招标文件所称负责人是指参加投标的其他组织营业执照或者执业许可证等证照上的负责人，本招标文件所称自然人指参与投标的自然人本人，且应具备独立承担民事责任能力，自然人应当为年满18岁以上成年人（十六周岁以上的未成年人，以自己的劳动收入为主要生活来源的，视为完全民事行为能力人）</w:t>
            </w:r>
            <w:bookmarkEnd w:id="72"/>
            <w:r>
              <w:rPr>
                <w:rFonts w:hint="eastAsia" w:ascii="宋体" w:hAnsi="宋体" w:cs="宋体"/>
                <w:color w:val="auto"/>
                <w:szCs w:val="21"/>
                <w:highlight w:val="none"/>
              </w:rPr>
              <w:t>。</w:t>
            </w:r>
          </w:p>
          <w:p w14:paraId="1C966F4D">
            <w:pPr>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4.本招标文件中描述投标人的“签字”是指投标人的法定代表人或者委托代理人亲自在文件规定签字处亲笔写上个人的名字的行为，私章、签字章、印鉴、影印等其他形式均不能代替亲笔签字。</w:t>
            </w:r>
          </w:p>
        </w:tc>
      </w:tr>
    </w:tbl>
    <w:p w14:paraId="3D8CCC71">
      <w:pPr>
        <w:snapToGrid w:val="0"/>
        <w:rPr>
          <w:rFonts w:hint="eastAsia" w:ascii="宋体" w:hAnsi="宋体" w:cs="宋体"/>
          <w:color w:val="auto"/>
          <w:sz w:val="24"/>
          <w:szCs w:val="20"/>
          <w:highlight w:val="none"/>
        </w:rPr>
      </w:pPr>
    </w:p>
    <w:p w14:paraId="74286E3E">
      <w:pPr>
        <w:pStyle w:val="39"/>
        <w:rPr>
          <w:rFonts w:hint="eastAsia" w:ascii="宋体" w:hAnsi="宋体" w:cs="宋体"/>
          <w:color w:val="auto"/>
          <w:sz w:val="24"/>
          <w:szCs w:val="20"/>
          <w:highlight w:val="none"/>
        </w:rPr>
      </w:pPr>
    </w:p>
    <w:p w14:paraId="5C1D6833">
      <w:pPr>
        <w:pStyle w:val="39"/>
        <w:rPr>
          <w:rFonts w:hint="eastAsia" w:ascii="宋体" w:hAnsi="宋体" w:cs="宋体"/>
          <w:color w:val="auto"/>
          <w:sz w:val="24"/>
          <w:szCs w:val="20"/>
          <w:highlight w:val="none"/>
        </w:rPr>
      </w:pPr>
    </w:p>
    <w:p w14:paraId="22342BE8">
      <w:pPr>
        <w:pStyle w:val="39"/>
        <w:rPr>
          <w:rFonts w:hint="eastAsia" w:ascii="宋体" w:hAnsi="宋体" w:cs="宋体"/>
          <w:color w:val="auto"/>
          <w:sz w:val="24"/>
          <w:szCs w:val="20"/>
          <w:highlight w:val="none"/>
        </w:rPr>
      </w:pPr>
    </w:p>
    <w:p w14:paraId="3EF5BEE6">
      <w:pPr>
        <w:pStyle w:val="39"/>
        <w:rPr>
          <w:rFonts w:hint="eastAsia" w:ascii="宋体" w:hAnsi="宋体" w:cs="宋体"/>
          <w:color w:val="auto"/>
          <w:sz w:val="24"/>
          <w:szCs w:val="20"/>
          <w:highlight w:val="none"/>
        </w:rPr>
      </w:pPr>
    </w:p>
    <w:p w14:paraId="7B32084B">
      <w:pPr>
        <w:pStyle w:val="39"/>
        <w:rPr>
          <w:rFonts w:hint="eastAsia" w:ascii="宋体" w:hAnsi="宋体" w:cs="宋体"/>
          <w:color w:val="auto"/>
          <w:sz w:val="24"/>
          <w:szCs w:val="20"/>
          <w:highlight w:val="none"/>
        </w:rPr>
      </w:pPr>
    </w:p>
    <w:p w14:paraId="0855A0AB">
      <w:pPr>
        <w:pStyle w:val="39"/>
        <w:rPr>
          <w:rFonts w:hint="eastAsia" w:ascii="宋体" w:hAnsi="宋体" w:cs="宋体"/>
          <w:color w:val="auto"/>
          <w:sz w:val="24"/>
          <w:szCs w:val="20"/>
          <w:highlight w:val="none"/>
        </w:rPr>
      </w:pPr>
    </w:p>
    <w:p w14:paraId="656CD85D">
      <w:pPr>
        <w:pStyle w:val="39"/>
        <w:rPr>
          <w:rFonts w:hint="eastAsia" w:ascii="宋体" w:hAnsi="宋体" w:cs="宋体"/>
          <w:color w:val="auto"/>
          <w:sz w:val="24"/>
          <w:szCs w:val="20"/>
          <w:highlight w:val="none"/>
        </w:rPr>
      </w:pPr>
    </w:p>
    <w:p w14:paraId="1908526D">
      <w:pPr>
        <w:pStyle w:val="39"/>
        <w:rPr>
          <w:rFonts w:hint="eastAsia" w:ascii="宋体" w:hAnsi="宋体" w:cs="宋体"/>
          <w:color w:val="auto"/>
          <w:sz w:val="24"/>
          <w:szCs w:val="20"/>
          <w:highlight w:val="none"/>
        </w:rPr>
      </w:pPr>
    </w:p>
    <w:p w14:paraId="3ACC786B">
      <w:pPr>
        <w:pStyle w:val="39"/>
        <w:rPr>
          <w:rFonts w:hint="eastAsia" w:ascii="宋体" w:hAnsi="宋体" w:cs="宋体"/>
          <w:color w:val="auto"/>
          <w:sz w:val="24"/>
          <w:szCs w:val="20"/>
          <w:highlight w:val="none"/>
        </w:rPr>
      </w:pPr>
    </w:p>
    <w:p w14:paraId="10D15391">
      <w:pPr>
        <w:pStyle w:val="39"/>
        <w:rPr>
          <w:rFonts w:hint="eastAsia" w:ascii="宋体" w:hAnsi="宋体" w:cs="宋体"/>
          <w:color w:val="auto"/>
          <w:sz w:val="24"/>
          <w:szCs w:val="20"/>
          <w:highlight w:val="none"/>
        </w:rPr>
      </w:pPr>
    </w:p>
    <w:p w14:paraId="2525EE79">
      <w:pPr>
        <w:pStyle w:val="39"/>
        <w:rPr>
          <w:rFonts w:hint="eastAsia" w:ascii="宋体" w:hAnsi="宋体" w:cs="宋体"/>
          <w:color w:val="auto"/>
          <w:sz w:val="24"/>
          <w:szCs w:val="20"/>
          <w:highlight w:val="none"/>
        </w:rPr>
      </w:pPr>
    </w:p>
    <w:p w14:paraId="538D4A41">
      <w:pPr>
        <w:pStyle w:val="39"/>
        <w:rPr>
          <w:rFonts w:hint="eastAsia" w:ascii="宋体" w:hAnsi="宋体" w:cs="宋体"/>
          <w:color w:val="auto"/>
          <w:sz w:val="24"/>
          <w:szCs w:val="20"/>
          <w:highlight w:val="none"/>
        </w:rPr>
      </w:pPr>
    </w:p>
    <w:p w14:paraId="4203C55A">
      <w:pPr>
        <w:rPr>
          <w:rFonts w:hint="eastAsia" w:ascii="宋体" w:hAnsi="宋体" w:cs="宋体"/>
          <w:color w:val="auto"/>
          <w:highlight w:val="none"/>
        </w:rPr>
      </w:pPr>
      <w:r>
        <w:rPr>
          <w:rFonts w:hint="eastAsia" w:ascii="宋体" w:hAnsi="宋体" w:cs="宋体"/>
          <w:color w:val="auto"/>
          <w:highlight w:val="none"/>
        </w:rPr>
        <w:br w:type="page"/>
      </w:r>
    </w:p>
    <w:p w14:paraId="2C40BCFD">
      <w:pPr>
        <w:pStyle w:val="4"/>
        <w:keepNext w:val="0"/>
        <w:keepLines w:val="0"/>
        <w:jc w:val="center"/>
        <w:rPr>
          <w:rFonts w:hint="eastAsia" w:ascii="宋体" w:hAnsi="宋体" w:cs="宋体"/>
          <w:color w:val="auto"/>
          <w:highlight w:val="none"/>
        </w:rPr>
      </w:pPr>
      <w:r>
        <w:rPr>
          <w:rFonts w:hint="eastAsia" w:ascii="宋体" w:hAnsi="宋体" w:cs="宋体"/>
          <w:color w:val="auto"/>
          <w:highlight w:val="none"/>
        </w:rPr>
        <w:t>投标人须知正文</w:t>
      </w:r>
    </w:p>
    <w:p w14:paraId="1CD7A4C9">
      <w:pPr>
        <w:pStyle w:val="4"/>
        <w:keepNext w:val="0"/>
        <w:keepLines w:val="0"/>
        <w:jc w:val="center"/>
        <w:rPr>
          <w:rFonts w:hint="eastAsia" w:ascii="宋体" w:hAnsi="宋体" w:cs="宋体"/>
          <w:color w:val="auto"/>
          <w:highlight w:val="none"/>
        </w:rPr>
      </w:pPr>
      <w:r>
        <w:rPr>
          <w:rFonts w:hint="eastAsia" w:ascii="宋体" w:hAnsi="宋体" w:cs="宋体"/>
          <w:color w:val="auto"/>
          <w:highlight w:val="none"/>
        </w:rPr>
        <w:t>一、总则</w:t>
      </w:r>
    </w:p>
    <w:p w14:paraId="655CE377">
      <w:pPr>
        <w:pStyle w:val="6"/>
        <w:keepNext w:val="0"/>
        <w:keepLines w:val="0"/>
        <w:spacing w:before="0" w:after="0" w:line="360" w:lineRule="auto"/>
        <w:ind w:left="420" w:leftChars="200"/>
        <w:rPr>
          <w:rFonts w:hint="eastAsia" w:ascii="宋体" w:hAnsi="宋体" w:cs="宋体"/>
          <w:color w:val="auto"/>
          <w:sz w:val="24"/>
          <w:highlight w:val="none"/>
        </w:rPr>
      </w:pPr>
      <w:bookmarkStart w:id="73" w:name="_Toc254970668"/>
      <w:bookmarkStart w:id="74" w:name="_Toc254970527"/>
      <w:r>
        <w:rPr>
          <w:rFonts w:hint="eastAsia" w:ascii="宋体" w:hAnsi="宋体" w:cs="宋体"/>
          <w:color w:val="auto"/>
          <w:sz w:val="24"/>
          <w:highlight w:val="none"/>
        </w:rPr>
        <w:t>1.适用范围</w:t>
      </w:r>
      <w:bookmarkEnd w:id="73"/>
      <w:bookmarkEnd w:id="74"/>
    </w:p>
    <w:p w14:paraId="7083E1B4">
      <w:pPr>
        <w:snapToGri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1.1适用法律：本项目采购人、采购代理机构、投标人、评标委员会的相关行为均受《中华人民共和国政府采购法》、《中华人民共和国政府采购法实施条例》、《政府采购货物和服务招标投标管理办法》及本项目本级和上级财政部门政府采购有关规定的约束和保护。</w:t>
      </w:r>
    </w:p>
    <w:p w14:paraId="455067F7">
      <w:pPr>
        <w:snapToGri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1.2本招标文件</w:t>
      </w:r>
      <w:r>
        <w:rPr>
          <w:rFonts w:hint="eastAsia" w:ascii="宋体" w:hAnsi="宋体" w:cs="宋体"/>
          <w:color w:val="auto"/>
          <w:spacing w:val="-6"/>
          <w:szCs w:val="21"/>
          <w:highlight w:val="none"/>
        </w:rPr>
        <w:t>适用于本项目的所有采购程序和环节（法律、法规另有规定的，从其规定）。</w:t>
      </w:r>
    </w:p>
    <w:p w14:paraId="1780F79F">
      <w:pPr>
        <w:pStyle w:val="6"/>
        <w:keepNext w:val="0"/>
        <w:keepLines w:val="0"/>
        <w:spacing w:before="0" w:after="0" w:line="360" w:lineRule="auto"/>
        <w:ind w:left="420" w:leftChars="200"/>
        <w:rPr>
          <w:rFonts w:hint="eastAsia" w:ascii="宋体" w:hAnsi="宋体" w:cs="宋体"/>
          <w:color w:val="auto"/>
          <w:sz w:val="24"/>
          <w:highlight w:val="none"/>
        </w:rPr>
      </w:pPr>
      <w:bookmarkStart w:id="75" w:name="_Toc254970528"/>
      <w:bookmarkStart w:id="76" w:name="_Toc254970669"/>
      <w:r>
        <w:rPr>
          <w:rFonts w:hint="eastAsia" w:ascii="宋体" w:hAnsi="宋体" w:cs="宋体"/>
          <w:color w:val="auto"/>
          <w:sz w:val="24"/>
          <w:highlight w:val="none"/>
        </w:rPr>
        <w:t>2.定义</w:t>
      </w:r>
      <w:bookmarkEnd w:id="75"/>
      <w:bookmarkEnd w:id="76"/>
    </w:p>
    <w:p w14:paraId="1513039D">
      <w:pPr>
        <w:pStyle w:val="6"/>
        <w:keepNext w:val="0"/>
        <w:keepLines w:val="0"/>
        <w:spacing w:before="0" w:after="0" w:line="360" w:lineRule="auto"/>
        <w:ind w:left="420" w:leftChars="20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2.1“采购人”是指依法进行政府采购的国家机关、事业单位、团体组织。</w:t>
      </w:r>
    </w:p>
    <w:p w14:paraId="5D6E8C62">
      <w:pPr>
        <w:pStyle w:val="6"/>
        <w:keepNext w:val="0"/>
        <w:keepLines w:val="0"/>
        <w:spacing w:before="0" w:after="0" w:line="360" w:lineRule="auto"/>
        <w:ind w:left="420" w:leftChars="20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2.2“采购代理机构”是指政府采购集中采购机构和集中采购机构以外的采购代理机构。</w:t>
      </w:r>
    </w:p>
    <w:p w14:paraId="22CB00EB">
      <w:pPr>
        <w:pStyle w:val="6"/>
        <w:keepNext w:val="0"/>
        <w:keepLines w:val="0"/>
        <w:spacing w:before="0" w:after="0" w:line="360" w:lineRule="auto"/>
        <w:ind w:left="420" w:leftChars="20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2.3“供应商”是指向采购人提供货物、工程或者服务的法人、其他组织或者自然人。</w:t>
      </w:r>
    </w:p>
    <w:p w14:paraId="28AF11FA">
      <w:pPr>
        <w:pStyle w:val="8"/>
        <w:spacing w:line="360" w:lineRule="auto"/>
        <w:rPr>
          <w:rFonts w:hint="eastAsia" w:ascii="宋体" w:hAnsi="宋体" w:cs="宋体"/>
          <w:color w:val="auto"/>
          <w:szCs w:val="21"/>
          <w:highlight w:val="none"/>
        </w:rPr>
      </w:pPr>
      <w:r>
        <w:rPr>
          <w:rFonts w:hint="eastAsia" w:ascii="宋体" w:hAnsi="宋体" w:cs="宋体"/>
          <w:color w:val="auto"/>
          <w:szCs w:val="21"/>
          <w:highlight w:val="none"/>
        </w:rPr>
        <w:t>2.4“投标人”是指响应招标、参加投标竞争的法人、其他组织或者自然人。</w:t>
      </w:r>
    </w:p>
    <w:p w14:paraId="37C1FF80">
      <w:pPr>
        <w:pStyle w:val="6"/>
        <w:keepNext w:val="0"/>
        <w:keepLines w:val="0"/>
        <w:spacing w:before="0" w:after="0" w:line="360" w:lineRule="auto"/>
        <w:ind w:firstLine="420" w:firstLineChars="20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2.5“服务”是指除货物和工程以外的其他政府采购对象。</w:t>
      </w:r>
    </w:p>
    <w:p w14:paraId="74B82798">
      <w:pPr>
        <w:pStyle w:val="6"/>
        <w:keepNext w:val="0"/>
        <w:keepLines w:val="0"/>
        <w:spacing w:before="0" w:after="0" w:line="360" w:lineRule="auto"/>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 xml:space="preserve">    2.6“书面形式”是指合同书、信件和数据电文（包括电报、电传、传真、电子数据交换和电子邮件）等可以有形地表现所载内容的形式。</w:t>
      </w:r>
    </w:p>
    <w:p w14:paraId="37E755C3">
      <w:pPr>
        <w:pStyle w:val="6"/>
        <w:keepNext w:val="0"/>
        <w:keepLines w:val="0"/>
        <w:spacing w:before="0" w:after="0" w:line="360" w:lineRule="auto"/>
        <w:ind w:firstLine="420" w:firstLineChars="20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2.7“实质性要求”是指招标文件中已经指明不满足则投标无效的条款，或者不能负偏离的条款，或者采购需求中带“▲”的条款。</w:t>
      </w:r>
    </w:p>
    <w:p w14:paraId="27F87369">
      <w:pPr>
        <w:snapToGri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2.8“正偏离”，是指投标文件对招标文件“采购需求”中有关条款作出的响应优于条款要求并有利于采购人的情形。</w:t>
      </w:r>
    </w:p>
    <w:p w14:paraId="27ADEE1F">
      <w:pPr>
        <w:snapToGri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2.9“负偏离”，是指投标文件对招标文件“采购需求”中有关条款作出的响应不满足条款要求，导致采购人要求不能得到满足的情形。</w:t>
      </w:r>
    </w:p>
    <w:p w14:paraId="292A25F7">
      <w:pPr>
        <w:snapToGri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2.10“允许负偏离的条款”是指采购需求中的不属于“实质性要求”的条款。</w:t>
      </w:r>
      <w:bookmarkStart w:id="77" w:name="_Toc254970670"/>
      <w:bookmarkStart w:id="78" w:name="_Toc254970529"/>
    </w:p>
    <w:p w14:paraId="24DDFAC6">
      <w:pPr>
        <w:pStyle w:val="6"/>
        <w:keepNext w:val="0"/>
        <w:keepLines w:val="0"/>
        <w:spacing w:before="0" w:after="0" w:line="360" w:lineRule="auto"/>
        <w:ind w:left="420" w:leftChars="200"/>
        <w:rPr>
          <w:rFonts w:hint="eastAsia" w:ascii="宋体" w:hAnsi="宋体" w:cs="宋体"/>
          <w:color w:val="auto"/>
          <w:sz w:val="24"/>
          <w:highlight w:val="none"/>
        </w:rPr>
      </w:pPr>
      <w:r>
        <w:rPr>
          <w:rFonts w:hint="eastAsia" w:ascii="宋体" w:hAnsi="宋体" w:cs="宋体"/>
          <w:color w:val="auto"/>
          <w:sz w:val="24"/>
          <w:highlight w:val="none"/>
        </w:rPr>
        <w:t>3.</w:t>
      </w:r>
      <w:bookmarkEnd w:id="77"/>
      <w:bookmarkEnd w:id="78"/>
      <w:r>
        <w:rPr>
          <w:rFonts w:hint="eastAsia" w:ascii="宋体" w:hAnsi="宋体" w:cs="宋体"/>
          <w:color w:val="auto"/>
          <w:sz w:val="24"/>
          <w:highlight w:val="none"/>
        </w:rPr>
        <w:t>投标人的资格要求</w:t>
      </w:r>
    </w:p>
    <w:p w14:paraId="49753B18">
      <w:pPr>
        <w:snapToGri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投标人的资格要求详见“投标人须知前附表”。</w:t>
      </w:r>
    </w:p>
    <w:p w14:paraId="5FE6FEE2">
      <w:pPr>
        <w:pStyle w:val="6"/>
        <w:keepNext w:val="0"/>
        <w:keepLines w:val="0"/>
        <w:spacing w:before="0" w:after="0" w:line="360" w:lineRule="auto"/>
        <w:ind w:left="420" w:leftChars="200"/>
        <w:rPr>
          <w:rFonts w:hint="eastAsia" w:ascii="宋体" w:hAnsi="宋体" w:cs="宋体"/>
          <w:color w:val="auto"/>
          <w:sz w:val="24"/>
          <w:highlight w:val="none"/>
        </w:rPr>
      </w:pPr>
      <w:bookmarkStart w:id="79" w:name="_Toc254970671"/>
      <w:bookmarkStart w:id="80" w:name="_Toc254970530"/>
      <w:r>
        <w:rPr>
          <w:rFonts w:hint="eastAsia" w:ascii="宋体" w:hAnsi="宋体" w:cs="宋体"/>
          <w:color w:val="auto"/>
          <w:sz w:val="24"/>
          <w:highlight w:val="none"/>
        </w:rPr>
        <w:t>4.投标委托</w:t>
      </w:r>
      <w:bookmarkEnd w:id="79"/>
      <w:bookmarkEnd w:id="80"/>
    </w:p>
    <w:p w14:paraId="40CFDBD8">
      <w:pPr>
        <w:snapToGri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投标人代表参加投标活动过程中必须携带个人有效身份证件。如投标人代表不是法定代表人，须持有授权委托书（按第六章要求格式填写）。</w:t>
      </w:r>
    </w:p>
    <w:p w14:paraId="1A16B882">
      <w:pPr>
        <w:pStyle w:val="6"/>
        <w:keepNext w:val="0"/>
        <w:keepLines w:val="0"/>
        <w:spacing w:before="0" w:after="0" w:line="360" w:lineRule="auto"/>
        <w:ind w:left="420" w:leftChars="200"/>
        <w:rPr>
          <w:rFonts w:hint="eastAsia" w:ascii="宋体" w:hAnsi="宋体" w:cs="宋体"/>
          <w:color w:val="auto"/>
          <w:sz w:val="24"/>
          <w:highlight w:val="none"/>
        </w:rPr>
      </w:pPr>
      <w:bookmarkStart w:id="81" w:name="_5.投标费用"/>
      <w:bookmarkEnd w:id="81"/>
      <w:bookmarkStart w:id="82" w:name="_Toc254970672"/>
      <w:bookmarkStart w:id="83" w:name="_Toc254970531"/>
      <w:r>
        <w:rPr>
          <w:rFonts w:hint="eastAsia" w:ascii="宋体" w:hAnsi="宋体" w:cs="宋体"/>
          <w:color w:val="auto"/>
          <w:sz w:val="24"/>
          <w:highlight w:val="none"/>
        </w:rPr>
        <w:t>5.投标费用</w:t>
      </w:r>
      <w:bookmarkEnd w:id="82"/>
      <w:bookmarkEnd w:id="83"/>
    </w:p>
    <w:p w14:paraId="71C65E20">
      <w:pPr>
        <w:snapToGri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投标费用：投标人应承担参与本次采购活动有关的所有费用，包括但不限于获取招标文件、勘查现场、编制和提交投标文件、参加澄清说明、签订合同等，不论投标结果如何，均应自行承担。</w:t>
      </w:r>
    </w:p>
    <w:p w14:paraId="68C40DCA">
      <w:pPr>
        <w:pStyle w:val="6"/>
        <w:keepNext w:val="0"/>
        <w:keepLines w:val="0"/>
        <w:spacing w:before="0" w:after="0" w:line="360" w:lineRule="auto"/>
        <w:ind w:left="420" w:leftChars="200"/>
        <w:rPr>
          <w:rFonts w:hint="eastAsia" w:ascii="宋体" w:hAnsi="宋体" w:cs="宋体"/>
          <w:color w:val="auto"/>
          <w:sz w:val="24"/>
          <w:highlight w:val="none"/>
        </w:rPr>
      </w:pPr>
      <w:r>
        <w:rPr>
          <w:rFonts w:hint="eastAsia" w:ascii="宋体" w:hAnsi="宋体" w:cs="宋体"/>
          <w:color w:val="auto"/>
          <w:sz w:val="24"/>
          <w:highlight w:val="none"/>
        </w:rPr>
        <w:t>6.联合体投标</w:t>
      </w:r>
    </w:p>
    <w:p w14:paraId="53AD0853">
      <w:pPr>
        <w:snapToGri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6.1本项目是否接受联合体投标，详见“投标人须知前附表”。</w:t>
      </w:r>
    </w:p>
    <w:p w14:paraId="7EAF2F94">
      <w:pPr>
        <w:snapToGrid w:val="0"/>
        <w:spacing w:line="360" w:lineRule="auto"/>
        <w:ind w:firstLine="420" w:firstLineChars="200"/>
        <w:jc w:val="left"/>
        <w:rPr>
          <w:rFonts w:hint="eastAsia" w:ascii="宋体" w:hAnsi="宋体" w:cs="宋体"/>
          <w:bCs/>
          <w:color w:val="auto"/>
          <w:szCs w:val="21"/>
          <w:highlight w:val="none"/>
        </w:rPr>
      </w:pPr>
      <w:r>
        <w:rPr>
          <w:rFonts w:hint="eastAsia" w:ascii="宋体" w:hAnsi="宋体" w:cs="宋体"/>
          <w:bCs/>
          <w:color w:val="auto"/>
          <w:szCs w:val="21"/>
          <w:highlight w:val="none"/>
        </w:rPr>
        <w:t>6.2如接受联合体投标，联合体投标要求详见“投标人须知前附表”。</w:t>
      </w:r>
    </w:p>
    <w:p w14:paraId="652E286F">
      <w:pPr>
        <w:snapToGri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bCs/>
          <w:color w:val="auto"/>
          <w:szCs w:val="21"/>
          <w:highlight w:val="none"/>
        </w:rPr>
        <w:t>6.3根据《政府采购促进中小企业发展管理办法》（财库〔2020〕46号）及《广西壮族自治区财政厅关于贯彻落实政府采购支持中小企业发展政策的通知》（桂财采〔2022〕31号）的规定，接受大中型企业与小微企业组成联合体或者允许大中型企业向一家或者多家小微企业分包的采购项目，对于联合协议或者分包意向协议约定小微企业的合同份额占到合同总金额30%以上的，采购人、采购代理机构应当对联合体或者大中型企业的报价给予4%-6%的扣除，用扣除后的价格参加评审。</w:t>
      </w:r>
    </w:p>
    <w:p w14:paraId="47A1B577">
      <w:pPr>
        <w:pStyle w:val="6"/>
        <w:keepNext w:val="0"/>
        <w:keepLines w:val="0"/>
        <w:spacing w:before="0" w:after="0" w:line="360" w:lineRule="auto"/>
        <w:ind w:left="420" w:leftChars="200"/>
        <w:rPr>
          <w:rFonts w:hint="eastAsia" w:ascii="宋体" w:hAnsi="宋体" w:cs="宋体"/>
          <w:color w:val="auto"/>
          <w:sz w:val="24"/>
          <w:highlight w:val="none"/>
        </w:rPr>
      </w:pPr>
      <w:r>
        <w:rPr>
          <w:rFonts w:hint="eastAsia" w:ascii="宋体" w:hAnsi="宋体" w:cs="宋体"/>
          <w:color w:val="auto"/>
          <w:sz w:val="24"/>
          <w:highlight w:val="none"/>
        </w:rPr>
        <w:t xml:space="preserve">7.转包与分包             </w:t>
      </w:r>
    </w:p>
    <w:p w14:paraId="65EDE384">
      <w:pPr>
        <w:snapToGrid w:val="0"/>
        <w:spacing w:line="360" w:lineRule="auto"/>
        <w:ind w:firstLine="420" w:firstLineChars="200"/>
        <w:jc w:val="left"/>
        <w:rPr>
          <w:rFonts w:hint="eastAsia" w:ascii="宋体" w:hAnsi="宋体" w:cs="宋体"/>
          <w:bCs/>
          <w:color w:val="auto"/>
          <w:szCs w:val="21"/>
          <w:highlight w:val="none"/>
        </w:rPr>
      </w:pPr>
      <w:bookmarkStart w:id="84" w:name="_Toc254970532"/>
      <w:bookmarkStart w:id="85" w:name="_Toc254970673"/>
      <w:r>
        <w:rPr>
          <w:rFonts w:hint="eastAsia" w:ascii="宋体" w:hAnsi="宋体" w:cs="宋体"/>
          <w:bCs/>
          <w:color w:val="auto"/>
          <w:szCs w:val="21"/>
          <w:highlight w:val="none"/>
        </w:rPr>
        <w:t>7.1本项目不允许转包。</w:t>
      </w:r>
    </w:p>
    <w:p w14:paraId="48DA7CE4">
      <w:pPr>
        <w:snapToGrid w:val="0"/>
        <w:spacing w:line="360" w:lineRule="auto"/>
        <w:ind w:firstLine="420" w:firstLineChars="200"/>
        <w:jc w:val="left"/>
        <w:rPr>
          <w:rFonts w:hint="eastAsia" w:ascii="宋体" w:hAnsi="宋体" w:cs="宋体"/>
          <w:bCs/>
          <w:color w:val="auto"/>
          <w:szCs w:val="21"/>
          <w:highlight w:val="none"/>
        </w:rPr>
      </w:pPr>
      <w:r>
        <w:rPr>
          <w:rFonts w:hint="eastAsia" w:ascii="宋体" w:hAnsi="宋体" w:cs="宋体"/>
          <w:bCs/>
          <w:color w:val="auto"/>
          <w:szCs w:val="21"/>
          <w:highlight w:val="none"/>
        </w:rPr>
        <w:t>7.2本项目是否允许分包详见“投标人须知前附表”，本项目不允许违法分包。允许分包的非主体、非关键性工作，根据法律法规规定承担该工作需要行政许可的，如该工作由投标人自行承担，投标人应具备相应的行政许可，如投标人不具备相应的行政许可必须采用分包的方式，但分包投标人应具备相应行政许可。</w:t>
      </w:r>
    </w:p>
    <w:p w14:paraId="1CD65BDF">
      <w:pPr>
        <w:snapToGrid w:val="0"/>
        <w:spacing w:line="360" w:lineRule="auto"/>
        <w:ind w:firstLine="420" w:firstLineChars="200"/>
        <w:jc w:val="left"/>
        <w:rPr>
          <w:rFonts w:hint="eastAsia" w:ascii="宋体" w:hAnsi="宋体" w:cs="宋体"/>
          <w:bCs/>
          <w:color w:val="auto"/>
          <w:szCs w:val="21"/>
          <w:highlight w:val="none"/>
        </w:rPr>
      </w:pPr>
      <w:r>
        <w:rPr>
          <w:rFonts w:hint="eastAsia" w:ascii="宋体" w:hAnsi="宋体" w:cs="宋体"/>
          <w:bCs/>
          <w:color w:val="auto"/>
          <w:szCs w:val="21"/>
          <w:highlight w:val="none"/>
        </w:rPr>
        <w:t>7.3投标人根据招标文件的规定和采购项目的实际情况，拟在中标后将中标项目的非主体、非关键性工作分包的，应当在投标文件中载明分包承担主体，分包承担主体应当具备相应资质条件且不得再次分包。</w:t>
      </w:r>
    </w:p>
    <w:p w14:paraId="0642D410">
      <w:pPr>
        <w:pStyle w:val="6"/>
        <w:keepNext w:val="0"/>
        <w:keepLines w:val="0"/>
        <w:spacing w:before="0" w:after="0" w:line="360" w:lineRule="auto"/>
        <w:ind w:left="420" w:leftChars="200"/>
        <w:rPr>
          <w:rFonts w:hint="eastAsia" w:ascii="宋体" w:hAnsi="宋体" w:cs="宋体"/>
          <w:color w:val="auto"/>
          <w:sz w:val="24"/>
          <w:highlight w:val="none"/>
        </w:rPr>
      </w:pPr>
      <w:r>
        <w:rPr>
          <w:rFonts w:hint="eastAsia" w:ascii="宋体" w:hAnsi="宋体" w:cs="宋体"/>
          <w:color w:val="auto"/>
          <w:sz w:val="24"/>
          <w:highlight w:val="none"/>
        </w:rPr>
        <w:t>8.特别说明</w:t>
      </w:r>
      <w:bookmarkEnd w:id="84"/>
      <w:bookmarkEnd w:id="85"/>
    </w:p>
    <w:p w14:paraId="4EA31878">
      <w:pPr>
        <w:snapToGrid w:val="0"/>
        <w:spacing w:line="360" w:lineRule="auto"/>
        <w:ind w:firstLine="420" w:firstLineChars="200"/>
        <w:jc w:val="left"/>
        <w:rPr>
          <w:rFonts w:hint="eastAsia" w:ascii="宋体" w:hAnsi="宋体" w:cs="宋体"/>
          <w:bCs/>
          <w:color w:val="auto"/>
          <w:szCs w:val="21"/>
          <w:highlight w:val="none"/>
        </w:rPr>
      </w:pPr>
      <w:r>
        <w:rPr>
          <w:rFonts w:hint="eastAsia" w:ascii="宋体" w:hAnsi="宋体" w:cs="宋体"/>
          <w:bCs/>
          <w:color w:val="auto"/>
          <w:szCs w:val="21"/>
          <w:highlight w:val="none"/>
        </w:rPr>
        <w:t>8.1如果本招标文件要求提供投标人或制造商的资格、信誉、荣誉、业绩与企业认证等材料的，资格、信誉、荣誉、业绩与企业认证等必须为投标人或者制造商所拥有或自身获得 。</w:t>
      </w:r>
    </w:p>
    <w:p w14:paraId="1AE96C29">
      <w:pPr>
        <w:snapToGrid w:val="0"/>
        <w:spacing w:line="360" w:lineRule="auto"/>
        <w:ind w:firstLine="420" w:firstLineChars="200"/>
        <w:jc w:val="left"/>
        <w:rPr>
          <w:rFonts w:hint="eastAsia" w:ascii="宋体" w:hAnsi="宋体" w:cs="宋体"/>
          <w:bCs/>
          <w:color w:val="auto"/>
          <w:szCs w:val="21"/>
          <w:highlight w:val="none"/>
        </w:rPr>
      </w:pPr>
      <w:r>
        <w:rPr>
          <w:rFonts w:hint="eastAsia" w:ascii="宋体" w:hAnsi="宋体" w:cs="宋体"/>
          <w:bCs/>
          <w:color w:val="auto"/>
          <w:szCs w:val="21"/>
          <w:highlight w:val="none"/>
        </w:rPr>
        <w:t>8.2投标人应仔细阅读招标文件的所有内容，按照招标文件的要求提交投标文件，并对所提供的全部资料的真实性承担法律责任。</w:t>
      </w:r>
    </w:p>
    <w:p w14:paraId="04EE8CF9">
      <w:pPr>
        <w:snapToGrid w:val="0"/>
        <w:spacing w:line="360" w:lineRule="auto"/>
        <w:ind w:firstLine="420" w:firstLineChars="200"/>
        <w:jc w:val="left"/>
        <w:rPr>
          <w:rFonts w:hint="eastAsia" w:ascii="宋体" w:hAnsi="宋体" w:cs="宋体"/>
          <w:bCs/>
          <w:color w:val="auto"/>
          <w:szCs w:val="21"/>
          <w:highlight w:val="none"/>
        </w:rPr>
      </w:pPr>
      <w:r>
        <w:rPr>
          <w:rFonts w:hint="eastAsia" w:ascii="宋体" w:hAnsi="宋体" w:cs="宋体"/>
          <w:bCs/>
          <w:color w:val="auto"/>
          <w:szCs w:val="21"/>
          <w:highlight w:val="none"/>
        </w:rPr>
        <w:t>8.3投标人在投标活动中提供任何虚假材料，将报监管部门查处；中标后发现的，中标人须依照《中华人民共和国消费者权益保护法》规定赔偿采购人，且民事赔偿并不免除违法投标人的行政与刑事责任。</w:t>
      </w:r>
    </w:p>
    <w:p w14:paraId="028603B1">
      <w:pPr>
        <w:pStyle w:val="6"/>
        <w:keepNext w:val="0"/>
        <w:keepLines w:val="0"/>
        <w:spacing w:before="0" w:after="0" w:line="360" w:lineRule="auto"/>
        <w:ind w:left="420" w:leftChars="200"/>
        <w:rPr>
          <w:rFonts w:hint="eastAsia" w:ascii="宋体" w:hAnsi="宋体" w:cs="宋体"/>
          <w:color w:val="auto"/>
          <w:sz w:val="24"/>
          <w:highlight w:val="none"/>
        </w:rPr>
      </w:pPr>
      <w:r>
        <w:rPr>
          <w:rFonts w:hint="eastAsia" w:ascii="宋体" w:hAnsi="宋体" w:cs="宋体"/>
          <w:color w:val="auto"/>
          <w:sz w:val="24"/>
          <w:highlight w:val="none"/>
        </w:rPr>
        <w:t>9.回避与串通投标</w:t>
      </w:r>
    </w:p>
    <w:p w14:paraId="55DD0F2A">
      <w:pPr>
        <w:snapToGrid w:val="0"/>
        <w:spacing w:line="360" w:lineRule="auto"/>
        <w:ind w:firstLine="420" w:firstLineChars="200"/>
        <w:jc w:val="left"/>
        <w:rPr>
          <w:rFonts w:hint="eastAsia" w:ascii="宋体" w:hAnsi="宋体" w:cs="宋体"/>
          <w:bCs/>
          <w:color w:val="auto"/>
          <w:szCs w:val="21"/>
          <w:highlight w:val="none"/>
        </w:rPr>
      </w:pPr>
      <w:r>
        <w:rPr>
          <w:rFonts w:hint="eastAsia" w:ascii="宋体" w:hAnsi="宋体" w:cs="宋体"/>
          <w:bCs/>
          <w:color w:val="auto"/>
          <w:szCs w:val="21"/>
          <w:highlight w:val="none"/>
        </w:rPr>
        <w:t>9.1在政府采购活动中，采购人员及相关人员与供应商有下列利害关系之一的，应当回避：</w:t>
      </w:r>
    </w:p>
    <w:p w14:paraId="199CA9F1">
      <w:pPr>
        <w:snapToGrid w:val="0"/>
        <w:spacing w:line="360" w:lineRule="auto"/>
        <w:ind w:firstLine="420" w:firstLineChars="200"/>
        <w:jc w:val="left"/>
        <w:rPr>
          <w:rFonts w:hint="eastAsia" w:ascii="宋体" w:hAnsi="宋体" w:cs="宋体"/>
          <w:bCs/>
          <w:color w:val="auto"/>
          <w:szCs w:val="21"/>
          <w:highlight w:val="none"/>
        </w:rPr>
      </w:pPr>
      <w:r>
        <w:rPr>
          <w:rFonts w:hint="eastAsia" w:ascii="宋体" w:hAnsi="宋体" w:cs="宋体"/>
          <w:bCs/>
          <w:color w:val="auto"/>
          <w:szCs w:val="21"/>
          <w:highlight w:val="none"/>
        </w:rPr>
        <w:t>（1）参加采购活动前3年内与供应商存在劳动关系；</w:t>
      </w:r>
    </w:p>
    <w:p w14:paraId="370848E3">
      <w:pPr>
        <w:snapToGrid w:val="0"/>
        <w:spacing w:line="360" w:lineRule="auto"/>
        <w:ind w:firstLine="420" w:firstLineChars="200"/>
        <w:jc w:val="left"/>
        <w:rPr>
          <w:rFonts w:hint="eastAsia" w:ascii="宋体" w:hAnsi="宋体" w:cs="宋体"/>
          <w:bCs/>
          <w:color w:val="auto"/>
          <w:szCs w:val="21"/>
          <w:highlight w:val="none"/>
        </w:rPr>
      </w:pPr>
      <w:r>
        <w:rPr>
          <w:rFonts w:hint="eastAsia" w:ascii="宋体" w:hAnsi="宋体" w:cs="宋体"/>
          <w:bCs/>
          <w:color w:val="auto"/>
          <w:szCs w:val="21"/>
          <w:highlight w:val="none"/>
        </w:rPr>
        <w:t>（2）参加采购活动前3年内担任供应商的董事、监事；</w:t>
      </w:r>
    </w:p>
    <w:p w14:paraId="4B7E63C5">
      <w:pPr>
        <w:snapToGrid w:val="0"/>
        <w:spacing w:line="360" w:lineRule="auto"/>
        <w:ind w:firstLine="420" w:firstLineChars="200"/>
        <w:jc w:val="left"/>
        <w:rPr>
          <w:rFonts w:hint="eastAsia" w:ascii="宋体" w:hAnsi="宋体" w:cs="宋体"/>
          <w:bCs/>
          <w:color w:val="auto"/>
          <w:szCs w:val="21"/>
          <w:highlight w:val="none"/>
        </w:rPr>
      </w:pPr>
      <w:r>
        <w:rPr>
          <w:rFonts w:hint="eastAsia" w:ascii="宋体" w:hAnsi="宋体" w:cs="宋体"/>
          <w:bCs/>
          <w:color w:val="auto"/>
          <w:szCs w:val="21"/>
          <w:highlight w:val="none"/>
        </w:rPr>
        <w:t>（3）参加采购活动前3年内是供应商的控股股东或者实际控制人；</w:t>
      </w:r>
    </w:p>
    <w:p w14:paraId="01504D17">
      <w:pPr>
        <w:snapToGrid w:val="0"/>
        <w:spacing w:line="360" w:lineRule="auto"/>
        <w:ind w:firstLine="420" w:firstLineChars="200"/>
        <w:jc w:val="left"/>
        <w:rPr>
          <w:rFonts w:hint="eastAsia" w:ascii="宋体" w:hAnsi="宋体" w:cs="宋体"/>
          <w:bCs/>
          <w:color w:val="auto"/>
          <w:szCs w:val="21"/>
          <w:highlight w:val="none"/>
        </w:rPr>
      </w:pPr>
      <w:r>
        <w:rPr>
          <w:rFonts w:hint="eastAsia" w:ascii="宋体" w:hAnsi="宋体" w:cs="宋体"/>
          <w:bCs/>
          <w:color w:val="auto"/>
          <w:szCs w:val="21"/>
          <w:highlight w:val="none"/>
        </w:rPr>
        <w:t>（4）与供应商的法定代表人或者负责人有夫妻、直系血亲、三代以内旁系血亲或者近姻亲关系；</w:t>
      </w:r>
    </w:p>
    <w:p w14:paraId="3A49FAED">
      <w:pPr>
        <w:snapToGrid w:val="0"/>
        <w:spacing w:line="360" w:lineRule="auto"/>
        <w:ind w:firstLine="420" w:firstLineChars="200"/>
        <w:jc w:val="left"/>
        <w:rPr>
          <w:rFonts w:hint="eastAsia" w:ascii="宋体" w:hAnsi="宋体" w:cs="宋体"/>
          <w:bCs/>
          <w:color w:val="auto"/>
          <w:szCs w:val="21"/>
          <w:highlight w:val="none"/>
        </w:rPr>
      </w:pPr>
      <w:r>
        <w:rPr>
          <w:rFonts w:hint="eastAsia" w:ascii="宋体" w:hAnsi="宋体" w:cs="宋体"/>
          <w:bCs/>
          <w:color w:val="auto"/>
          <w:szCs w:val="21"/>
          <w:highlight w:val="none"/>
        </w:rPr>
        <w:t>（5）与供应商有其他可能影响政府采购活动公平、公正进行的关系。</w:t>
      </w:r>
    </w:p>
    <w:p w14:paraId="00CBC64E">
      <w:pPr>
        <w:snapToGrid w:val="0"/>
        <w:spacing w:line="360" w:lineRule="auto"/>
        <w:ind w:firstLine="420" w:firstLineChars="200"/>
        <w:jc w:val="left"/>
        <w:rPr>
          <w:rFonts w:hint="eastAsia" w:ascii="宋体" w:hAnsi="宋体" w:cs="宋体"/>
          <w:bCs/>
          <w:color w:val="auto"/>
          <w:szCs w:val="21"/>
          <w:highlight w:val="none"/>
        </w:rPr>
      </w:pPr>
      <w:r>
        <w:rPr>
          <w:rFonts w:hint="eastAsia" w:ascii="宋体" w:hAnsi="宋体" w:cs="宋体"/>
          <w:bCs/>
          <w:color w:val="auto"/>
          <w:szCs w:val="21"/>
          <w:highlight w:val="none"/>
        </w:rPr>
        <w:t>供应商认为采购人员及相关人员与其他供应商有利害关系的，可以向采购人或者采购代理机构书面提出回避申请，并说明理由。采购人或者采购代理机构应当及时询问被申请回避人员，有利害关系的被申请回避人员应当回避。</w:t>
      </w:r>
    </w:p>
    <w:p w14:paraId="0A968528">
      <w:pPr>
        <w:pStyle w:val="6"/>
        <w:keepNext w:val="0"/>
        <w:keepLines w:val="0"/>
        <w:spacing w:before="0" w:after="0" w:line="360" w:lineRule="auto"/>
        <w:ind w:left="420" w:left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9.2有下列情形之一的视为投标人相互串通投标，投标文件将被视为无效：</w:t>
      </w:r>
    </w:p>
    <w:p w14:paraId="5D1184E7">
      <w:pPr>
        <w:snapToGrid w:val="0"/>
        <w:spacing w:line="360" w:lineRule="auto"/>
        <w:ind w:firstLine="420" w:firstLineChars="200"/>
        <w:jc w:val="left"/>
        <w:rPr>
          <w:rFonts w:hint="eastAsia" w:ascii="宋体" w:hAnsi="宋体" w:cs="宋体"/>
          <w:bCs/>
          <w:color w:val="auto"/>
          <w:szCs w:val="21"/>
          <w:highlight w:val="none"/>
        </w:rPr>
      </w:pPr>
      <w:r>
        <w:rPr>
          <w:rFonts w:hint="eastAsia" w:ascii="宋体" w:hAnsi="宋体" w:cs="宋体"/>
          <w:bCs/>
          <w:color w:val="auto"/>
          <w:szCs w:val="21"/>
          <w:highlight w:val="none"/>
        </w:rPr>
        <w:t xml:space="preserve">（1）不同投标人的投标文件由同一单位或者个人编制； </w:t>
      </w:r>
    </w:p>
    <w:p w14:paraId="0137FFCE">
      <w:pPr>
        <w:snapToGrid w:val="0"/>
        <w:spacing w:line="360" w:lineRule="auto"/>
        <w:ind w:firstLine="420" w:firstLineChars="200"/>
        <w:jc w:val="left"/>
        <w:rPr>
          <w:rFonts w:hint="eastAsia" w:ascii="宋体" w:hAnsi="宋体" w:cs="宋体"/>
          <w:bCs/>
          <w:color w:val="auto"/>
          <w:szCs w:val="21"/>
          <w:highlight w:val="none"/>
        </w:rPr>
      </w:pPr>
      <w:r>
        <w:rPr>
          <w:rFonts w:hint="eastAsia" w:ascii="宋体" w:hAnsi="宋体" w:cs="宋体"/>
          <w:bCs/>
          <w:color w:val="auto"/>
          <w:szCs w:val="21"/>
          <w:highlight w:val="none"/>
        </w:rPr>
        <w:t>（2）不同投标人委托同一单位或者个人办理投标事宜；</w:t>
      </w:r>
    </w:p>
    <w:p w14:paraId="7A32925F">
      <w:pPr>
        <w:snapToGrid w:val="0"/>
        <w:spacing w:line="360" w:lineRule="auto"/>
        <w:ind w:firstLine="420" w:firstLineChars="200"/>
        <w:jc w:val="left"/>
        <w:rPr>
          <w:rFonts w:hint="eastAsia" w:ascii="宋体" w:hAnsi="宋体" w:cs="宋体"/>
          <w:bCs/>
          <w:color w:val="auto"/>
          <w:szCs w:val="21"/>
          <w:highlight w:val="none"/>
        </w:rPr>
      </w:pPr>
      <w:r>
        <w:rPr>
          <w:rFonts w:hint="eastAsia" w:ascii="宋体" w:hAnsi="宋体" w:cs="宋体"/>
          <w:bCs/>
          <w:color w:val="auto"/>
          <w:szCs w:val="21"/>
          <w:highlight w:val="none"/>
        </w:rPr>
        <w:t>（3）不同的投标人的投标文件载明的项目管理员为同一个人；</w:t>
      </w:r>
    </w:p>
    <w:p w14:paraId="3F6B9AC0">
      <w:pPr>
        <w:snapToGrid w:val="0"/>
        <w:spacing w:line="360" w:lineRule="auto"/>
        <w:ind w:firstLine="420" w:firstLineChars="200"/>
        <w:jc w:val="left"/>
        <w:rPr>
          <w:rFonts w:hint="eastAsia" w:ascii="宋体" w:hAnsi="宋体" w:cs="宋体"/>
          <w:bCs/>
          <w:color w:val="auto"/>
          <w:szCs w:val="21"/>
          <w:highlight w:val="none"/>
        </w:rPr>
      </w:pPr>
      <w:r>
        <w:rPr>
          <w:rFonts w:hint="eastAsia" w:ascii="宋体" w:hAnsi="宋体" w:cs="宋体"/>
          <w:bCs/>
          <w:color w:val="auto"/>
          <w:szCs w:val="21"/>
          <w:highlight w:val="none"/>
        </w:rPr>
        <w:t>（4）不同投标人的投标文件异常一致或者投标报价呈规律性差异；</w:t>
      </w:r>
    </w:p>
    <w:p w14:paraId="53A4685D">
      <w:pPr>
        <w:snapToGrid w:val="0"/>
        <w:spacing w:line="360" w:lineRule="auto"/>
        <w:ind w:firstLine="420" w:firstLineChars="200"/>
        <w:jc w:val="left"/>
        <w:rPr>
          <w:rFonts w:hint="eastAsia" w:ascii="宋体" w:hAnsi="宋体" w:cs="宋体"/>
          <w:bCs/>
          <w:color w:val="auto"/>
          <w:szCs w:val="21"/>
          <w:highlight w:val="none"/>
        </w:rPr>
      </w:pPr>
      <w:r>
        <w:rPr>
          <w:rFonts w:hint="eastAsia" w:ascii="宋体" w:hAnsi="宋体" w:cs="宋体"/>
          <w:bCs/>
          <w:color w:val="auto"/>
          <w:szCs w:val="21"/>
          <w:highlight w:val="none"/>
        </w:rPr>
        <w:t>（5）不同投标人的投标文件相互混装；</w:t>
      </w:r>
    </w:p>
    <w:p w14:paraId="6347C6AE">
      <w:pPr>
        <w:snapToGrid w:val="0"/>
        <w:spacing w:line="360" w:lineRule="auto"/>
        <w:ind w:firstLine="420" w:firstLineChars="200"/>
        <w:jc w:val="left"/>
        <w:rPr>
          <w:rFonts w:hint="eastAsia" w:ascii="宋体" w:hAnsi="宋体" w:cs="宋体"/>
          <w:bCs/>
          <w:color w:val="auto"/>
          <w:szCs w:val="21"/>
          <w:highlight w:val="none"/>
        </w:rPr>
      </w:pPr>
      <w:r>
        <w:rPr>
          <w:rFonts w:hint="eastAsia" w:ascii="宋体" w:hAnsi="宋体" w:cs="宋体"/>
          <w:bCs/>
          <w:color w:val="auto"/>
          <w:szCs w:val="21"/>
          <w:highlight w:val="none"/>
        </w:rPr>
        <w:t>（6）不同投标人的投标保证金从同一单位或者个人账户转出。</w:t>
      </w:r>
    </w:p>
    <w:p w14:paraId="620FEB7E">
      <w:pPr>
        <w:pStyle w:val="6"/>
        <w:keepNext w:val="0"/>
        <w:keepLines w:val="0"/>
        <w:spacing w:before="0" w:after="0" w:line="360" w:lineRule="auto"/>
        <w:ind w:left="420" w:left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9.3供应商有下列情形之一的，属于恶意串通行为，将报同级监督管理部门：</w:t>
      </w:r>
    </w:p>
    <w:p w14:paraId="07B9F37B">
      <w:pPr>
        <w:snapToGrid w:val="0"/>
        <w:spacing w:line="360" w:lineRule="auto"/>
        <w:ind w:firstLine="420" w:firstLineChars="200"/>
        <w:jc w:val="left"/>
        <w:rPr>
          <w:rFonts w:hint="eastAsia" w:ascii="宋体" w:hAnsi="宋体" w:cs="宋体"/>
          <w:bCs/>
          <w:color w:val="auto"/>
          <w:szCs w:val="21"/>
          <w:highlight w:val="none"/>
        </w:rPr>
      </w:pPr>
      <w:r>
        <w:rPr>
          <w:rFonts w:hint="eastAsia" w:ascii="宋体" w:hAnsi="宋体" w:cs="宋体"/>
          <w:bCs/>
          <w:color w:val="auto"/>
          <w:szCs w:val="21"/>
          <w:highlight w:val="none"/>
        </w:rPr>
        <w:t>（1）供应商直接或者间接从采购人或者采购代理机构处获得其他供应商的相关信息并修改其投标文件或者响应文件；</w:t>
      </w:r>
    </w:p>
    <w:p w14:paraId="583B466E">
      <w:pPr>
        <w:snapToGrid w:val="0"/>
        <w:spacing w:line="360" w:lineRule="auto"/>
        <w:ind w:firstLine="420" w:firstLineChars="200"/>
        <w:jc w:val="left"/>
        <w:rPr>
          <w:rFonts w:hint="eastAsia" w:ascii="宋体" w:hAnsi="宋体" w:cs="宋体"/>
          <w:bCs/>
          <w:color w:val="auto"/>
          <w:szCs w:val="21"/>
          <w:highlight w:val="none"/>
        </w:rPr>
      </w:pPr>
      <w:r>
        <w:rPr>
          <w:rFonts w:hint="eastAsia" w:ascii="宋体" w:hAnsi="宋体" w:cs="宋体"/>
          <w:bCs/>
          <w:color w:val="auto"/>
          <w:szCs w:val="21"/>
          <w:highlight w:val="none"/>
        </w:rPr>
        <w:t>（2）供应商按照采购人或者采购代理机构的授意撤换、修改投标文件或者响应文件；</w:t>
      </w:r>
    </w:p>
    <w:p w14:paraId="6DE25C69">
      <w:pPr>
        <w:snapToGrid w:val="0"/>
        <w:spacing w:line="360" w:lineRule="auto"/>
        <w:ind w:firstLine="420" w:firstLineChars="200"/>
        <w:jc w:val="left"/>
        <w:rPr>
          <w:rFonts w:hint="eastAsia" w:ascii="宋体" w:hAnsi="宋体" w:cs="宋体"/>
          <w:bCs/>
          <w:color w:val="auto"/>
          <w:szCs w:val="21"/>
          <w:highlight w:val="none"/>
        </w:rPr>
      </w:pPr>
      <w:r>
        <w:rPr>
          <w:rFonts w:hint="eastAsia" w:ascii="宋体" w:hAnsi="宋体" w:cs="宋体"/>
          <w:bCs/>
          <w:color w:val="auto"/>
          <w:szCs w:val="21"/>
          <w:highlight w:val="none"/>
        </w:rPr>
        <w:t>（3）供应商之间协商报价、技术方案等投标文件或者响应文件的实质性内容；</w:t>
      </w:r>
    </w:p>
    <w:p w14:paraId="3D247866">
      <w:pPr>
        <w:snapToGrid w:val="0"/>
        <w:spacing w:line="360" w:lineRule="auto"/>
        <w:ind w:firstLine="420" w:firstLineChars="200"/>
        <w:jc w:val="left"/>
        <w:rPr>
          <w:rFonts w:hint="eastAsia" w:ascii="宋体" w:hAnsi="宋体" w:cs="宋体"/>
          <w:bCs/>
          <w:color w:val="auto"/>
          <w:szCs w:val="21"/>
          <w:highlight w:val="none"/>
        </w:rPr>
      </w:pPr>
      <w:r>
        <w:rPr>
          <w:rFonts w:hint="eastAsia" w:ascii="宋体" w:hAnsi="宋体" w:cs="宋体"/>
          <w:bCs/>
          <w:color w:val="auto"/>
          <w:szCs w:val="21"/>
          <w:highlight w:val="none"/>
        </w:rPr>
        <w:t>（4）属于同一集团、协会、商会等组织成员的供应商按照该组织要求协同参加政府采购活动；</w:t>
      </w:r>
    </w:p>
    <w:p w14:paraId="5BF75B9F">
      <w:pPr>
        <w:snapToGrid w:val="0"/>
        <w:spacing w:line="360" w:lineRule="auto"/>
        <w:ind w:firstLine="420" w:firstLineChars="200"/>
        <w:jc w:val="left"/>
        <w:rPr>
          <w:rFonts w:hint="eastAsia" w:ascii="宋体" w:hAnsi="宋体" w:cs="宋体"/>
          <w:bCs/>
          <w:color w:val="auto"/>
          <w:szCs w:val="21"/>
          <w:highlight w:val="none"/>
        </w:rPr>
      </w:pPr>
      <w:r>
        <w:rPr>
          <w:rFonts w:hint="eastAsia" w:ascii="宋体" w:hAnsi="宋体" w:cs="宋体"/>
          <w:bCs/>
          <w:color w:val="auto"/>
          <w:szCs w:val="21"/>
          <w:highlight w:val="none"/>
        </w:rPr>
        <w:t>（5）供应商之间事先约定一致抬高或者压低投标报价，或者在招标项目中事先约定轮流以高价位或者低价位中标，或者事先约定由某一特定供应商中标，然后再参加投标；</w:t>
      </w:r>
    </w:p>
    <w:p w14:paraId="4D059692">
      <w:pPr>
        <w:snapToGrid w:val="0"/>
        <w:spacing w:line="360" w:lineRule="auto"/>
        <w:ind w:firstLine="420" w:firstLineChars="200"/>
        <w:jc w:val="left"/>
        <w:rPr>
          <w:rFonts w:hint="eastAsia" w:ascii="宋体" w:hAnsi="宋体" w:cs="宋体"/>
          <w:bCs/>
          <w:color w:val="auto"/>
          <w:szCs w:val="21"/>
          <w:highlight w:val="none"/>
        </w:rPr>
      </w:pPr>
      <w:r>
        <w:rPr>
          <w:rFonts w:hint="eastAsia" w:ascii="宋体" w:hAnsi="宋体" w:cs="宋体"/>
          <w:bCs/>
          <w:color w:val="auto"/>
          <w:szCs w:val="21"/>
          <w:highlight w:val="none"/>
        </w:rPr>
        <w:t>（6）供应商之间商定部分供应商放弃参加政府采购活动或者放弃中标；</w:t>
      </w:r>
    </w:p>
    <w:p w14:paraId="4F54F376">
      <w:pPr>
        <w:snapToGrid w:val="0"/>
        <w:spacing w:line="360" w:lineRule="auto"/>
        <w:ind w:firstLine="420" w:firstLineChars="200"/>
        <w:jc w:val="left"/>
        <w:rPr>
          <w:rFonts w:hint="eastAsia" w:ascii="宋体" w:hAnsi="宋体" w:cs="宋体"/>
          <w:color w:val="auto"/>
          <w:highlight w:val="none"/>
        </w:rPr>
      </w:pPr>
      <w:r>
        <w:rPr>
          <w:rFonts w:hint="eastAsia" w:ascii="宋体" w:hAnsi="宋体" w:cs="宋体"/>
          <w:bCs/>
          <w:color w:val="auto"/>
          <w:szCs w:val="21"/>
          <w:highlight w:val="none"/>
        </w:rPr>
        <w:t>（7）供应商与采购人或者采购代理机构之间、供应商相互之间，为谋求特定供应商中标或者排斥其他供应商的其他串通行为。</w:t>
      </w:r>
    </w:p>
    <w:p w14:paraId="213D5EF1">
      <w:pPr>
        <w:pStyle w:val="4"/>
        <w:keepNext w:val="0"/>
        <w:keepLines w:val="0"/>
        <w:spacing w:before="0" w:after="0"/>
        <w:jc w:val="center"/>
        <w:rPr>
          <w:rFonts w:hint="eastAsia" w:ascii="宋体" w:hAnsi="宋体" w:cs="宋体"/>
          <w:color w:val="auto"/>
          <w:highlight w:val="none"/>
        </w:rPr>
      </w:pPr>
      <w:bookmarkStart w:id="86" w:name="_Toc254970675"/>
      <w:bookmarkStart w:id="87" w:name="_Toc254970534"/>
      <w:r>
        <w:rPr>
          <w:rFonts w:hint="eastAsia" w:ascii="宋体" w:hAnsi="宋体" w:cs="宋体"/>
          <w:color w:val="auto"/>
          <w:highlight w:val="none"/>
        </w:rPr>
        <w:t>二、招标文件</w:t>
      </w:r>
      <w:bookmarkEnd w:id="86"/>
      <w:bookmarkEnd w:id="87"/>
    </w:p>
    <w:p w14:paraId="1B9B919D">
      <w:pPr>
        <w:pStyle w:val="6"/>
        <w:keepNext w:val="0"/>
        <w:keepLines w:val="0"/>
        <w:spacing w:before="0" w:after="0" w:line="360" w:lineRule="auto"/>
        <w:ind w:left="420" w:leftChars="200"/>
        <w:rPr>
          <w:rFonts w:hint="eastAsia" w:ascii="宋体" w:hAnsi="宋体" w:cs="宋体"/>
          <w:color w:val="auto"/>
          <w:sz w:val="24"/>
          <w:highlight w:val="none"/>
        </w:rPr>
      </w:pPr>
      <w:r>
        <w:rPr>
          <w:rFonts w:hint="eastAsia" w:ascii="宋体" w:hAnsi="宋体" w:cs="宋体"/>
          <w:color w:val="auto"/>
          <w:sz w:val="24"/>
          <w:highlight w:val="none"/>
        </w:rPr>
        <w:t>10.招标文件的组成</w:t>
      </w:r>
    </w:p>
    <w:p w14:paraId="46D40AE4">
      <w:pPr>
        <w:snapToGrid w:val="0"/>
        <w:spacing w:line="360" w:lineRule="auto"/>
        <w:ind w:firstLine="420"/>
        <w:jc w:val="left"/>
        <w:rPr>
          <w:rFonts w:hint="eastAsia" w:ascii="宋体" w:hAnsi="宋体" w:cs="宋体"/>
          <w:color w:val="auto"/>
          <w:szCs w:val="21"/>
          <w:highlight w:val="none"/>
        </w:rPr>
      </w:pPr>
      <w:r>
        <w:rPr>
          <w:rFonts w:hint="eastAsia" w:ascii="宋体" w:hAnsi="宋体" w:cs="宋体"/>
          <w:color w:val="auto"/>
          <w:szCs w:val="21"/>
          <w:highlight w:val="none"/>
        </w:rPr>
        <w:t>（1）招标公告；</w:t>
      </w:r>
    </w:p>
    <w:p w14:paraId="2CD52ECC">
      <w:pPr>
        <w:snapToGrid w:val="0"/>
        <w:spacing w:line="360" w:lineRule="auto"/>
        <w:ind w:firstLine="420"/>
        <w:jc w:val="left"/>
        <w:rPr>
          <w:rFonts w:hint="eastAsia" w:ascii="宋体" w:hAnsi="宋体" w:cs="宋体"/>
          <w:color w:val="auto"/>
          <w:szCs w:val="21"/>
          <w:highlight w:val="none"/>
        </w:rPr>
      </w:pPr>
      <w:r>
        <w:rPr>
          <w:rFonts w:hint="eastAsia" w:ascii="宋体" w:hAnsi="宋体" w:cs="宋体"/>
          <w:color w:val="auto"/>
          <w:szCs w:val="21"/>
          <w:highlight w:val="none"/>
        </w:rPr>
        <w:t xml:space="preserve">（2）采购需求； </w:t>
      </w:r>
    </w:p>
    <w:p w14:paraId="08DCF175">
      <w:pPr>
        <w:snapToGrid w:val="0"/>
        <w:spacing w:line="360" w:lineRule="auto"/>
        <w:ind w:firstLine="420"/>
        <w:jc w:val="left"/>
        <w:rPr>
          <w:rFonts w:hint="eastAsia" w:ascii="宋体" w:hAnsi="宋体" w:cs="宋体"/>
          <w:color w:val="auto"/>
          <w:szCs w:val="21"/>
          <w:highlight w:val="none"/>
        </w:rPr>
      </w:pPr>
      <w:r>
        <w:rPr>
          <w:rFonts w:hint="eastAsia" w:ascii="宋体" w:hAnsi="宋体" w:cs="宋体"/>
          <w:color w:val="auto"/>
          <w:szCs w:val="21"/>
          <w:highlight w:val="none"/>
        </w:rPr>
        <w:t>（3）投标人须知；</w:t>
      </w:r>
    </w:p>
    <w:p w14:paraId="633FEABF">
      <w:pPr>
        <w:snapToGrid w:val="0"/>
        <w:spacing w:line="360" w:lineRule="auto"/>
        <w:ind w:firstLine="420"/>
        <w:jc w:val="left"/>
        <w:rPr>
          <w:rFonts w:hint="eastAsia" w:ascii="宋体" w:hAnsi="宋体" w:cs="宋体"/>
          <w:color w:val="auto"/>
          <w:szCs w:val="21"/>
          <w:highlight w:val="none"/>
        </w:rPr>
      </w:pPr>
      <w:r>
        <w:rPr>
          <w:rFonts w:hint="eastAsia" w:ascii="宋体" w:hAnsi="宋体" w:cs="宋体"/>
          <w:color w:val="auto"/>
          <w:szCs w:val="21"/>
          <w:highlight w:val="none"/>
        </w:rPr>
        <w:t>（4）评标方法及评标标准；</w:t>
      </w:r>
    </w:p>
    <w:p w14:paraId="42A99044">
      <w:pPr>
        <w:snapToGrid w:val="0"/>
        <w:spacing w:line="360" w:lineRule="auto"/>
        <w:ind w:firstLine="420"/>
        <w:jc w:val="left"/>
        <w:rPr>
          <w:rFonts w:hint="eastAsia" w:ascii="宋体" w:hAnsi="宋体" w:cs="宋体"/>
          <w:color w:val="auto"/>
          <w:szCs w:val="21"/>
          <w:highlight w:val="none"/>
        </w:rPr>
      </w:pPr>
      <w:r>
        <w:rPr>
          <w:rFonts w:hint="eastAsia" w:ascii="宋体" w:hAnsi="宋体" w:cs="宋体"/>
          <w:color w:val="auto"/>
          <w:szCs w:val="21"/>
          <w:highlight w:val="none"/>
        </w:rPr>
        <w:t>（5）拟签订的合同文本；</w:t>
      </w:r>
    </w:p>
    <w:p w14:paraId="7DB1E87B">
      <w:pPr>
        <w:snapToGrid w:val="0"/>
        <w:spacing w:line="360" w:lineRule="auto"/>
        <w:ind w:firstLine="420"/>
        <w:jc w:val="left"/>
        <w:rPr>
          <w:rFonts w:hint="eastAsia" w:ascii="宋体" w:hAnsi="宋体" w:cs="宋体"/>
          <w:color w:val="auto"/>
          <w:szCs w:val="21"/>
          <w:highlight w:val="none"/>
        </w:rPr>
      </w:pPr>
      <w:r>
        <w:rPr>
          <w:rFonts w:hint="eastAsia" w:ascii="宋体" w:hAnsi="宋体" w:cs="宋体"/>
          <w:color w:val="auto"/>
          <w:szCs w:val="21"/>
          <w:highlight w:val="none"/>
        </w:rPr>
        <w:t>（6）投标文件格式。</w:t>
      </w:r>
    </w:p>
    <w:p w14:paraId="4520B40B">
      <w:pPr>
        <w:pStyle w:val="6"/>
        <w:keepNext w:val="0"/>
        <w:keepLines w:val="0"/>
        <w:spacing w:before="0" w:after="0" w:line="360" w:lineRule="auto"/>
        <w:ind w:left="420" w:leftChars="200"/>
        <w:rPr>
          <w:rFonts w:hint="eastAsia" w:ascii="宋体" w:hAnsi="宋体" w:cs="宋体"/>
          <w:color w:val="auto"/>
          <w:sz w:val="24"/>
          <w:highlight w:val="none"/>
        </w:rPr>
      </w:pPr>
      <w:r>
        <w:rPr>
          <w:rFonts w:hint="eastAsia" w:ascii="宋体" w:hAnsi="宋体" w:cs="宋体"/>
          <w:color w:val="auto"/>
          <w:sz w:val="24"/>
          <w:highlight w:val="none"/>
        </w:rPr>
        <w:t>11.招标文件的澄清、修改 、现场考察和答疑会</w:t>
      </w:r>
    </w:p>
    <w:p w14:paraId="40277938">
      <w:pPr>
        <w:snapToGrid w:val="0"/>
        <w:spacing w:line="360" w:lineRule="auto"/>
        <w:ind w:firstLine="420" w:firstLineChars="200"/>
        <w:jc w:val="left"/>
        <w:rPr>
          <w:rFonts w:hint="eastAsia" w:ascii="宋体" w:hAnsi="宋体" w:cs="宋体"/>
          <w:bCs/>
          <w:color w:val="auto"/>
          <w:szCs w:val="21"/>
          <w:highlight w:val="none"/>
        </w:rPr>
      </w:pPr>
      <w:r>
        <w:rPr>
          <w:rFonts w:hint="eastAsia" w:ascii="宋体" w:hAnsi="宋体" w:cs="宋体"/>
          <w:bCs/>
          <w:color w:val="auto"/>
          <w:szCs w:val="21"/>
          <w:highlight w:val="none"/>
        </w:rPr>
        <w:t xml:space="preserve"> 11.1采购人或者采购代理机构可以对已发出的招标文件进行必要的澄清或者修改，但不得改变采购标的和资格条件。澄清或者修改应当在原公告发布媒体上发布澄清公告。澄清或者修改的内容为招标文件的组成部分。</w:t>
      </w:r>
    </w:p>
    <w:p w14:paraId="75A3C8C7">
      <w:pPr>
        <w:snapToGrid w:val="0"/>
        <w:spacing w:line="360" w:lineRule="auto"/>
        <w:ind w:firstLine="420" w:firstLineChars="200"/>
        <w:jc w:val="left"/>
        <w:rPr>
          <w:rFonts w:hint="eastAsia" w:ascii="宋体" w:hAnsi="宋体" w:cs="宋体"/>
          <w:bCs/>
          <w:color w:val="auto"/>
          <w:szCs w:val="21"/>
          <w:highlight w:val="none"/>
        </w:rPr>
      </w:pPr>
      <w:r>
        <w:rPr>
          <w:rFonts w:hint="eastAsia" w:ascii="宋体" w:hAnsi="宋体" w:cs="宋体"/>
          <w:bCs/>
          <w:color w:val="auto"/>
          <w:szCs w:val="21"/>
          <w:highlight w:val="none"/>
        </w:rPr>
        <w:t>澄清或者修改的内容可能影响投标文件编制的，采购人或者采购代理机构应当在投标截止时间至少15日前，以书面形式通知所有获取招标文件的潜在投标人；不足15日的，采购人或者采购代理机构应当顺延提交投标文件的截止时间。</w:t>
      </w:r>
    </w:p>
    <w:p w14:paraId="712041A3">
      <w:pPr>
        <w:snapToGrid w:val="0"/>
        <w:spacing w:line="360" w:lineRule="auto"/>
        <w:ind w:firstLine="420" w:firstLineChars="200"/>
        <w:jc w:val="left"/>
        <w:rPr>
          <w:rFonts w:hint="eastAsia" w:ascii="宋体" w:hAnsi="宋体" w:cs="宋体"/>
          <w:bCs/>
          <w:color w:val="auto"/>
          <w:szCs w:val="21"/>
          <w:highlight w:val="none"/>
        </w:rPr>
      </w:pPr>
      <w:r>
        <w:rPr>
          <w:rFonts w:hint="eastAsia" w:ascii="宋体" w:hAnsi="宋体" w:cs="宋体"/>
          <w:bCs/>
          <w:color w:val="auto"/>
          <w:szCs w:val="21"/>
          <w:highlight w:val="none"/>
        </w:rPr>
        <w:t>11.2</w:t>
      </w:r>
      <w:bookmarkStart w:id="88" w:name="_Hlk53134511"/>
      <w:r>
        <w:rPr>
          <w:rFonts w:hint="eastAsia" w:ascii="宋体" w:hAnsi="宋体" w:cs="宋体"/>
          <w:bCs/>
          <w:color w:val="auto"/>
          <w:szCs w:val="21"/>
          <w:highlight w:val="none"/>
        </w:rPr>
        <w:t>采购人或者采购代理机构可以在招标文件提供期限截止后，组织已获取招标文件的潜在投标人现场考察或者召开开标前答疑会，具体详见“投标人须知前附表”。</w:t>
      </w:r>
    </w:p>
    <w:bookmarkEnd w:id="88"/>
    <w:p w14:paraId="27B1C164">
      <w:pPr>
        <w:pStyle w:val="4"/>
        <w:keepNext w:val="0"/>
        <w:keepLines w:val="0"/>
        <w:spacing w:before="0" w:after="0"/>
        <w:jc w:val="center"/>
        <w:rPr>
          <w:rFonts w:hint="eastAsia" w:ascii="宋体" w:hAnsi="宋体" w:cs="宋体"/>
          <w:color w:val="auto"/>
          <w:highlight w:val="none"/>
        </w:rPr>
      </w:pPr>
      <w:bookmarkStart w:id="89" w:name="_Toc254970676"/>
      <w:bookmarkStart w:id="90" w:name="_Toc254970535"/>
      <w:r>
        <w:rPr>
          <w:rFonts w:hint="eastAsia" w:ascii="宋体" w:hAnsi="宋体" w:cs="宋体"/>
          <w:color w:val="auto"/>
          <w:highlight w:val="none"/>
        </w:rPr>
        <w:t>三、投标文件的编制</w:t>
      </w:r>
      <w:bookmarkEnd w:id="89"/>
      <w:bookmarkEnd w:id="90"/>
    </w:p>
    <w:p w14:paraId="31AF2D44">
      <w:pPr>
        <w:pStyle w:val="6"/>
        <w:keepNext w:val="0"/>
        <w:keepLines w:val="0"/>
        <w:spacing w:before="0" w:after="0" w:line="360" w:lineRule="auto"/>
        <w:ind w:left="420" w:leftChars="200"/>
        <w:rPr>
          <w:rFonts w:hint="eastAsia" w:ascii="宋体" w:hAnsi="宋体" w:cs="宋体"/>
          <w:color w:val="auto"/>
          <w:sz w:val="24"/>
          <w:highlight w:val="none"/>
        </w:rPr>
      </w:pPr>
      <w:bookmarkStart w:id="91" w:name="_Toc254970536"/>
      <w:bookmarkStart w:id="92" w:name="_Toc254970677"/>
      <w:r>
        <w:rPr>
          <w:rFonts w:hint="eastAsia" w:ascii="宋体" w:hAnsi="宋体" w:cs="宋体"/>
          <w:color w:val="auto"/>
          <w:sz w:val="24"/>
          <w:highlight w:val="none"/>
        </w:rPr>
        <w:t>12.投标文件的编制原则</w:t>
      </w:r>
    </w:p>
    <w:p w14:paraId="2A027A84">
      <w:pPr>
        <w:snapToGrid w:val="0"/>
        <w:spacing w:line="360" w:lineRule="auto"/>
        <w:ind w:firstLine="420"/>
        <w:jc w:val="left"/>
        <w:rPr>
          <w:rFonts w:hint="eastAsia" w:ascii="宋体" w:hAnsi="宋体" w:cs="宋体"/>
          <w:color w:val="auto"/>
          <w:szCs w:val="21"/>
          <w:highlight w:val="none"/>
        </w:rPr>
      </w:pPr>
      <w:r>
        <w:rPr>
          <w:rFonts w:hint="eastAsia" w:ascii="宋体" w:hAnsi="宋体" w:cs="宋体"/>
          <w:color w:val="auto"/>
          <w:szCs w:val="21"/>
          <w:highlight w:val="none"/>
        </w:rPr>
        <w:t>投标人必须按照招标文件的要求编制投标文件。投标文件必须对招标文件提出的要求和条件作出明确响应。</w:t>
      </w:r>
    </w:p>
    <w:p w14:paraId="6E16F7A9">
      <w:pPr>
        <w:pStyle w:val="6"/>
        <w:keepNext w:val="0"/>
        <w:keepLines w:val="0"/>
        <w:spacing w:before="0" w:after="0" w:line="360" w:lineRule="auto"/>
        <w:ind w:left="420" w:leftChars="200"/>
        <w:rPr>
          <w:rFonts w:hint="eastAsia" w:ascii="宋体" w:hAnsi="宋体" w:cs="宋体"/>
          <w:color w:val="auto"/>
          <w:sz w:val="24"/>
          <w:highlight w:val="none"/>
        </w:rPr>
      </w:pPr>
      <w:r>
        <w:rPr>
          <w:rFonts w:hint="eastAsia" w:ascii="宋体" w:hAnsi="宋体" w:cs="宋体"/>
          <w:color w:val="auto"/>
          <w:sz w:val="24"/>
          <w:highlight w:val="none"/>
        </w:rPr>
        <w:t>13.投标文件的组成</w:t>
      </w:r>
      <w:bookmarkEnd w:id="91"/>
      <w:bookmarkEnd w:id="92"/>
    </w:p>
    <w:p w14:paraId="25CB7E2E">
      <w:pPr>
        <w:snapToGrid w:val="0"/>
        <w:spacing w:line="360" w:lineRule="auto"/>
        <w:ind w:firstLine="420" w:firstLineChars="200"/>
        <w:jc w:val="left"/>
        <w:rPr>
          <w:rFonts w:hint="eastAsia" w:ascii="宋体" w:hAnsi="宋体" w:cs="宋体"/>
          <w:color w:val="auto"/>
          <w:szCs w:val="21"/>
          <w:highlight w:val="none"/>
        </w:rPr>
      </w:pPr>
      <w:bookmarkStart w:id="93" w:name="_13.5投标文件电子版：具体材料见“投标人须知前附表”。"/>
      <w:bookmarkEnd w:id="93"/>
      <w:bookmarkStart w:id="94" w:name="_Toc254970678"/>
      <w:bookmarkStart w:id="95" w:name="_Toc254970537"/>
      <w:r>
        <w:rPr>
          <w:rFonts w:hint="eastAsia" w:ascii="宋体" w:hAnsi="宋体" w:cs="宋体"/>
          <w:color w:val="auto"/>
          <w:szCs w:val="21"/>
          <w:highlight w:val="none"/>
        </w:rPr>
        <w:t>投标文件由报价文件、资格证明文件、商务及技术文件三部分组成。</w:t>
      </w:r>
    </w:p>
    <w:p w14:paraId="64A84357">
      <w:pPr>
        <w:pStyle w:val="6"/>
        <w:keepNext w:val="0"/>
        <w:keepLines w:val="0"/>
        <w:numPr>
          <w:ilvl w:val="4"/>
          <w:numId w:val="23"/>
        </w:numPr>
        <w:spacing w:before="0" w:after="0" w:line="360" w:lineRule="auto"/>
        <w:ind w:left="420" w:leftChars="200"/>
        <w:rPr>
          <w:rFonts w:hint="eastAsia" w:ascii="宋体" w:hAnsi="宋体" w:cs="宋体"/>
          <w:b w:val="0"/>
          <w:color w:val="auto"/>
          <w:sz w:val="21"/>
          <w:szCs w:val="21"/>
          <w:highlight w:val="none"/>
        </w:rPr>
      </w:pPr>
      <w:bookmarkStart w:id="96" w:name="_13.1报价文件:_具体材料见“投标人须知前附表”。"/>
      <w:bookmarkEnd w:id="96"/>
      <w:r>
        <w:rPr>
          <w:rFonts w:hint="eastAsia" w:ascii="宋体" w:hAnsi="宋体" w:cs="宋体"/>
          <w:b w:val="0"/>
          <w:color w:val="auto"/>
          <w:sz w:val="21"/>
          <w:szCs w:val="21"/>
          <w:highlight w:val="none"/>
        </w:rPr>
        <w:t>（1）报价文件： 具体材料见“投标人须知前附表”。</w:t>
      </w:r>
    </w:p>
    <w:p w14:paraId="61932407">
      <w:pPr>
        <w:pStyle w:val="6"/>
        <w:keepNext w:val="0"/>
        <w:keepLines w:val="0"/>
        <w:numPr>
          <w:ilvl w:val="4"/>
          <w:numId w:val="23"/>
        </w:numPr>
        <w:spacing w:before="0" w:after="0" w:line="360" w:lineRule="auto"/>
        <w:ind w:left="420" w:leftChars="200"/>
        <w:rPr>
          <w:rFonts w:hint="eastAsia" w:ascii="宋体" w:hAnsi="宋体" w:cs="宋体"/>
          <w:b w:val="0"/>
          <w:color w:val="auto"/>
          <w:sz w:val="21"/>
          <w:szCs w:val="21"/>
          <w:highlight w:val="none"/>
        </w:rPr>
      </w:pPr>
      <w:bookmarkStart w:id="97" w:name="_13.2资格证明文件：具体材料见“投标人须知前附表”。"/>
      <w:bookmarkEnd w:id="97"/>
      <w:r>
        <w:rPr>
          <w:rFonts w:hint="eastAsia" w:ascii="宋体" w:hAnsi="宋体" w:cs="宋体"/>
          <w:b w:val="0"/>
          <w:color w:val="auto"/>
          <w:sz w:val="21"/>
          <w:szCs w:val="21"/>
          <w:highlight w:val="none"/>
        </w:rPr>
        <w:t>（2）资格证明文件：具体材料见“投标人须知前附表”。</w:t>
      </w:r>
    </w:p>
    <w:p w14:paraId="71969CFD">
      <w:pPr>
        <w:pStyle w:val="6"/>
        <w:keepNext w:val="0"/>
        <w:keepLines w:val="0"/>
        <w:numPr>
          <w:ilvl w:val="4"/>
          <w:numId w:val="23"/>
        </w:numPr>
        <w:spacing w:before="0" w:after="0" w:line="360" w:lineRule="auto"/>
        <w:ind w:left="420" w:leftChars="200"/>
        <w:rPr>
          <w:rFonts w:hint="eastAsia" w:ascii="宋体" w:hAnsi="宋体" w:cs="宋体"/>
          <w:b w:val="0"/>
          <w:color w:val="auto"/>
          <w:sz w:val="21"/>
          <w:szCs w:val="21"/>
          <w:highlight w:val="none"/>
        </w:rPr>
      </w:pPr>
      <w:bookmarkStart w:id="98" w:name="_13.3商务文件:_具体材料见“投标人须知前附表”。"/>
      <w:bookmarkEnd w:id="98"/>
      <w:r>
        <w:rPr>
          <w:rFonts w:hint="eastAsia" w:ascii="宋体" w:hAnsi="宋体" w:cs="宋体"/>
          <w:b w:val="0"/>
          <w:color w:val="auto"/>
          <w:sz w:val="21"/>
          <w:szCs w:val="21"/>
          <w:highlight w:val="none"/>
        </w:rPr>
        <w:t>（3）商务及技术文件：具体材料见“投标人须知前附表”。</w:t>
      </w:r>
    </w:p>
    <w:p w14:paraId="7A165AB1">
      <w:pPr>
        <w:pStyle w:val="6"/>
        <w:keepNext w:val="0"/>
        <w:keepLines w:val="0"/>
        <w:spacing w:before="0" w:after="0" w:line="360" w:lineRule="auto"/>
        <w:ind w:left="420" w:leftChars="200"/>
        <w:rPr>
          <w:rFonts w:hint="eastAsia" w:ascii="宋体" w:hAnsi="宋体" w:cs="宋体"/>
          <w:color w:val="auto"/>
          <w:sz w:val="24"/>
          <w:highlight w:val="none"/>
        </w:rPr>
      </w:pPr>
      <w:r>
        <w:rPr>
          <w:rFonts w:hint="eastAsia" w:ascii="宋体" w:hAnsi="宋体" w:cs="宋体"/>
          <w:color w:val="auto"/>
          <w:sz w:val="24"/>
          <w:highlight w:val="none"/>
        </w:rPr>
        <w:t>14.投标文件的语言及计量</w:t>
      </w:r>
      <w:bookmarkEnd w:id="94"/>
      <w:bookmarkEnd w:id="95"/>
    </w:p>
    <w:p w14:paraId="4CA8F179">
      <w:pPr>
        <w:pStyle w:val="6"/>
        <w:keepNext w:val="0"/>
        <w:keepLines w:val="0"/>
        <w:spacing w:before="0" w:after="0" w:line="360" w:lineRule="auto"/>
        <w:ind w:left="420" w:leftChars="20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14.1语言文字</w:t>
      </w:r>
    </w:p>
    <w:p w14:paraId="49C44459">
      <w:pPr>
        <w:pStyle w:val="6"/>
        <w:keepNext w:val="0"/>
        <w:keepLines w:val="0"/>
        <w:spacing w:before="0" w:after="0" w:line="360" w:lineRule="auto"/>
        <w:ind w:firstLine="420" w:firstLineChars="20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投标文件以及投标人与采购人就有关投标事宜的所有来往函电，均应以中文书写（除专用术语外，与招标投标有关的语言均使用中文。必要时专用术语应附有中文注释）。投标人提交的支持文件和印刷的文献可以使用别的语言，但其相应内容应同时附中文翻译文本，在解释投标文件时以中文翻译文本为主。对不同文字文本投标文件的解释发生异议的，以中文文本为准。</w:t>
      </w:r>
    </w:p>
    <w:p w14:paraId="622A7B20">
      <w:pPr>
        <w:pStyle w:val="6"/>
        <w:keepNext w:val="0"/>
        <w:keepLines w:val="0"/>
        <w:spacing w:before="0" w:after="0" w:line="360" w:lineRule="auto"/>
        <w:ind w:firstLine="420" w:firstLineChars="20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14.2投标计量单位</w:t>
      </w:r>
    </w:p>
    <w:p w14:paraId="37FA0A02">
      <w:pPr>
        <w:pStyle w:val="6"/>
        <w:keepNext w:val="0"/>
        <w:keepLines w:val="0"/>
        <w:spacing w:before="0" w:after="0" w:line="360" w:lineRule="auto"/>
        <w:ind w:firstLine="420" w:firstLineChars="20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招标文件已有明确规定的，使用招标文件规定的计量单位；招标文件没有规定的，应采用中华人民共和国法定计量单位，货币种类为人民币</w:t>
      </w:r>
      <w:r>
        <w:rPr>
          <w:rFonts w:hint="eastAsia" w:ascii="宋体" w:hAnsi="宋体" w:cs="宋体"/>
          <w:bCs/>
          <w:color w:val="auto"/>
          <w:sz w:val="21"/>
          <w:szCs w:val="21"/>
          <w:highlight w:val="none"/>
        </w:rPr>
        <w:t>，否则视同未响应。</w:t>
      </w:r>
    </w:p>
    <w:p w14:paraId="660A3E4C">
      <w:pPr>
        <w:pStyle w:val="6"/>
        <w:keepNext w:val="0"/>
        <w:keepLines w:val="0"/>
        <w:spacing w:before="0" w:after="0" w:line="360" w:lineRule="auto"/>
        <w:ind w:left="420" w:leftChars="200"/>
        <w:rPr>
          <w:rFonts w:hint="eastAsia" w:ascii="宋体" w:hAnsi="宋体" w:cs="宋体"/>
          <w:color w:val="auto"/>
          <w:sz w:val="24"/>
          <w:highlight w:val="none"/>
        </w:rPr>
      </w:pPr>
      <w:r>
        <w:rPr>
          <w:rFonts w:hint="eastAsia" w:ascii="宋体" w:hAnsi="宋体" w:cs="宋体"/>
          <w:color w:val="auto"/>
          <w:sz w:val="24"/>
          <w:highlight w:val="none"/>
        </w:rPr>
        <w:t>15.投标的风险</w:t>
      </w:r>
    </w:p>
    <w:p w14:paraId="6E453D9C">
      <w:pPr>
        <w:pStyle w:val="32"/>
        <w:ind w:firstLine="398" w:firstLineChars="200"/>
        <w:rPr>
          <w:rFonts w:hint="eastAsia" w:hAnsi="宋体" w:cs="宋体"/>
          <w:color w:val="auto"/>
          <w:highlight w:val="none"/>
        </w:rPr>
      </w:pPr>
      <w:r>
        <w:rPr>
          <w:rFonts w:hint="eastAsia" w:hAnsi="宋体" w:cs="宋体"/>
          <w:color w:val="auto"/>
          <w:highlight w:val="none"/>
        </w:rPr>
        <w:t>投标人没有按照招标文件要求提供全部资料，或者投标人没有对招标文件作出实质性响应是投标人的风险，并可能导致其投标被拒绝。</w:t>
      </w:r>
    </w:p>
    <w:p w14:paraId="352D1F43">
      <w:pPr>
        <w:pStyle w:val="6"/>
        <w:keepNext w:val="0"/>
        <w:keepLines w:val="0"/>
        <w:spacing w:before="0" w:after="0" w:line="360" w:lineRule="auto"/>
        <w:ind w:left="420" w:leftChars="200"/>
        <w:rPr>
          <w:rFonts w:hint="eastAsia" w:ascii="宋体" w:hAnsi="宋体" w:cs="宋体"/>
          <w:color w:val="auto"/>
          <w:sz w:val="24"/>
          <w:highlight w:val="none"/>
        </w:rPr>
      </w:pPr>
      <w:bookmarkStart w:id="99" w:name="_Toc254970679"/>
      <w:bookmarkStart w:id="100" w:name="_Toc254970538"/>
      <w:r>
        <w:rPr>
          <w:rFonts w:hint="eastAsia" w:ascii="宋体" w:hAnsi="宋体" w:cs="宋体"/>
          <w:color w:val="auto"/>
          <w:sz w:val="24"/>
          <w:highlight w:val="none"/>
        </w:rPr>
        <w:t>16.投标报价</w:t>
      </w:r>
      <w:bookmarkEnd w:id="99"/>
      <w:bookmarkEnd w:id="100"/>
    </w:p>
    <w:p w14:paraId="2F204D26">
      <w:pPr>
        <w:pStyle w:val="6"/>
        <w:keepNext w:val="0"/>
        <w:keepLines w:val="0"/>
        <w:spacing w:before="0" w:after="0" w:line="360" w:lineRule="auto"/>
        <w:ind w:left="420" w:leftChars="20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16.1投标报价应按“第六章　投标文件格式”中“开标一览表”格式填写。</w:t>
      </w:r>
    </w:p>
    <w:p w14:paraId="5AC1265B">
      <w:pPr>
        <w:pStyle w:val="6"/>
        <w:keepNext w:val="0"/>
        <w:keepLines w:val="0"/>
        <w:spacing w:before="0" w:after="0" w:line="360" w:lineRule="auto"/>
        <w:ind w:left="420" w:leftChars="200"/>
        <w:rPr>
          <w:rFonts w:hint="eastAsia" w:ascii="宋体" w:hAnsi="宋体" w:cs="宋体"/>
          <w:b w:val="0"/>
          <w:color w:val="auto"/>
          <w:sz w:val="21"/>
          <w:szCs w:val="21"/>
          <w:highlight w:val="none"/>
        </w:rPr>
      </w:pPr>
      <w:bookmarkStart w:id="101" w:name="_16.2投标报价具体定义见投标人须知前附表。"/>
      <w:bookmarkEnd w:id="101"/>
      <w:r>
        <w:rPr>
          <w:rFonts w:hint="eastAsia" w:ascii="宋体" w:hAnsi="宋体" w:cs="宋体"/>
          <w:b w:val="0"/>
          <w:color w:val="auto"/>
          <w:sz w:val="21"/>
          <w:szCs w:val="21"/>
          <w:highlight w:val="none"/>
        </w:rPr>
        <w:t>16.2投标报价具体包括内容详见“投标人须知前附表”。</w:t>
      </w:r>
    </w:p>
    <w:p w14:paraId="6AB5B843">
      <w:pPr>
        <w:pStyle w:val="6"/>
        <w:keepNext w:val="0"/>
        <w:keepLines w:val="0"/>
        <w:spacing w:before="0" w:after="0" w:line="360" w:lineRule="auto"/>
        <w:ind w:firstLine="420" w:firstLineChars="20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16.3投标人必须就所投每个分标的全部内容分别作完整唯一总价报价，不得存在漏项报价；投标人必须就所投分标的单项内容作唯一报价。</w:t>
      </w:r>
    </w:p>
    <w:p w14:paraId="610CA544">
      <w:pPr>
        <w:pStyle w:val="6"/>
        <w:keepNext w:val="0"/>
        <w:keepLines w:val="0"/>
        <w:spacing w:before="0" w:after="0" w:line="360" w:lineRule="auto"/>
        <w:ind w:left="420" w:leftChars="200"/>
        <w:rPr>
          <w:rFonts w:hint="eastAsia" w:ascii="宋体" w:hAnsi="宋体" w:cs="宋体"/>
          <w:color w:val="auto"/>
          <w:sz w:val="24"/>
          <w:highlight w:val="none"/>
        </w:rPr>
      </w:pPr>
      <w:r>
        <w:rPr>
          <w:rFonts w:hint="eastAsia" w:ascii="宋体" w:hAnsi="宋体" w:cs="宋体"/>
          <w:color w:val="auto"/>
          <w:sz w:val="24"/>
          <w:highlight w:val="none"/>
        </w:rPr>
        <w:t>17.投标有效期</w:t>
      </w:r>
    </w:p>
    <w:p w14:paraId="712C0108">
      <w:pPr>
        <w:pStyle w:val="6"/>
        <w:keepNext w:val="0"/>
        <w:keepLines w:val="0"/>
        <w:spacing w:before="0" w:after="0" w:line="360" w:lineRule="auto"/>
        <w:ind w:firstLine="420" w:firstLineChars="200"/>
        <w:rPr>
          <w:rFonts w:hint="eastAsia" w:ascii="宋体" w:hAnsi="宋体" w:cs="宋体"/>
          <w:b w:val="0"/>
          <w:color w:val="auto"/>
          <w:sz w:val="21"/>
          <w:szCs w:val="21"/>
          <w:highlight w:val="none"/>
        </w:rPr>
      </w:pPr>
      <w:bookmarkStart w:id="102" w:name="_17.1投标有效期应按“投标人须知中的前附表”规定的期限。"/>
      <w:bookmarkEnd w:id="102"/>
      <w:r>
        <w:rPr>
          <w:rFonts w:hint="eastAsia" w:ascii="宋体" w:hAnsi="宋体" w:cs="宋体"/>
          <w:b w:val="0"/>
          <w:color w:val="auto"/>
          <w:sz w:val="21"/>
          <w:szCs w:val="21"/>
          <w:highlight w:val="none"/>
        </w:rPr>
        <w:t>17.1投标有效期是指为保证采购人有足够的时间在开标后完成评标、定标、合同签订等工作而要求投标人提交的投标文件在一定时间内保持有效的期限。</w:t>
      </w:r>
    </w:p>
    <w:p w14:paraId="45334BC4">
      <w:pPr>
        <w:pStyle w:val="6"/>
        <w:keepNext w:val="0"/>
        <w:keepLines w:val="0"/>
        <w:spacing w:before="0" w:after="0" w:line="360" w:lineRule="auto"/>
        <w:ind w:left="420" w:leftChars="20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17.2</w:t>
      </w:r>
      <w:bookmarkStart w:id="103" w:name="_Toc254970681"/>
      <w:bookmarkStart w:id="104" w:name="_Toc254970540"/>
      <w:r>
        <w:rPr>
          <w:rFonts w:hint="eastAsia" w:ascii="宋体" w:hAnsi="宋体" w:cs="宋体"/>
          <w:b w:val="0"/>
          <w:color w:val="auto"/>
          <w:sz w:val="21"/>
          <w:szCs w:val="21"/>
          <w:highlight w:val="none"/>
        </w:rPr>
        <w:t xml:space="preserve"> 投标有效期应按规定的期限作出承诺，具体详见“投标人须知前附表”。</w:t>
      </w:r>
    </w:p>
    <w:p w14:paraId="0A280252">
      <w:pPr>
        <w:pStyle w:val="6"/>
        <w:keepNext w:val="0"/>
        <w:keepLines w:val="0"/>
        <w:spacing w:before="0" w:after="0" w:line="360" w:lineRule="auto"/>
        <w:ind w:left="420" w:leftChars="20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17.3投标人的投标文件在投标有效期内均保持有效。</w:t>
      </w:r>
      <w:bookmarkEnd w:id="103"/>
      <w:bookmarkEnd w:id="104"/>
    </w:p>
    <w:p w14:paraId="14F6D3CC">
      <w:pPr>
        <w:pStyle w:val="6"/>
        <w:keepNext w:val="0"/>
        <w:keepLines w:val="0"/>
        <w:spacing w:before="0" w:after="0" w:line="360" w:lineRule="auto"/>
        <w:ind w:left="420" w:leftChars="200"/>
        <w:rPr>
          <w:rFonts w:hint="eastAsia" w:ascii="宋体" w:hAnsi="宋体" w:cs="宋体"/>
          <w:color w:val="auto"/>
          <w:sz w:val="24"/>
          <w:highlight w:val="none"/>
        </w:rPr>
      </w:pPr>
      <w:bookmarkStart w:id="105" w:name="_18.投标保证金"/>
      <w:bookmarkEnd w:id="105"/>
      <w:bookmarkStart w:id="106" w:name="_Toc254970541"/>
      <w:bookmarkStart w:id="107" w:name="_Toc254970682"/>
      <w:r>
        <w:rPr>
          <w:rFonts w:hint="eastAsia" w:ascii="宋体" w:hAnsi="宋体" w:cs="宋体"/>
          <w:color w:val="auto"/>
          <w:sz w:val="24"/>
          <w:highlight w:val="none"/>
        </w:rPr>
        <w:t>18.投标保证金</w:t>
      </w:r>
      <w:bookmarkEnd w:id="106"/>
      <w:bookmarkEnd w:id="107"/>
    </w:p>
    <w:p w14:paraId="11D46D42">
      <w:pPr>
        <w:pStyle w:val="6"/>
        <w:keepNext w:val="0"/>
        <w:keepLines w:val="0"/>
        <w:spacing w:before="0" w:after="0" w:line="360" w:lineRule="auto"/>
        <w:ind w:left="420" w:leftChars="20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18.1投标人须按“投标人须知前附表” 的规定提交投标保证金。</w:t>
      </w:r>
    </w:p>
    <w:p w14:paraId="5719853F">
      <w:pPr>
        <w:pStyle w:val="6"/>
        <w:keepNext w:val="0"/>
        <w:keepLines w:val="0"/>
        <w:spacing w:before="0" w:after="0" w:line="360" w:lineRule="auto"/>
        <w:ind w:firstLine="420" w:firstLineChars="20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18.2投标保证金的退还</w:t>
      </w:r>
    </w:p>
    <w:p w14:paraId="08EC85FE">
      <w:pPr>
        <w:pStyle w:val="6"/>
        <w:keepNext w:val="0"/>
        <w:keepLines w:val="0"/>
        <w:spacing w:before="0" w:after="0" w:line="360" w:lineRule="auto"/>
        <w:ind w:firstLine="420" w:firstLineChars="20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 xml:space="preserve">未中标人的投标保证金自中标通知书发出之日起5个工作日内退还；中标人的投标保证金自政府采购合同签订之日起5个工作日内退还。 </w:t>
      </w:r>
    </w:p>
    <w:p w14:paraId="66FDF53A">
      <w:pPr>
        <w:pStyle w:val="6"/>
        <w:keepNext w:val="0"/>
        <w:keepLines w:val="0"/>
        <w:spacing w:before="0" w:after="0" w:line="360" w:lineRule="auto"/>
        <w:ind w:left="420" w:leftChars="20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18.3除逾期退还投标保证金和终止招标的情形以外，投标保证金不计息。</w:t>
      </w:r>
    </w:p>
    <w:p w14:paraId="40E3BC0D">
      <w:pPr>
        <w:pStyle w:val="6"/>
        <w:keepNext w:val="0"/>
        <w:keepLines w:val="0"/>
        <w:spacing w:before="0" w:after="0" w:line="360" w:lineRule="auto"/>
        <w:ind w:left="420" w:leftChars="20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 xml:space="preserve">18.4投标人有下列情形之一的，投标保证金将不予退还： </w:t>
      </w:r>
    </w:p>
    <w:p w14:paraId="2FAEB5B3">
      <w:pPr>
        <w:snapToGrid w:val="0"/>
        <w:spacing w:line="360" w:lineRule="auto"/>
        <w:ind w:firstLine="411" w:firstLineChars="196"/>
        <w:jc w:val="left"/>
        <w:rPr>
          <w:rFonts w:hint="eastAsia" w:ascii="宋体" w:hAnsi="宋体" w:cs="宋体"/>
          <w:color w:val="auto"/>
          <w:szCs w:val="21"/>
          <w:highlight w:val="none"/>
        </w:rPr>
      </w:pPr>
      <w:r>
        <w:rPr>
          <w:rFonts w:hint="eastAsia" w:ascii="宋体" w:hAnsi="宋体" w:cs="宋体"/>
          <w:color w:val="auto"/>
          <w:szCs w:val="21"/>
          <w:highlight w:val="none"/>
        </w:rPr>
        <w:t>（1）投标人在投标有效期内撤销投标文件的；</w:t>
      </w:r>
    </w:p>
    <w:p w14:paraId="5859D77B">
      <w:pPr>
        <w:snapToGrid w:val="0"/>
        <w:spacing w:line="360" w:lineRule="auto"/>
        <w:ind w:firstLine="411" w:firstLineChars="196"/>
        <w:jc w:val="left"/>
        <w:rPr>
          <w:rFonts w:hint="eastAsia" w:ascii="宋体" w:hAnsi="宋体" w:cs="宋体"/>
          <w:color w:val="auto"/>
          <w:szCs w:val="21"/>
          <w:highlight w:val="none"/>
        </w:rPr>
      </w:pPr>
      <w:r>
        <w:rPr>
          <w:rFonts w:hint="eastAsia" w:ascii="宋体" w:hAnsi="宋体" w:cs="宋体"/>
          <w:color w:val="auto"/>
          <w:szCs w:val="21"/>
          <w:highlight w:val="none"/>
        </w:rPr>
        <w:t>（2）未按规定提交履约保证金的；</w:t>
      </w:r>
    </w:p>
    <w:p w14:paraId="2572391C">
      <w:pPr>
        <w:snapToGrid w:val="0"/>
        <w:spacing w:line="360" w:lineRule="auto"/>
        <w:ind w:firstLine="411" w:firstLineChars="196"/>
        <w:jc w:val="left"/>
        <w:rPr>
          <w:rFonts w:hint="eastAsia" w:ascii="宋体" w:hAnsi="宋体" w:cs="宋体"/>
          <w:color w:val="auto"/>
          <w:szCs w:val="21"/>
          <w:highlight w:val="none"/>
        </w:rPr>
      </w:pPr>
      <w:r>
        <w:rPr>
          <w:rFonts w:hint="eastAsia" w:ascii="宋体" w:hAnsi="宋体" w:cs="宋体"/>
          <w:color w:val="auto"/>
          <w:szCs w:val="21"/>
          <w:highlight w:val="none"/>
        </w:rPr>
        <w:t>（3）投标人在投标过程中弄虚作假，提供虚假材料的；</w:t>
      </w:r>
    </w:p>
    <w:p w14:paraId="398A5366">
      <w:pPr>
        <w:snapToGrid w:val="0"/>
        <w:spacing w:line="360" w:lineRule="auto"/>
        <w:ind w:firstLine="411" w:firstLineChars="196"/>
        <w:rPr>
          <w:rFonts w:hint="eastAsia" w:ascii="宋体" w:hAnsi="宋体" w:cs="宋体"/>
          <w:color w:val="auto"/>
          <w:szCs w:val="21"/>
          <w:highlight w:val="none"/>
        </w:rPr>
      </w:pPr>
      <w:r>
        <w:rPr>
          <w:rFonts w:hint="eastAsia" w:ascii="宋体" w:hAnsi="宋体" w:cs="宋体"/>
          <w:color w:val="auto"/>
          <w:szCs w:val="21"/>
          <w:highlight w:val="none"/>
        </w:rPr>
        <w:t>（4）中标人无正当理由不与采购人签订合同的；</w:t>
      </w:r>
    </w:p>
    <w:p w14:paraId="724F87F0">
      <w:pPr>
        <w:snapToGrid w:val="0"/>
        <w:spacing w:line="360" w:lineRule="auto"/>
        <w:ind w:firstLine="420" w:firstLineChars="200"/>
        <w:rPr>
          <w:rFonts w:hint="eastAsia" w:ascii="宋体" w:hAnsi="宋体" w:cs="宋体"/>
          <w:color w:val="auto"/>
          <w:szCs w:val="21"/>
          <w:highlight w:val="none"/>
        </w:rPr>
      </w:pPr>
      <w:bookmarkStart w:id="108" w:name="_Toc254970683"/>
      <w:bookmarkStart w:id="109" w:name="_Toc254970542"/>
      <w:r>
        <w:rPr>
          <w:rFonts w:hint="eastAsia" w:ascii="宋体" w:hAnsi="宋体" w:cs="宋体"/>
          <w:color w:val="auto"/>
          <w:szCs w:val="21"/>
          <w:highlight w:val="none"/>
        </w:rPr>
        <w:t>（5）投标人出现本章第9.2、9.3情形的；</w:t>
      </w:r>
    </w:p>
    <w:p w14:paraId="48A0277E">
      <w:pPr>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（6）法律法规规定的其他情形。</w:t>
      </w:r>
    </w:p>
    <w:bookmarkEnd w:id="108"/>
    <w:bookmarkEnd w:id="109"/>
    <w:p w14:paraId="7ECEC79F">
      <w:pPr>
        <w:pStyle w:val="6"/>
        <w:keepNext w:val="0"/>
        <w:keepLines w:val="0"/>
        <w:spacing w:before="0" w:after="0" w:line="360" w:lineRule="auto"/>
        <w:ind w:left="420" w:leftChars="200"/>
        <w:rPr>
          <w:rFonts w:hint="eastAsia" w:ascii="宋体" w:hAnsi="宋体" w:cs="宋体"/>
          <w:color w:val="auto"/>
          <w:sz w:val="24"/>
          <w:highlight w:val="none"/>
        </w:rPr>
      </w:pPr>
      <w:r>
        <w:rPr>
          <w:rFonts w:hint="eastAsia" w:ascii="宋体" w:hAnsi="宋体" w:cs="宋体"/>
          <w:color w:val="auto"/>
          <w:sz w:val="24"/>
          <w:highlight w:val="none"/>
        </w:rPr>
        <w:t>19.投标文件的编制</w:t>
      </w:r>
    </w:p>
    <w:p w14:paraId="737F6380">
      <w:pPr>
        <w:pStyle w:val="6"/>
        <w:keepNext w:val="0"/>
        <w:keepLines w:val="0"/>
        <w:spacing w:before="0" w:after="0" w:line="360" w:lineRule="auto"/>
        <w:ind w:firstLine="315" w:firstLineChars="15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 xml:space="preserve"> 19.1投标人应先安装“广西政府采购云平台电子投标客户端”（请自行前往“广西政府采购云平台”进行下载），并按照本项目招标文件规定的格式和顺序和“广西政府采购云平台”的要求编制并加密。投标文件内容不完整、编排混乱导致投标文件被误读、漏读或者查找不到相关内容的，由此引发的后果由投标人承担。</w:t>
      </w:r>
    </w:p>
    <w:p w14:paraId="5AC3A23B">
      <w:pPr>
        <w:pStyle w:val="6"/>
        <w:keepNext w:val="0"/>
        <w:keepLines w:val="0"/>
        <w:spacing w:before="0" w:after="0" w:line="360" w:lineRule="auto"/>
        <w:ind w:firstLine="315" w:firstLineChars="150"/>
        <w:rPr>
          <w:rFonts w:hint="eastAsia" w:ascii="宋体" w:hAnsi="宋体" w:cs="宋体"/>
          <w:b w:val="0"/>
          <w:color w:val="auto"/>
          <w:sz w:val="21"/>
          <w:szCs w:val="21"/>
          <w:highlight w:val="none"/>
        </w:rPr>
      </w:pPr>
      <w:bookmarkStart w:id="110" w:name="_19.2投标文件应按报价文件、资格证明文件、商务文件、技术文件分别编制"/>
      <w:bookmarkEnd w:id="110"/>
      <w:r>
        <w:rPr>
          <w:rFonts w:hint="eastAsia" w:ascii="宋体" w:hAnsi="宋体" w:cs="宋体"/>
          <w:b w:val="0"/>
          <w:color w:val="auto"/>
          <w:sz w:val="21"/>
          <w:szCs w:val="21"/>
          <w:highlight w:val="none"/>
        </w:rPr>
        <w:t>19.2为确保网上操作合法、有效和安全，投标人应当在投标截止时间前完成在“广西政府采购云平台”的身份认证，确保在电子投标过程中能够对相关数据电文进行加密和使用电子签章。</w:t>
      </w:r>
    </w:p>
    <w:p w14:paraId="717E5862">
      <w:pPr>
        <w:pStyle w:val="6"/>
        <w:keepNext w:val="0"/>
        <w:keepLines w:val="0"/>
        <w:spacing w:before="0" w:after="0" w:line="360" w:lineRule="auto"/>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 xml:space="preserve">   19.3投标文件须由投标人在规定位置签字（或者电子签名）、盖章（具体以投标人须知前附表或投标文件格式规定为准），</w:t>
      </w:r>
      <w:r>
        <w:rPr>
          <w:rFonts w:hint="eastAsia" w:ascii="宋体" w:hAnsi="宋体" w:cs="宋体"/>
          <w:bCs/>
          <w:color w:val="auto"/>
          <w:sz w:val="21"/>
          <w:szCs w:val="21"/>
          <w:highlight w:val="none"/>
        </w:rPr>
        <w:t>否则按无效投标处理</w:t>
      </w:r>
      <w:r>
        <w:rPr>
          <w:rFonts w:hint="eastAsia" w:ascii="宋体" w:hAnsi="宋体" w:cs="宋体"/>
          <w:b w:val="0"/>
          <w:color w:val="auto"/>
          <w:sz w:val="21"/>
          <w:szCs w:val="21"/>
          <w:highlight w:val="none"/>
        </w:rPr>
        <w:t>。</w:t>
      </w:r>
    </w:p>
    <w:p w14:paraId="7A4216E8">
      <w:pPr>
        <w:pStyle w:val="6"/>
        <w:keepNext w:val="0"/>
        <w:keepLines w:val="0"/>
        <w:spacing w:before="0" w:after="0" w:line="360" w:lineRule="auto"/>
        <w:ind w:firstLine="315" w:firstLineChars="15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19.4投标文件中标注的投标人名称应与主体资格证明（如营业执照或者事业单位法人证书或者执业许可证或者登记证书等）及公章一致，并与“广西政府采购云平台”中获取招标文件的投标人名称一致，投标人为自然人的，标注的投标人名称应与身份证姓名及签名一致，</w:t>
      </w:r>
      <w:r>
        <w:rPr>
          <w:rFonts w:hint="eastAsia" w:ascii="宋体" w:hAnsi="宋体" w:cs="宋体"/>
          <w:color w:val="auto"/>
          <w:sz w:val="21"/>
          <w:szCs w:val="21"/>
          <w:highlight w:val="none"/>
        </w:rPr>
        <w:t>否则按无效投标处理</w:t>
      </w:r>
      <w:r>
        <w:rPr>
          <w:rFonts w:hint="eastAsia" w:ascii="宋体" w:hAnsi="宋体" w:cs="宋体"/>
          <w:b w:val="0"/>
          <w:color w:val="auto"/>
          <w:sz w:val="21"/>
          <w:szCs w:val="21"/>
          <w:highlight w:val="none"/>
        </w:rPr>
        <w:t>。</w:t>
      </w:r>
    </w:p>
    <w:p w14:paraId="7C76294B">
      <w:pPr>
        <w:pStyle w:val="6"/>
        <w:keepNext w:val="0"/>
        <w:keepLines w:val="0"/>
        <w:spacing w:before="0" w:after="0" w:line="360" w:lineRule="auto"/>
        <w:ind w:firstLine="315" w:firstLineChars="15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 xml:space="preserve"> 19.5投标文件应尽量避免涂改、行间插字或者删除。如果出现上述情况，改动之处应由投标人的法定代表人或者其委托代理人签字（或者电子签名）或者加盖公章或者加盖电子签章。投标文件因字迹潦草或者表达不清所引起的后果由投标人承担。</w:t>
      </w:r>
    </w:p>
    <w:p w14:paraId="64F4B9F6">
      <w:pPr>
        <w:pStyle w:val="6"/>
        <w:keepNext w:val="0"/>
        <w:keepLines w:val="0"/>
        <w:spacing w:before="0" w:after="0" w:line="360" w:lineRule="auto"/>
        <w:ind w:left="420" w:leftChars="200"/>
        <w:rPr>
          <w:rFonts w:hint="eastAsia" w:ascii="宋体" w:hAnsi="宋体" w:cs="宋体"/>
          <w:color w:val="auto"/>
          <w:sz w:val="24"/>
          <w:highlight w:val="none"/>
        </w:rPr>
      </w:pPr>
      <w:r>
        <w:rPr>
          <w:rFonts w:hint="eastAsia" w:ascii="宋体" w:hAnsi="宋体" w:cs="宋体"/>
          <w:color w:val="auto"/>
          <w:sz w:val="24"/>
          <w:highlight w:val="none"/>
        </w:rPr>
        <w:t>20.电子备份投标文件</w:t>
      </w:r>
    </w:p>
    <w:p w14:paraId="37E47D02">
      <w:pPr>
        <w:spacing w:line="360" w:lineRule="auto"/>
        <w:ind w:firstLine="420" w:firstLineChars="200"/>
        <w:rPr>
          <w:rFonts w:hint="eastAsia" w:ascii="宋体" w:hAnsi="宋体" w:cs="宋体"/>
          <w:color w:val="auto"/>
          <w:sz w:val="24"/>
          <w:highlight w:val="none"/>
        </w:rPr>
      </w:pPr>
      <w:r>
        <w:rPr>
          <w:rFonts w:hint="eastAsia" w:ascii="宋体" w:hAnsi="宋体" w:cs="宋体"/>
          <w:color w:val="auto"/>
          <w:highlight w:val="none"/>
        </w:rPr>
        <w:t>电子备份投标文件是指通过“</w:t>
      </w:r>
      <w:r>
        <w:rPr>
          <w:rFonts w:hint="eastAsia" w:ascii="宋体" w:hAnsi="宋体" w:cs="宋体"/>
          <w:color w:val="auto"/>
          <w:szCs w:val="21"/>
          <w:highlight w:val="none"/>
        </w:rPr>
        <w:t>广西政府采购云平台</w:t>
      </w:r>
      <w:r>
        <w:rPr>
          <w:rFonts w:hint="eastAsia" w:ascii="宋体" w:hAnsi="宋体" w:cs="宋体"/>
          <w:color w:val="auto"/>
          <w:highlight w:val="none"/>
        </w:rPr>
        <w:t>电子投标客户端”在线编制生成且后缀名为“bfbs”的文件，是否接受电子备份投标文件</w:t>
      </w:r>
      <w:r>
        <w:rPr>
          <w:rFonts w:hint="eastAsia" w:ascii="宋体" w:hAnsi="宋体" w:cs="宋体"/>
          <w:bCs/>
          <w:color w:val="auto"/>
          <w:szCs w:val="21"/>
          <w:highlight w:val="none"/>
        </w:rPr>
        <w:t>详见在“投标人须知前附表”。</w:t>
      </w:r>
    </w:p>
    <w:p w14:paraId="7D016208">
      <w:pPr>
        <w:pStyle w:val="6"/>
        <w:keepNext w:val="0"/>
        <w:keepLines w:val="0"/>
        <w:spacing w:before="0" w:after="0" w:line="360" w:lineRule="auto"/>
        <w:ind w:left="420" w:leftChars="200"/>
        <w:rPr>
          <w:rFonts w:hint="eastAsia" w:ascii="宋体" w:hAnsi="宋体" w:cs="宋体"/>
          <w:color w:val="auto"/>
          <w:sz w:val="24"/>
          <w:highlight w:val="none"/>
        </w:rPr>
      </w:pPr>
      <w:r>
        <w:rPr>
          <w:rFonts w:hint="eastAsia" w:ascii="宋体" w:hAnsi="宋体" w:cs="宋体"/>
          <w:color w:val="auto"/>
          <w:sz w:val="24"/>
          <w:highlight w:val="none"/>
        </w:rPr>
        <w:t>21.投标文件的提交</w:t>
      </w:r>
    </w:p>
    <w:p w14:paraId="0979F8DB">
      <w:pPr>
        <w:spacing w:line="360" w:lineRule="auto"/>
        <w:ind w:firstLine="420" w:firstLineChars="200"/>
        <w:rPr>
          <w:rFonts w:hint="eastAsia" w:ascii="宋体" w:hAnsi="宋体" w:cs="宋体"/>
          <w:b/>
          <w:color w:val="auto"/>
          <w:highlight w:val="none"/>
        </w:rPr>
      </w:pPr>
      <w:bookmarkStart w:id="111" w:name="_21.1投标人必须在“投标人须知中的前附表”规定的投标文件接收时间和投"/>
      <w:bookmarkEnd w:id="111"/>
      <w:r>
        <w:rPr>
          <w:rFonts w:hint="eastAsia" w:ascii="宋体" w:hAnsi="宋体" w:cs="宋体"/>
          <w:bCs/>
          <w:color w:val="auto"/>
          <w:szCs w:val="21"/>
          <w:highlight w:val="none"/>
        </w:rPr>
        <w:t>21.1投标人必须在“投标人须知前附表”规定的</w:t>
      </w:r>
      <w:r>
        <w:rPr>
          <w:rFonts w:hint="eastAsia" w:ascii="宋体" w:hAnsi="宋体" w:cs="宋体"/>
          <w:color w:val="auto"/>
          <w:szCs w:val="21"/>
          <w:highlight w:val="none"/>
        </w:rPr>
        <w:t>投标文件提交截止时间前将</w:t>
      </w:r>
      <w:r>
        <w:rPr>
          <w:rFonts w:hint="eastAsia" w:ascii="宋体" w:hAnsi="宋体" w:cs="宋体"/>
          <w:bCs/>
          <w:color w:val="auto"/>
          <w:szCs w:val="21"/>
          <w:highlight w:val="none"/>
        </w:rPr>
        <w:t>电子投标文件提交至投标地点。电子投标文件应在制作完成后，在投标截止时间前通过有效数字证书（CA认证锁）进行电子签章、加密，然后通过网络将加密的电子投标文件递交至</w:t>
      </w:r>
      <w:r>
        <w:rPr>
          <w:rFonts w:hint="eastAsia" w:ascii="宋体" w:hAnsi="宋体" w:cs="宋体"/>
          <w:color w:val="auto"/>
          <w:szCs w:val="21"/>
          <w:highlight w:val="none"/>
        </w:rPr>
        <w:t>“广西政府采购云平台”</w:t>
      </w:r>
      <w:r>
        <w:rPr>
          <w:rFonts w:hint="eastAsia" w:ascii="宋体" w:hAnsi="宋体" w:cs="宋体"/>
          <w:bCs/>
          <w:color w:val="auto"/>
          <w:szCs w:val="21"/>
          <w:highlight w:val="none"/>
        </w:rPr>
        <w:t>。</w:t>
      </w:r>
    </w:p>
    <w:p w14:paraId="5A52227B">
      <w:pPr>
        <w:spacing w:line="360" w:lineRule="auto"/>
        <w:ind w:firstLine="422" w:firstLineChars="200"/>
        <w:rPr>
          <w:rFonts w:hint="eastAsia" w:ascii="宋体" w:hAnsi="宋体" w:cs="宋体"/>
          <w:b/>
          <w:color w:val="auto"/>
          <w:szCs w:val="20"/>
          <w:highlight w:val="none"/>
        </w:rPr>
      </w:pPr>
      <w:r>
        <w:rPr>
          <w:rFonts w:hint="eastAsia" w:ascii="宋体" w:hAnsi="宋体" w:cs="宋体"/>
          <w:b/>
          <w:color w:val="auto"/>
          <w:szCs w:val="21"/>
          <w:highlight w:val="none"/>
        </w:rPr>
        <w:t>21.2未在规定时间内提交或者未按照招标文件要求加密的电子投标文件，</w:t>
      </w:r>
      <w:r>
        <w:rPr>
          <w:rFonts w:hint="eastAsia" w:ascii="宋体" w:hAnsi="宋体" w:cs="宋体"/>
          <w:color w:val="auto"/>
          <w:szCs w:val="21"/>
          <w:highlight w:val="none"/>
        </w:rPr>
        <w:t>“广西政府采购云平台”</w:t>
      </w:r>
      <w:r>
        <w:rPr>
          <w:rFonts w:hint="eastAsia" w:ascii="宋体" w:hAnsi="宋体" w:cs="宋体"/>
          <w:b/>
          <w:color w:val="auto"/>
          <w:szCs w:val="21"/>
          <w:highlight w:val="none"/>
        </w:rPr>
        <w:t>将拒收。</w:t>
      </w:r>
    </w:p>
    <w:p w14:paraId="6D26224C">
      <w:pPr>
        <w:pStyle w:val="6"/>
        <w:keepNext w:val="0"/>
        <w:keepLines w:val="0"/>
        <w:spacing w:before="0" w:after="0" w:line="360" w:lineRule="auto"/>
        <w:ind w:left="420" w:leftChars="200"/>
        <w:rPr>
          <w:rFonts w:hint="eastAsia" w:ascii="宋体" w:hAnsi="宋体" w:cs="宋体"/>
          <w:color w:val="auto"/>
          <w:sz w:val="24"/>
          <w:highlight w:val="none"/>
        </w:rPr>
      </w:pPr>
      <w:r>
        <w:rPr>
          <w:rFonts w:hint="eastAsia" w:ascii="宋体" w:hAnsi="宋体" w:cs="宋体"/>
          <w:color w:val="auto"/>
          <w:sz w:val="24"/>
          <w:highlight w:val="none"/>
        </w:rPr>
        <w:t>22. 投标文件的补充、修改、撤回与退回</w:t>
      </w:r>
    </w:p>
    <w:p w14:paraId="3AB43AE5">
      <w:pPr>
        <w:snapToGrid w:val="0"/>
        <w:spacing w:line="360" w:lineRule="auto"/>
        <w:ind w:firstLine="420"/>
        <w:jc w:val="left"/>
        <w:rPr>
          <w:rFonts w:hint="eastAsia" w:ascii="宋体" w:hAnsi="宋体" w:cs="宋体"/>
          <w:color w:val="auto"/>
          <w:szCs w:val="21"/>
          <w:highlight w:val="none"/>
        </w:rPr>
      </w:pPr>
      <w:bookmarkStart w:id="112" w:name="_Toc254970543"/>
      <w:bookmarkStart w:id="113" w:name="_Toc254970684"/>
      <w:r>
        <w:rPr>
          <w:rFonts w:hint="eastAsia" w:ascii="宋体" w:hAnsi="宋体" w:cs="宋体"/>
          <w:color w:val="auto"/>
          <w:szCs w:val="21"/>
          <w:highlight w:val="none"/>
        </w:rPr>
        <w:t>22.1</w:t>
      </w:r>
      <w:r>
        <w:rPr>
          <w:rFonts w:hint="eastAsia" w:ascii="宋体" w:hAnsi="宋体" w:cs="宋体"/>
          <w:bCs/>
          <w:color w:val="auto"/>
          <w:szCs w:val="21"/>
          <w:highlight w:val="none"/>
        </w:rPr>
        <w:t>投标人应当在投标截止时间前完成电子投标文件的上传、提交，投标截止时间前可以补充、修改或者撤回投标文件。补充或者修改投标文件的，应当先行撤回原投标文件，补充、修改后重新上传、提交，投标截止时间前未完成上传、提交的，视为撤回投标文件。投标截止时间以后上传递交的投标文件，</w:t>
      </w:r>
      <w:r>
        <w:rPr>
          <w:rFonts w:hint="eastAsia" w:ascii="宋体" w:hAnsi="宋体" w:cs="宋体"/>
          <w:color w:val="auto"/>
          <w:szCs w:val="21"/>
          <w:highlight w:val="none"/>
        </w:rPr>
        <w:t>“广西政府采购云平台”</w:t>
      </w:r>
      <w:r>
        <w:rPr>
          <w:rFonts w:hint="eastAsia" w:ascii="宋体" w:hAnsi="宋体" w:cs="宋体"/>
          <w:bCs/>
          <w:color w:val="auto"/>
          <w:szCs w:val="21"/>
          <w:highlight w:val="none"/>
        </w:rPr>
        <w:t>将予以拒收。</w:t>
      </w:r>
      <w:r>
        <w:rPr>
          <w:rFonts w:hint="eastAsia" w:ascii="宋体" w:hAnsi="宋体" w:cs="宋体"/>
          <w:color w:val="auto"/>
          <w:szCs w:val="21"/>
          <w:highlight w:val="none"/>
        </w:rPr>
        <w:t>（补充、修改或者撤回方式可登录“广西政府采购云平台”</w:t>
      </w:r>
      <w:r>
        <w:rPr>
          <w:rFonts w:hint="eastAsia" w:ascii="宋体" w:hAnsi="宋体" w:cs="宋体"/>
          <w:color w:val="auto"/>
          <w:kern w:val="0"/>
          <w:szCs w:val="21"/>
          <w:highlight w:val="none"/>
        </w:rPr>
        <w:t>，</w:t>
      </w:r>
      <w:r>
        <w:rPr>
          <w:rFonts w:hint="eastAsia" w:ascii="宋体" w:hAnsi="宋体" w:cs="宋体"/>
          <w:color w:val="auto"/>
          <w:szCs w:val="21"/>
          <w:highlight w:val="none"/>
        </w:rPr>
        <w:t>依次进入“服务中心”中查看 “电子投标文件制作与投送教程”）</w:t>
      </w:r>
    </w:p>
    <w:bookmarkEnd w:id="112"/>
    <w:bookmarkEnd w:id="113"/>
    <w:p w14:paraId="3FB065E7">
      <w:pPr>
        <w:pStyle w:val="81"/>
        <w:spacing w:before="0"/>
        <w:ind w:firstLine="420"/>
        <w:rPr>
          <w:rFonts w:hint="eastAsia" w:ascii="宋体" w:hAnsi="宋体" w:cs="宋体"/>
          <w:color w:val="auto"/>
          <w:sz w:val="21"/>
          <w:szCs w:val="21"/>
          <w:highlight w:val="none"/>
        </w:rPr>
      </w:pPr>
      <w:r>
        <w:rPr>
          <w:rFonts w:hint="eastAsia" w:ascii="宋体" w:hAnsi="宋体" w:cs="宋体"/>
          <w:color w:val="auto"/>
          <w:sz w:val="21"/>
          <w:szCs w:val="21"/>
          <w:highlight w:val="none"/>
        </w:rPr>
        <w:t>22.2“广西政府采购云平台”收到投标文件后向供应商发出确认回执通知。在投标截止时间前，除供应商补充、修改或者撤回投标文件外，任何单位和个人不得解密或提取投标文件。</w:t>
      </w:r>
    </w:p>
    <w:p w14:paraId="10CF1B7F">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22.3在投标截止时间后，采购人和采购代理机构对已提交的投标文件概不退回。</w:t>
      </w:r>
    </w:p>
    <w:p w14:paraId="39074B67">
      <w:pPr>
        <w:pStyle w:val="4"/>
        <w:keepNext w:val="0"/>
        <w:keepLines w:val="0"/>
        <w:jc w:val="center"/>
        <w:rPr>
          <w:rFonts w:hint="eastAsia" w:ascii="宋体" w:hAnsi="宋体" w:cs="宋体"/>
          <w:color w:val="auto"/>
          <w:highlight w:val="none"/>
        </w:rPr>
      </w:pPr>
      <w:bookmarkStart w:id="114" w:name="_Toc254970685"/>
      <w:bookmarkStart w:id="115" w:name="_Toc254970544"/>
      <w:r>
        <w:rPr>
          <w:rFonts w:hint="eastAsia" w:ascii="宋体" w:hAnsi="宋体" w:cs="宋体"/>
          <w:color w:val="auto"/>
          <w:highlight w:val="none"/>
        </w:rPr>
        <w:t>四、开标</w:t>
      </w:r>
      <w:bookmarkEnd w:id="114"/>
      <w:bookmarkEnd w:id="115"/>
    </w:p>
    <w:p w14:paraId="67F17ABB">
      <w:pPr>
        <w:pStyle w:val="6"/>
        <w:keepNext w:val="0"/>
        <w:keepLines w:val="0"/>
        <w:spacing w:before="0" w:after="0" w:line="360" w:lineRule="auto"/>
        <w:ind w:left="420" w:leftChars="200"/>
        <w:rPr>
          <w:rFonts w:hint="eastAsia" w:ascii="宋体" w:hAnsi="宋体" w:cs="宋体"/>
          <w:color w:val="auto"/>
          <w:sz w:val="24"/>
          <w:highlight w:val="none"/>
        </w:rPr>
      </w:pPr>
      <w:bookmarkStart w:id="116" w:name="_23.开标时间和地点"/>
      <w:bookmarkEnd w:id="116"/>
      <w:r>
        <w:rPr>
          <w:rFonts w:hint="eastAsia" w:ascii="宋体" w:hAnsi="宋体" w:cs="宋体"/>
          <w:color w:val="auto"/>
          <w:sz w:val="24"/>
          <w:highlight w:val="none"/>
        </w:rPr>
        <w:t>23.开标时间和地点</w:t>
      </w:r>
    </w:p>
    <w:p w14:paraId="5CFB6DCB">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开标时间及地点详见“投标人须知前附表”</w:t>
      </w:r>
    </w:p>
    <w:p w14:paraId="4B8F2129">
      <w:pPr>
        <w:pStyle w:val="6"/>
        <w:keepNext w:val="0"/>
        <w:keepLines w:val="0"/>
        <w:spacing w:before="0" w:after="0" w:line="360" w:lineRule="auto"/>
        <w:ind w:left="420" w:leftChars="200"/>
        <w:rPr>
          <w:rFonts w:hint="eastAsia" w:ascii="宋体" w:hAnsi="宋体" w:cs="宋体"/>
          <w:color w:val="auto"/>
          <w:sz w:val="24"/>
          <w:highlight w:val="none"/>
        </w:rPr>
      </w:pPr>
      <w:r>
        <w:rPr>
          <w:rFonts w:hint="eastAsia" w:ascii="宋体" w:hAnsi="宋体" w:cs="宋体"/>
          <w:color w:val="auto"/>
          <w:sz w:val="24"/>
          <w:highlight w:val="none"/>
        </w:rPr>
        <w:t>24.开标程序</w:t>
      </w:r>
    </w:p>
    <w:p w14:paraId="6E79D95F">
      <w:pPr>
        <w:pStyle w:val="8"/>
        <w:spacing w:line="360" w:lineRule="auto"/>
        <w:rPr>
          <w:rFonts w:hint="eastAsia" w:ascii="宋体" w:hAnsi="宋体" w:cs="宋体"/>
          <w:color w:val="auto"/>
          <w:highlight w:val="none"/>
        </w:rPr>
      </w:pPr>
      <w:r>
        <w:rPr>
          <w:rFonts w:hint="eastAsia" w:ascii="宋体" w:hAnsi="宋体" w:cs="宋体"/>
          <w:color w:val="auto"/>
          <w:highlight w:val="none"/>
        </w:rPr>
        <w:t>24.1提交投标文件截止时间止，投标人不足3家的，不得开标。</w:t>
      </w:r>
    </w:p>
    <w:p w14:paraId="465679BD">
      <w:pPr>
        <w:pStyle w:val="8"/>
        <w:spacing w:line="360" w:lineRule="auto"/>
        <w:rPr>
          <w:rFonts w:hint="eastAsia" w:ascii="宋体" w:hAnsi="宋体" w:cs="宋体"/>
          <w:color w:val="auto"/>
          <w:highlight w:val="none"/>
        </w:rPr>
      </w:pPr>
      <w:r>
        <w:rPr>
          <w:rFonts w:hint="eastAsia" w:ascii="宋体" w:hAnsi="宋体" w:cs="宋体"/>
          <w:color w:val="auto"/>
          <w:highlight w:val="none"/>
        </w:rPr>
        <w:t>24.2采购代理机构将按照招标文件规定的时间通过</w:t>
      </w:r>
      <w:r>
        <w:rPr>
          <w:rFonts w:hint="eastAsia" w:ascii="宋体" w:hAnsi="宋体" w:cs="宋体"/>
          <w:color w:val="auto"/>
          <w:szCs w:val="21"/>
          <w:highlight w:val="none"/>
        </w:rPr>
        <w:t>“广西政府采购云平台”</w:t>
      </w:r>
      <w:r>
        <w:rPr>
          <w:rFonts w:hint="eastAsia" w:ascii="宋体" w:hAnsi="宋体" w:cs="宋体"/>
          <w:color w:val="auto"/>
          <w:highlight w:val="none"/>
        </w:rPr>
        <w:t>组织线上开标活动，所有供应商均应当准时在线参加，投标人因未在线参加开标而导致投标文件无法按时解密等一切后果由投标人自己承担。</w:t>
      </w:r>
    </w:p>
    <w:p w14:paraId="51A97AB5">
      <w:pPr>
        <w:pStyle w:val="8"/>
        <w:spacing w:line="360" w:lineRule="auto"/>
        <w:rPr>
          <w:rFonts w:hint="eastAsia" w:ascii="宋体" w:hAnsi="宋体" w:cs="宋体"/>
          <w:color w:val="auto"/>
          <w:highlight w:val="none"/>
        </w:rPr>
      </w:pPr>
      <w:r>
        <w:rPr>
          <w:rFonts w:hint="eastAsia" w:ascii="宋体" w:hAnsi="宋体" w:cs="宋体"/>
          <w:color w:val="auto"/>
          <w:highlight w:val="none"/>
        </w:rPr>
        <w:t>24.3开标程序</w:t>
      </w:r>
    </w:p>
    <w:p w14:paraId="5AF32847">
      <w:pPr>
        <w:pStyle w:val="8"/>
        <w:spacing w:line="360" w:lineRule="auto"/>
        <w:rPr>
          <w:rFonts w:hint="eastAsia" w:ascii="宋体" w:hAnsi="宋体" w:cs="宋体"/>
          <w:color w:val="auto"/>
          <w:highlight w:val="none"/>
        </w:rPr>
      </w:pPr>
      <w:r>
        <w:rPr>
          <w:rFonts w:hint="eastAsia" w:ascii="宋体" w:hAnsi="宋体" w:cs="宋体"/>
          <w:color w:val="auto"/>
          <w:highlight w:val="none"/>
        </w:rPr>
        <w:t>（1）解密电子投标文件。</w:t>
      </w:r>
      <w:r>
        <w:rPr>
          <w:rFonts w:hint="eastAsia" w:ascii="宋体" w:hAnsi="宋体" w:cs="宋体"/>
          <w:color w:val="auto"/>
          <w:szCs w:val="21"/>
          <w:highlight w:val="none"/>
        </w:rPr>
        <w:t>“广西政府采购云平台”</w:t>
      </w:r>
      <w:r>
        <w:rPr>
          <w:rFonts w:hint="eastAsia" w:ascii="宋体" w:hAnsi="宋体" w:cs="宋体"/>
          <w:color w:val="auto"/>
          <w:highlight w:val="none"/>
        </w:rPr>
        <w:t>按开标时间自动提取所有投标文件。采购代理机构依托</w:t>
      </w:r>
      <w:r>
        <w:rPr>
          <w:rFonts w:hint="eastAsia" w:ascii="宋体" w:hAnsi="宋体" w:cs="宋体"/>
          <w:color w:val="auto"/>
          <w:szCs w:val="21"/>
          <w:highlight w:val="none"/>
        </w:rPr>
        <w:t>“广西政府采购云平台”</w:t>
      </w:r>
      <w:r>
        <w:rPr>
          <w:rFonts w:hint="eastAsia" w:ascii="宋体" w:hAnsi="宋体" w:cs="宋体"/>
          <w:color w:val="auto"/>
          <w:highlight w:val="none"/>
        </w:rPr>
        <w:t>向各投标人发出电子加密投标文件【开始解密】通知，由投标人按</w:t>
      </w:r>
      <w:r>
        <w:rPr>
          <w:rFonts w:hint="eastAsia" w:ascii="宋体" w:hAnsi="宋体" w:cs="宋体"/>
          <w:bCs/>
          <w:color w:val="auto"/>
          <w:szCs w:val="21"/>
          <w:highlight w:val="none"/>
        </w:rPr>
        <w:t>“投标人须知前附表”</w:t>
      </w:r>
      <w:r>
        <w:rPr>
          <w:rFonts w:hint="eastAsia" w:ascii="宋体" w:hAnsi="宋体" w:cs="宋体"/>
          <w:color w:val="auto"/>
          <w:highlight w:val="none"/>
        </w:rPr>
        <w:t>规定的时间内自行进行投标文件解密。投标人的法定代表人或其委托代理人须凭加密时所用的CA锁准时登录到</w:t>
      </w:r>
      <w:r>
        <w:rPr>
          <w:rFonts w:hint="eastAsia" w:ascii="宋体" w:hAnsi="宋体" w:cs="宋体"/>
          <w:color w:val="auto"/>
          <w:szCs w:val="21"/>
          <w:highlight w:val="none"/>
        </w:rPr>
        <w:t>“广西政府采购云平台”</w:t>
      </w:r>
      <w:r>
        <w:rPr>
          <w:rFonts w:hint="eastAsia" w:ascii="宋体" w:hAnsi="宋体" w:cs="宋体"/>
          <w:color w:val="auto"/>
          <w:highlight w:val="none"/>
        </w:rPr>
        <w:t>电子开标大厅签到并对电子投标文件解密。</w:t>
      </w:r>
      <w:r>
        <w:rPr>
          <w:rFonts w:hint="eastAsia" w:ascii="宋体" w:hAnsi="宋体" w:cs="宋体"/>
          <w:b/>
          <w:color w:val="auto"/>
          <w:highlight w:val="none"/>
        </w:rPr>
        <w:t>投标人未在规定的时间内解密投标文件或者解密失败的，</w:t>
      </w:r>
      <w:r>
        <w:rPr>
          <w:rFonts w:hint="eastAsia" w:ascii="宋体" w:hAnsi="宋体" w:cs="宋体"/>
          <w:b/>
          <w:color w:val="auto"/>
          <w:szCs w:val="21"/>
          <w:highlight w:val="none"/>
        </w:rPr>
        <w:t>投标人的投标文件作无效处理</w:t>
      </w:r>
      <w:r>
        <w:rPr>
          <w:rFonts w:hint="eastAsia" w:ascii="宋体" w:hAnsi="宋体" w:cs="宋体"/>
          <w:b/>
          <w:color w:val="auto"/>
          <w:highlight w:val="none"/>
        </w:rPr>
        <w:t>。</w:t>
      </w:r>
    </w:p>
    <w:p w14:paraId="0E30F20E">
      <w:pPr>
        <w:pStyle w:val="8"/>
        <w:spacing w:line="360" w:lineRule="auto"/>
        <w:rPr>
          <w:rFonts w:hint="eastAsia" w:ascii="宋体" w:hAnsi="宋体" w:cs="宋体"/>
          <w:color w:val="auto"/>
          <w:highlight w:val="none"/>
        </w:rPr>
      </w:pPr>
      <w:r>
        <w:rPr>
          <w:rFonts w:hint="eastAsia" w:ascii="宋体" w:hAnsi="宋体" w:cs="宋体"/>
          <w:color w:val="auto"/>
          <w:highlight w:val="none"/>
        </w:rPr>
        <w:t>（2）电子唱标。投标文件解密结束，宣布的内容均在</w:t>
      </w:r>
      <w:r>
        <w:rPr>
          <w:rFonts w:hint="eastAsia" w:ascii="宋体" w:hAnsi="宋体" w:cs="宋体"/>
          <w:color w:val="auto"/>
          <w:szCs w:val="21"/>
          <w:highlight w:val="none"/>
        </w:rPr>
        <w:t>“广西政府采购云平台”</w:t>
      </w:r>
      <w:r>
        <w:rPr>
          <w:rFonts w:hint="eastAsia" w:ascii="宋体" w:hAnsi="宋体" w:cs="宋体"/>
          <w:color w:val="auto"/>
          <w:highlight w:val="none"/>
        </w:rPr>
        <w:t>远程开标大厅展示，具体详见</w:t>
      </w:r>
      <w:r>
        <w:rPr>
          <w:rFonts w:hint="eastAsia" w:ascii="宋体" w:hAnsi="宋体" w:cs="宋体"/>
          <w:bCs/>
          <w:color w:val="auto"/>
          <w:highlight w:val="none"/>
        </w:rPr>
        <w:t>“投标人须知前附表”</w:t>
      </w:r>
      <w:r>
        <w:rPr>
          <w:rFonts w:hint="eastAsia" w:ascii="宋体" w:hAnsi="宋体" w:cs="宋体"/>
          <w:color w:val="auto"/>
          <w:highlight w:val="none"/>
        </w:rPr>
        <w:t>；</w:t>
      </w:r>
    </w:p>
    <w:p w14:paraId="27DB6141">
      <w:pPr>
        <w:pStyle w:val="8"/>
        <w:spacing w:line="360" w:lineRule="auto"/>
        <w:rPr>
          <w:rFonts w:hint="eastAsia" w:ascii="宋体" w:hAnsi="宋体" w:cs="宋体"/>
          <w:color w:val="auto"/>
          <w:highlight w:val="none"/>
        </w:rPr>
      </w:pPr>
      <w:r>
        <w:rPr>
          <w:rFonts w:hint="eastAsia" w:ascii="宋体" w:hAnsi="宋体" w:cs="宋体"/>
          <w:color w:val="auto"/>
          <w:highlight w:val="none"/>
        </w:rPr>
        <w:t>（3）开标过程由采购代理机构如实记录，并电子留痕，由参加电子开标的各投标人代表对电子开标记录在开标记录公布后15分钟内进行当场校核及勘误，并线上确认是否有异议，未确认的视同认可开标结果。</w:t>
      </w:r>
    </w:p>
    <w:p w14:paraId="3A18C3B4">
      <w:pPr>
        <w:pStyle w:val="8"/>
        <w:spacing w:line="360" w:lineRule="auto"/>
        <w:rPr>
          <w:rFonts w:hint="eastAsia" w:ascii="宋体" w:hAnsi="宋体" w:cs="宋体"/>
          <w:color w:val="auto"/>
          <w:highlight w:val="none"/>
        </w:rPr>
      </w:pPr>
      <w:r>
        <w:rPr>
          <w:rFonts w:hint="eastAsia" w:ascii="宋体" w:hAnsi="宋体" w:cs="宋体"/>
          <w:color w:val="auto"/>
          <w:highlight w:val="none"/>
        </w:rPr>
        <w:t>（4）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14:paraId="5479D12C">
      <w:pPr>
        <w:pStyle w:val="8"/>
        <w:spacing w:line="360" w:lineRule="auto"/>
        <w:rPr>
          <w:rFonts w:hint="eastAsia" w:ascii="宋体" w:hAnsi="宋体" w:cs="宋体"/>
          <w:color w:val="auto"/>
          <w:szCs w:val="21"/>
          <w:highlight w:val="none"/>
        </w:rPr>
      </w:pPr>
      <w:r>
        <w:rPr>
          <w:rFonts w:hint="eastAsia" w:ascii="宋体" w:hAnsi="宋体" w:cs="宋体"/>
          <w:color w:val="auto"/>
          <w:szCs w:val="21"/>
          <w:highlight w:val="none"/>
        </w:rPr>
        <w:t>（5）开标结束。</w:t>
      </w:r>
    </w:p>
    <w:p w14:paraId="12535F9D">
      <w:pPr>
        <w:pStyle w:val="8"/>
        <w:spacing w:line="360" w:lineRule="auto"/>
        <w:rPr>
          <w:rFonts w:hint="eastAsia" w:ascii="宋体" w:hAnsi="宋体" w:cs="宋体"/>
          <w:color w:val="auto"/>
          <w:highlight w:val="none"/>
        </w:rPr>
      </w:pPr>
      <w:r>
        <w:rPr>
          <w:rFonts w:hint="eastAsia" w:ascii="宋体" w:hAnsi="宋体" w:cs="宋体"/>
          <w:color w:val="auto"/>
          <w:highlight w:val="none"/>
        </w:rPr>
        <w:t>特别说明：如遇“广西政府采购云平台”电子化开标或评审程序调整的，按调整后执行。</w:t>
      </w:r>
    </w:p>
    <w:p w14:paraId="6BCB4452">
      <w:pPr>
        <w:pStyle w:val="4"/>
        <w:keepNext w:val="0"/>
        <w:keepLines w:val="0"/>
        <w:jc w:val="center"/>
        <w:rPr>
          <w:rFonts w:hint="eastAsia" w:ascii="宋体" w:hAnsi="宋体" w:cs="宋体"/>
          <w:color w:val="auto"/>
          <w:highlight w:val="none"/>
        </w:rPr>
      </w:pPr>
      <w:r>
        <w:rPr>
          <w:rFonts w:hint="eastAsia" w:ascii="宋体" w:hAnsi="宋体" w:cs="宋体"/>
          <w:color w:val="auto"/>
          <w:highlight w:val="none"/>
        </w:rPr>
        <w:t>五、资格审查</w:t>
      </w:r>
    </w:p>
    <w:p w14:paraId="59EE3CB8">
      <w:pPr>
        <w:pStyle w:val="6"/>
        <w:keepNext w:val="0"/>
        <w:keepLines w:val="0"/>
        <w:spacing w:before="0" w:after="0" w:line="360" w:lineRule="auto"/>
        <w:ind w:left="420" w:leftChars="200"/>
        <w:rPr>
          <w:rFonts w:hint="eastAsia" w:ascii="宋体" w:hAnsi="宋体" w:cs="宋体"/>
          <w:color w:val="auto"/>
          <w:sz w:val="24"/>
          <w:highlight w:val="none"/>
        </w:rPr>
      </w:pPr>
      <w:r>
        <w:rPr>
          <w:rFonts w:hint="eastAsia" w:ascii="宋体" w:hAnsi="宋体" w:cs="宋体"/>
          <w:color w:val="auto"/>
          <w:sz w:val="24"/>
          <w:highlight w:val="none"/>
        </w:rPr>
        <w:t>25.资格审查</w:t>
      </w:r>
    </w:p>
    <w:p w14:paraId="6B0478AD">
      <w:pPr>
        <w:pStyle w:val="6"/>
        <w:keepNext w:val="0"/>
        <w:keepLines w:val="0"/>
        <w:spacing w:before="0" w:after="0" w:line="360" w:lineRule="auto"/>
        <w:ind w:firstLine="315" w:firstLineChars="15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 xml:space="preserve"> 25.1开标结束后，采购人或者采购代理机构通过电子开评标系统依据招标文件对电子投标文件进行线上资格审查。</w:t>
      </w:r>
    </w:p>
    <w:p w14:paraId="2D6108CF">
      <w:pPr>
        <w:pStyle w:val="6"/>
        <w:keepNext w:val="0"/>
        <w:keepLines w:val="0"/>
        <w:spacing w:before="0" w:after="0" w:line="360" w:lineRule="auto"/>
        <w:ind w:firstLine="315" w:firstLineChars="15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 xml:space="preserve"> 25.2资格审查标准为本招标文件中载明对投标人资格要求的条件。本项目资格审查采用合格制，凡符合招标文件规定的投标人资格要求的投标人均通过资格审查。</w:t>
      </w:r>
    </w:p>
    <w:p w14:paraId="0FAEAD6B">
      <w:pPr>
        <w:pStyle w:val="6"/>
        <w:keepNext w:val="0"/>
        <w:keepLines w:val="0"/>
        <w:numPr>
          <w:ilvl w:val="0"/>
          <w:numId w:val="0"/>
        </w:numPr>
        <w:spacing w:before="0" w:after="0" w:line="360" w:lineRule="auto"/>
        <w:ind w:firstLine="422" w:firstLineChars="200"/>
        <w:rPr>
          <w:rFonts w:hint="eastAsia" w:ascii="宋体" w:hAnsi="宋体" w:cs="宋体"/>
          <w:color w:val="auto"/>
          <w:sz w:val="21"/>
          <w:szCs w:val="21"/>
          <w:highlight w:val="none"/>
        </w:rPr>
      </w:pPr>
      <w:bookmarkStart w:id="117" w:name="_25.3_投标人有下列情形之一的，资格审查不通过而导致其投标无效："/>
      <w:bookmarkEnd w:id="117"/>
      <w:r>
        <w:rPr>
          <w:rFonts w:hint="eastAsia" w:ascii="宋体" w:hAnsi="宋体" w:cs="宋体"/>
          <w:color w:val="auto"/>
          <w:sz w:val="21"/>
          <w:szCs w:val="21"/>
          <w:highlight w:val="none"/>
        </w:rPr>
        <w:t>25.3 投标人有下列情形之一的，资格审查不通过，作无效投标处理：</w:t>
      </w:r>
    </w:p>
    <w:p w14:paraId="715589ED">
      <w:pPr>
        <w:pStyle w:val="6"/>
        <w:keepNext w:val="0"/>
        <w:keepLines w:val="0"/>
        <w:spacing w:before="0" w:after="0" w:line="360" w:lineRule="auto"/>
        <w:ind w:firstLine="315" w:firstLineChars="15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（1）不具备招标文件中规定的资格要求的；</w:t>
      </w:r>
    </w:p>
    <w:p w14:paraId="257C7903">
      <w:pPr>
        <w:pStyle w:val="6"/>
        <w:keepNext w:val="0"/>
        <w:keepLines w:val="0"/>
        <w:spacing w:before="0" w:after="0" w:line="360" w:lineRule="auto"/>
        <w:ind w:firstLine="315" w:firstLineChars="15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2）在“信用中国”网站（www.creditchina.gov.cn）、中国政府采购网（www.ccgp.gov.cn）被列入失信被执行人、重大税收违法失信主体、政府采购严重违法失信行为记录名单及其他不符合《中华人民共和国政府采购法》第二十二条规定条件的；（注：其中信用查询规则见“投标人须知前附表”，“广西政府采购云平台”已与“信用中国”网站、中国政府采购网实现数据对接，可直接在线查询）</w:t>
      </w:r>
    </w:p>
    <w:p w14:paraId="6F3B5F4F">
      <w:pPr>
        <w:pStyle w:val="6"/>
        <w:keepNext w:val="0"/>
        <w:keepLines w:val="0"/>
        <w:spacing w:before="0" w:after="0" w:line="360" w:lineRule="auto"/>
        <w:ind w:firstLine="315" w:firstLineChars="15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（3）同一合同项下的不同投标人，单位负责人为同一人或者存在直接控股、管理关系的；为本项目提供过整体设计、规范编制或者项目管理、监理、检测等服务的供应商，再参加该采购项目的其他采购活动的；</w:t>
      </w:r>
    </w:p>
    <w:p w14:paraId="18A6975E">
      <w:pPr>
        <w:pStyle w:val="6"/>
        <w:keepNext w:val="0"/>
        <w:keepLines w:val="0"/>
        <w:spacing w:before="0" w:after="0" w:line="360" w:lineRule="auto"/>
        <w:ind w:firstLine="315" w:firstLineChars="15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（4）投标文件中的资格证明文件缺少任一项“投标人须知前附表”资格证明文件规定“必须提供”的文件资料的；</w:t>
      </w:r>
    </w:p>
    <w:p w14:paraId="5CF73F0E">
      <w:pPr>
        <w:pStyle w:val="6"/>
        <w:keepNext w:val="0"/>
        <w:keepLines w:val="0"/>
        <w:spacing w:before="0" w:after="0" w:line="360" w:lineRule="auto"/>
        <w:ind w:firstLine="315" w:firstLineChars="150"/>
        <w:rPr>
          <w:rFonts w:hint="eastAsia" w:ascii="宋体" w:hAnsi="宋体" w:cs="宋体"/>
          <w:color w:val="auto"/>
          <w:highlight w:val="none"/>
        </w:rPr>
      </w:pPr>
      <w:r>
        <w:rPr>
          <w:rFonts w:hint="eastAsia" w:ascii="宋体" w:hAnsi="宋体" w:cs="宋体"/>
          <w:b w:val="0"/>
          <w:color w:val="auto"/>
          <w:sz w:val="21"/>
          <w:szCs w:val="21"/>
          <w:highlight w:val="none"/>
        </w:rPr>
        <w:t>（5）投标文件中的资格证明文件出现任一项不符合“投标人须知前附表”资格证明文件规定“必须提供”的文件资料要求或者无效的。</w:t>
      </w:r>
    </w:p>
    <w:p w14:paraId="56700474">
      <w:pPr>
        <w:pStyle w:val="6"/>
        <w:keepNext w:val="0"/>
        <w:keepLines w:val="0"/>
        <w:spacing w:before="0" w:after="0" w:line="360" w:lineRule="auto"/>
        <w:ind w:left="420" w:leftChars="200"/>
        <w:rPr>
          <w:rFonts w:hint="eastAsia" w:ascii="宋体" w:hAnsi="宋体" w:cs="宋体"/>
          <w:b w:val="0"/>
          <w:color w:val="auto"/>
          <w:sz w:val="21"/>
          <w:szCs w:val="21"/>
          <w:highlight w:val="none"/>
        </w:rPr>
      </w:pPr>
      <w:r>
        <w:rPr>
          <w:rFonts w:hint="eastAsia" w:ascii="宋体" w:hAnsi="宋体" w:cs="宋体"/>
          <w:color w:val="auto"/>
          <w:sz w:val="21"/>
          <w:szCs w:val="21"/>
          <w:highlight w:val="none"/>
        </w:rPr>
        <w:t>25.4合格投标人不足3家的，不得评标。</w:t>
      </w:r>
    </w:p>
    <w:p w14:paraId="404E86C3">
      <w:pPr>
        <w:pStyle w:val="4"/>
        <w:keepNext w:val="0"/>
        <w:keepLines w:val="0"/>
        <w:jc w:val="center"/>
        <w:rPr>
          <w:rFonts w:hint="eastAsia" w:ascii="宋体" w:hAnsi="宋体" w:cs="宋体"/>
          <w:color w:val="auto"/>
          <w:highlight w:val="none"/>
        </w:rPr>
      </w:pPr>
      <w:r>
        <w:rPr>
          <w:rFonts w:hint="eastAsia" w:ascii="宋体" w:hAnsi="宋体" w:cs="宋体"/>
          <w:color w:val="auto"/>
          <w:highlight w:val="none"/>
        </w:rPr>
        <w:t>六、评标</w:t>
      </w:r>
    </w:p>
    <w:p w14:paraId="563E07D1">
      <w:pPr>
        <w:pStyle w:val="6"/>
        <w:keepNext w:val="0"/>
        <w:keepLines w:val="0"/>
        <w:spacing w:before="0" w:after="0" w:line="360" w:lineRule="auto"/>
        <w:ind w:left="420" w:leftChars="200"/>
        <w:rPr>
          <w:rFonts w:hint="eastAsia" w:ascii="宋体" w:hAnsi="宋体" w:cs="宋体"/>
          <w:color w:val="auto"/>
          <w:sz w:val="24"/>
          <w:highlight w:val="none"/>
        </w:rPr>
      </w:pPr>
      <w:bookmarkStart w:id="118" w:name="_26.组建评标委员会"/>
      <w:bookmarkEnd w:id="118"/>
      <w:r>
        <w:rPr>
          <w:rFonts w:hint="eastAsia" w:ascii="宋体" w:hAnsi="宋体" w:cs="宋体"/>
          <w:color w:val="auto"/>
          <w:sz w:val="24"/>
          <w:highlight w:val="none"/>
        </w:rPr>
        <w:t>26.组建评标委员会</w:t>
      </w:r>
    </w:p>
    <w:p w14:paraId="597FED45">
      <w:pPr>
        <w:pStyle w:val="6"/>
        <w:keepNext w:val="0"/>
        <w:keepLines w:val="0"/>
        <w:spacing w:before="0" w:after="0" w:line="360" w:lineRule="auto"/>
        <w:ind w:firstLine="315" w:firstLineChars="15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26.1评标委员会由采购人代表和评审专家组成，具体人数详见“投标人须知前附表”，其中评审专家不得少于成员总数的三分之二。</w:t>
      </w:r>
    </w:p>
    <w:p w14:paraId="2E05586B">
      <w:pPr>
        <w:pStyle w:val="6"/>
        <w:keepNext w:val="0"/>
        <w:keepLines w:val="0"/>
        <w:spacing w:before="0" w:after="0" w:line="360" w:lineRule="auto"/>
        <w:ind w:firstLine="315" w:firstLineChars="15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26.2参加过采购项目前期咨询论证的专家，不得参加该采购项目的评审活动。</w:t>
      </w:r>
    </w:p>
    <w:p w14:paraId="320CBDD2">
      <w:pPr>
        <w:pStyle w:val="6"/>
        <w:keepNext w:val="0"/>
        <w:keepLines w:val="0"/>
        <w:spacing w:before="0" w:after="0" w:line="360" w:lineRule="auto"/>
        <w:ind w:firstLine="315" w:firstLineChars="15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26.3采购代理机构应当基于“广西政府采购云平台”抽（选）取评审专家。</w:t>
      </w:r>
    </w:p>
    <w:p w14:paraId="713C237D">
      <w:pPr>
        <w:pStyle w:val="6"/>
        <w:keepNext w:val="0"/>
        <w:keepLines w:val="0"/>
        <w:spacing w:before="0" w:after="0" w:line="360" w:lineRule="auto"/>
        <w:ind w:left="420" w:leftChars="200"/>
        <w:rPr>
          <w:rFonts w:hint="eastAsia" w:ascii="宋体" w:hAnsi="宋体" w:cs="宋体"/>
          <w:color w:val="auto"/>
          <w:sz w:val="24"/>
          <w:highlight w:val="none"/>
        </w:rPr>
      </w:pPr>
      <w:r>
        <w:rPr>
          <w:rFonts w:hint="eastAsia" w:ascii="宋体" w:hAnsi="宋体" w:cs="宋体"/>
          <w:color w:val="auto"/>
          <w:sz w:val="24"/>
          <w:highlight w:val="none"/>
        </w:rPr>
        <w:t>27.评标的依据</w:t>
      </w:r>
    </w:p>
    <w:p w14:paraId="5D91C72E">
      <w:pPr>
        <w:pStyle w:val="6"/>
        <w:keepNext w:val="0"/>
        <w:keepLines w:val="0"/>
        <w:spacing w:before="0" w:after="0" w:line="360" w:lineRule="auto"/>
        <w:ind w:firstLine="315" w:firstLineChars="15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评标委员会以“第四章 评标方法和评标标准”为依据对投标文件进行评审，没有规定的方法、评审因素和标准，不作为评标依据。</w:t>
      </w:r>
    </w:p>
    <w:p w14:paraId="4575D21E">
      <w:pPr>
        <w:pStyle w:val="6"/>
        <w:keepNext w:val="0"/>
        <w:keepLines w:val="0"/>
        <w:spacing w:before="0" w:after="0" w:line="360" w:lineRule="auto"/>
        <w:ind w:left="420" w:leftChars="200"/>
        <w:rPr>
          <w:rFonts w:hint="eastAsia" w:ascii="宋体" w:hAnsi="宋体" w:cs="宋体"/>
          <w:color w:val="auto"/>
          <w:sz w:val="24"/>
          <w:highlight w:val="none"/>
        </w:rPr>
      </w:pPr>
      <w:r>
        <w:rPr>
          <w:rFonts w:hint="eastAsia" w:ascii="宋体" w:hAnsi="宋体" w:cs="宋体"/>
          <w:color w:val="auto"/>
          <w:sz w:val="24"/>
          <w:highlight w:val="none"/>
        </w:rPr>
        <w:t>28.评标原则</w:t>
      </w:r>
    </w:p>
    <w:p w14:paraId="1197BDF4">
      <w:pPr>
        <w:pStyle w:val="6"/>
        <w:keepNext w:val="0"/>
        <w:keepLines w:val="0"/>
        <w:spacing w:before="0" w:after="0" w:line="360" w:lineRule="auto"/>
        <w:ind w:firstLine="315" w:firstLineChars="15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28.1评标原则。评标委员会评标时必须公平、公正、客观，不带任何倾向性和启发性；不得向外界透露任何与评标有关的内容；任何单位和个人不得干扰、影响评标的正常进行；评标委员会及有关工作人员不得私下与投标人接触，不得收受利害关系人的财物或者其他好处。</w:t>
      </w:r>
    </w:p>
    <w:p w14:paraId="57ECA92D">
      <w:pPr>
        <w:pStyle w:val="6"/>
        <w:keepNext w:val="0"/>
        <w:keepLines w:val="0"/>
        <w:spacing w:before="0" w:after="0" w:line="360" w:lineRule="auto"/>
        <w:ind w:firstLine="315" w:firstLineChars="15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28.2</w:t>
      </w:r>
      <w:bookmarkStart w:id="119" w:name="_28.3评标方法。本项目将按须知前附表规定的评标办法进行评标，具体评标"/>
      <w:bookmarkEnd w:id="119"/>
      <w:r>
        <w:rPr>
          <w:rFonts w:hint="eastAsia" w:ascii="宋体" w:hAnsi="宋体" w:cs="宋体"/>
          <w:b w:val="0"/>
          <w:color w:val="auto"/>
          <w:sz w:val="21"/>
          <w:szCs w:val="21"/>
          <w:highlight w:val="none"/>
        </w:rPr>
        <w:t>评委表决。评标委员会成员对需要共同认定的事项存在争议的，应当按照少数服从多数的原则作出结论。</w:t>
      </w:r>
    </w:p>
    <w:p w14:paraId="5766F28F">
      <w:pPr>
        <w:pStyle w:val="6"/>
        <w:keepNext w:val="0"/>
        <w:keepLines w:val="0"/>
        <w:spacing w:before="0" w:after="0" w:line="360" w:lineRule="auto"/>
        <w:ind w:firstLine="315" w:firstLineChars="15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28.3评标的保密。采购人、采购代理机构应当采取必要措施，保证评标在严格保密（封闭式评标）的情况下进行。除采购人代表、评标现场组织人员外，采购人的其他工作人员以及与评标工作无关的人员不得进入评标现场。有关人员对评标情况以及在评标过程中获悉的国家秘密、商业秘密负有保密责任。</w:t>
      </w:r>
    </w:p>
    <w:p w14:paraId="43A71C5F">
      <w:pPr>
        <w:pStyle w:val="6"/>
        <w:keepNext w:val="0"/>
        <w:keepLines w:val="0"/>
        <w:spacing w:before="0" w:after="0" w:line="360" w:lineRule="auto"/>
        <w:ind w:firstLine="315" w:firstLineChars="15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28.4评标过程的监控。本项目电子评标过程实行网上留痕、全程录音、录像监控，投标人在评标过程中所进行的试图影响评标结果的不公正活动，可能导致其投标按无效处理。</w:t>
      </w:r>
    </w:p>
    <w:p w14:paraId="6AFF2061">
      <w:pPr>
        <w:pStyle w:val="6"/>
        <w:keepNext w:val="0"/>
        <w:keepLines w:val="0"/>
        <w:spacing w:before="0" w:after="0" w:line="360" w:lineRule="auto"/>
        <w:ind w:left="420" w:leftChars="200"/>
        <w:rPr>
          <w:rFonts w:hint="eastAsia" w:ascii="宋体" w:hAnsi="宋体" w:cs="宋体"/>
          <w:color w:val="auto"/>
          <w:sz w:val="24"/>
          <w:highlight w:val="none"/>
        </w:rPr>
      </w:pPr>
      <w:r>
        <w:rPr>
          <w:rFonts w:hint="eastAsia" w:ascii="宋体" w:hAnsi="宋体" w:cs="宋体"/>
          <w:color w:val="auto"/>
          <w:sz w:val="24"/>
          <w:highlight w:val="none"/>
        </w:rPr>
        <w:t>29.评标方法及中标候选人推荐</w:t>
      </w:r>
    </w:p>
    <w:p w14:paraId="3B11BD96">
      <w:pPr>
        <w:pStyle w:val="6"/>
        <w:keepNext w:val="0"/>
        <w:keepLines w:val="0"/>
        <w:spacing w:before="0" w:after="0" w:line="360" w:lineRule="auto"/>
        <w:ind w:firstLine="315" w:firstLineChars="15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29.1本项目的评标方法详见“投标人须知前附表”。</w:t>
      </w:r>
    </w:p>
    <w:p w14:paraId="23297207">
      <w:pPr>
        <w:pStyle w:val="6"/>
        <w:keepNext w:val="0"/>
        <w:keepLines w:val="0"/>
        <w:spacing w:before="0" w:after="0" w:line="360" w:lineRule="auto"/>
        <w:ind w:firstLine="315" w:firstLineChars="15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29.2商务/技术要求允许负偏离的条款数详见“投标人须知前附表”。</w:t>
      </w:r>
    </w:p>
    <w:p w14:paraId="65F2EAB0">
      <w:pPr>
        <w:pStyle w:val="6"/>
        <w:keepNext w:val="0"/>
        <w:keepLines w:val="0"/>
        <w:spacing w:before="0" w:after="0" w:line="360" w:lineRule="auto"/>
        <w:ind w:firstLine="315" w:firstLineChars="15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29.3中标候选人推荐数量详见“投标人须知前附表”。</w:t>
      </w:r>
    </w:p>
    <w:p w14:paraId="754F12AA">
      <w:pPr>
        <w:pStyle w:val="6"/>
        <w:keepNext w:val="0"/>
        <w:keepLines w:val="0"/>
        <w:spacing w:before="0" w:after="0" w:line="360" w:lineRule="auto"/>
        <w:ind w:firstLine="315" w:firstLineChars="15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29.4电子交易活动的中止。采购过程中出现以下情形，导致电子交易平台无法正常运行，或者无法保证电子交易的公平、公正和安全时，采购代理机构可以中止电子交易活动：</w:t>
      </w:r>
    </w:p>
    <w:p w14:paraId="30FA009C">
      <w:pPr>
        <w:pStyle w:val="6"/>
        <w:keepNext w:val="0"/>
        <w:keepLines w:val="0"/>
        <w:spacing w:before="0" w:after="0" w:line="360" w:lineRule="auto"/>
        <w:ind w:firstLine="315" w:firstLineChars="15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（1）电子交易平台发生故障而无法登录访问的；</w:t>
      </w:r>
    </w:p>
    <w:p w14:paraId="4C5E603C">
      <w:pPr>
        <w:pStyle w:val="6"/>
        <w:keepNext w:val="0"/>
        <w:keepLines w:val="0"/>
        <w:spacing w:before="0" w:after="0" w:line="360" w:lineRule="auto"/>
        <w:ind w:firstLine="315" w:firstLineChars="15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（2）电子交易平台应用或数据库出现错误，不能进行正常操作的；</w:t>
      </w:r>
    </w:p>
    <w:p w14:paraId="6A710543">
      <w:pPr>
        <w:pStyle w:val="6"/>
        <w:keepNext w:val="0"/>
        <w:keepLines w:val="0"/>
        <w:spacing w:before="0" w:after="0" w:line="360" w:lineRule="auto"/>
        <w:ind w:firstLine="315" w:firstLineChars="15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（3）电子交易平台发现严重安全漏洞，有潜在泄密危险的；</w:t>
      </w:r>
    </w:p>
    <w:p w14:paraId="6DF0D32F">
      <w:pPr>
        <w:pStyle w:val="6"/>
        <w:keepNext w:val="0"/>
        <w:keepLines w:val="0"/>
        <w:spacing w:before="0" w:after="0" w:line="360" w:lineRule="auto"/>
        <w:ind w:firstLine="315" w:firstLineChars="15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（4）病毒发作导致不能进行正常操作的；</w:t>
      </w:r>
    </w:p>
    <w:p w14:paraId="5E3F127D">
      <w:pPr>
        <w:pStyle w:val="6"/>
        <w:keepNext w:val="0"/>
        <w:keepLines w:val="0"/>
        <w:spacing w:before="0" w:after="0" w:line="360" w:lineRule="auto"/>
        <w:ind w:firstLine="315" w:firstLineChars="15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（5）其他无法保证电子交易的公平、公正和安全的情况。</w:t>
      </w:r>
    </w:p>
    <w:p w14:paraId="58392A45">
      <w:pPr>
        <w:pStyle w:val="6"/>
        <w:keepNext w:val="0"/>
        <w:keepLines w:val="0"/>
        <w:spacing w:before="0" w:after="0" w:line="360" w:lineRule="auto"/>
        <w:ind w:firstLine="315" w:firstLineChars="15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出现以上情形，不影响采购公平、公正性的，采购代理机构可以待上述情形消除后继续组织电子交易活动；影响或可能影响采购公平、公正性的，经采购代理机构确认、报采购人同意后，终止电子采购活动，应当重新采购。采购代理机构必须对原有的资料及信息作出妥善保密处理，并报财政部门备案。</w:t>
      </w:r>
    </w:p>
    <w:p w14:paraId="3CEF16F5">
      <w:pPr>
        <w:pStyle w:val="6"/>
        <w:keepNext w:val="0"/>
        <w:keepLines w:val="0"/>
        <w:spacing w:before="0" w:after="0" w:line="360" w:lineRule="auto"/>
        <w:ind w:firstLine="315" w:firstLineChars="15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29.5出现下列情形之一的，应予废标：</w:t>
      </w:r>
    </w:p>
    <w:p w14:paraId="6D92F399">
      <w:pPr>
        <w:pStyle w:val="6"/>
        <w:keepNext w:val="0"/>
        <w:keepLines w:val="0"/>
        <w:spacing w:before="0" w:after="0" w:line="360" w:lineRule="auto"/>
        <w:ind w:firstLine="315" w:firstLineChars="15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（1）符合专业条件的供应商或者对招标文件作实质响应的供应商不足三家的；</w:t>
      </w:r>
    </w:p>
    <w:p w14:paraId="4A7A22B2">
      <w:pPr>
        <w:pStyle w:val="6"/>
        <w:keepNext w:val="0"/>
        <w:keepLines w:val="0"/>
        <w:spacing w:before="0" w:after="0" w:line="360" w:lineRule="auto"/>
        <w:ind w:firstLine="315" w:firstLineChars="15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（2）出现影响采购公正的违法、违规行为的；</w:t>
      </w:r>
    </w:p>
    <w:p w14:paraId="5F3EEF92">
      <w:pPr>
        <w:pStyle w:val="6"/>
        <w:keepNext w:val="0"/>
        <w:keepLines w:val="0"/>
        <w:spacing w:before="0" w:after="0" w:line="360" w:lineRule="auto"/>
        <w:ind w:firstLine="315" w:firstLineChars="15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（3）投标人的报价均超过了采购预算，采购人不能支付的；</w:t>
      </w:r>
    </w:p>
    <w:p w14:paraId="3DA41D49">
      <w:pPr>
        <w:pStyle w:val="6"/>
        <w:keepNext w:val="0"/>
        <w:keepLines w:val="0"/>
        <w:spacing w:before="0" w:after="0" w:line="360" w:lineRule="auto"/>
        <w:ind w:firstLine="315" w:firstLineChars="15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（4）因重大变故，采购任务取消的。</w:t>
      </w:r>
    </w:p>
    <w:p w14:paraId="42D24C37">
      <w:pPr>
        <w:pStyle w:val="6"/>
        <w:keepNext w:val="0"/>
        <w:keepLines w:val="0"/>
        <w:spacing w:before="0" w:after="0" w:line="360" w:lineRule="auto"/>
        <w:ind w:firstLine="315" w:firstLineChars="15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废标后，采购人应当将废标理由通知所有投标人。</w:t>
      </w:r>
    </w:p>
    <w:p w14:paraId="21B82495">
      <w:pPr>
        <w:rPr>
          <w:rFonts w:hint="eastAsia" w:ascii="宋体" w:hAnsi="宋体" w:cs="宋体"/>
          <w:color w:val="auto"/>
          <w:highlight w:val="none"/>
        </w:rPr>
      </w:pPr>
      <w:bookmarkStart w:id="120" w:name="_Toc254970687"/>
      <w:bookmarkStart w:id="121" w:name="_Toc254970546"/>
      <w:r>
        <w:rPr>
          <w:rFonts w:hint="eastAsia" w:ascii="宋体" w:hAnsi="宋体" w:cs="宋体"/>
          <w:color w:val="auto"/>
          <w:highlight w:val="none"/>
        </w:rPr>
        <w:br w:type="page"/>
      </w:r>
    </w:p>
    <w:p w14:paraId="4A7C7320">
      <w:pPr>
        <w:pStyle w:val="4"/>
        <w:keepNext w:val="0"/>
        <w:keepLines w:val="0"/>
        <w:jc w:val="center"/>
        <w:rPr>
          <w:rFonts w:hint="eastAsia" w:ascii="宋体" w:hAnsi="宋体" w:cs="宋体"/>
          <w:color w:val="auto"/>
          <w:highlight w:val="none"/>
        </w:rPr>
      </w:pPr>
      <w:r>
        <w:rPr>
          <w:rFonts w:hint="eastAsia" w:ascii="宋体" w:hAnsi="宋体" w:cs="宋体"/>
          <w:color w:val="auto"/>
          <w:highlight w:val="none"/>
        </w:rPr>
        <w:t>七、</w:t>
      </w:r>
      <w:bookmarkEnd w:id="120"/>
      <w:bookmarkEnd w:id="121"/>
      <w:r>
        <w:rPr>
          <w:rFonts w:hint="eastAsia" w:ascii="宋体" w:hAnsi="宋体" w:cs="宋体"/>
          <w:color w:val="auto"/>
          <w:highlight w:val="none"/>
        </w:rPr>
        <w:t>中标和合同</w:t>
      </w:r>
    </w:p>
    <w:p w14:paraId="1A68DE5A">
      <w:pPr>
        <w:pStyle w:val="6"/>
        <w:keepNext w:val="0"/>
        <w:keepLines w:val="0"/>
        <w:spacing w:before="0" w:after="0" w:line="360" w:lineRule="auto"/>
        <w:ind w:left="420" w:leftChars="200"/>
        <w:rPr>
          <w:rFonts w:hint="eastAsia" w:ascii="宋体" w:hAnsi="宋体" w:cs="宋体"/>
          <w:color w:val="auto"/>
          <w:sz w:val="24"/>
          <w:highlight w:val="none"/>
        </w:rPr>
      </w:pPr>
      <w:r>
        <w:rPr>
          <w:rFonts w:hint="eastAsia" w:ascii="宋体" w:hAnsi="宋体" w:cs="宋体"/>
          <w:color w:val="auto"/>
          <w:sz w:val="24"/>
          <w:highlight w:val="none"/>
        </w:rPr>
        <w:t>30确定中标人</w:t>
      </w:r>
    </w:p>
    <w:p w14:paraId="0510E402">
      <w:pPr>
        <w:pStyle w:val="6"/>
        <w:keepNext w:val="0"/>
        <w:keepLines w:val="0"/>
        <w:spacing w:before="0" w:after="0" w:line="360" w:lineRule="auto"/>
        <w:ind w:firstLine="315" w:firstLineChars="15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30.1采购代理机构在评标结束之日起2个工作日内将评标报告送采购人，采购人在收到评标报告之日起5个工作日内，在评标报告确定的中标候选人名单中按顺序确定中标人。中标候选人并列的，按照“投标人须知前附表”规定的方式确定中标人。采购人也可以事先授权评标委员会直接确定中标人。</w:t>
      </w:r>
    </w:p>
    <w:p w14:paraId="1693F21D">
      <w:pPr>
        <w:pStyle w:val="6"/>
        <w:keepNext w:val="0"/>
        <w:keepLines w:val="0"/>
        <w:spacing w:before="0" w:after="0" w:line="360" w:lineRule="auto"/>
        <w:ind w:firstLine="315" w:firstLineChars="15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30.2采购人在收到评标报告5个工作日内未按评标报告推荐的中标候选人顺序确定中标人，又不能说明合法理由的，视同按评标报告推荐的顺序确定排名第一的中标候选人为中标人。</w:t>
      </w:r>
    </w:p>
    <w:p w14:paraId="17F07B23">
      <w:pPr>
        <w:pStyle w:val="6"/>
        <w:keepNext w:val="0"/>
        <w:keepLines w:val="0"/>
        <w:spacing w:before="0" w:after="0" w:line="360" w:lineRule="auto"/>
        <w:ind w:firstLine="315" w:firstLineChars="15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30.3出现下列情形之一的，应予废标：</w:t>
      </w:r>
    </w:p>
    <w:p w14:paraId="0CB9D089">
      <w:pPr>
        <w:pStyle w:val="6"/>
        <w:keepNext w:val="0"/>
        <w:keepLines w:val="0"/>
        <w:spacing w:before="0" w:after="0" w:line="360" w:lineRule="auto"/>
        <w:ind w:firstLine="315" w:firstLineChars="15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（1）符合专业条件的供应商或者对招标文件作实质响应的供应商不足三家的；</w:t>
      </w:r>
    </w:p>
    <w:p w14:paraId="332B7D25">
      <w:pPr>
        <w:pStyle w:val="6"/>
        <w:keepNext w:val="0"/>
        <w:keepLines w:val="0"/>
        <w:spacing w:before="0" w:after="0" w:line="360" w:lineRule="auto"/>
        <w:ind w:firstLine="315" w:firstLineChars="15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（2）出现影响采购公正的违法、违规行为的；</w:t>
      </w:r>
    </w:p>
    <w:p w14:paraId="3A54E223">
      <w:pPr>
        <w:pStyle w:val="6"/>
        <w:keepNext w:val="0"/>
        <w:keepLines w:val="0"/>
        <w:spacing w:before="0" w:after="0" w:line="360" w:lineRule="auto"/>
        <w:ind w:firstLine="315" w:firstLineChars="15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（3）投标人的报价均超过了采购预算，采购人不能支付的；</w:t>
      </w:r>
    </w:p>
    <w:p w14:paraId="12D41250">
      <w:pPr>
        <w:pStyle w:val="6"/>
        <w:keepNext w:val="0"/>
        <w:keepLines w:val="0"/>
        <w:spacing w:before="0" w:after="0" w:line="360" w:lineRule="auto"/>
        <w:ind w:firstLine="315" w:firstLineChars="15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（4）因重大变故，采购任务取消的。</w:t>
      </w:r>
    </w:p>
    <w:p w14:paraId="7CF5ACED">
      <w:pPr>
        <w:pStyle w:val="6"/>
        <w:keepNext w:val="0"/>
        <w:keepLines w:val="0"/>
        <w:spacing w:before="0" w:after="0" w:line="360" w:lineRule="auto"/>
        <w:ind w:firstLine="315" w:firstLineChars="150"/>
        <w:rPr>
          <w:rFonts w:hint="eastAsia" w:ascii="宋体" w:hAnsi="宋体" w:cs="宋体"/>
          <w:color w:val="auto"/>
          <w:szCs w:val="21"/>
          <w:highlight w:val="none"/>
        </w:rPr>
      </w:pPr>
      <w:r>
        <w:rPr>
          <w:rFonts w:hint="eastAsia" w:ascii="宋体" w:hAnsi="宋体" w:cs="宋体"/>
          <w:b w:val="0"/>
          <w:color w:val="auto"/>
          <w:sz w:val="21"/>
          <w:szCs w:val="21"/>
          <w:highlight w:val="none"/>
        </w:rPr>
        <w:t>废标后，采购人应当将废标理由通知所有投标人</w:t>
      </w:r>
      <w:r>
        <w:rPr>
          <w:rFonts w:hint="eastAsia" w:ascii="宋体" w:hAnsi="宋体" w:cs="宋体"/>
          <w:color w:val="auto"/>
          <w:szCs w:val="21"/>
          <w:highlight w:val="none"/>
        </w:rPr>
        <w:t>。</w:t>
      </w:r>
    </w:p>
    <w:p w14:paraId="266674AA">
      <w:pPr>
        <w:pStyle w:val="6"/>
        <w:keepNext w:val="0"/>
        <w:keepLines w:val="0"/>
        <w:spacing w:before="0" w:after="0" w:line="360" w:lineRule="auto"/>
        <w:ind w:left="420" w:leftChars="200"/>
        <w:rPr>
          <w:rFonts w:hint="eastAsia" w:ascii="宋体" w:hAnsi="宋体" w:cs="宋体"/>
          <w:color w:val="auto"/>
          <w:sz w:val="24"/>
          <w:highlight w:val="none"/>
        </w:rPr>
      </w:pPr>
      <w:r>
        <w:rPr>
          <w:rFonts w:hint="eastAsia" w:ascii="宋体" w:hAnsi="宋体" w:cs="宋体"/>
          <w:color w:val="auto"/>
          <w:sz w:val="24"/>
          <w:highlight w:val="none"/>
        </w:rPr>
        <w:t>31. 结果公告</w:t>
      </w:r>
    </w:p>
    <w:p w14:paraId="1ACFFD30">
      <w:pPr>
        <w:pStyle w:val="6"/>
        <w:keepNext w:val="0"/>
        <w:keepLines w:val="0"/>
        <w:spacing w:before="0" w:after="0" w:line="360" w:lineRule="auto"/>
        <w:ind w:firstLine="315" w:firstLineChars="15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31.1采购人或者采购代理机构应当自中标人确定之日起2个工作日内，在省级以上财政部门指定的媒体上公告中标结果，招标文件应当随中标结果同时公告。采购人或者采购代理发出中标通知书前，应当对中标人信用进行查询，对列入失信被执行人、重大税收违法失信主体、政府采购严重违法失信行为记录名单及其他不符合《中华人民共和国政府采购法》第二十二条规定条件的投标人，取消其中标资格，并确定排名第二的中标候选人为中标人。排名第二的中标候选人因前款规定的同样原因被取消中标资格的，采购人可以确定排名第三的中标候选人为中标人，以此类推。</w:t>
      </w:r>
    </w:p>
    <w:p w14:paraId="5D6F13B9">
      <w:pPr>
        <w:pStyle w:val="6"/>
        <w:keepNext w:val="0"/>
        <w:keepLines w:val="0"/>
        <w:spacing w:before="0" w:after="0" w:line="360" w:lineRule="auto"/>
        <w:ind w:firstLine="315" w:firstLineChars="15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以上信息查询记录及相关证据与采购文件一并保存。</w:t>
      </w:r>
    </w:p>
    <w:p w14:paraId="53BC0976">
      <w:pPr>
        <w:pStyle w:val="6"/>
        <w:keepNext w:val="0"/>
        <w:keepLines w:val="0"/>
        <w:spacing w:before="0" w:after="0" w:line="360" w:lineRule="auto"/>
        <w:ind w:firstLine="315" w:firstLineChars="15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31.2中标供应商享受《政府采购促进中小企业发展管理办法》（财库〔2020〕46号）规定的中小企业扶持政策的，采购人、采购代理机构应当随中标结果公开中标供应商的《中小企业声明函》。</w:t>
      </w:r>
    </w:p>
    <w:p w14:paraId="2CDB724E">
      <w:pPr>
        <w:pStyle w:val="6"/>
        <w:keepNext w:val="0"/>
        <w:keepLines w:val="0"/>
        <w:spacing w:before="0" w:after="0" w:line="360" w:lineRule="auto"/>
        <w:ind w:left="420" w:leftChars="200"/>
        <w:rPr>
          <w:rFonts w:hint="eastAsia" w:ascii="宋体" w:hAnsi="宋体" w:cs="宋体"/>
          <w:color w:val="auto"/>
          <w:sz w:val="24"/>
          <w:highlight w:val="none"/>
        </w:rPr>
      </w:pPr>
      <w:r>
        <w:rPr>
          <w:rFonts w:hint="eastAsia" w:ascii="宋体" w:hAnsi="宋体" w:cs="宋体"/>
          <w:color w:val="auto"/>
          <w:sz w:val="24"/>
          <w:highlight w:val="none"/>
        </w:rPr>
        <w:t>32.发出中标通知书</w:t>
      </w:r>
    </w:p>
    <w:p w14:paraId="3683A31E">
      <w:pPr>
        <w:pStyle w:val="6"/>
        <w:keepNext w:val="0"/>
        <w:keepLines w:val="0"/>
        <w:spacing w:before="0" w:after="0" w:line="360" w:lineRule="auto"/>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 xml:space="preserve">    在发布中标公告的同时，采购代理机构向中标人通过“广西政府采购云平台”发出电子中标通知书。对未通过资格审查的投标人，应当告知其未通过的原因；采用综合评分办法评审的，还应当告知未中标人本人的评审得分与排序。</w:t>
      </w:r>
    </w:p>
    <w:p w14:paraId="715A67D3">
      <w:pPr>
        <w:pStyle w:val="6"/>
        <w:keepNext w:val="0"/>
        <w:keepLines w:val="0"/>
        <w:spacing w:before="0" w:after="0" w:line="360" w:lineRule="auto"/>
        <w:ind w:left="420" w:leftChars="200"/>
        <w:rPr>
          <w:rFonts w:hint="eastAsia" w:ascii="宋体" w:hAnsi="宋体" w:cs="宋体"/>
          <w:color w:val="auto"/>
          <w:sz w:val="24"/>
          <w:highlight w:val="none"/>
        </w:rPr>
      </w:pPr>
      <w:r>
        <w:rPr>
          <w:rFonts w:hint="eastAsia" w:ascii="宋体" w:hAnsi="宋体" w:cs="宋体"/>
          <w:color w:val="auto"/>
          <w:sz w:val="24"/>
          <w:highlight w:val="none"/>
        </w:rPr>
        <w:t>33. 无义务解释未中标原因</w:t>
      </w:r>
    </w:p>
    <w:p w14:paraId="053FDBA0">
      <w:pPr>
        <w:pStyle w:val="6"/>
        <w:keepNext w:val="0"/>
        <w:keepLines w:val="0"/>
        <w:spacing w:before="0" w:after="0" w:line="360" w:lineRule="auto"/>
        <w:ind w:left="420" w:leftChars="20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采购代理机构无义务向未中标的投标人解释未中标原因。</w:t>
      </w:r>
    </w:p>
    <w:p w14:paraId="6FD01137">
      <w:pPr>
        <w:pStyle w:val="6"/>
        <w:keepNext w:val="0"/>
        <w:keepLines w:val="0"/>
        <w:spacing w:before="0" w:after="0" w:line="360" w:lineRule="auto"/>
        <w:ind w:left="420" w:leftChars="200"/>
        <w:rPr>
          <w:rFonts w:hint="eastAsia" w:ascii="宋体" w:hAnsi="宋体" w:cs="宋体"/>
          <w:color w:val="auto"/>
          <w:sz w:val="24"/>
          <w:highlight w:val="none"/>
        </w:rPr>
      </w:pPr>
      <w:r>
        <w:rPr>
          <w:rFonts w:hint="eastAsia" w:ascii="宋体" w:hAnsi="宋体" w:cs="宋体"/>
          <w:color w:val="auto"/>
          <w:sz w:val="24"/>
          <w:highlight w:val="none"/>
        </w:rPr>
        <w:t>34.合同授予标准</w:t>
      </w:r>
    </w:p>
    <w:p w14:paraId="35483260">
      <w:pPr>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合同将授予被确定实质上响应招标文件要求，具备履行合同能力的中标人。</w:t>
      </w:r>
    </w:p>
    <w:p w14:paraId="516A6599">
      <w:pPr>
        <w:pStyle w:val="6"/>
        <w:keepNext w:val="0"/>
        <w:keepLines w:val="0"/>
        <w:spacing w:before="0" w:after="0" w:line="360" w:lineRule="auto"/>
        <w:ind w:left="420" w:leftChars="200"/>
        <w:rPr>
          <w:rFonts w:hint="eastAsia" w:ascii="宋体" w:hAnsi="宋体" w:cs="宋体"/>
          <w:color w:val="auto"/>
          <w:sz w:val="24"/>
          <w:highlight w:val="none"/>
        </w:rPr>
      </w:pPr>
      <w:r>
        <w:rPr>
          <w:rFonts w:hint="eastAsia" w:ascii="宋体" w:hAnsi="宋体" w:cs="宋体"/>
          <w:color w:val="auto"/>
          <w:sz w:val="24"/>
          <w:highlight w:val="none"/>
        </w:rPr>
        <w:t>35.履约保证金</w:t>
      </w:r>
    </w:p>
    <w:p w14:paraId="104D46DD">
      <w:pPr>
        <w:pStyle w:val="6"/>
        <w:keepNext w:val="0"/>
        <w:keepLines w:val="0"/>
        <w:spacing w:before="0" w:after="0" w:line="360" w:lineRule="auto"/>
        <w:ind w:firstLine="315" w:firstLineChars="150"/>
        <w:rPr>
          <w:rFonts w:hint="eastAsia" w:ascii="宋体" w:hAnsi="宋体" w:cs="宋体"/>
          <w:b w:val="0"/>
          <w:color w:val="auto"/>
          <w:sz w:val="21"/>
          <w:szCs w:val="21"/>
          <w:highlight w:val="none"/>
        </w:rPr>
      </w:pPr>
      <w:bookmarkStart w:id="122" w:name="_39.1中标人须于签订合同前按本须知前附表规定的金额转账或电汇到指定账"/>
      <w:bookmarkEnd w:id="122"/>
      <w:r>
        <w:rPr>
          <w:rFonts w:hint="eastAsia" w:ascii="宋体" w:hAnsi="宋体" w:cs="宋体"/>
          <w:b w:val="0"/>
          <w:color w:val="auto"/>
          <w:sz w:val="21"/>
          <w:szCs w:val="21"/>
          <w:highlight w:val="none"/>
        </w:rPr>
        <w:t>35.1 履约保证金的金额、提交方式、退付的时间和条件详见 “投标人须知前附表”。中标人未按规定提交履约保证金的，视为拒绝与采购人签订合同。</w:t>
      </w:r>
    </w:p>
    <w:p w14:paraId="361A96F0">
      <w:pPr>
        <w:pStyle w:val="6"/>
        <w:keepNext w:val="0"/>
        <w:keepLines w:val="0"/>
        <w:spacing w:before="0" w:after="0" w:line="360" w:lineRule="auto"/>
        <w:ind w:firstLine="315" w:firstLineChars="150"/>
        <w:rPr>
          <w:rFonts w:hint="eastAsia" w:ascii="宋体" w:hAnsi="宋体" w:cs="宋体"/>
          <w:color w:val="auto"/>
          <w:sz w:val="21"/>
          <w:szCs w:val="21"/>
          <w:highlight w:val="none"/>
        </w:rPr>
      </w:pPr>
      <w:r>
        <w:rPr>
          <w:rFonts w:hint="eastAsia" w:ascii="宋体" w:hAnsi="宋体" w:cs="宋体"/>
          <w:b w:val="0"/>
          <w:bCs/>
          <w:color w:val="auto"/>
          <w:sz w:val="21"/>
          <w:szCs w:val="21"/>
          <w:highlight w:val="none"/>
        </w:rPr>
        <w:t>35.2在履约保证金退还日期前，若中标人的开户名称、开户银行、账号有变动的，请以书面形式通知履约保证金收取单位，否则由此产生的后果由中标人自行承担。</w:t>
      </w:r>
    </w:p>
    <w:p w14:paraId="71661FA2">
      <w:pPr>
        <w:pStyle w:val="6"/>
        <w:keepNext w:val="0"/>
        <w:keepLines w:val="0"/>
        <w:spacing w:before="0" w:after="0" w:line="360" w:lineRule="auto"/>
        <w:ind w:left="420" w:leftChars="200"/>
        <w:rPr>
          <w:rFonts w:hint="eastAsia" w:ascii="宋体" w:hAnsi="宋体" w:cs="宋体"/>
          <w:color w:val="auto"/>
          <w:sz w:val="24"/>
          <w:highlight w:val="none"/>
        </w:rPr>
      </w:pPr>
      <w:r>
        <w:rPr>
          <w:rFonts w:hint="eastAsia" w:ascii="宋体" w:hAnsi="宋体" w:cs="宋体"/>
          <w:color w:val="auto"/>
          <w:sz w:val="24"/>
          <w:highlight w:val="none"/>
        </w:rPr>
        <w:t>36.签订合同</w:t>
      </w:r>
    </w:p>
    <w:p w14:paraId="25D48B20">
      <w:pPr>
        <w:pStyle w:val="6"/>
        <w:keepNext w:val="0"/>
        <w:keepLines w:val="0"/>
        <w:spacing w:before="0" w:after="0" w:line="360" w:lineRule="auto"/>
        <w:ind w:firstLine="316" w:firstLineChars="150"/>
        <w:rPr>
          <w:rFonts w:hint="eastAsia" w:ascii="宋体" w:hAnsi="宋体" w:cs="宋体"/>
          <w:b w:val="0"/>
          <w:color w:val="auto"/>
          <w:sz w:val="21"/>
          <w:szCs w:val="21"/>
          <w:highlight w:val="none"/>
        </w:rPr>
      </w:pPr>
      <w:bookmarkStart w:id="123" w:name="_40.1投标人接到中标通知书后，按须知前附表规定向采购人出示相关资格证"/>
      <w:bookmarkEnd w:id="123"/>
      <w:r>
        <w:rPr>
          <w:rFonts w:hint="eastAsia" w:ascii="宋体" w:hAnsi="宋体" w:cs="宋体"/>
          <w:color w:val="auto"/>
          <w:sz w:val="21"/>
          <w:szCs w:val="21"/>
          <w:highlight w:val="none"/>
        </w:rPr>
        <w:t xml:space="preserve"> 36.1签订电子采购合同：中标人领取电子中标通知书后，</w:t>
      </w:r>
      <w:r>
        <w:rPr>
          <w:rFonts w:hint="eastAsia" w:ascii="宋体" w:hAnsi="宋体" w:cs="宋体"/>
          <w:color w:val="auto"/>
          <w:kern w:val="0"/>
          <w:sz w:val="21"/>
          <w:szCs w:val="21"/>
          <w:highlight w:val="none"/>
        </w:rPr>
        <w:t>在</w:t>
      </w:r>
      <w:r>
        <w:rPr>
          <w:rFonts w:hint="eastAsia" w:ascii="宋体" w:hAnsi="宋体" w:cs="宋体"/>
          <w:color w:val="auto"/>
          <w:kern w:val="0"/>
          <w:sz w:val="21"/>
          <w:szCs w:val="21"/>
          <w:highlight w:val="none"/>
          <w:lang w:val="zh-CN"/>
        </w:rPr>
        <w:t>规定的日期、时间、地点，由法定代表人或其授权代表与采购人代表签订电子采购合同。</w:t>
      </w:r>
    </w:p>
    <w:p w14:paraId="7180E5B0">
      <w:pPr>
        <w:pStyle w:val="6"/>
        <w:keepNext w:val="0"/>
        <w:keepLines w:val="0"/>
        <w:spacing w:before="0" w:after="0" w:line="360" w:lineRule="auto"/>
        <w:ind w:firstLine="315" w:firstLineChars="15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 xml:space="preserve"> 线下签订纸质合同：投标人领取中标通知书后，按“投标人须知前附表”规定向采购人出示相关证明材料，经采购人核验合格后方可签订合同。</w:t>
      </w:r>
    </w:p>
    <w:p w14:paraId="16B54130">
      <w:pPr>
        <w:pStyle w:val="6"/>
        <w:keepNext w:val="0"/>
        <w:keepLines w:val="0"/>
        <w:numPr>
          <w:ilvl w:val="0"/>
          <w:numId w:val="0"/>
        </w:numPr>
        <w:spacing w:before="0" w:after="0" w:line="360" w:lineRule="auto"/>
        <w:ind w:firstLine="420" w:firstLineChars="20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36.2签订合同时间：按中标通知书规定的时间与采购人签订合同。</w:t>
      </w:r>
    </w:p>
    <w:p w14:paraId="72159CCE">
      <w:pPr>
        <w:pStyle w:val="6"/>
        <w:keepNext w:val="0"/>
        <w:keepLines w:val="0"/>
        <w:spacing w:before="0" w:after="0" w:line="360" w:lineRule="auto"/>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 xml:space="preserve">    36.3中标人拒绝签订政府采购合同（包括但不限于放弃中标、因不可抗力不能履行合同而放弃签订合同），采购人可以按照评审报告推荐的中标候选人名单排序，确定下一候选人为中标供应商，也可以重新开展政府采购活动。如采购人无正当理由拒签合同的，给中标供应商造成损失的，中标供应商可追究采购人承担相应的法律责任。</w:t>
      </w:r>
    </w:p>
    <w:p w14:paraId="1A61BF9C">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36.4政府采购合同是政府采购项目验收的依据，中标供应商和采购人应当按照采购合同约定的各自的权利和义务全面履行合同。任何一方当事人在履行合同过程中均不得擅自变更、中止或终止合同。政府采购合同继续履行将损害国家利益和社会公共利益的，双方当事人应当变更、中止或终止合同。有过错的一方应当承担赔偿责任，双方都有过错的，各自承担相应的责任。</w:t>
      </w:r>
    </w:p>
    <w:p w14:paraId="6796B829">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36.5采购人或中标供应商不得单方面向合同另一方提出任何招标文件没有约定的条件或不合理的要求，作为签订合同的条件；也不得协商另行订立背离招标文件和合同实质性内容的协议。</w:t>
      </w:r>
    </w:p>
    <w:p w14:paraId="699E18A1">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36.6如签订合同并生效后，供应商无故拒绝或延期，除按照合同条款处理外，将承担相应的法律责任。</w:t>
      </w:r>
    </w:p>
    <w:p w14:paraId="5C6EC8EF">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36.7政府采购合同履行中，采购人需追加与合同标的相同的货物、工程或者服务的，在不改变合同其他条款的前提下，可以与供应商协商签订补充合同，但所有补充合同的采购金额不得超过原合同采购金额的10%。</w:t>
      </w:r>
    </w:p>
    <w:p w14:paraId="504F5DB5">
      <w:pPr>
        <w:pStyle w:val="6"/>
        <w:keepNext w:val="0"/>
        <w:keepLines w:val="0"/>
        <w:spacing w:before="0" w:after="0" w:line="360" w:lineRule="auto"/>
        <w:ind w:left="420" w:leftChars="200"/>
        <w:rPr>
          <w:rFonts w:hint="eastAsia" w:ascii="宋体" w:hAnsi="宋体" w:cs="宋体"/>
          <w:color w:val="auto"/>
          <w:sz w:val="24"/>
          <w:highlight w:val="none"/>
        </w:rPr>
      </w:pPr>
      <w:bookmarkStart w:id="124" w:name="_41.政府采购合同公告"/>
      <w:bookmarkEnd w:id="124"/>
      <w:r>
        <w:rPr>
          <w:rFonts w:hint="eastAsia" w:ascii="宋体" w:hAnsi="宋体" w:cs="宋体"/>
          <w:color w:val="auto"/>
          <w:sz w:val="24"/>
          <w:highlight w:val="none"/>
        </w:rPr>
        <w:t>37.政府采购合同公告</w:t>
      </w:r>
    </w:p>
    <w:p w14:paraId="5B4B2835">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采购人或者受托采购代理机构应当自政府采购合同签订之日起2个工作日内，将政府采购合同在省级以上人民政府财政部门指定的媒体上公告，但政府采购合同中涉及国家秘密、商业秘密的内容除外。</w:t>
      </w:r>
    </w:p>
    <w:p w14:paraId="417E7251">
      <w:pPr>
        <w:pStyle w:val="6"/>
        <w:keepNext w:val="0"/>
        <w:keepLines w:val="0"/>
        <w:spacing w:before="0" w:after="0" w:line="360" w:lineRule="auto"/>
        <w:ind w:left="420" w:leftChars="200"/>
        <w:rPr>
          <w:rFonts w:hint="eastAsia" w:ascii="宋体" w:hAnsi="宋体" w:cs="宋体"/>
          <w:color w:val="auto"/>
          <w:sz w:val="21"/>
          <w:szCs w:val="21"/>
          <w:highlight w:val="none"/>
        </w:rPr>
      </w:pPr>
      <w:r>
        <w:rPr>
          <w:rFonts w:hint="eastAsia" w:ascii="宋体" w:hAnsi="宋体" w:cs="宋体"/>
          <w:color w:val="auto"/>
          <w:sz w:val="21"/>
          <w:szCs w:val="21"/>
          <w:highlight w:val="none"/>
        </w:rPr>
        <w:t>38. 询问、质疑和投诉</w:t>
      </w:r>
    </w:p>
    <w:p w14:paraId="19C94E4A">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38.1供应商对政府采购活动事项有疑问的，可以向采购人提出询问，采购人或者采购代理机构应当在3个工作日内对供应商依法提出的询问作出答复，但答复的内容不得涉及商业秘密。</w:t>
      </w:r>
    </w:p>
    <w:p w14:paraId="50945267">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38.2供应商认为招标文件、采购过程或者中标结果使自己的合法权益受到损害的，必须在知道或者应知其权益受到损害之日起7个工作日内，以书面形式向采购人、采购代理机构提出质疑。采购人、采购代理机构接收质疑函的方式、联系部门、联系电话和通讯地址等信息详见“投标人须知前附表”。具体质疑起算时间如下： </w:t>
      </w:r>
    </w:p>
    <w:p w14:paraId="24270F72">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（1）对可以质疑的招标文件提出质疑的，为收到招标文件之日或者招标文件公告期限届满之日；</w:t>
      </w:r>
    </w:p>
    <w:p w14:paraId="4D866175">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（2）对采购过程提出质疑的，为各采购程序环节结束之日；</w:t>
      </w:r>
    </w:p>
    <w:p w14:paraId="420262A5">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（3）对中标结果提出质疑的，为中标结果公告期限届满之日。</w:t>
      </w:r>
    </w:p>
    <w:p w14:paraId="6D5D4344">
      <w:pPr>
        <w:spacing w:line="360" w:lineRule="auto"/>
        <w:ind w:firstLine="420" w:firstLineChars="200"/>
        <w:rPr>
          <w:rFonts w:hint="eastAsia" w:ascii="宋体" w:hAnsi="宋体" w:cs="宋体"/>
          <w:color w:val="auto"/>
          <w:szCs w:val="21"/>
          <w:highlight w:val="none"/>
        </w:rPr>
      </w:pPr>
      <w:bookmarkStart w:id="125" w:name="_9.2质疑、投诉应当采用书面形式，质疑函、投诉书均应明确阐述招标文件、"/>
      <w:bookmarkEnd w:id="125"/>
      <w:r>
        <w:rPr>
          <w:rFonts w:hint="eastAsia" w:ascii="宋体" w:hAnsi="宋体" w:cs="宋体"/>
          <w:color w:val="auto"/>
          <w:szCs w:val="21"/>
          <w:highlight w:val="none"/>
        </w:rPr>
        <w:t>38.3供应商提出质疑应当提交质疑函和必要的证明材料，针对同一采购程序环节的质疑必须在法定质疑期内一次性提出。质疑函应当包括下列内容（质疑函格式后附）：</w:t>
      </w:r>
    </w:p>
    <w:p w14:paraId="01050F96">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（1）供应商的姓名或者名称、地址、邮编、联系人及联系电话；</w:t>
      </w:r>
    </w:p>
    <w:p w14:paraId="2CDC88EF">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（2）质疑项目的名称、编号；</w:t>
      </w:r>
    </w:p>
    <w:p w14:paraId="1BEA814F">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（3）具体、明确的质疑事项和与质疑事项相关的请求；</w:t>
      </w:r>
    </w:p>
    <w:p w14:paraId="0F4A7293">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（4）事实依据；</w:t>
      </w:r>
    </w:p>
    <w:p w14:paraId="430AE70D">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（5）必要的法律依据；</w:t>
      </w:r>
    </w:p>
    <w:p w14:paraId="6A862121">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（6）提出质疑的日期。</w:t>
      </w:r>
    </w:p>
    <w:p w14:paraId="232579A1">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供应商为自然人的，应当由本人签字；供应商为法人或者其他组织的，应当由法定代表人、主要负责人，或者其委托代理人签字或者盖章，并加盖公章。</w:t>
      </w:r>
    </w:p>
    <w:p w14:paraId="323FA7E6">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38.4采购人、采购代理机构认为供应商质疑不成立，或者成立但未对中标结果构成影响的，继续开展采购活动；认为供应商质疑成立且影响或者可能影响中标结果的，按照下列情况处理：</w:t>
      </w:r>
    </w:p>
    <w:p w14:paraId="5E3DB48C">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（一）对招标文件提出的质疑，依法通过澄清或者修改可以继续开展采购活动的，澄清或者修改招标文件后继续开展采购活动；否则应当修改招标文件后重新开展采购活动。</w:t>
      </w:r>
    </w:p>
    <w:p w14:paraId="4A3EA2CF">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（二）对采购过程、中标结果提出的质疑，合格供应商符合法定数量时，可以从合格的中标候选人中另行确定中标供应商的，应当依法另行确定中标供应商；否则应当重新开展采购活动。</w:t>
      </w:r>
    </w:p>
    <w:p w14:paraId="738634C0">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质疑答复导致中标结果改变的，采购人或者采购代理机构应当将有关情况书面报告本级财政部门。</w:t>
      </w:r>
    </w:p>
    <w:p w14:paraId="7F6D0ED5">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38.5质疑供应商对采购人、采购代理机构的答复不满意，或者采购人、采购代理机构未在规定时间内作出答复的，可以在答复期满后15个工作日内向《政府采购质疑和投诉办法》（财政部令第94号）第六条规定的财政部门提起投诉（投诉书格式后附）。</w:t>
      </w:r>
    </w:p>
    <w:p w14:paraId="27A73E15">
      <w:pPr>
        <w:pStyle w:val="4"/>
        <w:keepNext w:val="0"/>
        <w:keepLines w:val="0"/>
        <w:spacing w:before="240" w:after="240" w:line="415" w:lineRule="auto"/>
        <w:jc w:val="center"/>
        <w:rPr>
          <w:rFonts w:hint="eastAsia" w:ascii="宋体" w:hAnsi="宋体" w:cs="宋体"/>
          <w:color w:val="auto"/>
          <w:highlight w:val="none"/>
        </w:rPr>
      </w:pPr>
      <w:bookmarkStart w:id="126" w:name="_八、其他事项"/>
      <w:bookmarkEnd w:id="126"/>
      <w:r>
        <w:rPr>
          <w:rFonts w:hint="eastAsia" w:ascii="宋体" w:hAnsi="宋体" w:cs="宋体"/>
          <w:color w:val="auto"/>
          <w:highlight w:val="none"/>
        </w:rPr>
        <w:t>八、其他事项</w:t>
      </w:r>
    </w:p>
    <w:p w14:paraId="20BC26FA">
      <w:pPr>
        <w:pStyle w:val="6"/>
        <w:keepNext w:val="0"/>
        <w:keepLines w:val="0"/>
        <w:spacing w:before="0" w:after="0" w:line="360" w:lineRule="auto"/>
        <w:ind w:left="420" w:leftChars="200"/>
        <w:rPr>
          <w:rFonts w:hint="eastAsia" w:ascii="宋体" w:hAnsi="宋体" w:cs="宋体"/>
          <w:color w:val="auto"/>
          <w:sz w:val="24"/>
          <w:highlight w:val="none"/>
        </w:rPr>
      </w:pPr>
      <w:bookmarkStart w:id="127" w:name="_42.代理服务费"/>
      <w:bookmarkEnd w:id="127"/>
      <w:r>
        <w:rPr>
          <w:rFonts w:hint="eastAsia" w:ascii="宋体" w:hAnsi="宋体" w:cs="宋体"/>
          <w:color w:val="auto"/>
          <w:sz w:val="24"/>
          <w:highlight w:val="none"/>
        </w:rPr>
        <w:t>39.代理服务费</w:t>
      </w:r>
    </w:p>
    <w:p w14:paraId="65635B84">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39.1代理服务收取标准及缴费账户详见“投标人须知前附表”。</w:t>
      </w:r>
    </w:p>
    <w:p w14:paraId="74FFDC99">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39.2代理服务收费标准：参照《国家发展改革委关于进一步放开建设项目专业服务价格的通知》（〔2015〕299号）文件精神，结合市场因素，以中标价格为计费额，采购代理机构参照下表收费标准，采用差额定率累进法计算出收费价格。发布中标结果公告后，中标人须向广西中启招标咨询有限公司一次付清服务费。</w:t>
      </w:r>
    </w:p>
    <w:p w14:paraId="7BF25045">
      <w:pPr>
        <w:spacing w:before="240" w:beforeLines="100" w:after="240" w:afterLines="100" w:line="360" w:lineRule="auto"/>
        <w:jc w:val="center"/>
        <w:rPr>
          <w:rFonts w:hint="eastAsia" w:ascii="宋体" w:hAnsi="宋体" w:cs="宋体"/>
          <w:b/>
          <w:bCs/>
          <w:color w:val="auto"/>
          <w:szCs w:val="21"/>
          <w:highlight w:val="none"/>
        </w:rPr>
      </w:pPr>
      <w:r>
        <w:rPr>
          <w:rFonts w:hint="eastAsia" w:ascii="宋体" w:hAnsi="宋体" w:cs="宋体"/>
          <w:b/>
          <w:bCs/>
          <w:color w:val="auto"/>
          <w:szCs w:val="21"/>
          <w:highlight w:val="none"/>
        </w:rPr>
        <w:t>招标代理服务收费标准表</w:t>
      </w:r>
    </w:p>
    <w:tbl>
      <w:tblPr>
        <w:tblStyle w:val="6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86"/>
        <w:gridCol w:w="1807"/>
        <w:gridCol w:w="1839"/>
        <w:gridCol w:w="1807"/>
      </w:tblGrid>
      <w:tr w14:paraId="594AC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3786" w:type="dxa"/>
            <w:tcBorders>
              <w:tl2br w:val="single" w:color="auto" w:sz="4" w:space="0"/>
            </w:tcBorders>
            <w:vAlign w:val="center"/>
          </w:tcPr>
          <w:p w14:paraId="1071F4D8">
            <w:pPr>
              <w:spacing w:line="360" w:lineRule="auto"/>
              <w:ind w:firstLine="2415" w:firstLineChars="1150"/>
              <w:jc w:val="center"/>
              <w:rPr>
                <w:rFonts w:hint="eastAsia" w:ascii="宋体" w:hAnsi="宋体" w:cs="宋体"/>
                <w:color w:val="auto"/>
                <w:szCs w:val="21"/>
                <w:highlight w:val="none"/>
              </w:rPr>
            </w:pPr>
            <w:r>
              <w:rPr>
                <w:rFonts w:hint="eastAsia" w:ascii="宋体" w:hAnsi="宋体" w:cs="宋体"/>
                <w:color w:val="auto"/>
                <w:szCs w:val="21"/>
                <w:highlight w:val="none"/>
              </w:rPr>
              <w:t>费率</w:t>
            </w:r>
          </w:p>
          <w:p w14:paraId="6C4A4DD1">
            <w:pPr>
              <w:spacing w:line="360" w:lineRule="auto"/>
              <w:rPr>
                <w:rFonts w:hint="eastAsia" w:ascii="宋体" w:hAnsi="宋体" w:cs="宋体"/>
                <w:color w:val="auto"/>
                <w:szCs w:val="21"/>
                <w:highlight w:val="none"/>
              </w:rPr>
            </w:pPr>
            <w:r>
              <w:rPr>
                <w:rFonts w:hint="eastAsia" w:ascii="宋体" w:hAnsi="宋体" w:cs="宋体"/>
                <w:color w:val="auto"/>
                <w:szCs w:val="21"/>
                <w:highlight w:val="none"/>
              </w:rPr>
              <w:t>中标金额</w:t>
            </w:r>
          </w:p>
        </w:tc>
        <w:tc>
          <w:tcPr>
            <w:tcW w:w="1807" w:type="dxa"/>
            <w:vAlign w:val="center"/>
          </w:tcPr>
          <w:p w14:paraId="0549972B">
            <w:pPr>
              <w:spacing w:line="360" w:lineRule="auto"/>
              <w:ind w:firstLine="105" w:firstLineChars="50"/>
              <w:jc w:val="center"/>
              <w:rPr>
                <w:rFonts w:hint="eastAsia" w:ascii="宋体" w:hAnsi="宋体" w:cs="宋体"/>
                <w:color w:val="auto"/>
                <w:szCs w:val="21"/>
                <w:highlight w:val="none"/>
              </w:rPr>
            </w:pPr>
            <w:r>
              <w:rPr>
                <w:rFonts w:hint="eastAsia" w:ascii="宋体" w:hAnsi="宋体" w:cs="宋体"/>
                <w:color w:val="auto"/>
                <w:szCs w:val="21"/>
                <w:highlight w:val="none"/>
              </w:rPr>
              <w:t>货物招标</w:t>
            </w:r>
          </w:p>
        </w:tc>
        <w:tc>
          <w:tcPr>
            <w:tcW w:w="1839" w:type="dxa"/>
            <w:vAlign w:val="center"/>
          </w:tcPr>
          <w:p w14:paraId="5615CB27">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服务招标</w:t>
            </w:r>
          </w:p>
        </w:tc>
        <w:tc>
          <w:tcPr>
            <w:tcW w:w="1807" w:type="dxa"/>
            <w:vAlign w:val="center"/>
          </w:tcPr>
          <w:p w14:paraId="749A742C">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工程招标</w:t>
            </w:r>
          </w:p>
        </w:tc>
      </w:tr>
      <w:tr w14:paraId="75895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3786" w:type="dxa"/>
            <w:vAlign w:val="center"/>
          </w:tcPr>
          <w:p w14:paraId="02EA2B21">
            <w:pPr>
              <w:spacing w:line="360" w:lineRule="auto"/>
              <w:rPr>
                <w:rFonts w:hint="eastAsia" w:ascii="宋体" w:hAnsi="宋体" w:cs="宋体"/>
                <w:color w:val="auto"/>
                <w:szCs w:val="21"/>
                <w:highlight w:val="none"/>
              </w:rPr>
            </w:pPr>
            <w:r>
              <w:rPr>
                <w:rFonts w:hint="eastAsia" w:ascii="宋体" w:hAnsi="宋体" w:cs="宋体"/>
                <w:color w:val="auto"/>
                <w:szCs w:val="21"/>
                <w:highlight w:val="none"/>
              </w:rPr>
              <w:t>100万元以下</w:t>
            </w:r>
          </w:p>
        </w:tc>
        <w:tc>
          <w:tcPr>
            <w:tcW w:w="1807" w:type="dxa"/>
            <w:vAlign w:val="center"/>
          </w:tcPr>
          <w:p w14:paraId="4EABDB2D">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1.5%</w:t>
            </w:r>
          </w:p>
        </w:tc>
        <w:tc>
          <w:tcPr>
            <w:tcW w:w="1839" w:type="dxa"/>
            <w:vAlign w:val="center"/>
          </w:tcPr>
          <w:p w14:paraId="15FF56B6">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1.5%</w:t>
            </w:r>
          </w:p>
        </w:tc>
        <w:tc>
          <w:tcPr>
            <w:tcW w:w="1807" w:type="dxa"/>
            <w:vAlign w:val="center"/>
          </w:tcPr>
          <w:p w14:paraId="5AD9DEFC">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1.0%</w:t>
            </w:r>
          </w:p>
        </w:tc>
      </w:tr>
      <w:tr w14:paraId="25CAE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3786" w:type="dxa"/>
            <w:vAlign w:val="center"/>
          </w:tcPr>
          <w:p w14:paraId="17CBEBF9">
            <w:pPr>
              <w:spacing w:line="360" w:lineRule="auto"/>
              <w:rPr>
                <w:rFonts w:hint="eastAsia" w:ascii="宋体" w:hAnsi="宋体" w:cs="宋体"/>
                <w:color w:val="auto"/>
                <w:szCs w:val="21"/>
                <w:highlight w:val="none"/>
              </w:rPr>
            </w:pPr>
            <w:r>
              <w:rPr>
                <w:rFonts w:hint="eastAsia" w:ascii="宋体" w:hAnsi="宋体" w:cs="宋体"/>
                <w:color w:val="auto"/>
                <w:szCs w:val="21"/>
                <w:highlight w:val="none"/>
              </w:rPr>
              <w:t>100～500万元</w:t>
            </w:r>
          </w:p>
        </w:tc>
        <w:tc>
          <w:tcPr>
            <w:tcW w:w="1807" w:type="dxa"/>
            <w:vAlign w:val="center"/>
          </w:tcPr>
          <w:p w14:paraId="110E2C07">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1.1%</w:t>
            </w:r>
          </w:p>
        </w:tc>
        <w:tc>
          <w:tcPr>
            <w:tcW w:w="1839" w:type="dxa"/>
            <w:vAlign w:val="center"/>
          </w:tcPr>
          <w:p w14:paraId="6C10DD50">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0.8%</w:t>
            </w:r>
          </w:p>
        </w:tc>
        <w:tc>
          <w:tcPr>
            <w:tcW w:w="1807" w:type="dxa"/>
            <w:vAlign w:val="center"/>
          </w:tcPr>
          <w:p w14:paraId="2B31D1C3">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0.7%</w:t>
            </w:r>
          </w:p>
        </w:tc>
      </w:tr>
      <w:tr w14:paraId="68510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3786" w:type="dxa"/>
            <w:vAlign w:val="center"/>
          </w:tcPr>
          <w:p w14:paraId="3FCDA40E">
            <w:pPr>
              <w:spacing w:line="360" w:lineRule="auto"/>
              <w:rPr>
                <w:rFonts w:hint="eastAsia" w:ascii="宋体" w:hAnsi="宋体" w:cs="宋体"/>
                <w:color w:val="auto"/>
                <w:szCs w:val="21"/>
                <w:highlight w:val="none"/>
              </w:rPr>
            </w:pPr>
            <w:r>
              <w:rPr>
                <w:rFonts w:hint="eastAsia" w:ascii="宋体" w:hAnsi="宋体" w:cs="宋体"/>
                <w:color w:val="auto"/>
                <w:szCs w:val="21"/>
                <w:highlight w:val="none"/>
              </w:rPr>
              <w:t>500～1000万元</w:t>
            </w:r>
          </w:p>
        </w:tc>
        <w:tc>
          <w:tcPr>
            <w:tcW w:w="1807" w:type="dxa"/>
            <w:vAlign w:val="center"/>
          </w:tcPr>
          <w:p w14:paraId="6EF4CAFB">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0.8%</w:t>
            </w:r>
          </w:p>
        </w:tc>
        <w:tc>
          <w:tcPr>
            <w:tcW w:w="1839" w:type="dxa"/>
            <w:vAlign w:val="center"/>
          </w:tcPr>
          <w:p w14:paraId="762ADDAD">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0.45%</w:t>
            </w:r>
          </w:p>
        </w:tc>
        <w:tc>
          <w:tcPr>
            <w:tcW w:w="1807" w:type="dxa"/>
            <w:vAlign w:val="center"/>
          </w:tcPr>
          <w:p w14:paraId="2FBC3533">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0.55%</w:t>
            </w:r>
          </w:p>
        </w:tc>
      </w:tr>
      <w:tr w14:paraId="22BF2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3786" w:type="dxa"/>
            <w:vAlign w:val="center"/>
          </w:tcPr>
          <w:p w14:paraId="6FCE00D6">
            <w:pPr>
              <w:spacing w:line="360" w:lineRule="auto"/>
              <w:rPr>
                <w:rFonts w:hint="eastAsia" w:ascii="宋体" w:hAnsi="宋体" w:cs="宋体"/>
                <w:color w:val="auto"/>
                <w:szCs w:val="21"/>
                <w:highlight w:val="none"/>
              </w:rPr>
            </w:pPr>
            <w:r>
              <w:rPr>
                <w:rFonts w:hint="eastAsia" w:ascii="宋体" w:hAnsi="宋体" w:cs="宋体"/>
                <w:color w:val="auto"/>
                <w:szCs w:val="21"/>
                <w:highlight w:val="none"/>
              </w:rPr>
              <w:t>1000～5000万元</w:t>
            </w:r>
          </w:p>
        </w:tc>
        <w:tc>
          <w:tcPr>
            <w:tcW w:w="1807" w:type="dxa"/>
            <w:vAlign w:val="center"/>
          </w:tcPr>
          <w:p w14:paraId="18565E0D">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0.5%</w:t>
            </w:r>
          </w:p>
        </w:tc>
        <w:tc>
          <w:tcPr>
            <w:tcW w:w="1839" w:type="dxa"/>
            <w:vAlign w:val="center"/>
          </w:tcPr>
          <w:p w14:paraId="2AA7BDE7">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0.25%</w:t>
            </w:r>
          </w:p>
        </w:tc>
        <w:tc>
          <w:tcPr>
            <w:tcW w:w="1807" w:type="dxa"/>
            <w:vAlign w:val="center"/>
          </w:tcPr>
          <w:p w14:paraId="66427A98">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0.35%</w:t>
            </w:r>
          </w:p>
        </w:tc>
      </w:tr>
      <w:tr w14:paraId="1BE8A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3786" w:type="dxa"/>
            <w:vAlign w:val="center"/>
          </w:tcPr>
          <w:p w14:paraId="7B1E1D47">
            <w:pPr>
              <w:spacing w:line="360" w:lineRule="auto"/>
              <w:rPr>
                <w:rFonts w:hint="eastAsia" w:ascii="宋体" w:hAnsi="宋体" w:cs="宋体"/>
                <w:color w:val="auto"/>
                <w:szCs w:val="21"/>
                <w:highlight w:val="none"/>
              </w:rPr>
            </w:pPr>
            <w:r>
              <w:rPr>
                <w:rFonts w:hint="eastAsia" w:ascii="宋体" w:hAnsi="宋体" w:cs="宋体"/>
                <w:color w:val="auto"/>
                <w:szCs w:val="21"/>
                <w:highlight w:val="none"/>
              </w:rPr>
              <w:t>5000万元～1亿元</w:t>
            </w:r>
          </w:p>
        </w:tc>
        <w:tc>
          <w:tcPr>
            <w:tcW w:w="1807" w:type="dxa"/>
            <w:vAlign w:val="center"/>
          </w:tcPr>
          <w:p w14:paraId="1B18511B">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0.25%</w:t>
            </w:r>
          </w:p>
        </w:tc>
        <w:tc>
          <w:tcPr>
            <w:tcW w:w="1839" w:type="dxa"/>
            <w:vAlign w:val="center"/>
          </w:tcPr>
          <w:p w14:paraId="4756964F">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0.1%</w:t>
            </w:r>
          </w:p>
        </w:tc>
        <w:tc>
          <w:tcPr>
            <w:tcW w:w="1807" w:type="dxa"/>
            <w:vAlign w:val="center"/>
          </w:tcPr>
          <w:p w14:paraId="3EFF730B">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0.2%</w:t>
            </w:r>
          </w:p>
        </w:tc>
      </w:tr>
      <w:tr w14:paraId="10BBC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3786" w:type="dxa"/>
            <w:vAlign w:val="center"/>
          </w:tcPr>
          <w:p w14:paraId="4AC78417">
            <w:pPr>
              <w:spacing w:line="360" w:lineRule="auto"/>
              <w:rPr>
                <w:rFonts w:hint="eastAsia" w:ascii="宋体" w:hAnsi="宋体" w:cs="宋体"/>
                <w:color w:val="auto"/>
                <w:szCs w:val="21"/>
                <w:highlight w:val="none"/>
              </w:rPr>
            </w:pPr>
            <w:r>
              <w:rPr>
                <w:rFonts w:hint="eastAsia" w:ascii="宋体" w:hAnsi="宋体" w:cs="宋体"/>
                <w:color w:val="auto"/>
                <w:szCs w:val="21"/>
                <w:highlight w:val="none"/>
              </w:rPr>
              <w:t>1～5亿元</w:t>
            </w:r>
          </w:p>
        </w:tc>
        <w:tc>
          <w:tcPr>
            <w:tcW w:w="1807" w:type="dxa"/>
            <w:vAlign w:val="center"/>
          </w:tcPr>
          <w:p w14:paraId="31E5BF8D">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0.05%</w:t>
            </w:r>
          </w:p>
        </w:tc>
        <w:tc>
          <w:tcPr>
            <w:tcW w:w="1839" w:type="dxa"/>
            <w:vAlign w:val="center"/>
          </w:tcPr>
          <w:p w14:paraId="057E13B7">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0.05%</w:t>
            </w:r>
          </w:p>
        </w:tc>
        <w:tc>
          <w:tcPr>
            <w:tcW w:w="1807" w:type="dxa"/>
            <w:vAlign w:val="center"/>
          </w:tcPr>
          <w:p w14:paraId="2002A641">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0.05%</w:t>
            </w:r>
          </w:p>
        </w:tc>
      </w:tr>
      <w:tr w14:paraId="2FFDE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3786" w:type="dxa"/>
            <w:vAlign w:val="center"/>
          </w:tcPr>
          <w:p w14:paraId="626E56F7">
            <w:pPr>
              <w:spacing w:line="360" w:lineRule="auto"/>
              <w:rPr>
                <w:rFonts w:hint="eastAsia" w:ascii="宋体" w:hAnsi="宋体" w:cs="宋体"/>
                <w:color w:val="auto"/>
                <w:szCs w:val="21"/>
                <w:highlight w:val="none"/>
              </w:rPr>
            </w:pPr>
            <w:r>
              <w:rPr>
                <w:rFonts w:hint="eastAsia" w:ascii="宋体" w:hAnsi="宋体" w:cs="宋体"/>
                <w:color w:val="auto"/>
                <w:szCs w:val="21"/>
                <w:highlight w:val="none"/>
              </w:rPr>
              <w:t>5～10亿元</w:t>
            </w:r>
          </w:p>
        </w:tc>
        <w:tc>
          <w:tcPr>
            <w:tcW w:w="1807" w:type="dxa"/>
            <w:vAlign w:val="center"/>
          </w:tcPr>
          <w:p w14:paraId="62D5FCCB">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0.035%</w:t>
            </w:r>
          </w:p>
        </w:tc>
        <w:tc>
          <w:tcPr>
            <w:tcW w:w="1839" w:type="dxa"/>
            <w:vAlign w:val="center"/>
          </w:tcPr>
          <w:p w14:paraId="2DDF0682">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0.035%</w:t>
            </w:r>
          </w:p>
        </w:tc>
        <w:tc>
          <w:tcPr>
            <w:tcW w:w="1807" w:type="dxa"/>
            <w:vAlign w:val="center"/>
          </w:tcPr>
          <w:p w14:paraId="0324EA36">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0.035%</w:t>
            </w:r>
          </w:p>
        </w:tc>
      </w:tr>
      <w:tr w14:paraId="5C24B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3786" w:type="dxa"/>
            <w:vAlign w:val="center"/>
          </w:tcPr>
          <w:p w14:paraId="3BB303A3">
            <w:pPr>
              <w:spacing w:line="360" w:lineRule="auto"/>
              <w:rPr>
                <w:rFonts w:hint="eastAsia" w:ascii="宋体" w:hAnsi="宋体" w:cs="宋体"/>
                <w:color w:val="auto"/>
                <w:szCs w:val="21"/>
                <w:highlight w:val="none"/>
              </w:rPr>
            </w:pPr>
            <w:r>
              <w:rPr>
                <w:rFonts w:hint="eastAsia" w:ascii="宋体" w:hAnsi="宋体" w:cs="宋体"/>
                <w:color w:val="auto"/>
                <w:szCs w:val="21"/>
                <w:highlight w:val="none"/>
              </w:rPr>
              <w:t>10～50亿元</w:t>
            </w:r>
          </w:p>
        </w:tc>
        <w:tc>
          <w:tcPr>
            <w:tcW w:w="1807" w:type="dxa"/>
            <w:vAlign w:val="center"/>
          </w:tcPr>
          <w:p w14:paraId="3BE8E7E4">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0.008%</w:t>
            </w:r>
          </w:p>
        </w:tc>
        <w:tc>
          <w:tcPr>
            <w:tcW w:w="1839" w:type="dxa"/>
            <w:vAlign w:val="center"/>
          </w:tcPr>
          <w:p w14:paraId="39E29BBC">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0.008%</w:t>
            </w:r>
          </w:p>
        </w:tc>
        <w:tc>
          <w:tcPr>
            <w:tcW w:w="1807" w:type="dxa"/>
            <w:vAlign w:val="center"/>
          </w:tcPr>
          <w:p w14:paraId="57C8B1FE">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0.008%</w:t>
            </w:r>
          </w:p>
        </w:tc>
      </w:tr>
      <w:tr w14:paraId="569DD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3786" w:type="dxa"/>
            <w:vAlign w:val="center"/>
          </w:tcPr>
          <w:p w14:paraId="09B8A93C">
            <w:pPr>
              <w:spacing w:line="360" w:lineRule="auto"/>
              <w:rPr>
                <w:rFonts w:hint="eastAsia" w:ascii="宋体" w:hAnsi="宋体" w:cs="宋体"/>
                <w:color w:val="auto"/>
                <w:szCs w:val="21"/>
                <w:highlight w:val="none"/>
              </w:rPr>
            </w:pPr>
            <w:r>
              <w:rPr>
                <w:rFonts w:hint="eastAsia" w:ascii="宋体" w:hAnsi="宋体" w:cs="宋体"/>
                <w:color w:val="auto"/>
                <w:szCs w:val="21"/>
                <w:highlight w:val="none"/>
              </w:rPr>
              <w:t>50～100亿元</w:t>
            </w:r>
          </w:p>
        </w:tc>
        <w:tc>
          <w:tcPr>
            <w:tcW w:w="1807" w:type="dxa"/>
            <w:vAlign w:val="center"/>
          </w:tcPr>
          <w:p w14:paraId="5D517209">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0.006%</w:t>
            </w:r>
          </w:p>
        </w:tc>
        <w:tc>
          <w:tcPr>
            <w:tcW w:w="1839" w:type="dxa"/>
            <w:vAlign w:val="center"/>
          </w:tcPr>
          <w:p w14:paraId="40FD267E">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0.006%</w:t>
            </w:r>
          </w:p>
        </w:tc>
        <w:tc>
          <w:tcPr>
            <w:tcW w:w="1807" w:type="dxa"/>
            <w:vAlign w:val="center"/>
          </w:tcPr>
          <w:p w14:paraId="096C7CF1">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0.006%</w:t>
            </w:r>
          </w:p>
        </w:tc>
      </w:tr>
      <w:tr w14:paraId="4E278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3786" w:type="dxa"/>
            <w:vAlign w:val="center"/>
          </w:tcPr>
          <w:p w14:paraId="68BC9854">
            <w:pPr>
              <w:spacing w:line="360" w:lineRule="auto"/>
              <w:rPr>
                <w:rFonts w:hint="eastAsia" w:ascii="宋体" w:hAnsi="宋体" w:cs="宋体"/>
                <w:color w:val="auto"/>
                <w:szCs w:val="21"/>
                <w:highlight w:val="none"/>
              </w:rPr>
            </w:pPr>
            <w:r>
              <w:rPr>
                <w:rFonts w:hint="eastAsia" w:ascii="宋体" w:hAnsi="宋体" w:cs="宋体"/>
                <w:color w:val="auto"/>
                <w:szCs w:val="21"/>
                <w:highlight w:val="none"/>
              </w:rPr>
              <w:t>100亿以上</w:t>
            </w:r>
          </w:p>
        </w:tc>
        <w:tc>
          <w:tcPr>
            <w:tcW w:w="1807" w:type="dxa"/>
            <w:vAlign w:val="center"/>
          </w:tcPr>
          <w:p w14:paraId="16E1E5EB">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0.004%</w:t>
            </w:r>
          </w:p>
        </w:tc>
        <w:tc>
          <w:tcPr>
            <w:tcW w:w="1839" w:type="dxa"/>
            <w:vAlign w:val="center"/>
          </w:tcPr>
          <w:p w14:paraId="5DD3968F">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0.004%</w:t>
            </w:r>
          </w:p>
        </w:tc>
        <w:tc>
          <w:tcPr>
            <w:tcW w:w="1807" w:type="dxa"/>
            <w:vAlign w:val="center"/>
          </w:tcPr>
          <w:p w14:paraId="1D6BBCCE">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0.004%</w:t>
            </w:r>
          </w:p>
        </w:tc>
      </w:tr>
    </w:tbl>
    <w:p w14:paraId="6A435266">
      <w:pPr>
        <w:spacing w:line="460" w:lineRule="exact"/>
        <w:rPr>
          <w:rFonts w:hint="eastAsia" w:ascii="宋体" w:hAnsi="宋体" w:cs="宋体"/>
          <w:color w:val="auto"/>
          <w:highlight w:val="none"/>
        </w:rPr>
      </w:pPr>
      <w:r>
        <w:rPr>
          <w:rFonts w:hint="eastAsia" w:ascii="宋体" w:hAnsi="宋体" w:cs="宋体"/>
          <w:color w:val="auto"/>
          <w:highlight w:val="none"/>
        </w:rPr>
        <w:t>注：</w:t>
      </w:r>
    </w:p>
    <w:p w14:paraId="28126989">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招标代理服务收费按差额定率累进法计算。例如：某服务招标代理业务中标金额为600万元，计算招标代理服务收费额如下：</w:t>
      </w:r>
    </w:p>
    <w:p w14:paraId="40ADA133">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100万元×1.5%=1.50万元</w:t>
      </w:r>
    </w:p>
    <w:p w14:paraId="1924C40A">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（500-100）万元×0.8%=3.20万元</w:t>
      </w:r>
    </w:p>
    <w:p w14:paraId="4CCEBE7A">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（600-500）万元×0.45%=0.45万元</w:t>
      </w:r>
    </w:p>
    <w:p w14:paraId="2220B641">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合计收费=1.50+3.20+0.45=5.15（万元）。</w:t>
      </w:r>
    </w:p>
    <w:p w14:paraId="39A25248">
      <w:pPr>
        <w:pStyle w:val="6"/>
        <w:keepNext w:val="0"/>
        <w:keepLines w:val="0"/>
        <w:spacing w:before="0" w:after="0" w:line="360" w:lineRule="auto"/>
        <w:ind w:left="420" w:leftChars="200"/>
        <w:rPr>
          <w:rFonts w:hint="eastAsia" w:ascii="宋体" w:hAnsi="宋体" w:cs="宋体"/>
          <w:color w:val="auto"/>
          <w:sz w:val="24"/>
          <w:highlight w:val="none"/>
        </w:rPr>
      </w:pPr>
      <w:r>
        <w:rPr>
          <w:rFonts w:hint="eastAsia" w:ascii="宋体" w:hAnsi="宋体" w:cs="宋体"/>
          <w:color w:val="auto"/>
          <w:sz w:val="24"/>
          <w:highlight w:val="none"/>
        </w:rPr>
        <w:t>40. 需要补充的其他内容</w:t>
      </w:r>
    </w:p>
    <w:p w14:paraId="605882AA">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40.1本招标文件解释规则详见“投标人须知前附表”。</w:t>
      </w:r>
    </w:p>
    <w:p w14:paraId="74FD1F08">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40.2 其他事项详见“投标人须知前附表”。</w:t>
      </w:r>
    </w:p>
    <w:p w14:paraId="54B651FC">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40.3本招标文件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在政府采购活动中，供应商提供的货物、工程或者服务符合下列情形的，享受本招标文件规定的中小企业扶持政策：</w:t>
      </w:r>
    </w:p>
    <w:p w14:paraId="7A58DF80">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（1）在货物采购项目中，货物由中小企业制造，即货物由中小企业生产且使用该中小企业商号或者注册商标，不对其中涉及的工程承建商和服务的承接商作出要求；</w:t>
      </w:r>
    </w:p>
    <w:p w14:paraId="02376DBF">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（2）在工程采购项目中，工程由中小企业承建，即工程施工单位为中小企业，不对其中涉及的货物的制造商和服务的承接商作出要求；</w:t>
      </w:r>
    </w:p>
    <w:p w14:paraId="28E71E73">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（3）在服务采购项目中，服务由中小企业承接，即提供服务的人员为中小企业依照《中华人民共和国劳动合同法》订立劳动合同的从业人员，不对其中涉及的货物的制造商和工程承建商作出要求。</w:t>
      </w:r>
    </w:p>
    <w:p w14:paraId="3883D595">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在货物采购项目中，供应商提供的货物既有中小企业制造货物，也有大型企业制造货物的，不享受本招标文件规定的中小企业扶持政策。</w:t>
      </w:r>
    </w:p>
    <w:p w14:paraId="69BFC4D4">
      <w:pPr>
        <w:spacing w:line="360" w:lineRule="auto"/>
        <w:ind w:firstLine="420" w:firstLineChars="200"/>
        <w:rPr>
          <w:rFonts w:hint="eastAsia" w:ascii="宋体" w:hAnsi="宋体" w:cs="宋体"/>
          <w:color w:val="auto"/>
          <w:highlight w:val="none"/>
        </w:rPr>
      </w:pPr>
      <w:r>
        <w:rPr>
          <w:rFonts w:hint="eastAsia" w:ascii="宋体" w:hAnsi="宋体" w:cs="宋体"/>
          <w:color w:val="auto"/>
          <w:szCs w:val="21"/>
          <w:highlight w:val="none"/>
        </w:rPr>
        <w:t>依据本招标文件规定享受扶持政策获得政府采购合同的，小微企业不得将合同分包给大中型企业，中型企业不得将合同分包给大型企业。</w:t>
      </w:r>
      <w:r>
        <w:rPr>
          <w:rFonts w:hint="eastAsia" w:ascii="宋体" w:hAnsi="宋体" w:cs="宋体"/>
          <w:color w:val="auto"/>
          <w:highlight w:val="none"/>
        </w:rPr>
        <w:br w:type="page"/>
      </w:r>
    </w:p>
    <w:p w14:paraId="77A38556">
      <w:pPr>
        <w:jc w:val="center"/>
        <w:rPr>
          <w:rFonts w:hint="eastAsia" w:ascii="宋体" w:hAnsi="宋体" w:cs="宋体"/>
          <w:color w:val="auto"/>
          <w:highlight w:val="none"/>
        </w:rPr>
      </w:pPr>
      <w:bookmarkStart w:id="128" w:name="_Toc27918"/>
      <w:bookmarkStart w:id="129" w:name="_Toc254970548"/>
      <w:bookmarkStart w:id="130" w:name="_Toc330456896"/>
      <w:bookmarkStart w:id="131" w:name="_Toc26138"/>
      <w:bookmarkStart w:id="132" w:name="_Toc254970689"/>
    </w:p>
    <w:p w14:paraId="3CE0BDD8">
      <w:pPr>
        <w:jc w:val="center"/>
        <w:rPr>
          <w:rFonts w:hint="eastAsia" w:ascii="宋体" w:hAnsi="宋体" w:cs="宋体"/>
          <w:color w:val="auto"/>
          <w:highlight w:val="none"/>
        </w:rPr>
      </w:pPr>
    </w:p>
    <w:p w14:paraId="0BD4C538">
      <w:pPr>
        <w:pStyle w:val="39"/>
        <w:rPr>
          <w:rFonts w:hint="eastAsia" w:ascii="宋体" w:hAnsi="宋体" w:cs="宋体"/>
          <w:color w:val="auto"/>
          <w:highlight w:val="none"/>
        </w:rPr>
      </w:pPr>
    </w:p>
    <w:p w14:paraId="344A8A55">
      <w:pPr>
        <w:pStyle w:val="39"/>
        <w:rPr>
          <w:rFonts w:hint="eastAsia" w:ascii="宋体" w:hAnsi="宋体" w:cs="宋体"/>
          <w:color w:val="auto"/>
          <w:highlight w:val="none"/>
        </w:rPr>
      </w:pPr>
    </w:p>
    <w:p w14:paraId="015E70AE">
      <w:pPr>
        <w:pStyle w:val="39"/>
        <w:rPr>
          <w:rFonts w:hint="eastAsia" w:ascii="宋体" w:hAnsi="宋体" w:cs="宋体"/>
          <w:color w:val="auto"/>
          <w:highlight w:val="none"/>
        </w:rPr>
      </w:pPr>
    </w:p>
    <w:p w14:paraId="5FBC87CD">
      <w:pPr>
        <w:pStyle w:val="39"/>
        <w:rPr>
          <w:rFonts w:hint="eastAsia" w:ascii="宋体" w:hAnsi="宋体" w:cs="宋体"/>
          <w:color w:val="auto"/>
          <w:highlight w:val="none"/>
        </w:rPr>
      </w:pPr>
    </w:p>
    <w:p w14:paraId="603DA68F">
      <w:pPr>
        <w:pStyle w:val="39"/>
        <w:rPr>
          <w:rFonts w:hint="eastAsia" w:ascii="宋体" w:hAnsi="宋体" w:cs="宋体"/>
          <w:color w:val="auto"/>
          <w:highlight w:val="none"/>
        </w:rPr>
      </w:pPr>
    </w:p>
    <w:p w14:paraId="2F73F4D1">
      <w:pPr>
        <w:pStyle w:val="39"/>
        <w:rPr>
          <w:rFonts w:hint="eastAsia" w:ascii="宋体" w:hAnsi="宋体" w:cs="宋体"/>
          <w:color w:val="auto"/>
          <w:highlight w:val="none"/>
        </w:rPr>
      </w:pPr>
    </w:p>
    <w:p w14:paraId="401CBB52">
      <w:pPr>
        <w:pStyle w:val="39"/>
        <w:rPr>
          <w:rFonts w:hint="eastAsia" w:ascii="宋体" w:hAnsi="宋体" w:cs="宋体"/>
          <w:color w:val="auto"/>
          <w:highlight w:val="none"/>
        </w:rPr>
      </w:pPr>
    </w:p>
    <w:p w14:paraId="68D88D39">
      <w:pPr>
        <w:pStyle w:val="39"/>
        <w:rPr>
          <w:rFonts w:hint="eastAsia" w:ascii="宋体" w:hAnsi="宋体" w:cs="宋体"/>
          <w:color w:val="auto"/>
          <w:highlight w:val="none"/>
        </w:rPr>
      </w:pPr>
    </w:p>
    <w:p w14:paraId="25583DC5">
      <w:pPr>
        <w:pStyle w:val="39"/>
        <w:rPr>
          <w:rFonts w:hint="eastAsia" w:ascii="宋体" w:hAnsi="宋体" w:cs="宋体"/>
          <w:color w:val="auto"/>
          <w:highlight w:val="none"/>
        </w:rPr>
      </w:pPr>
    </w:p>
    <w:p w14:paraId="3B8D830B">
      <w:pPr>
        <w:pStyle w:val="39"/>
        <w:rPr>
          <w:rFonts w:hint="eastAsia" w:ascii="宋体" w:hAnsi="宋体" w:cs="宋体"/>
          <w:color w:val="auto"/>
          <w:highlight w:val="none"/>
        </w:rPr>
      </w:pPr>
    </w:p>
    <w:p w14:paraId="486B604F">
      <w:pPr>
        <w:pStyle w:val="39"/>
        <w:rPr>
          <w:rFonts w:hint="eastAsia" w:ascii="宋体" w:hAnsi="宋体" w:cs="宋体"/>
          <w:color w:val="auto"/>
          <w:highlight w:val="none"/>
        </w:rPr>
      </w:pPr>
    </w:p>
    <w:p w14:paraId="2183D2FD">
      <w:pPr>
        <w:pStyle w:val="39"/>
        <w:rPr>
          <w:rFonts w:hint="eastAsia" w:ascii="宋体" w:hAnsi="宋体" w:cs="宋体"/>
          <w:color w:val="auto"/>
          <w:highlight w:val="none"/>
        </w:rPr>
      </w:pPr>
    </w:p>
    <w:p w14:paraId="715AA300">
      <w:pPr>
        <w:pStyle w:val="39"/>
        <w:rPr>
          <w:rFonts w:hint="eastAsia" w:ascii="宋体" w:hAnsi="宋体" w:cs="宋体"/>
          <w:color w:val="auto"/>
          <w:highlight w:val="none"/>
        </w:rPr>
      </w:pPr>
    </w:p>
    <w:p w14:paraId="27F75C00">
      <w:pPr>
        <w:jc w:val="center"/>
        <w:rPr>
          <w:rFonts w:hint="eastAsia" w:ascii="宋体" w:hAnsi="宋体" w:cs="宋体"/>
          <w:color w:val="auto"/>
          <w:highlight w:val="none"/>
        </w:rPr>
      </w:pPr>
    </w:p>
    <w:p w14:paraId="2DA60E6E">
      <w:pPr>
        <w:pStyle w:val="2"/>
        <w:jc w:val="center"/>
        <w:rPr>
          <w:rFonts w:hint="eastAsia" w:ascii="宋体" w:hAnsi="宋体" w:cs="宋体"/>
          <w:color w:val="auto"/>
          <w:highlight w:val="none"/>
        </w:rPr>
      </w:pPr>
      <w:r>
        <w:rPr>
          <w:rFonts w:hint="eastAsia" w:ascii="宋体" w:hAnsi="宋体" w:cs="宋体"/>
          <w:color w:val="auto"/>
          <w:highlight w:val="none"/>
        </w:rPr>
        <w:t>第四章  评标方法及评标标准</w:t>
      </w:r>
      <w:bookmarkEnd w:id="128"/>
      <w:bookmarkEnd w:id="129"/>
      <w:bookmarkEnd w:id="130"/>
      <w:bookmarkEnd w:id="131"/>
      <w:bookmarkEnd w:id="132"/>
    </w:p>
    <w:p w14:paraId="4C29CBD6">
      <w:pPr>
        <w:widowControl/>
        <w:jc w:val="left"/>
        <w:rPr>
          <w:rFonts w:hint="eastAsia" w:ascii="宋体" w:hAnsi="宋体" w:cs="宋体"/>
          <w:color w:val="auto"/>
          <w:highlight w:val="none"/>
        </w:rPr>
      </w:pPr>
      <w:r>
        <w:rPr>
          <w:rFonts w:hint="eastAsia" w:ascii="宋体" w:hAnsi="宋体" w:cs="宋体"/>
          <w:b/>
          <w:bCs/>
          <w:color w:val="auto"/>
          <w:highlight w:val="none"/>
        </w:rPr>
        <w:br w:type="page"/>
      </w:r>
    </w:p>
    <w:p w14:paraId="6EC41AE0">
      <w:pPr>
        <w:pStyle w:val="4"/>
        <w:keepNext w:val="0"/>
        <w:keepLines w:val="0"/>
        <w:jc w:val="center"/>
        <w:rPr>
          <w:rFonts w:hint="eastAsia" w:ascii="宋体" w:hAnsi="宋体" w:cs="宋体"/>
          <w:color w:val="auto"/>
          <w:highlight w:val="none"/>
        </w:rPr>
      </w:pPr>
      <w:r>
        <w:rPr>
          <w:rFonts w:hint="eastAsia" w:ascii="宋体" w:hAnsi="宋体" w:cs="宋体"/>
          <w:color w:val="auto"/>
          <w:highlight w:val="none"/>
        </w:rPr>
        <w:t>一、评标方法</w:t>
      </w:r>
    </w:p>
    <w:p w14:paraId="3ADC576A">
      <w:pPr>
        <w:pStyle w:val="32"/>
        <w:rPr>
          <w:rFonts w:hint="eastAsia" w:hAnsi="宋体" w:cs="宋体"/>
          <w:color w:val="auto"/>
          <w:w w:val="100"/>
          <w:highlight w:val="none"/>
        </w:rPr>
      </w:pPr>
      <w:r>
        <w:rPr>
          <w:rFonts w:hint="eastAsia" w:hAnsi="宋体" w:cs="宋体"/>
          <w:color w:val="auto"/>
          <w:w w:val="100"/>
          <w:highlight w:val="none"/>
        </w:rPr>
        <w:t>综合评分法，是指投标文件满足招标文件全部实质性要求，且按照评审因素的量化指标评审得分最高的投标人为中标候选人的评标方法。</w:t>
      </w:r>
    </w:p>
    <w:p w14:paraId="666E816C">
      <w:pPr>
        <w:pStyle w:val="4"/>
        <w:keepNext w:val="0"/>
        <w:keepLines w:val="0"/>
        <w:jc w:val="center"/>
        <w:rPr>
          <w:rFonts w:hint="eastAsia" w:ascii="宋体" w:hAnsi="宋体" w:cs="宋体"/>
          <w:color w:val="auto"/>
          <w:highlight w:val="none"/>
        </w:rPr>
      </w:pPr>
      <w:r>
        <w:rPr>
          <w:rFonts w:hint="eastAsia" w:ascii="宋体" w:hAnsi="宋体" w:cs="宋体"/>
          <w:color w:val="auto"/>
          <w:highlight w:val="none"/>
        </w:rPr>
        <w:t>二、评标程序</w:t>
      </w:r>
    </w:p>
    <w:p w14:paraId="4E51BA8A">
      <w:pPr>
        <w:pStyle w:val="6"/>
        <w:keepNext w:val="0"/>
        <w:keepLines w:val="0"/>
        <w:spacing w:before="0" w:after="0" w:line="360" w:lineRule="auto"/>
        <w:ind w:left="420" w:leftChars="200"/>
        <w:rPr>
          <w:rFonts w:hint="eastAsia" w:ascii="宋体" w:hAnsi="宋体" w:cs="宋体"/>
          <w:color w:val="auto"/>
          <w:sz w:val="21"/>
          <w:szCs w:val="21"/>
          <w:highlight w:val="none"/>
        </w:rPr>
      </w:pPr>
      <w:r>
        <w:rPr>
          <w:rFonts w:hint="eastAsia" w:ascii="宋体" w:hAnsi="宋体" w:cs="宋体"/>
          <w:color w:val="auto"/>
          <w:sz w:val="21"/>
          <w:szCs w:val="21"/>
          <w:highlight w:val="none"/>
        </w:rPr>
        <w:t>1.符合性审查</w:t>
      </w:r>
    </w:p>
    <w:p w14:paraId="7C8DE53E">
      <w:pPr>
        <w:pStyle w:val="32"/>
        <w:rPr>
          <w:rFonts w:hint="eastAsia" w:hAnsi="宋体" w:cs="宋体"/>
          <w:color w:val="auto"/>
          <w:w w:val="100"/>
          <w:kern w:val="2"/>
          <w:highlight w:val="none"/>
        </w:rPr>
      </w:pPr>
      <w:r>
        <w:rPr>
          <w:rFonts w:hint="eastAsia" w:hAnsi="宋体" w:cs="宋体"/>
          <w:color w:val="auto"/>
          <w:w w:val="100"/>
          <w:kern w:val="2"/>
          <w:highlight w:val="none"/>
        </w:rPr>
        <w:t>评标委员会应当对符合资格的投标人的投标文件进行投标报价、商务、技术等实质性内容符合性审查，以确定其是否满足招标文件的实质性要求。</w:t>
      </w:r>
    </w:p>
    <w:p w14:paraId="5C94D573">
      <w:pPr>
        <w:pStyle w:val="6"/>
        <w:keepNext w:val="0"/>
        <w:keepLines w:val="0"/>
        <w:spacing w:before="0" w:after="0" w:line="360" w:lineRule="auto"/>
        <w:ind w:left="420" w:leftChars="200"/>
        <w:rPr>
          <w:rFonts w:hint="eastAsia" w:ascii="宋体" w:hAnsi="宋体" w:cs="宋体"/>
          <w:color w:val="auto"/>
          <w:sz w:val="21"/>
          <w:szCs w:val="21"/>
          <w:highlight w:val="none"/>
        </w:rPr>
      </w:pPr>
      <w:r>
        <w:rPr>
          <w:rFonts w:hint="eastAsia" w:ascii="宋体" w:hAnsi="宋体" w:cs="宋体"/>
          <w:color w:val="auto"/>
          <w:sz w:val="21"/>
          <w:szCs w:val="21"/>
          <w:highlight w:val="none"/>
        </w:rPr>
        <w:t>2.符合性审查不通过而导致投标无效的情形</w:t>
      </w:r>
    </w:p>
    <w:p w14:paraId="1D95CF6D">
      <w:pPr>
        <w:snapToGrid w:val="0"/>
        <w:spacing w:line="36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投标人的投标文件中存在对招标文件的任何实质性要求和条件的负偏离，将被视为投标无效。</w:t>
      </w:r>
    </w:p>
    <w:p w14:paraId="558341F7">
      <w:pPr>
        <w:pStyle w:val="6"/>
        <w:keepNext w:val="0"/>
        <w:keepLines w:val="0"/>
        <w:spacing w:before="0" w:after="0" w:line="360" w:lineRule="auto"/>
        <w:ind w:left="420" w:leftChars="200"/>
        <w:rPr>
          <w:rFonts w:hint="eastAsia" w:ascii="宋体" w:hAnsi="宋体" w:cs="宋体"/>
          <w:color w:val="auto"/>
          <w:sz w:val="21"/>
          <w:szCs w:val="21"/>
          <w:highlight w:val="none"/>
        </w:rPr>
      </w:pPr>
      <w:r>
        <w:rPr>
          <w:rFonts w:hint="eastAsia" w:ascii="宋体" w:hAnsi="宋体" w:cs="宋体"/>
          <w:color w:val="auto"/>
          <w:sz w:val="21"/>
          <w:szCs w:val="21"/>
          <w:highlight w:val="none"/>
        </w:rPr>
        <w:t>2.1在报价评审时，如发现下列情形之一的，将被视为投标无效：</w:t>
      </w:r>
    </w:p>
    <w:p w14:paraId="17FA7779">
      <w:pPr>
        <w:pStyle w:val="8"/>
        <w:numPr>
          <w:ilvl w:val="0"/>
          <w:numId w:val="24"/>
        </w:numPr>
        <w:spacing w:line="360" w:lineRule="auto"/>
        <w:ind w:firstLine="398" w:firstLineChars="200"/>
        <w:rPr>
          <w:rFonts w:hint="eastAsia" w:ascii="宋体" w:hAnsi="宋体" w:cs="宋体"/>
          <w:b/>
          <w:color w:val="auto"/>
          <w:spacing w:val="-6"/>
          <w:szCs w:val="21"/>
          <w:highlight w:val="none"/>
        </w:rPr>
      </w:pPr>
      <w:r>
        <w:rPr>
          <w:rFonts w:hint="eastAsia" w:ascii="宋体" w:hAnsi="宋体" w:cs="宋体"/>
          <w:b/>
          <w:color w:val="auto"/>
          <w:spacing w:val="-6"/>
          <w:szCs w:val="21"/>
          <w:highlight w:val="none"/>
        </w:rPr>
        <w:t>报价文件未提供“投标人须知前附表”第13.1条规定中“必须提供”的文件资料的；</w:t>
      </w:r>
    </w:p>
    <w:p w14:paraId="64E065CA">
      <w:pPr>
        <w:pStyle w:val="8"/>
        <w:numPr>
          <w:ilvl w:val="0"/>
          <w:numId w:val="24"/>
        </w:numPr>
        <w:spacing w:line="36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未采用人民币报价或者未按照招标文件标明的币种报价的；</w:t>
      </w:r>
    </w:p>
    <w:p w14:paraId="07DA8930">
      <w:pPr>
        <w:pStyle w:val="8"/>
        <w:numPr>
          <w:ilvl w:val="0"/>
          <w:numId w:val="24"/>
        </w:numPr>
        <w:spacing w:line="360" w:lineRule="auto"/>
        <w:ind w:left="-2" w:firstLine="422"/>
        <w:rPr>
          <w:rFonts w:hint="eastAsia" w:ascii="宋体" w:hAnsi="宋体" w:cs="宋体"/>
          <w:b/>
          <w:color w:val="auto"/>
          <w:spacing w:val="-6"/>
          <w:szCs w:val="21"/>
          <w:highlight w:val="none"/>
        </w:rPr>
      </w:pPr>
      <w:r>
        <w:rPr>
          <w:rFonts w:hint="eastAsia" w:ascii="宋体" w:hAnsi="宋体" w:cs="宋体"/>
          <w:b/>
          <w:color w:val="auto"/>
          <w:spacing w:val="-6"/>
          <w:szCs w:val="21"/>
          <w:highlight w:val="none"/>
        </w:rPr>
        <w:t>各分标报价超出招标文件相应分标规定最高限价，或者超出相应分标采购预算金额的；</w:t>
      </w:r>
    </w:p>
    <w:p w14:paraId="1BD2EE7B">
      <w:pPr>
        <w:pStyle w:val="8"/>
        <w:numPr>
          <w:ilvl w:val="0"/>
          <w:numId w:val="24"/>
        </w:numPr>
        <w:spacing w:line="36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投标人未就所投分标进行报价或者存在漏项报价；投标人未就所投分标的单项内容作唯一报价；投标人未就所投分标的全部内容作完整唯一总价报价；存在有选择、有条件报价的（招标文件允许有备选方案或者其他约定的除外）；</w:t>
      </w:r>
    </w:p>
    <w:p w14:paraId="12DA3BD1">
      <w:pPr>
        <w:pStyle w:val="8"/>
        <w:numPr>
          <w:ilvl w:val="0"/>
          <w:numId w:val="24"/>
        </w:numPr>
        <w:spacing w:line="36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修正后的报价，投标人不确认的；</w:t>
      </w:r>
    </w:p>
    <w:p w14:paraId="35317A27">
      <w:pPr>
        <w:pStyle w:val="8"/>
        <w:numPr>
          <w:ilvl w:val="0"/>
          <w:numId w:val="24"/>
        </w:numPr>
        <w:spacing w:line="36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投标人属于本章第5.1条（2）或者第5.2条（2）项情形的。</w:t>
      </w:r>
    </w:p>
    <w:p w14:paraId="7B63EB20">
      <w:pPr>
        <w:pStyle w:val="8"/>
        <w:numPr>
          <w:ilvl w:val="0"/>
          <w:numId w:val="24"/>
        </w:numPr>
        <w:spacing w:line="360" w:lineRule="auto"/>
        <w:ind w:firstLine="398" w:firstLineChars="200"/>
        <w:rPr>
          <w:rFonts w:hint="eastAsia" w:ascii="宋体" w:hAnsi="宋体" w:cs="宋体"/>
          <w:b/>
          <w:color w:val="auto"/>
          <w:szCs w:val="21"/>
          <w:highlight w:val="none"/>
        </w:rPr>
      </w:pPr>
      <w:r>
        <w:rPr>
          <w:rFonts w:hint="eastAsia" w:ascii="宋体" w:hAnsi="宋体" w:cs="宋体"/>
          <w:b/>
          <w:color w:val="auto"/>
          <w:spacing w:val="-6"/>
          <w:szCs w:val="21"/>
          <w:highlight w:val="none"/>
        </w:rPr>
        <w:t>报价文件</w:t>
      </w:r>
      <w:r>
        <w:rPr>
          <w:rFonts w:hint="eastAsia" w:ascii="宋体" w:hAnsi="宋体" w:cs="宋体"/>
          <w:b/>
          <w:color w:val="auto"/>
          <w:szCs w:val="21"/>
          <w:highlight w:val="none"/>
        </w:rPr>
        <w:t>响应的标的数量及单位与招标文件要求实质性不一致的。</w:t>
      </w:r>
    </w:p>
    <w:p w14:paraId="260E1863">
      <w:pPr>
        <w:pStyle w:val="6"/>
        <w:keepNext w:val="0"/>
        <w:keepLines w:val="0"/>
        <w:numPr>
          <w:ilvl w:val="4"/>
          <w:numId w:val="25"/>
        </w:numPr>
        <w:spacing w:before="0" w:after="0" w:line="360" w:lineRule="auto"/>
        <w:ind w:left="420" w:leftChars="200"/>
        <w:rPr>
          <w:rFonts w:hint="eastAsia" w:ascii="宋体" w:hAnsi="宋体" w:cs="宋体"/>
          <w:color w:val="auto"/>
          <w:sz w:val="21"/>
          <w:szCs w:val="21"/>
          <w:highlight w:val="none"/>
        </w:rPr>
      </w:pPr>
      <w:r>
        <w:rPr>
          <w:rFonts w:hint="eastAsia" w:ascii="宋体" w:hAnsi="宋体" w:cs="宋体"/>
          <w:color w:val="auto"/>
          <w:sz w:val="21"/>
          <w:szCs w:val="21"/>
          <w:highlight w:val="none"/>
        </w:rPr>
        <w:t>2.2在商务及技术评审时，如发现下列情形之一的，将被视为投标无效：</w:t>
      </w:r>
    </w:p>
    <w:p w14:paraId="6F42861C">
      <w:pPr>
        <w:numPr>
          <w:ilvl w:val="0"/>
          <w:numId w:val="26"/>
        </w:numPr>
        <w:snapToGrid w:val="0"/>
        <w:spacing w:line="36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投标文件未按招标文件要求签署、盖章的；</w:t>
      </w:r>
    </w:p>
    <w:p w14:paraId="2C341C99">
      <w:pPr>
        <w:numPr>
          <w:ilvl w:val="0"/>
          <w:numId w:val="26"/>
        </w:numPr>
        <w:snapToGrid w:val="0"/>
        <w:spacing w:line="36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 xml:space="preserve">委托代理人未能出具有效身份证或者出具的身份证与授权委托书中的信息不符的； </w:t>
      </w:r>
    </w:p>
    <w:p w14:paraId="5667AD0D">
      <w:pPr>
        <w:numPr>
          <w:ilvl w:val="0"/>
          <w:numId w:val="26"/>
        </w:numPr>
        <w:snapToGrid w:val="0"/>
        <w:spacing w:line="36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为无效投标保证金的或者未按照招标文件的规定提交投标保证金的；</w:t>
      </w:r>
    </w:p>
    <w:p w14:paraId="54392FBA">
      <w:pPr>
        <w:numPr>
          <w:ilvl w:val="0"/>
          <w:numId w:val="26"/>
        </w:numPr>
        <w:snapToGrid w:val="0"/>
        <w:spacing w:line="36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投标文件未提供“投标人须知前附表”第13条“商务及技术文件”规定中“必须提供”或者“委托时必须提供”的文件资料的；</w:t>
      </w:r>
    </w:p>
    <w:p w14:paraId="1138CF9E">
      <w:pPr>
        <w:numPr>
          <w:ilvl w:val="0"/>
          <w:numId w:val="26"/>
        </w:numPr>
        <w:snapToGrid w:val="0"/>
        <w:spacing w:line="36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商务要求评审允许负偏离的条款数超过“投标人须知前附表”规定项数的；</w:t>
      </w:r>
    </w:p>
    <w:p w14:paraId="197FD0A7">
      <w:pPr>
        <w:numPr>
          <w:ilvl w:val="0"/>
          <w:numId w:val="26"/>
        </w:numPr>
        <w:snapToGrid w:val="0"/>
        <w:spacing w:line="36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投标文件的实质性内容未使用中文表述、使用计量单位不符合招标文件要求的；</w:t>
      </w:r>
    </w:p>
    <w:p w14:paraId="137749BF">
      <w:pPr>
        <w:numPr>
          <w:ilvl w:val="0"/>
          <w:numId w:val="26"/>
        </w:numPr>
        <w:snapToGrid w:val="0"/>
        <w:spacing w:line="36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投标文件中的文件资料因填写不齐全或者内容虚假或者出现其他情形而导致被评标委员会认定无效的；</w:t>
      </w:r>
    </w:p>
    <w:p w14:paraId="7F45C626">
      <w:pPr>
        <w:numPr>
          <w:ilvl w:val="0"/>
          <w:numId w:val="26"/>
        </w:numPr>
        <w:snapToGrid w:val="0"/>
        <w:spacing w:line="36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投标文件含有采购人不能接受的附加条件的；</w:t>
      </w:r>
    </w:p>
    <w:p w14:paraId="2051FEAD">
      <w:pPr>
        <w:numPr>
          <w:ilvl w:val="0"/>
          <w:numId w:val="26"/>
        </w:numPr>
        <w:snapToGrid w:val="0"/>
        <w:spacing w:line="36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属于投标人须知正文第9.2条情形的；</w:t>
      </w:r>
    </w:p>
    <w:p w14:paraId="72FDD8B2">
      <w:pPr>
        <w:numPr>
          <w:ilvl w:val="0"/>
          <w:numId w:val="26"/>
        </w:numPr>
        <w:snapToGrid w:val="0"/>
        <w:spacing w:line="36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投标文件标注的项目名称或者项目编号与招标文件标注的项目名称或者项目编号不一致的；</w:t>
      </w:r>
    </w:p>
    <w:p w14:paraId="4D44C039">
      <w:pPr>
        <w:numPr>
          <w:ilvl w:val="0"/>
          <w:numId w:val="26"/>
        </w:numPr>
        <w:snapToGrid w:val="0"/>
        <w:spacing w:line="36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投标文件中承诺的投标有效期低于招标文件要求的期限的；</w:t>
      </w:r>
    </w:p>
    <w:p w14:paraId="07237D15">
      <w:pPr>
        <w:numPr>
          <w:ilvl w:val="0"/>
          <w:numId w:val="26"/>
        </w:numPr>
        <w:snapToGrid w:val="0"/>
        <w:spacing w:line="36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虚假投标，或者出现其他情形而导致被评标委员会认定无效的；</w:t>
      </w:r>
    </w:p>
    <w:p w14:paraId="3010179D">
      <w:pPr>
        <w:numPr>
          <w:ilvl w:val="0"/>
          <w:numId w:val="26"/>
        </w:numPr>
        <w:snapToGrid w:val="0"/>
        <w:spacing w:line="36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招标文件未载明允许提供备选（替代）投标方案或明确不允许提供备选（替代）投标方案时，投标人提供了备选（替代）投标方案的；</w:t>
      </w:r>
    </w:p>
    <w:p w14:paraId="41A98D57">
      <w:pPr>
        <w:numPr>
          <w:ilvl w:val="0"/>
          <w:numId w:val="26"/>
        </w:numPr>
        <w:snapToGrid w:val="0"/>
        <w:spacing w:line="36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未响应招标文件实质性要求的。</w:t>
      </w:r>
    </w:p>
    <w:p w14:paraId="4F7C8B68">
      <w:pPr>
        <w:pStyle w:val="25"/>
        <w:snapToGrid w:val="0"/>
        <w:spacing w:line="360" w:lineRule="auto"/>
        <w:ind w:firstLine="413" w:firstLineChars="196"/>
        <w:rPr>
          <w:rFonts w:hint="eastAsia" w:ascii="宋体" w:hAnsi="宋体" w:eastAsia="宋体" w:cs="宋体"/>
          <w:b/>
          <w:color w:val="auto"/>
          <w:kern w:val="2"/>
          <w:sz w:val="21"/>
          <w:szCs w:val="21"/>
          <w:highlight w:val="none"/>
        </w:rPr>
      </w:pPr>
      <w:r>
        <w:rPr>
          <w:rFonts w:hint="eastAsia" w:ascii="宋体" w:hAnsi="宋体" w:eastAsia="宋体" w:cs="宋体"/>
          <w:b/>
          <w:color w:val="auto"/>
          <w:kern w:val="2"/>
          <w:sz w:val="21"/>
          <w:szCs w:val="21"/>
          <w:highlight w:val="none"/>
        </w:rPr>
        <w:t>（15）法律、法规和招标文件规定的其他无效情形。</w:t>
      </w:r>
    </w:p>
    <w:p w14:paraId="051DF2D7">
      <w:pPr>
        <w:pStyle w:val="6"/>
        <w:keepNext w:val="0"/>
        <w:keepLines w:val="0"/>
        <w:spacing w:before="0" w:after="0" w:line="360" w:lineRule="auto"/>
        <w:ind w:left="420" w:leftChars="200"/>
        <w:rPr>
          <w:rFonts w:hint="eastAsia" w:ascii="宋体" w:hAnsi="宋体" w:cs="宋体"/>
          <w:color w:val="auto"/>
          <w:sz w:val="21"/>
          <w:szCs w:val="21"/>
          <w:highlight w:val="none"/>
        </w:rPr>
      </w:pPr>
      <w:r>
        <w:rPr>
          <w:rFonts w:hint="eastAsia" w:ascii="宋体" w:hAnsi="宋体" w:cs="宋体"/>
          <w:color w:val="auto"/>
          <w:sz w:val="21"/>
          <w:szCs w:val="21"/>
          <w:highlight w:val="none"/>
        </w:rPr>
        <w:t>3.澄清补正</w:t>
      </w:r>
    </w:p>
    <w:p w14:paraId="17FE4DC2">
      <w:pPr>
        <w:spacing w:line="360" w:lineRule="auto"/>
        <w:ind w:firstLine="420" w:firstLineChars="200"/>
        <w:rPr>
          <w:rFonts w:hint="eastAsia" w:ascii="宋体" w:hAnsi="宋体" w:cs="宋体"/>
          <w:b/>
          <w:color w:val="auto"/>
          <w:szCs w:val="21"/>
          <w:highlight w:val="none"/>
        </w:rPr>
      </w:pPr>
      <w:r>
        <w:rPr>
          <w:rFonts w:hint="eastAsia" w:ascii="宋体" w:hAnsi="宋体" w:cs="宋体"/>
          <w:color w:val="auto"/>
          <w:szCs w:val="21"/>
          <w:highlight w:val="none"/>
        </w:rPr>
        <w:t>对投标文件中含义不明确、同类问题表述不一致或者有明显文字和计算错误的内容，评标委员会应在“广西政府采购云平台”发布电子澄清函，要求投标人在规定时间内作出必要的澄清、说明或者补正。投标人在“广西政府采购云平台”接收到电子澄清函后根据澄清函内容上传PDF格式回函，电子澄清答复函使用CA证书加盖投标人电子签章后在线上传至评标委员会。投标人的澄清、说明或者补正不得超出投标文件的范围或者改变投标文件的实质性内容。</w:t>
      </w:r>
    </w:p>
    <w:p w14:paraId="3147E440">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异常情况处理：如遇无法正常使用线上发送澄清函的情况，将启动书面形式办理。启动书面形式办理的情况下，评标委员会以书面形式要求投标人在规定时间内作出必要的澄清、说明或者补正。投标人的澄清、说明或者补正必须采用书面形式，并加盖公章，或者由法定代表人或者其授权的代表签字。</w:t>
      </w:r>
    </w:p>
    <w:p w14:paraId="2DE14EF8">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未按评标委员会的要求作出明确澄清、说明或者更正的投标人的投标文件将按照有利于采购人的原则由评标委员会进行判定。</w:t>
      </w:r>
    </w:p>
    <w:p w14:paraId="798AF9C8">
      <w:pPr>
        <w:pStyle w:val="6"/>
        <w:keepNext w:val="0"/>
        <w:keepLines w:val="0"/>
        <w:spacing w:before="0" w:after="0" w:line="360" w:lineRule="auto"/>
        <w:ind w:left="420" w:leftChars="200"/>
        <w:rPr>
          <w:rFonts w:hint="eastAsia" w:ascii="宋体" w:hAnsi="宋体" w:cs="宋体"/>
          <w:color w:val="auto"/>
          <w:sz w:val="21"/>
          <w:szCs w:val="21"/>
          <w:highlight w:val="none"/>
        </w:rPr>
      </w:pPr>
      <w:r>
        <w:rPr>
          <w:rFonts w:hint="eastAsia" w:ascii="宋体" w:hAnsi="宋体" w:cs="宋体"/>
          <w:color w:val="auto"/>
          <w:sz w:val="21"/>
          <w:szCs w:val="21"/>
          <w:highlight w:val="none"/>
        </w:rPr>
        <w:t>4.投标文件修正</w:t>
      </w:r>
    </w:p>
    <w:p w14:paraId="1183DAE9">
      <w:pPr>
        <w:pStyle w:val="6"/>
        <w:keepNext w:val="0"/>
        <w:keepLines w:val="0"/>
        <w:spacing w:before="0" w:after="0" w:line="360" w:lineRule="auto"/>
        <w:ind w:left="420" w:leftChars="200"/>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 xml:space="preserve">4.1投标文件报价出现前后不一致的，按照下列规定修正： </w:t>
      </w:r>
    </w:p>
    <w:p w14:paraId="22C4A16F">
      <w:pPr>
        <w:pStyle w:val="32"/>
        <w:ind w:firstLine="424" w:firstLineChars="202"/>
        <w:rPr>
          <w:rFonts w:hint="eastAsia" w:hAnsi="宋体" w:cs="宋体"/>
          <w:color w:val="auto"/>
          <w:w w:val="100"/>
          <w:highlight w:val="none"/>
        </w:rPr>
      </w:pPr>
      <w:r>
        <w:rPr>
          <w:rFonts w:hint="eastAsia" w:hAnsi="宋体" w:cs="宋体"/>
          <w:color w:val="auto"/>
          <w:w w:val="100"/>
          <w:highlight w:val="none"/>
        </w:rPr>
        <w:t>（1）投标文件中开标一览表（报价表）内容与投标文件中相应内容不一致的，以开标一览表（报价表）为准；</w:t>
      </w:r>
    </w:p>
    <w:p w14:paraId="528AAEA3">
      <w:pPr>
        <w:pStyle w:val="32"/>
        <w:ind w:firstLine="424" w:firstLineChars="202"/>
        <w:rPr>
          <w:rFonts w:hint="eastAsia" w:hAnsi="宋体" w:cs="宋体"/>
          <w:color w:val="auto"/>
          <w:w w:val="100"/>
          <w:highlight w:val="none"/>
        </w:rPr>
      </w:pPr>
      <w:r>
        <w:rPr>
          <w:rFonts w:hint="eastAsia" w:hAnsi="宋体" w:cs="宋体"/>
          <w:color w:val="auto"/>
          <w:w w:val="100"/>
          <w:highlight w:val="none"/>
        </w:rPr>
        <w:t>（2）大写金额和小写金额不一致的，以大写金额为准；</w:t>
      </w:r>
    </w:p>
    <w:p w14:paraId="6E4E1CC6">
      <w:pPr>
        <w:pStyle w:val="32"/>
        <w:ind w:firstLine="424" w:firstLineChars="202"/>
        <w:rPr>
          <w:rFonts w:hint="eastAsia" w:hAnsi="宋体" w:cs="宋体"/>
          <w:color w:val="auto"/>
          <w:w w:val="100"/>
          <w:highlight w:val="none"/>
        </w:rPr>
      </w:pPr>
      <w:r>
        <w:rPr>
          <w:rFonts w:hint="eastAsia" w:hAnsi="宋体" w:cs="宋体"/>
          <w:color w:val="auto"/>
          <w:w w:val="100"/>
          <w:highlight w:val="none"/>
        </w:rPr>
        <w:t>（3）单价金额小数点或者百分比有明显错位的，以开标一览表的总价为准，并修改单价；</w:t>
      </w:r>
    </w:p>
    <w:p w14:paraId="68F5AA18">
      <w:pPr>
        <w:pStyle w:val="32"/>
        <w:ind w:firstLine="424" w:firstLineChars="202"/>
        <w:rPr>
          <w:rFonts w:hint="eastAsia" w:hAnsi="宋体" w:cs="宋体"/>
          <w:color w:val="auto"/>
          <w:w w:val="100"/>
          <w:highlight w:val="none"/>
        </w:rPr>
      </w:pPr>
      <w:r>
        <w:rPr>
          <w:rFonts w:hint="eastAsia" w:hAnsi="宋体" w:cs="宋体"/>
          <w:color w:val="auto"/>
          <w:w w:val="100"/>
          <w:highlight w:val="none"/>
        </w:rPr>
        <w:t>（4）总价金额与按单价汇总金额不一致的，以单价金额计算结果为准。</w:t>
      </w:r>
    </w:p>
    <w:p w14:paraId="3F6B57F4">
      <w:pPr>
        <w:pStyle w:val="32"/>
        <w:ind w:firstLine="424" w:firstLineChars="202"/>
        <w:rPr>
          <w:rFonts w:hint="eastAsia" w:hAnsi="宋体" w:cs="宋体"/>
          <w:color w:val="auto"/>
          <w:w w:val="100"/>
          <w:highlight w:val="none"/>
        </w:rPr>
      </w:pPr>
      <w:r>
        <w:rPr>
          <w:rFonts w:hint="eastAsia" w:hAnsi="宋体" w:cs="宋体"/>
          <w:color w:val="auto"/>
          <w:w w:val="100"/>
          <w:highlight w:val="none"/>
        </w:rPr>
        <w:t>同时出现两种以上不一致的，按照以上（1）-（4）规定的顺序修正。修正后的报价经投标人确认后产生约束力，投标人不确认的，</w:t>
      </w:r>
      <w:r>
        <w:rPr>
          <w:rFonts w:hint="eastAsia" w:hAnsi="宋体" w:cs="宋体"/>
          <w:b/>
          <w:color w:val="auto"/>
          <w:w w:val="100"/>
          <w:kern w:val="2"/>
          <w:highlight w:val="none"/>
        </w:rPr>
        <w:t>其投标无效</w:t>
      </w:r>
      <w:r>
        <w:rPr>
          <w:rFonts w:hint="eastAsia" w:hAnsi="宋体" w:cs="宋体"/>
          <w:color w:val="auto"/>
          <w:w w:val="100"/>
          <w:highlight w:val="none"/>
        </w:rPr>
        <w:t>。</w:t>
      </w:r>
    </w:p>
    <w:p w14:paraId="635D7E13">
      <w:pPr>
        <w:pStyle w:val="6"/>
        <w:keepNext w:val="0"/>
        <w:keepLines w:val="0"/>
        <w:spacing w:before="0" w:after="0" w:line="360" w:lineRule="auto"/>
        <w:rPr>
          <w:rFonts w:hint="eastAsia" w:ascii="宋体" w:hAnsi="宋体" w:cs="宋体"/>
          <w:b w:val="0"/>
          <w:color w:val="auto"/>
          <w:sz w:val="21"/>
          <w:szCs w:val="21"/>
          <w:highlight w:val="none"/>
        </w:rPr>
      </w:pPr>
      <w:r>
        <w:rPr>
          <w:rFonts w:hint="eastAsia" w:ascii="宋体" w:hAnsi="宋体" w:cs="宋体"/>
          <w:b w:val="0"/>
          <w:color w:val="auto"/>
          <w:sz w:val="21"/>
          <w:szCs w:val="21"/>
          <w:highlight w:val="none"/>
        </w:rPr>
        <w:t xml:space="preserve">    4.2经投标人确认修正后的报价若超过采购预算金额或者最高限价，</w:t>
      </w:r>
      <w:r>
        <w:rPr>
          <w:rFonts w:hint="eastAsia" w:ascii="宋体" w:hAnsi="宋体" w:cs="宋体"/>
          <w:color w:val="auto"/>
          <w:sz w:val="21"/>
          <w:szCs w:val="21"/>
          <w:highlight w:val="none"/>
        </w:rPr>
        <w:t>投标人的投标文件作无效投标处理</w:t>
      </w:r>
      <w:r>
        <w:rPr>
          <w:rFonts w:hint="eastAsia" w:ascii="宋体" w:hAnsi="宋体" w:cs="宋体"/>
          <w:b w:val="0"/>
          <w:color w:val="auto"/>
          <w:sz w:val="21"/>
          <w:szCs w:val="21"/>
          <w:highlight w:val="none"/>
        </w:rPr>
        <w:t>。</w:t>
      </w:r>
    </w:p>
    <w:p w14:paraId="32B711F0">
      <w:pPr>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4.3经投标人确认修正后的报价作为签订合同的依据，并以此报价计算价格分。</w:t>
      </w:r>
    </w:p>
    <w:p w14:paraId="68A97E15">
      <w:pPr>
        <w:pStyle w:val="6"/>
        <w:keepNext w:val="0"/>
        <w:keepLines w:val="0"/>
        <w:spacing w:before="0" w:after="0" w:line="360" w:lineRule="auto"/>
        <w:ind w:left="420" w:leftChars="200"/>
        <w:rPr>
          <w:rFonts w:hint="eastAsia" w:ascii="宋体" w:hAnsi="宋体" w:cs="宋体"/>
          <w:color w:val="auto"/>
          <w:sz w:val="21"/>
          <w:szCs w:val="21"/>
          <w:highlight w:val="none"/>
        </w:rPr>
      </w:pPr>
      <w:r>
        <w:rPr>
          <w:rFonts w:hint="eastAsia" w:ascii="宋体" w:hAnsi="宋体" w:cs="宋体"/>
          <w:color w:val="auto"/>
          <w:sz w:val="21"/>
          <w:szCs w:val="21"/>
          <w:highlight w:val="none"/>
        </w:rPr>
        <w:t>5.比较与评价</w:t>
      </w:r>
    </w:p>
    <w:p w14:paraId="767BE3BF">
      <w:pPr>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5.1采用综合评分法的</w:t>
      </w:r>
    </w:p>
    <w:p w14:paraId="2E21AD96">
      <w:pPr>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（1）评标委员会按照招标文件中规定的评标方法及评标标准，对符合性审查合格的投标文件进行商务和技术评估，综合比较与评价。</w:t>
      </w:r>
    </w:p>
    <w:p w14:paraId="27B9E103">
      <w:pPr>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（2）评标委员会独立对每个投标人的投标文件进行评价，并汇总每个投标人的得分。</w:t>
      </w:r>
    </w:p>
    <w:p w14:paraId="4012A17D">
      <w:pPr>
        <w:snapToGrid w:val="0"/>
        <w:spacing w:line="360" w:lineRule="auto"/>
        <w:ind w:firstLine="420" w:firstLineChars="200"/>
        <w:rPr>
          <w:rFonts w:hint="eastAsia" w:ascii="宋体" w:hAnsi="宋体" w:cs="宋体"/>
          <w:b/>
          <w:color w:val="auto"/>
          <w:szCs w:val="21"/>
          <w:highlight w:val="none"/>
        </w:rPr>
      </w:pPr>
      <w:r>
        <w:rPr>
          <w:rFonts w:hint="eastAsia" w:ascii="宋体" w:hAnsi="宋体" w:cs="宋体"/>
          <w:color w:val="auto"/>
          <w:szCs w:val="21"/>
          <w:highlight w:val="none"/>
        </w:rPr>
        <w:t>评标委员会认为投标人的报价明显低于其他通过符合性审查投标人的报价，有可能影响产品质量或者不能诚信履约的，应当要求其在评标现场合理的时间内提供书面说明，必要时提交相关证明材料；</w:t>
      </w:r>
      <w:r>
        <w:rPr>
          <w:rFonts w:hint="eastAsia" w:ascii="宋体" w:hAnsi="宋体" w:cs="宋体"/>
          <w:b/>
          <w:color w:val="auto"/>
          <w:szCs w:val="21"/>
          <w:highlight w:val="none"/>
        </w:rPr>
        <w:t>投标人不能证明其报价合理性的，评标委员会将其作为无效投标处理。</w:t>
      </w:r>
    </w:p>
    <w:p w14:paraId="669AC867">
      <w:pPr>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（3）评标委员会按照招标文件中规定的评标方法和标准计算各投标人的报价得分。在计算过程中，不得去掉最高报价或者最低报价。</w:t>
      </w:r>
    </w:p>
    <w:p w14:paraId="3C22B6C3">
      <w:pPr>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（4）各投标人的得分为所有评委的有效评分的算术平均数。</w:t>
      </w:r>
    </w:p>
    <w:p w14:paraId="6EEA9376">
      <w:pPr>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（5）评标委员会按照招标文件中的规定推荐中标候选人。</w:t>
      </w:r>
    </w:p>
    <w:p w14:paraId="732AEA6E">
      <w:pPr>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6）起草并签署评标报告。评标委员会根据评标委员会成员签字的原始评标记录和评标结果编写评标报告。评标委员会成员均应当在评标报告上签字，对自己的评标意见承担法律责任。对评标过程中需要共同认定的事项存在争议的，应当按照少数服从多数的原则做出结论。持不同意见的评标委员会成员应当在评标报告上签署不同意见及理由，否则视为同意评标报告。</w:t>
      </w:r>
    </w:p>
    <w:p w14:paraId="77D1B601">
      <w:pPr>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5.2采用</w:t>
      </w:r>
      <w:r>
        <w:rPr>
          <w:rFonts w:hint="eastAsia" w:ascii="宋体" w:hAnsi="宋体" w:cs="宋体"/>
          <w:color w:val="auto"/>
          <w:highlight w:val="none"/>
        </w:rPr>
        <w:t>最低评标价法</w:t>
      </w:r>
      <w:r>
        <w:rPr>
          <w:rFonts w:hint="eastAsia" w:ascii="宋体" w:hAnsi="宋体" w:cs="宋体"/>
          <w:color w:val="auto"/>
          <w:szCs w:val="21"/>
          <w:highlight w:val="none"/>
        </w:rPr>
        <w:t>的</w:t>
      </w:r>
    </w:p>
    <w:p w14:paraId="21B1A31A">
      <w:pPr>
        <w:snapToGrid w:val="0"/>
        <w:spacing w:line="360" w:lineRule="auto"/>
        <w:ind w:firstLine="424" w:firstLineChars="202"/>
        <w:jc w:val="left"/>
        <w:rPr>
          <w:rFonts w:hint="eastAsia" w:ascii="宋体" w:hAnsi="宋体" w:cs="宋体"/>
          <w:color w:val="auto"/>
          <w:szCs w:val="21"/>
          <w:highlight w:val="none"/>
        </w:rPr>
      </w:pPr>
      <w:r>
        <w:rPr>
          <w:rFonts w:hint="eastAsia" w:ascii="宋体" w:hAnsi="宋体" w:cs="宋体"/>
          <w:color w:val="auto"/>
          <w:szCs w:val="21"/>
          <w:highlight w:val="none"/>
        </w:rPr>
        <w:t>（1）评标委员会按照招标文件中规定的评标方法及评标标准，对符合性审查合格的投标文件报价进行比较。</w:t>
      </w:r>
    </w:p>
    <w:p w14:paraId="39DA1882">
      <w:pPr>
        <w:snapToGrid w:val="0"/>
        <w:spacing w:line="360" w:lineRule="auto"/>
        <w:ind w:firstLine="424" w:firstLineChars="202"/>
        <w:jc w:val="left"/>
        <w:rPr>
          <w:rFonts w:hint="eastAsia" w:ascii="宋体" w:hAnsi="宋体" w:cs="宋体"/>
          <w:b/>
          <w:color w:val="auto"/>
          <w:szCs w:val="21"/>
          <w:highlight w:val="none"/>
        </w:rPr>
      </w:pPr>
      <w:r>
        <w:rPr>
          <w:rFonts w:hint="eastAsia" w:ascii="宋体" w:hAnsi="宋体" w:cs="宋体"/>
          <w:color w:val="auto"/>
          <w:szCs w:val="21"/>
          <w:highlight w:val="none"/>
        </w:rPr>
        <w:t>（2）评标委员会认为投标人的报价明显低于其他通过符合性审查投标人的报价，有可能影响产品质量或者不能诚信履约的，应当要求其在评标现场合理的时间内提供书面说明，必要时提交相关证明材料；</w:t>
      </w:r>
      <w:r>
        <w:rPr>
          <w:rFonts w:hint="eastAsia" w:ascii="宋体" w:hAnsi="宋体" w:cs="宋体"/>
          <w:b/>
          <w:color w:val="auto"/>
          <w:szCs w:val="21"/>
          <w:highlight w:val="none"/>
        </w:rPr>
        <w:t>投标人不能证明其报价合理性的，评标委员会将其作为无效投标处理。</w:t>
      </w:r>
    </w:p>
    <w:p w14:paraId="3AAA3F7B">
      <w:pPr>
        <w:snapToGrid w:val="0"/>
        <w:spacing w:line="360" w:lineRule="auto"/>
        <w:ind w:firstLine="424" w:firstLineChars="202"/>
        <w:jc w:val="left"/>
        <w:rPr>
          <w:rFonts w:hint="eastAsia" w:ascii="宋体" w:hAnsi="宋体" w:cs="宋体"/>
          <w:color w:val="auto"/>
          <w:szCs w:val="21"/>
          <w:highlight w:val="none"/>
        </w:rPr>
      </w:pPr>
      <w:r>
        <w:rPr>
          <w:rFonts w:hint="eastAsia" w:ascii="宋体" w:hAnsi="宋体" w:cs="宋体"/>
          <w:color w:val="auto"/>
          <w:szCs w:val="21"/>
          <w:highlight w:val="none"/>
        </w:rPr>
        <w:t>（3）评标委员会按照招标文件中的规定推荐中标候选人。</w:t>
      </w:r>
    </w:p>
    <w:p w14:paraId="29A2F713">
      <w:pPr>
        <w:snapToGrid w:val="0"/>
        <w:spacing w:line="360" w:lineRule="auto"/>
        <w:ind w:firstLine="424" w:firstLineChars="202"/>
        <w:jc w:val="left"/>
        <w:rPr>
          <w:rFonts w:hint="eastAsia" w:ascii="宋体" w:hAnsi="宋体" w:cs="宋体"/>
          <w:color w:val="auto"/>
          <w:szCs w:val="21"/>
          <w:highlight w:val="none"/>
        </w:rPr>
      </w:pPr>
      <w:r>
        <w:rPr>
          <w:rFonts w:hint="eastAsia" w:ascii="宋体" w:hAnsi="宋体" w:cs="宋体"/>
          <w:color w:val="auto"/>
          <w:szCs w:val="21"/>
          <w:highlight w:val="none"/>
        </w:rPr>
        <w:t>（4）起草并签署评标报告。评标委员会根据评标委员会成员签字的原始评标记录和评标结果编写评标报告。评标委员会成员均应当在评标报告上签字，对自己的评标意见承担法律责任。对评标过程中需要共同认定的事项存在争议的，应当按照少数服从多数的原则做出结论。持不同意见的评标委员会成员应当在评标报告上签署不同意见及理由，否则视为同意评标报告。</w:t>
      </w:r>
    </w:p>
    <w:p w14:paraId="3F1434C2">
      <w:pPr>
        <w:snapToGrid w:val="0"/>
        <w:spacing w:line="360" w:lineRule="auto"/>
        <w:ind w:firstLine="424" w:firstLineChars="202"/>
        <w:jc w:val="center"/>
        <w:rPr>
          <w:rFonts w:hint="eastAsia" w:ascii="宋体" w:hAnsi="宋体" w:cs="宋体"/>
          <w:color w:val="auto"/>
          <w:szCs w:val="21"/>
          <w:highlight w:val="none"/>
        </w:rPr>
      </w:pPr>
    </w:p>
    <w:p w14:paraId="2106DDAB">
      <w:pPr>
        <w:pStyle w:val="32"/>
        <w:spacing w:line="560" w:lineRule="exact"/>
        <w:jc w:val="center"/>
        <w:rPr>
          <w:rFonts w:hint="eastAsia" w:hAnsi="宋体" w:cs="宋体"/>
          <w:b/>
          <w:color w:val="auto"/>
          <w:sz w:val="32"/>
          <w:szCs w:val="32"/>
          <w:highlight w:val="none"/>
        </w:rPr>
      </w:pPr>
      <w:r>
        <w:rPr>
          <w:rFonts w:hint="eastAsia" w:hAnsi="宋体" w:cs="宋体"/>
          <w:color w:val="auto"/>
          <w:highlight w:val="none"/>
        </w:rPr>
        <w:br w:type="page"/>
      </w:r>
      <w:bookmarkStart w:id="133" w:name="_Hlk71707917"/>
      <w:r>
        <w:rPr>
          <w:rFonts w:hint="eastAsia" w:hAnsi="宋体" w:cs="宋体"/>
          <w:b/>
          <w:bCs/>
          <w:color w:val="auto"/>
          <w:kern w:val="2"/>
          <w:sz w:val="32"/>
          <w:szCs w:val="32"/>
          <w:highlight w:val="none"/>
        </w:rPr>
        <w:t>三、</w:t>
      </w:r>
      <w:r>
        <w:rPr>
          <w:rFonts w:hint="eastAsia" w:hAnsi="宋体" w:cs="宋体"/>
          <w:b/>
          <w:color w:val="auto"/>
          <w:sz w:val="32"/>
          <w:szCs w:val="32"/>
          <w:highlight w:val="none"/>
        </w:rPr>
        <w:t>评标方法及评分标准（适用于所有分标）</w:t>
      </w:r>
    </w:p>
    <w:tbl>
      <w:tblPr>
        <w:tblStyle w:val="62"/>
        <w:tblW w:w="97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3"/>
        <w:gridCol w:w="1515"/>
        <w:gridCol w:w="2180"/>
        <w:gridCol w:w="5387"/>
      </w:tblGrid>
      <w:tr w14:paraId="1A939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2148" w:type="dxa"/>
            <w:gridSpan w:val="2"/>
            <w:tcBorders>
              <w:top w:val="single" w:color="auto" w:sz="4" w:space="0"/>
              <w:left w:val="single" w:color="auto" w:sz="4" w:space="0"/>
              <w:bottom w:val="single" w:color="auto" w:sz="4" w:space="0"/>
              <w:right w:val="single" w:color="auto" w:sz="4" w:space="0"/>
            </w:tcBorders>
            <w:vAlign w:val="center"/>
          </w:tcPr>
          <w:p w14:paraId="644CA7A3">
            <w:pPr>
              <w:adjustRightInd w:val="0"/>
              <w:spacing w:line="360" w:lineRule="auto"/>
              <w:jc w:val="center"/>
              <w:textAlignment w:val="baseline"/>
              <w:rPr>
                <w:rFonts w:hint="eastAsia" w:ascii="宋体" w:hAnsi="宋体" w:cs="宋体"/>
                <w:b/>
                <w:color w:val="auto"/>
                <w:szCs w:val="21"/>
                <w:highlight w:val="none"/>
              </w:rPr>
            </w:pPr>
            <w:r>
              <w:rPr>
                <w:rFonts w:hint="eastAsia" w:ascii="宋体" w:hAnsi="宋体" w:cs="宋体"/>
                <w:b/>
                <w:color w:val="auto"/>
                <w:szCs w:val="21"/>
                <w:highlight w:val="none"/>
              </w:rPr>
              <w:t>序号</w:t>
            </w:r>
          </w:p>
        </w:tc>
        <w:tc>
          <w:tcPr>
            <w:tcW w:w="2180" w:type="dxa"/>
            <w:tcBorders>
              <w:top w:val="single" w:color="auto" w:sz="4" w:space="0"/>
              <w:left w:val="single" w:color="auto" w:sz="4" w:space="0"/>
              <w:bottom w:val="single" w:color="auto" w:sz="4" w:space="0"/>
              <w:right w:val="single" w:color="auto" w:sz="4" w:space="0"/>
            </w:tcBorders>
            <w:vAlign w:val="center"/>
          </w:tcPr>
          <w:p w14:paraId="4DF48702">
            <w:pPr>
              <w:adjustRightInd w:val="0"/>
              <w:spacing w:line="360" w:lineRule="auto"/>
              <w:jc w:val="center"/>
              <w:textAlignment w:val="baseline"/>
              <w:rPr>
                <w:rFonts w:hint="eastAsia" w:ascii="宋体" w:hAnsi="宋体" w:cs="宋体"/>
                <w:b/>
                <w:color w:val="auto"/>
                <w:szCs w:val="21"/>
                <w:highlight w:val="none"/>
              </w:rPr>
            </w:pPr>
            <w:r>
              <w:rPr>
                <w:rFonts w:hint="eastAsia" w:ascii="宋体" w:hAnsi="宋体" w:cs="宋体"/>
                <w:b/>
                <w:color w:val="auto"/>
                <w:szCs w:val="21"/>
                <w:highlight w:val="none"/>
              </w:rPr>
              <w:t>评分类型</w:t>
            </w:r>
          </w:p>
        </w:tc>
        <w:tc>
          <w:tcPr>
            <w:tcW w:w="5387" w:type="dxa"/>
            <w:tcBorders>
              <w:top w:val="single" w:color="auto" w:sz="4" w:space="0"/>
              <w:left w:val="single" w:color="auto" w:sz="4" w:space="0"/>
              <w:bottom w:val="single" w:color="auto" w:sz="4" w:space="0"/>
              <w:right w:val="single" w:color="auto" w:sz="4" w:space="0"/>
            </w:tcBorders>
            <w:vAlign w:val="center"/>
          </w:tcPr>
          <w:p w14:paraId="0C93E3D4">
            <w:pPr>
              <w:adjustRightInd w:val="0"/>
              <w:spacing w:line="360" w:lineRule="auto"/>
              <w:jc w:val="center"/>
              <w:textAlignment w:val="baseline"/>
              <w:rPr>
                <w:rFonts w:hint="eastAsia" w:ascii="宋体" w:hAnsi="宋体" w:cs="宋体"/>
                <w:b/>
                <w:color w:val="auto"/>
                <w:szCs w:val="21"/>
                <w:highlight w:val="none"/>
              </w:rPr>
            </w:pPr>
            <w:r>
              <w:rPr>
                <w:rFonts w:hint="eastAsia" w:ascii="宋体" w:hAnsi="宋体" w:cs="宋体"/>
                <w:b/>
                <w:color w:val="auto"/>
                <w:szCs w:val="21"/>
                <w:highlight w:val="none"/>
              </w:rPr>
              <w:t>评分标准</w:t>
            </w:r>
          </w:p>
        </w:tc>
      </w:tr>
      <w:tr w14:paraId="50AB3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3" w:type="dxa"/>
            <w:tcBorders>
              <w:top w:val="single" w:color="auto" w:sz="4" w:space="0"/>
              <w:left w:val="single" w:color="auto" w:sz="4" w:space="0"/>
              <w:bottom w:val="single" w:color="auto" w:sz="4" w:space="0"/>
              <w:right w:val="single" w:color="auto" w:sz="4" w:space="0"/>
            </w:tcBorders>
            <w:vAlign w:val="center"/>
          </w:tcPr>
          <w:p w14:paraId="34ED45E9">
            <w:pPr>
              <w:snapToGrid w:val="0"/>
              <w:spacing w:line="360" w:lineRule="auto"/>
              <w:ind w:firstLine="214" w:firstLineChars="100"/>
              <w:rPr>
                <w:rFonts w:hint="eastAsia" w:ascii="宋体" w:hAnsi="宋体" w:cs="宋体"/>
                <w:color w:val="auto"/>
                <w:spacing w:val="2"/>
                <w:szCs w:val="21"/>
                <w:highlight w:val="none"/>
              </w:rPr>
            </w:pPr>
            <w:r>
              <w:rPr>
                <w:rFonts w:hint="eastAsia" w:ascii="宋体" w:hAnsi="宋体" w:cs="宋体"/>
                <w:color w:val="auto"/>
                <w:spacing w:val="2"/>
                <w:szCs w:val="21"/>
                <w:highlight w:val="none"/>
              </w:rPr>
              <w:t>1</w:t>
            </w:r>
          </w:p>
        </w:tc>
        <w:tc>
          <w:tcPr>
            <w:tcW w:w="1515" w:type="dxa"/>
            <w:tcBorders>
              <w:top w:val="single" w:color="auto" w:sz="4" w:space="0"/>
              <w:left w:val="single" w:color="auto" w:sz="4" w:space="0"/>
              <w:bottom w:val="single" w:color="auto" w:sz="4" w:space="0"/>
              <w:right w:val="single" w:color="auto" w:sz="4" w:space="0"/>
            </w:tcBorders>
            <w:vAlign w:val="center"/>
          </w:tcPr>
          <w:p w14:paraId="4D2F3AB6">
            <w:pPr>
              <w:snapToGrid w:val="0"/>
              <w:spacing w:line="360" w:lineRule="auto"/>
              <w:rPr>
                <w:rFonts w:hint="eastAsia" w:ascii="宋体" w:hAnsi="宋体" w:cs="宋体"/>
                <w:color w:val="auto"/>
                <w:spacing w:val="2"/>
                <w:szCs w:val="21"/>
                <w:highlight w:val="none"/>
              </w:rPr>
            </w:pPr>
            <w:r>
              <w:rPr>
                <w:rFonts w:hint="eastAsia" w:ascii="宋体" w:hAnsi="宋体" w:cs="宋体"/>
                <w:color w:val="auto"/>
                <w:spacing w:val="2"/>
                <w:szCs w:val="21"/>
                <w:highlight w:val="none"/>
              </w:rPr>
              <w:t>价格分（满分10分）</w:t>
            </w:r>
          </w:p>
          <w:p w14:paraId="730B67E4">
            <w:pPr>
              <w:snapToGrid w:val="0"/>
              <w:spacing w:line="360" w:lineRule="auto"/>
              <w:ind w:firstLine="428" w:firstLineChars="200"/>
              <w:rPr>
                <w:rFonts w:hint="eastAsia" w:ascii="宋体" w:hAnsi="宋体" w:cs="宋体"/>
                <w:color w:val="auto"/>
                <w:spacing w:val="2"/>
                <w:szCs w:val="21"/>
                <w:highlight w:val="none"/>
              </w:rPr>
            </w:pPr>
          </w:p>
        </w:tc>
        <w:tc>
          <w:tcPr>
            <w:tcW w:w="2180" w:type="dxa"/>
            <w:tcBorders>
              <w:top w:val="single" w:color="auto" w:sz="4" w:space="0"/>
              <w:left w:val="single" w:color="auto" w:sz="4" w:space="0"/>
              <w:bottom w:val="single" w:color="auto" w:sz="4" w:space="0"/>
              <w:right w:val="single" w:color="auto" w:sz="4" w:space="0"/>
            </w:tcBorders>
            <w:vAlign w:val="center"/>
          </w:tcPr>
          <w:p w14:paraId="275FDDD3">
            <w:pPr>
              <w:snapToGrid w:val="0"/>
              <w:spacing w:line="360" w:lineRule="auto"/>
              <w:rPr>
                <w:rFonts w:hint="eastAsia" w:ascii="宋体" w:hAnsi="宋体" w:cs="宋体"/>
                <w:color w:val="auto"/>
                <w:spacing w:val="2"/>
                <w:szCs w:val="21"/>
                <w:highlight w:val="none"/>
              </w:rPr>
            </w:pPr>
            <w:r>
              <w:rPr>
                <w:rFonts w:hint="eastAsia" w:ascii="宋体" w:hAnsi="宋体" w:cs="宋体"/>
                <w:color w:val="auto"/>
                <w:spacing w:val="2"/>
                <w:szCs w:val="21"/>
                <w:highlight w:val="none"/>
              </w:rPr>
              <w:t>投标报价（满分10分）</w:t>
            </w:r>
          </w:p>
        </w:tc>
        <w:tc>
          <w:tcPr>
            <w:tcW w:w="5387" w:type="dxa"/>
            <w:tcBorders>
              <w:top w:val="single" w:color="auto" w:sz="4" w:space="0"/>
              <w:left w:val="single" w:color="auto" w:sz="4" w:space="0"/>
              <w:bottom w:val="single" w:color="auto" w:sz="4" w:space="0"/>
              <w:right w:val="single" w:color="auto" w:sz="4" w:space="0"/>
            </w:tcBorders>
            <w:vAlign w:val="center"/>
          </w:tcPr>
          <w:p w14:paraId="13F87BE7">
            <w:pPr>
              <w:snapToGrid w:val="0"/>
              <w:spacing w:line="360" w:lineRule="auto"/>
              <w:ind w:firstLine="428" w:firstLineChars="200"/>
              <w:rPr>
                <w:rFonts w:hint="eastAsia" w:ascii="宋体" w:hAnsi="宋体" w:cs="宋体"/>
                <w:color w:val="auto"/>
                <w:spacing w:val="2"/>
                <w:szCs w:val="21"/>
                <w:highlight w:val="none"/>
              </w:rPr>
            </w:pPr>
            <w:r>
              <w:rPr>
                <w:rFonts w:hint="eastAsia" w:ascii="宋体" w:hAnsi="宋体" w:cs="宋体"/>
                <w:color w:val="auto"/>
                <w:spacing w:val="2"/>
                <w:szCs w:val="21"/>
                <w:highlight w:val="none"/>
              </w:rPr>
              <w:t>（1）评标报价为供应商的投标报价进行政策性扣除后的价格，评标报价只是作为评标时使用。最终中标供应商的中标金额等于投标报价。</w:t>
            </w:r>
          </w:p>
          <w:p w14:paraId="2FF5730F">
            <w:pPr>
              <w:snapToGrid w:val="0"/>
              <w:spacing w:line="360" w:lineRule="auto"/>
              <w:ind w:firstLine="428" w:firstLineChars="200"/>
              <w:rPr>
                <w:rFonts w:hint="eastAsia" w:ascii="宋体" w:hAnsi="宋体" w:cs="宋体"/>
                <w:color w:val="auto"/>
                <w:spacing w:val="2"/>
                <w:szCs w:val="21"/>
                <w:highlight w:val="none"/>
              </w:rPr>
            </w:pPr>
            <w:r>
              <w:rPr>
                <w:rFonts w:hint="eastAsia" w:ascii="宋体" w:hAnsi="宋体" w:cs="宋体"/>
                <w:color w:val="auto"/>
                <w:spacing w:val="2"/>
                <w:szCs w:val="21"/>
                <w:highlight w:val="none"/>
              </w:rPr>
              <w:t>（2）按照《政府采购促进中小企业发展管理办法》（财库〔2020〕46号）、财政部《关于进一步加大政府采购支持中小企业力度的通知》（财库〔2022〕19号）的规定，供应商在其投标文件中提供《中小企业声明函》，且其服务为小型和微型企业承接的，对其最后报价给予10%的扣除。</w:t>
            </w:r>
          </w:p>
          <w:p w14:paraId="48E95BFA">
            <w:pPr>
              <w:snapToGrid w:val="0"/>
              <w:spacing w:line="360" w:lineRule="auto"/>
              <w:ind w:firstLine="428" w:firstLineChars="200"/>
              <w:rPr>
                <w:rFonts w:hint="eastAsia" w:ascii="宋体" w:hAnsi="宋体" w:cs="宋体"/>
                <w:color w:val="auto"/>
                <w:spacing w:val="2"/>
                <w:szCs w:val="21"/>
                <w:highlight w:val="none"/>
              </w:rPr>
            </w:pPr>
            <w:r>
              <w:rPr>
                <w:rFonts w:hint="eastAsia" w:ascii="宋体" w:hAnsi="宋体" w:cs="宋体"/>
                <w:color w:val="auto"/>
                <w:spacing w:val="2"/>
                <w:szCs w:val="21"/>
                <w:highlight w:val="none"/>
              </w:rPr>
              <w:t>（3）按照《财政部、司法部关于政府采购支持监狱企业发展有关问题的通知》（财库〔2014〕68号）的规定，监狱企业视同小型、微型企业，享受预留份额、评审中价格扣除等促进中小企业发展的政府采购政策。监狱企业参加政府采购活动时，应当提供由省级以上监狱管理局、戒毒管理局(含新疆生产建设兵团)出具的属于监狱企业的证明文件。不重复享受政策。</w:t>
            </w:r>
          </w:p>
          <w:p w14:paraId="658F67FD">
            <w:pPr>
              <w:snapToGrid w:val="0"/>
              <w:spacing w:line="360" w:lineRule="auto"/>
              <w:ind w:firstLine="428" w:firstLineChars="200"/>
              <w:rPr>
                <w:rFonts w:hint="eastAsia" w:ascii="宋体" w:hAnsi="宋体" w:cs="宋体"/>
                <w:color w:val="auto"/>
                <w:spacing w:val="2"/>
                <w:szCs w:val="21"/>
                <w:highlight w:val="none"/>
              </w:rPr>
            </w:pPr>
            <w:r>
              <w:rPr>
                <w:rFonts w:hint="eastAsia" w:ascii="宋体" w:hAnsi="宋体" w:cs="宋体"/>
                <w:color w:val="auto"/>
                <w:spacing w:val="2"/>
                <w:szCs w:val="21"/>
                <w:highlight w:val="none"/>
              </w:rPr>
              <w:t>（4）按照《关于促进残疾人就业政府采购政策的通知》（财库〔2017〕141号）的规定，残疾人福利性单位视同小型、微型企业，享受预留份额、评审中价格扣除等促进中小企业发展的政府采购政策。残疾人福利性单位参加政府采购活动时，应当提供该通知规定的《残疾人福利性单位声明函》，并对声明的真实性负责。残疾人福利性单位属于小型、微型企业的，不重复享受政策。</w:t>
            </w:r>
          </w:p>
          <w:p w14:paraId="45844DC6">
            <w:pPr>
              <w:snapToGrid w:val="0"/>
              <w:spacing w:line="360" w:lineRule="auto"/>
              <w:ind w:firstLine="428" w:firstLineChars="200"/>
              <w:rPr>
                <w:rFonts w:hint="eastAsia" w:ascii="宋体" w:hAnsi="宋体" w:cs="宋体"/>
                <w:color w:val="auto"/>
                <w:spacing w:val="2"/>
                <w:szCs w:val="21"/>
                <w:highlight w:val="none"/>
              </w:rPr>
            </w:pPr>
            <w:r>
              <w:rPr>
                <w:rFonts w:hint="eastAsia" w:ascii="宋体" w:hAnsi="宋体" w:cs="宋体"/>
                <w:color w:val="auto"/>
                <w:spacing w:val="2"/>
                <w:szCs w:val="21"/>
                <w:highlight w:val="none"/>
              </w:rPr>
              <w:t>（5）政策性扣除计算方法。</w:t>
            </w:r>
          </w:p>
          <w:p w14:paraId="05C0880C">
            <w:pPr>
              <w:snapToGrid w:val="0"/>
              <w:spacing w:line="360" w:lineRule="auto"/>
              <w:ind w:firstLine="428" w:firstLineChars="200"/>
              <w:rPr>
                <w:rFonts w:hint="eastAsia" w:ascii="宋体" w:hAnsi="宋体" w:cs="宋体"/>
                <w:color w:val="auto"/>
                <w:spacing w:val="2"/>
                <w:szCs w:val="21"/>
                <w:highlight w:val="none"/>
              </w:rPr>
            </w:pPr>
            <w:r>
              <w:rPr>
                <w:rFonts w:hint="eastAsia" w:ascii="宋体" w:hAnsi="宋体" w:cs="宋体"/>
                <w:color w:val="auto"/>
                <w:spacing w:val="2"/>
                <w:szCs w:val="21"/>
                <w:highlight w:val="none"/>
              </w:rPr>
              <w:t>在服务采购项目中，服务由小微企业承接；对符合上述要求的供应商的投标报价给予10%的扣除，扣除后的价格为评标报价，即评标报价=投标报价×（1-10%）。接受大中型企业与小微企业组成联合体或者允许大中型企业向一家或者多家小微企业分包的采购项目，联合协议或者分包意向协议约定小微企业的合同份额占到合同总金额30%以上的，采购人、采购代理机构应当对联合体或者大中型企业的报价给予6% （范围为4%-6%）的扣除，用扣除后的价格参加评审，扣除后的价格为评标报价，即评标报价=投标报价×（1-6%）。除上述情况外，评标报价=投标报价。</w:t>
            </w:r>
          </w:p>
          <w:p w14:paraId="7407377D">
            <w:pPr>
              <w:snapToGrid w:val="0"/>
              <w:spacing w:line="360" w:lineRule="auto"/>
              <w:ind w:firstLine="428" w:firstLineChars="200"/>
              <w:rPr>
                <w:rFonts w:hint="eastAsia" w:ascii="宋体" w:hAnsi="宋体" w:cs="宋体"/>
                <w:color w:val="auto"/>
                <w:spacing w:val="2"/>
                <w:szCs w:val="21"/>
                <w:highlight w:val="none"/>
              </w:rPr>
            </w:pPr>
            <w:r>
              <w:rPr>
                <w:rFonts w:hint="eastAsia" w:ascii="宋体" w:hAnsi="宋体" w:cs="宋体"/>
                <w:color w:val="auto"/>
                <w:spacing w:val="2"/>
                <w:szCs w:val="21"/>
                <w:highlight w:val="none"/>
              </w:rPr>
              <w:t>（6）满足招标文件要求且评标报价最低的评标报价为评标基准价，其价格分为满分。</w:t>
            </w:r>
          </w:p>
          <w:p w14:paraId="5B1396DE">
            <w:pPr>
              <w:snapToGrid w:val="0"/>
              <w:spacing w:line="360" w:lineRule="auto"/>
              <w:ind w:firstLine="428" w:firstLineChars="200"/>
              <w:rPr>
                <w:rFonts w:hint="eastAsia" w:ascii="宋体" w:hAnsi="宋体" w:cs="宋体"/>
                <w:color w:val="auto"/>
                <w:spacing w:val="2"/>
                <w:szCs w:val="21"/>
                <w:highlight w:val="none"/>
              </w:rPr>
            </w:pPr>
            <w:r>
              <w:rPr>
                <w:rFonts w:hint="eastAsia" w:ascii="宋体" w:hAnsi="宋体" w:cs="宋体"/>
                <w:color w:val="auto"/>
                <w:spacing w:val="2"/>
                <w:szCs w:val="21"/>
                <w:highlight w:val="none"/>
              </w:rPr>
              <w:t>（7）价格分计算公式：</w:t>
            </w:r>
          </w:p>
          <w:p w14:paraId="4CD81739">
            <w:pPr>
              <w:widowControl/>
              <w:snapToGrid w:val="0"/>
              <w:spacing w:line="360" w:lineRule="auto"/>
              <w:ind w:firstLine="428" w:firstLineChars="200"/>
              <w:rPr>
                <w:rFonts w:hint="eastAsia" w:ascii="宋体" w:hAnsi="宋体" w:cs="宋体"/>
                <w:color w:val="auto"/>
                <w:spacing w:val="2"/>
                <w:szCs w:val="21"/>
                <w:highlight w:val="none"/>
              </w:rPr>
            </w:pPr>
            <w:r>
              <w:rPr>
                <w:rFonts w:hint="eastAsia" w:ascii="宋体" w:hAnsi="宋体" w:cs="宋体"/>
                <w:color w:val="auto"/>
                <w:spacing w:val="2"/>
                <w:szCs w:val="21"/>
                <w:highlight w:val="none"/>
              </w:rPr>
              <w:t>价格分=(评标基准价／评标报价)×10分</w:t>
            </w:r>
          </w:p>
        </w:tc>
      </w:tr>
      <w:tr w14:paraId="56550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4" w:hRule="atLeast"/>
          <w:jc w:val="center"/>
        </w:trPr>
        <w:tc>
          <w:tcPr>
            <w:tcW w:w="633" w:type="dxa"/>
            <w:vMerge w:val="restart"/>
            <w:tcBorders>
              <w:top w:val="single" w:color="auto" w:sz="4" w:space="0"/>
              <w:left w:val="single" w:color="auto" w:sz="4" w:space="0"/>
              <w:right w:val="single" w:color="auto" w:sz="4" w:space="0"/>
            </w:tcBorders>
            <w:vAlign w:val="center"/>
          </w:tcPr>
          <w:p w14:paraId="38108B74">
            <w:pPr>
              <w:snapToGrid w:val="0"/>
              <w:spacing w:line="360" w:lineRule="auto"/>
              <w:ind w:firstLine="214" w:firstLineChars="100"/>
              <w:rPr>
                <w:rFonts w:hint="eastAsia" w:ascii="宋体" w:hAnsi="宋体" w:cs="宋体"/>
                <w:color w:val="auto"/>
                <w:spacing w:val="2"/>
                <w:szCs w:val="21"/>
                <w:highlight w:val="none"/>
              </w:rPr>
            </w:pPr>
            <w:r>
              <w:rPr>
                <w:rFonts w:hint="eastAsia" w:ascii="宋体" w:hAnsi="宋体" w:cs="宋体"/>
                <w:color w:val="auto"/>
                <w:spacing w:val="2"/>
                <w:szCs w:val="21"/>
                <w:highlight w:val="none"/>
              </w:rPr>
              <w:t>2</w:t>
            </w:r>
          </w:p>
        </w:tc>
        <w:tc>
          <w:tcPr>
            <w:tcW w:w="1515" w:type="dxa"/>
            <w:vMerge w:val="restart"/>
            <w:tcBorders>
              <w:top w:val="single" w:color="auto" w:sz="4" w:space="0"/>
              <w:left w:val="single" w:color="auto" w:sz="4" w:space="0"/>
              <w:right w:val="single" w:color="auto" w:sz="4" w:space="0"/>
            </w:tcBorders>
            <w:vAlign w:val="center"/>
          </w:tcPr>
          <w:p w14:paraId="62F0B8B8">
            <w:pPr>
              <w:snapToGrid w:val="0"/>
              <w:spacing w:line="360" w:lineRule="auto"/>
              <w:rPr>
                <w:rFonts w:hint="eastAsia" w:ascii="宋体" w:hAnsi="宋体" w:cs="宋体"/>
                <w:color w:val="auto"/>
                <w:spacing w:val="2"/>
                <w:szCs w:val="21"/>
                <w:highlight w:val="none"/>
              </w:rPr>
            </w:pPr>
            <w:r>
              <w:rPr>
                <w:rFonts w:hint="eastAsia" w:ascii="宋体" w:hAnsi="宋体" w:cs="宋体"/>
                <w:color w:val="auto"/>
                <w:spacing w:val="2"/>
                <w:szCs w:val="21"/>
                <w:highlight w:val="none"/>
              </w:rPr>
              <w:t>技术分（满分7</w:t>
            </w:r>
            <w:r>
              <w:rPr>
                <w:rFonts w:hint="eastAsia" w:ascii="宋体" w:hAnsi="宋体" w:cs="宋体"/>
                <w:color w:val="auto"/>
                <w:spacing w:val="2"/>
                <w:szCs w:val="21"/>
                <w:highlight w:val="none"/>
                <w:lang w:val="en-US" w:eastAsia="zh-CN"/>
              </w:rPr>
              <w:t>7</w:t>
            </w:r>
            <w:r>
              <w:rPr>
                <w:rFonts w:hint="eastAsia" w:ascii="宋体" w:hAnsi="宋体" w:cs="宋体"/>
                <w:color w:val="auto"/>
                <w:spacing w:val="2"/>
                <w:szCs w:val="21"/>
                <w:highlight w:val="none"/>
              </w:rPr>
              <w:t>分）</w:t>
            </w:r>
          </w:p>
          <w:p w14:paraId="3E699401">
            <w:pPr>
              <w:snapToGrid w:val="0"/>
              <w:spacing w:line="360" w:lineRule="auto"/>
              <w:ind w:firstLine="428" w:firstLineChars="200"/>
              <w:rPr>
                <w:rFonts w:hint="eastAsia" w:ascii="宋体" w:hAnsi="宋体" w:cs="宋体"/>
                <w:color w:val="auto"/>
                <w:spacing w:val="2"/>
                <w:szCs w:val="21"/>
                <w:highlight w:val="none"/>
              </w:rPr>
            </w:pPr>
          </w:p>
        </w:tc>
        <w:tc>
          <w:tcPr>
            <w:tcW w:w="2180" w:type="dxa"/>
            <w:tcBorders>
              <w:top w:val="single" w:color="auto" w:sz="4" w:space="0"/>
              <w:left w:val="single" w:color="auto" w:sz="4" w:space="0"/>
              <w:right w:val="single" w:color="auto" w:sz="4" w:space="0"/>
            </w:tcBorders>
          </w:tcPr>
          <w:p w14:paraId="38DA047C">
            <w:pPr>
              <w:snapToGrid w:val="0"/>
              <w:spacing w:line="360" w:lineRule="auto"/>
              <w:ind w:firstLine="428" w:firstLineChars="200"/>
              <w:rPr>
                <w:rFonts w:hint="eastAsia" w:ascii="宋体" w:hAnsi="宋体" w:cs="宋体"/>
                <w:color w:val="auto"/>
                <w:spacing w:val="2"/>
                <w:szCs w:val="21"/>
                <w:highlight w:val="none"/>
              </w:rPr>
            </w:pPr>
          </w:p>
          <w:p w14:paraId="0C5CD882">
            <w:pPr>
              <w:snapToGrid w:val="0"/>
              <w:spacing w:line="360" w:lineRule="auto"/>
              <w:rPr>
                <w:rFonts w:hint="eastAsia" w:ascii="宋体" w:hAnsi="宋体" w:cs="宋体"/>
                <w:color w:val="auto"/>
                <w:spacing w:val="2"/>
                <w:szCs w:val="21"/>
                <w:highlight w:val="none"/>
              </w:rPr>
            </w:pPr>
            <w:r>
              <w:rPr>
                <w:rFonts w:hint="eastAsia" w:ascii="宋体" w:hAnsi="宋体" w:cs="宋体"/>
                <w:color w:val="auto"/>
                <w:spacing w:val="2"/>
                <w:szCs w:val="21"/>
                <w:highlight w:val="none"/>
              </w:rPr>
              <w:t>技术条款响应（满分5分）</w:t>
            </w:r>
          </w:p>
        </w:tc>
        <w:tc>
          <w:tcPr>
            <w:tcW w:w="5387" w:type="dxa"/>
            <w:tcBorders>
              <w:top w:val="single" w:color="auto" w:sz="4" w:space="0"/>
              <w:left w:val="single" w:color="auto" w:sz="4" w:space="0"/>
              <w:bottom w:val="single" w:color="auto" w:sz="4" w:space="0"/>
              <w:right w:val="single" w:color="auto" w:sz="4" w:space="0"/>
            </w:tcBorders>
          </w:tcPr>
          <w:p w14:paraId="387AC9BC">
            <w:pPr>
              <w:snapToGrid w:val="0"/>
              <w:spacing w:line="360" w:lineRule="auto"/>
              <w:ind w:firstLine="420" w:firstLineChars="200"/>
              <w:jc w:val="left"/>
              <w:rPr>
                <w:rFonts w:hint="eastAsia" w:ascii="宋体" w:hAnsi="宋体" w:cs="宋体"/>
                <w:bCs/>
                <w:color w:val="auto"/>
                <w:szCs w:val="21"/>
                <w:highlight w:val="none"/>
              </w:rPr>
            </w:pPr>
            <w:r>
              <w:rPr>
                <w:rFonts w:hint="eastAsia" w:ascii="宋体" w:hAnsi="宋体" w:cs="宋体"/>
                <w:bCs/>
                <w:color w:val="auto"/>
                <w:szCs w:val="21"/>
                <w:highlight w:val="none"/>
              </w:rPr>
              <w:t>根据各投标人的投标文件进行评审，配置、技术、性能指标、证明材料等参照招标文件逐条进行评分。投标人应对招标文件中“采购需求”中要求的各项内容和技术参数要求进行逐项响应，完全满足或优于招标文件要求的得满分5分，其中不带“▲”每项负偏离扣1分，扣完为止。</w:t>
            </w:r>
          </w:p>
          <w:p w14:paraId="5D8449A1">
            <w:pPr>
              <w:pStyle w:val="19"/>
              <w:ind w:firstLine="420" w:firstLineChars="200"/>
              <w:rPr>
                <w:rFonts w:hint="eastAsia" w:ascii="宋体" w:hAnsi="宋体" w:cs="宋体"/>
                <w:color w:val="auto"/>
                <w:spacing w:val="2"/>
                <w:szCs w:val="21"/>
                <w:highlight w:val="none"/>
              </w:rPr>
            </w:pPr>
            <w:r>
              <w:rPr>
                <w:rFonts w:hint="eastAsia" w:ascii="宋体" w:hAnsi="宋体" w:cs="宋体"/>
                <w:bCs/>
                <w:color w:val="auto"/>
                <w:szCs w:val="21"/>
                <w:highlight w:val="none"/>
              </w:rPr>
              <w:t>注：不带“▲”负偏离超于5项的，视为无效响应。</w:t>
            </w:r>
          </w:p>
        </w:tc>
      </w:tr>
      <w:tr w14:paraId="308FC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3" w:type="dxa"/>
            <w:vMerge w:val="continue"/>
            <w:tcBorders>
              <w:left w:val="single" w:color="auto" w:sz="4" w:space="0"/>
              <w:right w:val="single" w:color="auto" w:sz="4" w:space="0"/>
            </w:tcBorders>
            <w:vAlign w:val="center"/>
          </w:tcPr>
          <w:p w14:paraId="01A32D46">
            <w:pPr>
              <w:widowControl/>
              <w:snapToGrid w:val="0"/>
              <w:spacing w:line="360" w:lineRule="auto"/>
              <w:ind w:firstLine="428" w:firstLineChars="200"/>
              <w:rPr>
                <w:rFonts w:hint="eastAsia" w:ascii="宋体" w:hAnsi="宋体" w:cs="宋体"/>
                <w:color w:val="auto"/>
                <w:spacing w:val="2"/>
                <w:szCs w:val="21"/>
                <w:highlight w:val="none"/>
              </w:rPr>
            </w:pPr>
          </w:p>
        </w:tc>
        <w:tc>
          <w:tcPr>
            <w:tcW w:w="1515" w:type="dxa"/>
            <w:vMerge w:val="continue"/>
            <w:tcBorders>
              <w:left w:val="single" w:color="auto" w:sz="4" w:space="0"/>
              <w:right w:val="single" w:color="auto" w:sz="4" w:space="0"/>
            </w:tcBorders>
            <w:vAlign w:val="center"/>
          </w:tcPr>
          <w:p w14:paraId="24C742FB">
            <w:pPr>
              <w:snapToGrid w:val="0"/>
              <w:spacing w:line="360" w:lineRule="auto"/>
              <w:ind w:firstLine="428" w:firstLineChars="200"/>
              <w:rPr>
                <w:rFonts w:hint="eastAsia" w:ascii="宋体" w:hAnsi="宋体" w:cs="宋体"/>
                <w:color w:val="auto"/>
                <w:spacing w:val="2"/>
                <w:szCs w:val="21"/>
                <w:highlight w:val="none"/>
              </w:rPr>
            </w:pPr>
          </w:p>
        </w:tc>
        <w:tc>
          <w:tcPr>
            <w:tcW w:w="2180"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tcPr>
          <w:p w14:paraId="480E0350">
            <w:pPr>
              <w:snapToGrid w:val="0"/>
              <w:spacing w:line="360" w:lineRule="auto"/>
              <w:ind w:firstLine="428" w:firstLineChars="200"/>
              <w:rPr>
                <w:rFonts w:hint="eastAsia" w:ascii="宋体" w:hAnsi="宋体" w:cs="宋体"/>
                <w:color w:val="auto"/>
                <w:spacing w:val="2"/>
                <w:szCs w:val="21"/>
                <w:highlight w:val="none"/>
              </w:rPr>
            </w:pPr>
          </w:p>
          <w:p w14:paraId="19E98382">
            <w:pPr>
              <w:snapToGrid w:val="0"/>
              <w:spacing w:line="360" w:lineRule="auto"/>
              <w:rPr>
                <w:rFonts w:hint="eastAsia" w:ascii="宋体" w:hAnsi="宋体" w:cs="宋体"/>
                <w:color w:val="auto"/>
                <w:spacing w:val="2"/>
                <w:szCs w:val="21"/>
                <w:highlight w:val="none"/>
              </w:rPr>
            </w:pPr>
            <w:r>
              <w:rPr>
                <w:rFonts w:hint="eastAsia" w:ascii="宋体" w:hAnsi="宋体" w:cs="宋体"/>
                <w:color w:val="auto"/>
                <w:spacing w:val="2"/>
                <w:szCs w:val="21"/>
                <w:highlight w:val="none"/>
              </w:rPr>
              <w:t>产品性能分（满分10分）</w:t>
            </w:r>
          </w:p>
        </w:tc>
        <w:tc>
          <w:tcPr>
            <w:tcW w:w="5387" w:type="dxa"/>
            <w:tcBorders>
              <w:top w:val="single" w:color="auto" w:sz="4" w:space="0"/>
              <w:left w:val="single" w:color="auto" w:sz="4" w:space="0"/>
              <w:bottom w:val="single" w:color="auto" w:sz="4" w:space="0"/>
              <w:right w:val="single" w:color="auto" w:sz="4" w:space="0"/>
            </w:tcBorders>
          </w:tcPr>
          <w:p w14:paraId="217DE525">
            <w:pPr>
              <w:snapToGrid w:val="0"/>
              <w:spacing w:line="360" w:lineRule="auto"/>
              <w:ind w:firstLine="428" w:firstLineChars="200"/>
              <w:rPr>
                <w:rFonts w:hint="eastAsia" w:ascii="宋体" w:hAnsi="宋体" w:cs="宋体"/>
                <w:color w:val="auto"/>
                <w:spacing w:val="2"/>
                <w:szCs w:val="21"/>
                <w:highlight w:val="none"/>
              </w:rPr>
            </w:pPr>
            <w:r>
              <w:rPr>
                <w:rFonts w:hint="eastAsia" w:ascii="宋体" w:hAnsi="宋体" w:cs="宋体"/>
                <w:color w:val="auto"/>
                <w:spacing w:val="2"/>
                <w:sz w:val="21"/>
                <w:szCs w:val="21"/>
                <w:highlight w:val="none"/>
                <w:lang w:val="en-US" w:eastAsia="zh-CN"/>
              </w:rPr>
              <w:t>1、所投产品具备省部级相关机构评价报告且结论为符合要求或合格等相应等级，报告中的样本类型需为</w:t>
            </w:r>
            <w:r>
              <w:rPr>
                <w:rFonts w:hint="eastAsia" w:ascii="宋体" w:hAnsi="宋体" w:eastAsia="宋体" w:cs="宋体"/>
                <w:color w:val="auto"/>
                <w:kern w:val="0"/>
                <w:sz w:val="21"/>
                <w:szCs w:val="21"/>
                <w:highlight w:val="none"/>
                <w:lang w:val="en-US" w:eastAsia="zh-CN"/>
              </w:rPr>
              <w:t>豇豆等</w:t>
            </w:r>
            <w:r>
              <w:rPr>
                <w:rFonts w:hint="eastAsia" w:ascii="宋体" w:hAnsi="宋体" w:cs="宋体"/>
                <w:color w:val="auto"/>
                <w:kern w:val="0"/>
                <w:sz w:val="21"/>
                <w:szCs w:val="21"/>
                <w:highlight w:val="none"/>
                <w:lang w:val="en-US" w:eastAsia="zh-CN"/>
              </w:rPr>
              <w:t>其他</w:t>
            </w:r>
            <w:r>
              <w:rPr>
                <w:rFonts w:hint="eastAsia" w:ascii="宋体" w:hAnsi="宋体" w:eastAsia="宋体" w:cs="宋体"/>
                <w:color w:val="auto"/>
                <w:kern w:val="0"/>
                <w:sz w:val="21"/>
                <w:szCs w:val="21"/>
                <w:highlight w:val="none"/>
                <w:lang w:val="en-US" w:eastAsia="zh-CN"/>
              </w:rPr>
              <w:t>农产品</w:t>
            </w:r>
            <w:r>
              <w:rPr>
                <w:rFonts w:hint="eastAsia" w:ascii="宋体" w:hAnsi="宋体" w:cs="宋体"/>
                <w:color w:val="auto"/>
                <w:spacing w:val="2"/>
                <w:sz w:val="21"/>
                <w:szCs w:val="21"/>
                <w:highlight w:val="none"/>
                <w:lang w:val="en-US" w:eastAsia="zh-CN"/>
              </w:rPr>
              <w:t>。10项产品全部具备报告的得5分；8-9项产品具备报告的得2分；少于8项不得分（本项满分5分，提供评价报告并加盖公章）</w:t>
            </w:r>
          </w:p>
          <w:p w14:paraId="37EB4D8D">
            <w:pPr>
              <w:snapToGrid w:val="0"/>
              <w:spacing w:line="360" w:lineRule="auto"/>
              <w:ind w:firstLine="428" w:firstLineChars="200"/>
              <w:rPr>
                <w:rFonts w:hint="eastAsia" w:ascii="宋体" w:hAnsi="宋体" w:cs="宋体"/>
                <w:color w:val="auto"/>
                <w:spacing w:val="2"/>
                <w:szCs w:val="21"/>
                <w:highlight w:val="none"/>
              </w:rPr>
            </w:pPr>
            <w:r>
              <w:rPr>
                <w:rFonts w:hint="eastAsia" w:ascii="宋体" w:hAnsi="宋体" w:cs="宋体"/>
                <w:color w:val="auto"/>
                <w:spacing w:val="2"/>
                <w:szCs w:val="21"/>
                <w:highlight w:val="none"/>
              </w:rPr>
              <w:t>2、根据采购需求的要求，每套试纸条（10种参数）仅用1种提取液前处理得5分，用2种得</w:t>
            </w:r>
            <w:r>
              <w:rPr>
                <w:rFonts w:hint="eastAsia" w:ascii="宋体" w:hAnsi="宋体" w:cs="宋体"/>
                <w:color w:val="auto"/>
                <w:spacing w:val="2"/>
                <w:szCs w:val="21"/>
                <w:highlight w:val="none"/>
                <w:lang w:val="en-US" w:eastAsia="zh-CN"/>
              </w:rPr>
              <w:t>3</w:t>
            </w:r>
            <w:r>
              <w:rPr>
                <w:rFonts w:hint="eastAsia" w:ascii="宋体" w:hAnsi="宋体" w:cs="宋体"/>
                <w:color w:val="auto"/>
                <w:spacing w:val="2"/>
                <w:szCs w:val="21"/>
                <w:highlight w:val="none"/>
              </w:rPr>
              <w:t>分。超过</w:t>
            </w:r>
            <w:r>
              <w:rPr>
                <w:rFonts w:hint="eastAsia" w:ascii="宋体" w:hAnsi="宋体" w:cs="宋体"/>
                <w:color w:val="auto"/>
                <w:spacing w:val="2"/>
                <w:szCs w:val="21"/>
                <w:highlight w:val="none"/>
                <w:lang w:val="en-US" w:eastAsia="zh-CN"/>
              </w:rPr>
              <w:t>3</w:t>
            </w:r>
            <w:r>
              <w:rPr>
                <w:rFonts w:hint="eastAsia" w:ascii="宋体" w:hAnsi="宋体" w:cs="宋体"/>
                <w:color w:val="auto"/>
                <w:spacing w:val="2"/>
                <w:szCs w:val="21"/>
                <w:highlight w:val="none"/>
              </w:rPr>
              <w:t>种的不得分（本项满分5分） 。</w:t>
            </w:r>
          </w:p>
          <w:p w14:paraId="79FE867B">
            <w:pPr>
              <w:snapToGrid w:val="0"/>
              <w:spacing w:line="360" w:lineRule="auto"/>
              <w:ind w:firstLine="428" w:firstLineChars="200"/>
              <w:rPr>
                <w:rFonts w:hint="eastAsia" w:ascii="宋体" w:hAnsi="宋体" w:cs="宋体"/>
                <w:color w:val="auto"/>
                <w:spacing w:val="2"/>
                <w:szCs w:val="21"/>
                <w:highlight w:val="none"/>
              </w:rPr>
            </w:pPr>
            <w:r>
              <w:rPr>
                <w:rFonts w:hint="eastAsia" w:ascii="宋体" w:hAnsi="宋体" w:cs="宋体"/>
                <w:color w:val="auto"/>
                <w:spacing w:val="2"/>
                <w:szCs w:val="21"/>
                <w:highlight w:val="none"/>
              </w:rPr>
              <w:t>（提供验证评价的官方结果证明文件扫描件（或评价报告扫描件）和汇总表（包括但不限于验证产品名称、验证药物残留参数、样品基质、限量标准、评价判定依据、评价验证结果、评价验证结论、评价验证年度等）并加盖投标人公章。）</w:t>
            </w:r>
          </w:p>
        </w:tc>
      </w:tr>
      <w:tr w14:paraId="53723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3" w:type="dxa"/>
            <w:vMerge w:val="continue"/>
            <w:tcBorders>
              <w:left w:val="single" w:color="auto" w:sz="4" w:space="0"/>
              <w:right w:val="single" w:color="auto" w:sz="4" w:space="0"/>
            </w:tcBorders>
            <w:vAlign w:val="center"/>
          </w:tcPr>
          <w:p w14:paraId="553D3C19">
            <w:pPr>
              <w:widowControl/>
              <w:snapToGrid w:val="0"/>
              <w:spacing w:line="360" w:lineRule="auto"/>
              <w:ind w:firstLine="428" w:firstLineChars="200"/>
              <w:rPr>
                <w:rFonts w:hint="eastAsia" w:ascii="宋体" w:hAnsi="宋体" w:cs="宋体"/>
                <w:color w:val="auto"/>
                <w:spacing w:val="2"/>
                <w:szCs w:val="21"/>
                <w:highlight w:val="none"/>
              </w:rPr>
            </w:pPr>
          </w:p>
        </w:tc>
        <w:tc>
          <w:tcPr>
            <w:tcW w:w="1515" w:type="dxa"/>
            <w:vMerge w:val="continue"/>
            <w:tcBorders>
              <w:left w:val="single" w:color="auto" w:sz="4" w:space="0"/>
              <w:right w:val="single" w:color="auto" w:sz="4" w:space="0"/>
            </w:tcBorders>
            <w:vAlign w:val="center"/>
          </w:tcPr>
          <w:p w14:paraId="005CB291">
            <w:pPr>
              <w:snapToGrid w:val="0"/>
              <w:spacing w:line="360" w:lineRule="auto"/>
              <w:ind w:firstLine="428" w:firstLineChars="200"/>
              <w:rPr>
                <w:rFonts w:hint="eastAsia" w:ascii="宋体" w:hAnsi="宋体" w:cs="宋体"/>
                <w:color w:val="auto"/>
                <w:spacing w:val="2"/>
                <w:szCs w:val="21"/>
                <w:highlight w:val="none"/>
              </w:rPr>
            </w:pPr>
          </w:p>
        </w:tc>
        <w:tc>
          <w:tcPr>
            <w:tcW w:w="2180"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tcPr>
          <w:p w14:paraId="61E6E299">
            <w:pPr>
              <w:snapToGrid w:val="0"/>
              <w:spacing w:line="360" w:lineRule="auto"/>
              <w:ind w:firstLine="428" w:firstLineChars="200"/>
              <w:rPr>
                <w:rFonts w:hint="eastAsia" w:ascii="宋体" w:hAnsi="宋体" w:cs="宋体"/>
                <w:color w:val="auto"/>
                <w:spacing w:val="2"/>
                <w:szCs w:val="21"/>
                <w:highlight w:val="none"/>
              </w:rPr>
            </w:pPr>
          </w:p>
          <w:p w14:paraId="5D482CAB">
            <w:pPr>
              <w:snapToGrid w:val="0"/>
              <w:spacing w:line="360" w:lineRule="auto"/>
              <w:ind w:firstLine="428" w:firstLineChars="200"/>
              <w:rPr>
                <w:rFonts w:hint="eastAsia" w:ascii="宋体" w:hAnsi="宋体" w:cs="宋体"/>
                <w:color w:val="auto"/>
                <w:spacing w:val="2"/>
                <w:szCs w:val="21"/>
                <w:highlight w:val="none"/>
              </w:rPr>
            </w:pPr>
          </w:p>
          <w:p w14:paraId="42ACB95B">
            <w:pPr>
              <w:snapToGrid w:val="0"/>
              <w:spacing w:line="360" w:lineRule="auto"/>
              <w:ind w:firstLine="428" w:firstLineChars="200"/>
              <w:rPr>
                <w:rFonts w:hint="eastAsia" w:ascii="宋体" w:hAnsi="宋体" w:cs="宋体"/>
                <w:color w:val="auto"/>
                <w:spacing w:val="2"/>
                <w:szCs w:val="21"/>
                <w:highlight w:val="none"/>
              </w:rPr>
            </w:pPr>
          </w:p>
          <w:p w14:paraId="59F47649">
            <w:pPr>
              <w:snapToGrid w:val="0"/>
              <w:spacing w:line="360" w:lineRule="auto"/>
              <w:rPr>
                <w:rFonts w:hint="eastAsia" w:ascii="宋体" w:hAnsi="宋体" w:cs="宋体"/>
                <w:color w:val="auto"/>
                <w:spacing w:val="2"/>
                <w:szCs w:val="21"/>
                <w:highlight w:val="none"/>
              </w:rPr>
            </w:pPr>
            <w:r>
              <w:rPr>
                <w:rFonts w:hint="eastAsia" w:ascii="宋体" w:hAnsi="宋体" w:cs="宋体"/>
                <w:color w:val="auto"/>
                <w:spacing w:val="2"/>
                <w:szCs w:val="21"/>
                <w:highlight w:val="none"/>
              </w:rPr>
              <w:t>项目实施方案（满分25分）</w:t>
            </w:r>
          </w:p>
        </w:tc>
        <w:tc>
          <w:tcPr>
            <w:tcW w:w="5387" w:type="dxa"/>
            <w:tcBorders>
              <w:top w:val="single" w:color="auto" w:sz="4" w:space="0"/>
              <w:left w:val="single" w:color="auto" w:sz="4" w:space="0"/>
              <w:bottom w:val="single" w:color="auto" w:sz="4" w:space="0"/>
              <w:right w:val="single" w:color="auto" w:sz="4" w:space="0"/>
            </w:tcBorders>
          </w:tcPr>
          <w:p w14:paraId="68FD2C40">
            <w:pPr>
              <w:snapToGrid w:val="0"/>
              <w:spacing w:line="360" w:lineRule="auto"/>
              <w:ind w:firstLine="428" w:firstLineChars="200"/>
              <w:rPr>
                <w:rFonts w:hint="eastAsia" w:ascii="宋体" w:hAnsi="宋体" w:cs="宋体"/>
                <w:color w:val="auto"/>
                <w:spacing w:val="2"/>
                <w:szCs w:val="21"/>
                <w:highlight w:val="none"/>
              </w:rPr>
            </w:pPr>
            <w:r>
              <w:rPr>
                <w:rFonts w:hint="eastAsia" w:ascii="宋体" w:hAnsi="宋体" w:cs="宋体"/>
                <w:color w:val="auto"/>
                <w:spacing w:val="2"/>
                <w:szCs w:val="21"/>
                <w:highlight w:val="none"/>
              </w:rPr>
              <w:t>一档（5 分）：实施方案较为简单的与实际情况有偏离的；</w:t>
            </w:r>
          </w:p>
          <w:p w14:paraId="43928445">
            <w:pPr>
              <w:snapToGrid w:val="0"/>
              <w:spacing w:line="360" w:lineRule="auto"/>
              <w:ind w:firstLine="428" w:firstLineChars="200"/>
              <w:rPr>
                <w:rFonts w:hint="eastAsia" w:ascii="宋体" w:hAnsi="宋体" w:cs="宋体"/>
                <w:color w:val="auto"/>
                <w:spacing w:val="2"/>
                <w:szCs w:val="21"/>
                <w:highlight w:val="none"/>
              </w:rPr>
            </w:pPr>
            <w:r>
              <w:rPr>
                <w:rFonts w:hint="eastAsia" w:ascii="宋体" w:hAnsi="宋体" w:cs="宋体"/>
                <w:color w:val="auto"/>
                <w:spacing w:val="2"/>
                <w:szCs w:val="21"/>
                <w:highlight w:val="none"/>
              </w:rPr>
              <w:t>二档（10 分）：基本能够理解本项目的特点，方案内容简单，可操作性不强或不符合本项目实际情况，提出了基本可行的技术实施方案；</w:t>
            </w:r>
          </w:p>
          <w:p w14:paraId="4980CE68">
            <w:pPr>
              <w:snapToGrid w:val="0"/>
              <w:spacing w:line="360" w:lineRule="auto"/>
              <w:ind w:firstLine="428" w:firstLineChars="200"/>
              <w:rPr>
                <w:rFonts w:hint="eastAsia" w:ascii="宋体" w:hAnsi="宋体" w:cs="宋体"/>
                <w:color w:val="auto"/>
                <w:spacing w:val="2"/>
                <w:szCs w:val="21"/>
                <w:highlight w:val="none"/>
              </w:rPr>
            </w:pPr>
            <w:r>
              <w:rPr>
                <w:rFonts w:hint="eastAsia" w:ascii="宋体" w:hAnsi="宋体" w:cs="宋体"/>
                <w:color w:val="auto"/>
                <w:spacing w:val="2"/>
                <w:szCs w:val="21"/>
                <w:highlight w:val="none"/>
              </w:rPr>
              <w:t>三档（15 分）：较准确理解本项目的特点，内容较为完整，可行，合理，可操作性较好，具有一定的针对性，能够把握本项目的技术重点和难点，并提出较完整可行的技术实施方案；</w:t>
            </w:r>
          </w:p>
          <w:p w14:paraId="3A1B12C2">
            <w:pPr>
              <w:snapToGrid w:val="0"/>
              <w:spacing w:line="360" w:lineRule="auto"/>
              <w:ind w:firstLine="428" w:firstLineChars="200"/>
              <w:rPr>
                <w:rFonts w:hint="eastAsia" w:ascii="宋体" w:hAnsi="宋体" w:cs="宋体"/>
                <w:color w:val="auto"/>
                <w:spacing w:val="2"/>
                <w:szCs w:val="21"/>
                <w:highlight w:val="none"/>
              </w:rPr>
            </w:pPr>
            <w:r>
              <w:rPr>
                <w:rFonts w:hint="eastAsia" w:ascii="宋体" w:hAnsi="宋体" w:cs="宋体"/>
                <w:color w:val="auto"/>
                <w:spacing w:val="2"/>
                <w:szCs w:val="21"/>
                <w:highlight w:val="none"/>
              </w:rPr>
              <w:t>四档（25 分）：准确理解本项目的特点，内容完整、针对性和可操作性强、科学合理，较好地把握本项目的技术重点和难点，并提出完整可行的技术实施方案，且方案全面、准确、科学合理。</w:t>
            </w:r>
          </w:p>
        </w:tc>
      </w:tr>
      <w:tr w14:paraId="0B887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633" w:type="dxa"/>
            <w:vMerge w:val="continue"/>
            <w:tcBorders>
              <w:left w:val="single" w:color="auto" w:sz="4" w:space="0"/>
              <w:right w:val="single" w:color="auto" w:sz="4" w:space="0"/>
            </w:tcBorders>
            <w:vAlign w:val="center"/>
          </w:tcPr>
          <w:p w14:paraId="6929835B">
            <w:pPr>
              <w:widowControl/>
              <w:snapToGrid w:val="0"/>
              <w:spacing w:line="360" w:lineRule="auto"/>
              <w:ind w:firstLine="428" w:firstLineChars="200"/>
              <w:rPr>
                <w:rFonts w:hint="eastAsia" w:ascii="宋体" w:hAnsi="宋体" w:cs="宋体"/>
                <w:color w:val="auto"/>
                <w:spacing w:val="2"/>
                <w:szCs w:val="21"/>
                <w:highlight w:val="none"/>
              </w:rPr>
            </w:pPr>
          </w:p>
        </w:tc>
        <w:tc>
          <w:tcPr>
            <w:tcW w:w="1515" w:type="dxa"/>
            <w:vMerge w:val="continue"/>
            <w:tcBorders>
              <w:left w:val="single" w:color="auto" w:sz="4" w:space="0"/>
              <w:right w:val="single" w:color="auto" w:sz="4" w:space="0"/>
            </w:tcBorders>
            <w:vAlign w:val="center"/>
          </w:tcPr>
          <w:p w14:paraId="4A5AA3AC">
            <w:pPr>
              <w:widowControl/>
              <w:snapToGrid w:val="0"/>
              <w:spacing w:line="360" w:lineRule="auto"/>
              <w:ind w:firstLine="428" w:firstLineChars="200"/>
              <w:rPr>
                <w:rFonts w:hint="eastAsia" w:ascii="宋体" w:hAnsi="宋体" w:cs="宋体"/>
                <w:color w:val="auto"/>
                <w:spacing w:val="2"/>
                <w:szCs w:val="21"/>
                <w:highlight w:val="none"/>
              </w:rPr>
            </w:pPr>
          </w:p>
        </w:tc>
        <w:tc>
          <w:tcPr>
            <w:tcW w:w="2180"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tcPr>
          <w:p w14:paraId="2C3B0AFE">
            <w:pPr>
              <w:snapToGrid w:val="0"/>
              <w:spacing w:line="360" w:lineRule="auto"/>
              <w:rPr>
                <w:rFonts w:hint="eastAsia" w:ascii="宋体" w:hAnsi="宋体" w:cs="宋体"/>
                <w:color w:val="auto"/>
                <w:spacing w:val="2"/>
                <w:szCs w:val="21"/>
                <w:highlight w:val="none"/>
              </w:rPr>
            </w:pPr>
          </w:p>
          <w:p w14:paraId="4E9BAC78">
            <w:pPr>
              <w:snapToGrid w:val="0"/>
              <w:spacing w:line="360" w:lineRule="auto"/>
              <w:rPr>
                <w:rFonts w:hint="eastAsia" w:ascii="宋体" w:hAnsi="宋体" w:cs="宋体"/>
                <w:color w:val="auto"/>
                <w:spacing w:val="2"/>
                <w:szCs w:val="21"/>
                <w:highlight w:val="none"/>
              </w:rPr>
            </w:pPr>
          </w:p>
          <w:p w14:paraId="616A1CF5">
            <w:pPr>
              <w:snapToGrid w:val="0"/>
              <w:spacing w:line="360" w:lineRule="auto"/>
              <w:rPr>
                <w:rFonts w:hint="eastAsia" w:ascii="宋体" w:hAnsi="宋体" w:cs="宋体"/>
                <w:color w:val="auto"/>
                <w:spacing w:val="2"/>
                <w:szCs w:val="21"/>
                <w:highlight w:val="none"/>
              </w:rPr>
            </w:pPr>
          </w:p>
          <w:p w14:paraId="038DA25C">
            <w:pPr>
              <w:snapToGrid w:val="0"/>
              <w:spacing w:line="360" w:lineRule="auto"/>
              <w:rPr>
                <w:rFonts w:hint="eastAsia" w:ascii="宋体" w:hAnsi="宋体" w:cs="宋体"/>
                <w:color w:val="auto"/>
                <w:spacing w:val="2"/>
                <w:szCs w:val="21"/>
                <w:highlight w:val="none"/>
              </w:rPr>
            </w:pPr>
            <w:r>
              <w:rPr>
                <w:rFonts w:hint="eastAsia" w:ascii="宋体" w:hAnsi="宋体" w:cs="宋体"/>
                <w:color w:val="auto"/>
                <w:spacing w:val="2"/>
                <w:szCs w:val="21"/>
                <w:highlight w:val="none"/>
              </w:rPr>
              <w:t>质量控制及应急能力分（满分</w:t>
            </w:r>
            <w:r>
              <w:rPr>
                <w:rFonts w:hint="eastAsia" w:ascii="宋体" w:hAnsi="宋体" w:cs="宋体"/>
                <w:color w:val="auto"/>
                <w:spacing w:val="2"/>
                <w:szCs w:val="21"/>
                <w:highlight w:val="none"/>
                <w:lang w:val="en-US" w:eastAsia="zh-CN"/>
              </w:rPr>
              <w:t>21</w:t>
            </w:r>
            <w:r>
              <w:rPr>
                <w:rFonts w:hint="eastAsia" w:ascii="宋体" w:hAnsi="宋体" w:cs="宋体"/>
                <w:color w:val="auto"/>
                <w:spacing w:val="2"/>
                <w:szCs w:val="21"/>
                <w:highlight w:val="none"/>
              </w:rPr>
              <w:t>分）</w:t>
            </w:r>
          </w:p>
        </w:tc>
        <w:tc>
          <w:tcPr>
            <w:tcW w:w="5387" w:type="dxa"/>
            <w:tcBorders>
              <w:top w:val="single" w:color="auto" w:sz="4" w:space="0"/>
              <w:left w:val="single" w:color="auto" w:sz="4" w:space="0"/>
              <w:bottom w:val="single" w:color="auto" w:sz="4" w:space="0"/>
              <w:right w:val="single" w:color="auto" w:sz="4" w:space="0"/>
            </w:tcBorders>
          </w:tcPr>
          <w:p w14:paraId="4BC8ED57">
            <w:pPr>
              <w:snapToGrid w:val="0"/>
              <w:spacing w:line="360" w:lineRule="auto"/>
              <w:ind w:firstLine="428" w:firstLineChars="200"/>
              <w:rPr>
                <w:rFonts w:hint="eastAsia" w:ascii="宋体" w:hAnsi="宋体" w:cs="宋体"/>
                <w:color w:val="auto"/>
                <w:spacing w:val="2"/>
                <w:szCs w:val="21"/>
                <w:highlight w:val="none"/>
              </w:rPr>
            </w:pPr>
            <w:r>
              <w:rPr>
                <w:rFonts w:hint="eastAsia" w:ascii="宋体" w:hAnsi="宋体" w:cs="宋体"/>
                <w:color w:val="auto"/>
                <w:spacing w:val="2"/>
                <w:szCs w:val="21"/>
                <w:highlight w:val="none"/>
              </w:rPr>
              <w:t>一档（0 分）：没有质量控制及应急能力方案的；</w:t>
            </w:r>
          </w:p>
          <w:p w14:paraId="3601E60B">
            <w:pPr>
              <w:snapToGrid w:val="0"/>
              <w:spacing w:line="360" w:lineRule="auto"/>
              <w:ind w:firstLine="428" w:firstLineChars="200"/>
              <w:rPr>
                <w:rFonts w:hint="eastAsia" w:ascii="宋体" w:hAnsi="宋体" w:cs="宋体"/>
                <w:color w:val="auto"/>
                <w:spacing w:val="2"/>
                <w:szCs w:val="21"/>
                <w:highlight w:val="none"/>
              </w:rPr>
            </w:pPr>
            <w:r>
              <w:rPr>
                <w:rFonts w:hint="eastAsia" w:ascii="宋体" w:hAnsi="宋体" w:cs="宋体"/>
                <w:color w:val="auto"/>
                <w:spacing w:val="2"/>
                <w:szCs w:val="21"/>
                <w:highlight w:val="none"/>
              </w:rPr>
              <w:t>二档（</w:t>
            </w:r>
            <w:r>
              <w:rPr>
                <w:rFonts w:hint="eastAsia" w:ascii="宋体" w:hAnsi="宋体" w:cs="宋体"/>
                <w:color w:val="auto"/>
                <w:spacing w:val="2"/>
                <w:szCs w:val="21"/>
                <w:highlight w:val="none"/>
                <w:lang w:val="en-US" w:eastAsia="zh-CN"/>
              </w:rPr>
              <w:t>7</w:t>
            </w:r>
            <w:r>
              <w:rPr>
                <w:rFonts w:hint="eastAsia" w:ascii="宋体" w:hAnsi="宋体" w:cs="宋体"/>
                <w:color w:val="auto"/>
                <w:spacing w:val="2"/>
                <w:szCs w:val="21"/>
                <w:highlight w:val="none"/>
              </w:rPr>
              <w:t xml:space="preserve"> 分）：提出了满足采购需求最低要求的质量控制方案；</w:t>
            </w:r>
          </w:p>
          <w:p w14:paraId="649BC862">
            <w:pPr>
              <w:snapToGrid w:val="0"/>
              <w:spacing w:line="360" w:lineRule="auto"/>
              <w:ind w:firstLine="428" w:firstLineChars="200"/>
              <w:rPr>
                <w:rFonts w:hint="eastAsia" w:ascii="宋体" w:hAnsi="宋体" w:cs="宋体"/>
                <w:color w:val="auto"/>
                <w:spacing w:val="2"/>
                <w:szCs w:val="21"/>
                <w:highlight w:val="none"/>
              </w:rPr>
            </w:pPr>
            <w:r>
              <w:rPr>
                <w:rFonts w:hint="eastAsia" w:ascii="宋体" w:hAnsi="宋体" w:cs="宋体"/>
                <w:color w:val="auto"/>
                <w:spacing w:val="2"/>
                <w:szCs w:val="21"/>
                <w:highlight w:val="none"/>
              </w:rPr>
              <w:t>三档（</w:t>
            </w:r>
            <w:r>
              <w:rPr>
                <w:rFonts w:hint="eastAsia" w:ascii="宋体" w:hAnsi="宋体" w:cs="宋体"/>
                <w:color w:val="auto"/>
                <w:spacing w:val="2"/>
                <w:szCs w:val="21"/>
                <w:highlight w:val="none"/>
                <w:lang w:val="en-US" w:eastAsia="zh-CN"/>
              </w:rPr>
              <w:t>14</w:t>
            </w:r>
            <w:r>
              <w:rPr>
                <w:rFonts w:hint="eastAsia" w:ascii="宋体" w:hAnsi="宋体" w:cs="宋体"/>
                <w:color w:val="auto"/>
                <w:spacing w:val="2"/>
                <w:szCs w:val="21"/>
                <w:highlight w:val="none"/>
              </w:rPr>
              <w:t xml:space="preserve"> 分）：提出科学的质量控制方案，满足二档的条件下，针对本项目特点，应急处置预案或方案能够合理处置常见的意外情况；</w:t>
            </w:r>
          </w:p>
          <w:p w14:paraId="2B6E58E9">
            <w:pPr>
              <w:snapToGrid w:val="0"/>
              <w:spacing w:line="360" w:lineRule="auto"/>
              <w:ind w:firstLine="428" w:firstLineChars="200"/>
              <w:rPr>
                <w:rFonts w:hint="eastAsia" w:ascii="宋体" w:hAnsi="宋体" w:cs="宋体"/>
                <w:color w:val="auto"/>
                <w:spacing w:val="2"/>
                <w:szCs w:val="21"/>
                <w:highlight w:val="none"/>
              </w:rPr>
            </w:pPr>
            <w:r>
              <w:rPr>
                <w:rFonts w:hint="eastAsia" w:ascii="宋体" w:hAnsi="宋体" w:cs="宋体"/>
                <w:color w:val="auto"/>
                <w:spacing w:val="2"/>
                <w:szCs w:val="21"/>
                <w:highlight w:val="none"/>
              </w:rPr>
              <w:t>四档（2</w:t>
            </w:r>
            <w:r>
              <w:rPr>
                <w:rFonts w:hint="eastAsia" w:ascii="宋体" w:hAnsi="宋体" w:cs="宋体"/>
                <w:color w:val="auto"/>
                <w:spacing w:val="2"/>
                <w:szCs w:val="21"/>
                <w:highlight w:val="none"/>
                <w:lang w:val="en-US" w:eastAsia="zh-CN"/>
              </w:rPr>
              <w:t>1</w:t>
            </w:r>
            <w:r>
              <w:rPr>
                <w:rFonts w:hint="eastAsia" w:ascii="宋体" w:hAnsi="宋体" w:cs="宋体"/>
                <w:color w:val="auto"/>
                <w:spacing w:val="2"/>
                <w:szCs w:val="21"/>
                <w:highlight w:val="none"/>
              </w:rPr>
              <w:t>分）：满足三档的条件下，应急处置预案或方案有具体的联系负责人员，安排和沟通程序，时效的承诺。以及对要求采购人进行配合的明确事项。</w:t>
            </w:r>
          </w:p>
        </w:tc>
      </w:tr>
      <w:tr w14:paraId="123AE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3" w:type="dxa"/>
            <w:vMerge w:val="continue"/>
            <w:tcBorders>
              <w:left w:val="single" w:color="auto" w:sz="4" w:space="0"/>
              <w:right w:val="single" w:color="auto" w:sz="4" w:space="0"/>
            </w:tcBorders>
            <w:vAlign w:val="center"/>
          </w:tcPr>
          <w:p w14:paraId="39128870">
            <w:pPr>
              <w:widowControl/>
              <w:snapToGrid w:val="0"/>
              <w:spacing w:line="360" w:lineRule="auto"/>
              <w:ind w:firstLine="428" w:firstLineChars="200"/>
              <w:rPr>
                <w:rFonts w:hint="eastAsia" w:ascii="宋体" w:hAnsi="宋体" w:cs="宋体"/>
                <w:color w:val="auto"/>
                <w:spacing w:val="2"/>
                <w:szCs w:val="21"/>
                <w:highlight w:val="none"/>
              </w:rPr>
            </w:pPr>
          </w:p>
        </w:tc>
        <w:tc>
          <w:tcPr>
            <w:tcW w:w="1515" w:type="dxa"/>
            <w:vMerge w:val="continue"/>
            <w:tcBorders>
              <w:left w:val="single" w:color="auto" w:sz="4" w:space="0"/>
              <w:right w:val="single" w:color="auto" w:sz="4" w:space="0"/>
            </w:tcBorders>
            <w:vAlign w:val="center"/>
          </w:tcPr>
          <w:p w14:paraId="3C64A04F">
            <w:pPr>
              <w:widowControl/>
              <w:snapToGrid w:val="0"/>
              <w:spacing w:line="360" w:lineRule="auto"/>
              <w:ind w:firstLine="428" w:firstLineChars="200"/>
              <w:rPr>
                <w:rFonts w:hint="eastAsia" w:ascii="宋体" w:hAnsi="宋体" w:cs="宋体"/>
                <w:color w:val="auto"/>
                <w:spacing w:val="2"/>
                <w:szCs w:val="21"/>
                <w:highlight w:val="none"/>
              </w:rPr>
            </w:pPr>
          </w:p>
        </w:tc>
        <w:tc>
          <w:tcPr>
            <w:tcW w:w="2180"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tcPr>
          <w:p w14:paraId="12BC509A">
            <w:pPr>
              <w:snapToGrid w:val="0"/>
              <w:spacing w:line="360" w:lineRule="auto"/>
              <w:ind w:firstLine="428" w:firstLineChars="200"/>
              <w:rPr>
                <w:rFonts w:hint="eastAsia" w:ascii="宋体" w:hAnsi="宋体" w:cs="宋体"/>
                <w:color w:val="auto"/>
                <w:spacing w:val="2"/>
                <w:szCs w:val="21"/>
                <w:highlight w:val="none"/>
              </w:rPr>
            </w:pPr>
          </w:p>
          <w:p w14:paraId="7E7F2DC2">
            <w:pPr>
              <w:snapToGrid w:val="0"/>
              <w:spacing w:line="360" w:lineRule="auto"/>
              <w:ind w:firstLine="428" w:firstLineChars="200"/>
              <w:rPr>
                <w:rFonts w:hint="eastAsia" w:ascii="宋体" w:hAnsi="宋体" w:cs="宋体"/>
                <w:color w:val="auto"/>
                <w:spacing w:val="2"/>
                <w:szCs w:val="21"/>
                <w:highlight w:val="none"/>
              </w:rPr>
            </w:pPr>
          </w:p>
          <w:p w14:paraId="33B4FF39">
            <w:pPr>
              <w:snapToGrid w:val="0"/>
              <w:spacing w:line="360" w:lineRule="auto"/>
              <w:ind w:firstLine="428" w:firstLineChars="200"/>
              <w:rPr>
                <w:rFonts w:hint="eastAsia" w:ascii="宋体" w:hAnsi="宋体" w:cs="宋体"/>
                <w:color w:val="auto"/>
                <w:spacing w:val="2"/>
                <w:szCs w:val="21"/>
                <w:highlight w:val="none"/>
              </w:rPr>
            </w:pPr>
          </w:p>
          <w:p w14:paraId="646F9A63">
            <w:pPr>
              <w:snapToGrid w:val="0"/>
              <w:spacing w:line="360" w:lineRule="auto"/>
              <w:ind w:firstLine="428" w:firstLineChars="200"/>
              <w:rPr>
                <w:rFonts w:hint="eastAsia" w:ascii="宋体" w:hAnsi="宋体" w:cs="宋体"/>
                <w:color w:val="auto"/>
                <w:spacing w:val="2"/>
                <w:szCs w:val="21"/>
                <w:highlight w:val="none"/>
              </w:rPr>
            </w:pPr>
          </w:p>
          <w:p w14:paraId="3F05185D">
            <w:pPr>
              <w:snapToGrid w:val="0"/>
              <w:spacing w:line="360" w:lineRule="auto"/>
              <w:rPr>
                <w:rFonts w:hint="eastAsia" w:ascii="宋体" w:hAnsi="宋体" w:cs="宋体"/>
                <w:color w:val="auto"/>
                <w:spacing w:val="2"/>
                <w:szCs w:val="21"/>
                <w:highlight w:val="none"/>
              </w:rPr>
            </w:pPr>
            <w:r>
              <w:rPr>
                <w:rFonts w:hint="eastAsia" w:ascii="宋体" w:hAnsi="宋体" w:cs="宋体"/>
                <w:color w:val="auto"/>
                <w:spacing w:val="2"/>
                <w:szCs w:val="21"/>
                <w:highlight w:val="none"/>
              </w:rPr>
              <w:t>服务方案（满分</w:t>
            </w:r>
            <w:r>
              <w:rPr>
                <w:rFonts w:hint="eastAsia" w:ascii="宋体" w:hAnsi="宋体" w:cs="宋体"/>
                <w:color w:val="auto"/>
                <w:spacing w:val="2"/>
                <w:szCs w:val="21"/>
                <w:highlight w:val="none"/>
                <w:lang w:val="en-US" w:eastAsia="zh-CN"/>
              </w:rPr>
              <w:t>16</w:t>
            </w:r>
            <w:r>
              <w:rPr>
                <w:rFonts w:hint="eastAsia" w:ascii="宋体" w:hAnsi="宋体" w:cs="宋体"/>
                <w:color w:val="auto"/>
                <w:spacing w:val="2"/>
                <w:szCs w:val="21"/>
                <w:highlight w:val="none"/>
              </w:rPr>
              <w:t>分）</w:t>
            </w:r>
          </w:p>
        </w:tc>
        <w:tc>
          <w:tcPr>
            <w:tcW w:w="5387" w:type="dxa"/>
            <w:tcBorders>
              <w:top w:val="single" w:color="auto" w:sz="4" w:space="0"/>
              <w:left w:val="single" w:color="auto" w:sz="4" w:space="0"/>
              <w:bottom w:val="single" w:color="auto" w:sz="4" w:space="0"/>
              <w:right w:val="single" w:color="auto" w:sz="4" w:space="0"/>
            </w:tcBorders>
          </w:tcPr>
          <w:p w14:paraId="6917C05E">
            <w:pPr>
              <w:snapToGrid w:val="0"/>
              <w:spacing w:line="360" w:lineRule="auto"/>
              <w:ind w:firstLine="428" w:firstLineChars="200"/>
              <w:rPr>
                <w:rFonts w:hint="eastAsia" w:ascii="宋体" w:hAnsi="宋体" w:cs="宋体"/>
                <w:color w:val="auto"/>
                <w:spacing w:val="2"/>
                <w:szCs w:val="21"/>
                <w:highlight w:val="none"/>
              </w:rPr>
            </w:pPr>
            <w:r>
              <w:rPr>
                <w:rFonts w:hint="eastAsia" w:ascii="宋体" w:hAnsi="宋体" w:cs="宋体"/>
                <w:color w:val="auto"/>
                <w:spacing w:val="2"/>
                <w:szCs w:val="21"/>
                <w:highlight w:val="none"/>
              </w:rPr>
              <w:t>一档（</w:t>
            </w:r>
            <w:r>
              <w:rPr>
                <w:rFonts w:hint="eastAsia" w:ascii="宋体" w:hAnsi="宋体" w:cs="宋体"/>
                <w:color w:val="auto"/>
                <w:spacing w:val="2"/>
                <w:szCs w:val="21"/>
                <w:highlight w:val="none"/>
                <w:lang w:val="en-US" w:eastAsia="zh-CN"/>
              </w:rPr>
              <w:t>4</w:t>
            </w:r>
            <w:r>
              <w:rPr>
                <w:rFonts w:hint="eastAsia" w:ascii="宋体" w:hAnsi="宋体" w:cs="宋体"/>
                <w:color w:val="auto"/>
                <w:spacing w:val="2"/>
                <w:szCs w:val="21"/>
                <w:highlight w:val="none"/>
              </w:rPr>
              <w:t xml:space="preserve"> 分）</w:t>
            </w:r>
            <w:r>
              <w:rPr>
                <w:rFonts w:hint="eastAsia" w:ascii="宋体" w:hAnsi="宋体" w:cs="宋体"/>
                <w:color w:val="auto"/>
                <w:spacing w:val="2"/>
                <w:szCs w:val="21"/>
                <w:highlight w:val="none"/>
              </w:rPr>
              <w:t>：承诺方案各方面有缺失较多，承诺响应时间滞后，承诺提供设备人员不足，应对一般情况困难；</w:t>
            </w:r>
          </w:p>
          <w:p w14:paraId="578783F6">
            <w:pPr>
              <w:snapToGrid w:val="0"/>
              <w:spacing w:line="360" w:lineRule="auto"/>
              <w:ind w:firstLine="428" w:firstLineChars="200"/>
              <w:rPr>
                <w:rFonts w:hint="eastAsia" w:ascii="宋体" w:hAnsi="宋体" w:cs="宋体"/>
                <w:color w:val="auto"/>
                <w:spacing w:val="2"/>
                <w:szCs w:val="21"/>
                <w:highlight w:val="none"/>
              </w:rPr>
            </w:pPr>
            <w:r>
              <w:rPr>
                <w:rFonts w:hint="eastAsia" w:ascii="宋体" w:hAnsi="宋体" w:cs="宋体"/>
                <w:color w:val="auto"/>
                <w:spacing w:val="2"/>
                <w:szCs w:val="21"/>
                <w:highlight w:val="none"/>
              </w:rPr>
              <w:t>二档（</w:t>
            </w:r>
            <w:r>
              <w:rPr>
                <w:rFonts w:hint="eastAsia" w:ascii="宋体" w:hAnsi="宋体" w:cs="宋体"/>
                <w:color w:val="auto"/>
                <w:spacing w:val="2"/>
                <w:szCs w:val="21"/>
                <w:highlight w:val="none"/>
                <w:lang w:val="en-US" w:eastAsia="zh-CN"/>
              </w:rPr>
              <w:t>8</w:t>
            </w:r>
            <w:r>
              <w:rPr>
                <w:rFonts w:hint="eastAsia" w:ascii="宋体" w:hAnsi="宋体" w:cs="宋体"/>
                <w:color w:val="auto"/>
                <w:spacing w:val="2"/>
                <w:szCs w:val="21"/>
                <w:highlight w:val="none"/>
              </w:rPr>
              <w:t>分）:</w:t>
            </w:r>
            <w:r>
              <w:rPr>
                <w:rFonts w:hint="eastAsia" w:ascii="宋体" w:hAnsi="宋体" w:cs="宋体"/>
                <w:color w:val="auto"/>
                <w:spacing w:val="2"/>
                <w:szCs w:val="21"/>
                <w:highlight w:val="none"/>
              </w:rPr>
              <w:t>服务承诺基本完整，可行性不强，响应时间一般，提供设备人员能进行简单工作，基本应对一般情况；</w:t>
            </w:r>
          </w:p>
          <w:p w14:paraId="49C6E967">
            <w:pPr>
              <w:snapToGrid w:val="0"/>
              <w:spacing w:line="360" w:lineRule="auto"/>
              <w:ind w:firstLine="428" w:firstLineChars="200"/>
              <w:rPr>
                <w:rFonts w:hint="eastAsia" w:ascii="宋体" w:hAnsi="宋体" w:cs="宋体"/>
                <w:color w:val="auto"/>
                <w:spacing w:val="2"/>
                <w:szCs w:val="21"/>
                <w:highlight w:val="none"/>
              </w:rPr>
            </w:pPr>
            <w:r>
              <w:rPr>
                <w:rFonts w:hint="eastAsia" w:ascii="宋体" w:hAnsi="宋体" w:cs="宋体"/>
                <w:color w:val="auto"/>
                <w:spacing w:val="2"/>
                <w:szCs w:val="21"/>
                <w:highlight w:val="none"/>
              </w:rPr>
              <w:t>三档（1</w:t>
            </w:r>
            <w:r>
              <w:rPr>
                <w:rFonts w:hint="eastAsia" w:ascii="宋体" w:hAnsi="宋体" w:cs="宋体"/>
                <w:color w:val="auto"/>
                <w:spacing w:val="2"/>
                <w:szCs w:val="21"/>
                <w:highlight w:val="none"/>
                <w:lang w:val="en-US" w:eastAsia="zh-CN"/>
              </w:rPr>
              <w:t>2</w:t>
            </w:r>
            <w:r>
              <w:rPr>
                <w:rFonts w:hint="eastAsia" w:ascii="宋体" w:hAnsi="宋体" w:cs="宋体"/>
                <w:color w:val="auto"/>
                <w:spacing w:val="2"/>
                <w:szCs w:val="21"/>
                <w:highlight w:val="none"/>
              </w:rPr>
              <w:t>分）：</w:t>
            </w:r>
            <w:r>
              <w:rPr>
                <w:rFonts w:hint="eastAsia" w:ascii="宋体" w:hAnsi="宋体" w:cs="宋体"/>
                <w:color w:val="auto"/>
                <w:spacing w:val="2"/>
                <w:szCs w:val="21"/>
                <w:highlight w:val="none"/>
              </w:rPr>
              <w:t>承诺方案各方面基本完善，承诺响应时间及时，承诺提供设备人员能进行开展一般工作，基本应对绝大多数情况；</w:t>
            </w:r>
          </w:p>
          <w:p w14:paraId="61B39FFB">
            <w:pPr>
              <w:snapToGrid w:val="0"/>
              <w:spacing w:line="360" w:lineRule="auto"/>
              <w:ind w:firstLine="428" w:firstLineChars="200"/>
              <w:rPr>
                <w:rFonts w:hint="eastAsia" w:ascii="宋体" w:hAnsi="宋体" w:cs="宋体"/>
                <w:color w:val="auto"/>
                <w:spacing w:val="2"/>
                <w:szCs w:val="21"/>
                <w:highlight w:val="none"/>
              </w:rPr>
            </w:pPr>
            <w:r>
              <w:rPr>
                <w:rFonts w:hint="eastAsia" w:ascii="宋体" w:hAnsi="宋体" w:cs="宋体"/>
                <w:color w:val="auto"/>
                <w:spacing w:val="2"/>
                <w:szCs w:val="21"/>
                <w:highlight w:val="none"/>
              </w:rPr>
              <w:t>四档（1</w:t>
            </w:r>
            <w:r>
              <w:rPr>
                <w:rFonts w:hint="eastAsia" w:ascii="宋体" w:hAnsi="宋体" w:cs="宋体"/>
                <w:color w:val="auto"/>
                <w:spacing w:val="2"/>
                <w:szCs w:val="21"/>
                <w:highlight w:val="none"/>
                <w:lang w:val="en-US" w:eastAsia="zh-CN"/>
              </w:rPr>
              <w:t>6</w:t>
            </w:r>
            <w:r>
              <w:rPr>
                <w:rFonts w:hint="eastAsia" w:ascii="宋体" w:hAnsi="宋体" w:cs="宋体"/>
                <w:color w:val="auto"/>
                <w:spacing w:val="2"/>
                <w:szCs w:val="21"/>
                <w:highlight w:val="none"/>
              </w:rPr>
              <w:t>分）：</w:t>
            </w:r>
            <w:r>
              <w:rPr>
                <w:rFonts w:hint="eastAsia" w:ascii="宋体" w:hAnsi="宋体" w:cs="宋体"/>
                <w:color w:val="auto"/>
                <w:spacing w:val="2"/>
                <w:szCs w:val="21"/>
                <w:highlight w:val="none"/>
              </w:rPr>
              <w:t>承诺方案各方面完善，内容详细，可操作性强，承诺服务期间对出现的问题能及时、主动响应，并有专职人员在采购人发出通知后到达指定地点。</w:t>
            </w:r>
          </w:p>
        </w:tc>
      </w:tr>
      <w:tr w14:paraId="276D0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633" w:type="dxa"/>
            <w:vMerge w:val="restart"/>
            <w:tcBorders>
              <w:top w:val="single" w:color="auto" w:sz="4" w:space="0"/>
              <w:left w:val="single" w:color="auto" w:sz="4" w:space="0"/>
              <w:right w:val="single" w:color="auto" w:sz="4" w:space="0"/>
            </w:tcBorders>
            <w:vAlign w:val="center"/>
          </w:tcPr>
          <w:p w14:paraId="2C63F3F8">
            <w:pPr>
              <w:snapToGrid w:val="0"/>
              <w:spacing w:line="360" w:lineRule="auto"/>
              <w:ind w:firstLine="214" w:firstLineChars="100"/>
              <w:rPr>
                <w:rFonts w:hint="eastAsia" w:ascii="宋体" w:hAnsi="宋体" w:cs="宋体"/>
                <w:color w:val="auto"/>
                <w:spacing w:val="2"/>
                <w:szCs w:val="21"/>
                <w:highlight w:val="none"/>
              </w:rPr>
            </w:pPr>
            <w:r>
              <w:rPr>
                <w:rFonts w:hint="eastAsia" w:ascii="宋体" w:hAnsi="宋体" w:cs="宋体"/>
                <w:color w:val="auto"/>
                <w:spacing w:val="2"/>
                <w:szCs w:val="21"/>
                <w:highlight w:val="none"/>
              </w:rPr>
              <w:t>3</w:t>
            </w:r>
          </w:p>
        </w:tc>
        <w:tc>
          <w:tcPr>
            <w:tcW w:w="1515" w:type="dxa"/>
            <w:vMerge w:val="restart"/>
            <w:tcBorders>
              <w:top w:val="single" w:color="auto" w:sz="4" w:space="0"/>
              <w:left w:val="single" w:color="auto" w:sz="4" w:space="0"/>
              <w:right w:val="single" w:color="auto" w:sz="4" w:space="0"/>
            </w:tcBorders>
            <w:vAlign w:val="center"/>
          </w:tcPr>
          <w:p w14:paraId="5EA953B7">
            <w:pPr>
              <w:snapToGrid w:val="0"/>
              <w:spacing w:line="360" w:lineRule="auto"/>
              <w:ind w:firstLine="428" w:firstLineChars="200"/>
              <w:rPr>
                <w:rFonts w:hint="eastAsia" w:ascii="宋体" w:hAnsi="宋体" w:cs="宋体"/>
                <w:color w:val="auto"/>
                <w:spacing w:val="2"/>
                <w:szCs w:val="21"/>
                <w:highlight w:val="none"/>
              </w:rPr>
            </w:pPr>
            <w:r>
              <w:rPr>
                <w:rFonts w:hint="eastAsia" w:ascii="宋体" w:hAnsi="宋体" w:cs="宋体"/>
                <w:color w:val="auto"/>
                <w:spacing w:val="2"/>
                <w:szCs w:val="21"/>
                <w:highlight w:val="none"/>
              </w:rPr>
              <w:t>商务分 （满分</w:t>
            </w:r>
            <w:r>
              <w:rPr>
                <w:rFonts w:hint="eastAsia" w:ascii="宋体" w:hAnsi="宋体" w:cs="宋体"/>
                <w:color w:val="auto"/>
                <w:spacing w:val="2"/>
                <w:szCs w:val="21"/>
                <w:highlight w:val="none"/>
                <w:lang w:val="en-US" w:eastAsia="zh-CN"/>
              </w:rPr>
              <w:t>13</w:t>
            </w:r>
            <w:r>
              <w:rPr>
                <w:rFonts w:hint="eastAsia" w:ascii="宋体" w:hAnsi="宋体" w:cs="宋体"/>
                <w:color w:val="auto"/>
                <w:spacing w:val="2"/>
                <w:szCs w:val="21"/>
                <w:highlight w:val="none"/>
              </w:rPr>
              <w:t>分）</w:t>
            </w:r>
          </w:p>
        </w:tc>
        <w:tc>
          <w:tcPr>
            <w:tcW w:w="2180" w:type="dxa"/>
            <w:tcBorders>
              <w:top w:val="single" w:color="auto" w:sz="4" w:space="0"/>
              <w:left w:val="single" w:color="auto" w:sz="4" w:space="0"/>
              <w:right w:val="single" w:color="auto" w:sz="4" w:space="0"/>
            </w:tcBorders>
          </w:tcPr>
          <w:p w14:paraId="7ED558E8">
            <w:pPr>
              <w:snapToGrid w:val="0"/>
              <w:spacing w:line="360" w:lineRule="auto"/>
              <w:ind w:firstLine="428" w:firstLineChars="200"/>
              <w:rPr>
                <w:rFonts w:hint="eastAsia" w:ascii="宋体" w:hAnsi="宋体" w:cs="宋体"/>
                <w:color w:val="auto"/>
                <w:spacing w:val="2"/>
                <w:szCs w:val="21"/>
                <w:highlight w:val="none"/>
              </w:rPr>
            </w:pPr>
          </w:p>
          <w:p w14:paraId="7262FFD2">
            <w:pPr>
              <w:snapToGrid w:val="0"/>
              <w:spacing w:line="360" w:lineRule="auto"/>
              <w:ind w:firstLine="428" w:firstLineChars="200"/>
              <w:rPr>
                <w:rFonts w:hint="eastAsia" w:ascii="宋体" w:hAnsi="宋体" w:cs="宋体"/>
                <w:color w:val="auto"/>
                <w:spacing w:val="2"/>
                <w:szCs w:val="21"/>
                <w:highlight w:val="none"/>
              </w:rPr>
            </w:pPr>
          </w:p>
          <w:p w14:paraId="33331A9E">
            <w:pPr>
              <w:snapToGrid w:val="0"/>
              <w:spacing w:line="360" w:lineRule="auto"/>
              <w:rPr>
                <w:rFonts w:hint="eastAsia" w:ascii="宋体" w:hAnsi="宋体" w:cs="宋体"/>
                <w:color w:val="auto"/>
                <w:spacing w:val="2"/>
                <w:szCs w:val="21"/>
                <w:highlight w:val="none"/>
              </w:rPr>
            </w:pPr>
            <w:r>
              <w:rPr>
                <w:rFonts w:hint="eastAsia" w:ascii="宋体" w:hAnsi="宋体" w:cs="宋体"/>
                <w:color w:val="auto"/>
                <w:spacing w:val="2"/>
                <w:szCs w:val="21"/>
                <w:highlight w:val="none"/>
              </w:rPr>
              <w:t>企业业绩（满分5 分）</w:t>
            </w:r>
          </w:p>
        </w:tc>
        <w:tc>
          <w:tcPr>
            <w:tcW w:w="5387" w:type="dxa"/>
            <w:tcBorders>
              <w:top w:val="single" w:color="auto" w:sz="4" w:space="0"/>
              <w:left w:val="single" w:color="auto" w:sz="4" w:space="0"/>
              <w:bottom w:val="single" w:color="auto" w:sz="4" w:space="0"/>
              <w:right w:val="single" w:color="auto" w:sz="4" w:space="0"/>
            </w:tcBorders>
          </w:tcPr>
          <w:p w14:paraId="5FCA3753">
            <w:pPr>
              <w:snapToGrid w:val="0"/>
              <w:spacing w:line="360" w:lineRule="auto"/>
              <w:ind w:firstLine="428" w:firstLineChars="200"/>
              <w:rPr>
                <w:rFonts w:hint="eastAsia" w:ascii="宋体" w:hAnsi="宋体" w:cs="宋体"/>
                <w:color w:val="auto"/>
                <w:spacing w:val="2"/>
                <w:szCs w:val="21"/>
                <w:highlight w:val="none"/>
              </w:rPr>
            </w:pPr>
            <w:r>
              <w:rPr>
                <w:rFonts w:hint="eastAsia" w:ascii="宋体" w:hAnsi="宋体" w:cs="宋体"/>
                <w:color w:val="auto"/>
                <w:spacing w:val="2"/>
                <w:szCs w:val="21"/>
                <w:highlight w:val="none"/>
              </w:rPr>
              <w:t>2022年6月1日至今，投标人或所投产品生产厂家承接过政府主管部门或其下属机构农药残胶体金快速检测试剂采购或农药残胶体金快速检测服务等类似项目，提供一份得1分。（本项满分5分）</w:t>
            </w:r>
          </w:p>
          <w:p w14:paraId="2FCDAD9F">
            <w:pPr>
              <w:snapToGrid w:val="0"/>
              <w:spacing w:line="360" w:lineRule="auto"/>
              <w:ind w:firstLine="428" w:firstLineChars="200"/>
              <w:rPr>
                <w:rFonts w:hint="eastAsia" w:ascii="宋体" w:hAnsi="宋体" w:cs="宋体"/>
                <w:color w:val="auto"/>
                <w:spacing w:val="2"/>
                <w:szCs w:val="21"/>
                <w:highlight w:val="none"/>
              </w:rPr>
            </w:pPr>
            <w:r>
              <w:rPr>
                <w:rFonts w:hint="eastAsia" w:ascii="宋体" w:hAnsi="宋体" w:cs="宋体"/>
                <w:color w:val="auto"/>
                <w:spacing w:val="2"/>
                <w:szCs w:val="21"/>
                <w:highlight w:val="none"/>
              </w:rPr>
              <w:t>证明材料：提供能体现上述内容的项目清晰可辨的服务(合同)协议（含发票或银行转账证明文件）或中标(成交)通知书复印件并加盖公章，不提供则不得分。</w:t>
            </w:r>
            <w:r>
              <w:rPr>
                <w:rFonts w:hint="eastAsia"/>
                <w:color w:val="auto"/>
                <w:highlight w:val="none"/>
              </w:rPr>
              <w:t>以上材料提供清单汇总表（包括但不限于采购单位、采购合同金额、采购样品或服务名称、采购时间等内容）</w:t>
            </w:r>
            <w:r>
              <w:rPr>
                <w:rFonts w:hint="eastAsia"/>
                <w:color w:val="auto"/>
                <w:highlight w:val="none"/>
                <w:lang w:eastAsia="zh-CN"/>
              </w:rPr>
              <w:t>。</w:t>
            </w:r>
          </w:p>
        </w:tc>
      </w:tr>
      <w:tr w14:paraId="75C84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633" w:type="dxa"/>
            <w:vMerge w:val="continue"/>
            <w:tcBorders>
              <w:left w:val="single" w:color="auto" w:sz="4" w:space="0"/>
              <w:right w:val="single" w:color="auto" w:sz="4" w:space="0"/>
            </w:tcBorders>
            <w:vAlign w:val="center"/>
          </w:tcPr>
          <w:p w14:paraId="344A4DDE">
            <w:pPr>
              <w:snapToGrid w:val="0"/>
              <w:spacing w:line="360" w:lineRule="auto"/>
              <w:ind w:firstLine="214" w:firstLineChars="100"/>
              <w:rPr>
                <w:rFonts w:hint="eastAsia" w:ascii="宋体" w:hAnsi="宋体" w:cs="宋体"/>
                <w:color w:val="auto"/>
                <w:spacing w:val="2"/>
                <w:szCs w:val="21"/>
                <w:highlight w:val="none"/>
              </w:rPr>
            </w:pPr>
          </w:p>
        </w:tc>
        <w:tc>
          <w:tcPr>
            <w:tcW w:w="1515" w:type="dxa"/>
            <w:vMerge w:val="continue"/>
            <w:tcBorders>
              <w:left w:val="single" w:color="auto" w:sz="4" w:space="0"/>
              <w:right w:val="single" w:color="auto" w:sz="4" w:space="0"/>
            </w:tcBorders>
            <w:vAlign w:val="center"/>
          </w:tcPr>
          <w:p w14:paraId="37B35EA1">
            <w:pPr>
              <w:snapToGrid w:val="0"/>
              <w:spacing w:line="360" w:lineRule="auto"/>
              <w:ind w:firstLine="428" w:firstLineChars="200"/>
              <w:rPr>
                <w:rFonts w:hint="eastAsia" w:ascii="宋体" w:hAnsi="宋体" w:cs="宋体"/>
                <w:color w:val="auto"/>
                <w:spacing w:val="2"/>
                <w:szCs w:val="21"/>
                <w:highlight w:val="none"/>
              </w:rPr>
            </w:pPr>
          </w:p>
        </w:tc>
        <w:tc>
          <w:tcPr>
            <w:tcW w:w="2180" w:type="dxa"/>
            <w:tcBorders>
              <w:top w:val="single" w:color="auto" w:sz="4" w:space="0"/>
              <w:left w:val="single" w:color="auto" w:sz="4" w:space="0"/>
              <w:right w:val="single" w:color="auto" w:sz="4" w:space="0"/>
            </w:tcBorders>
            <w:vAlign w:val="center"/>
          </w:tcPr>
          <w:p w14:paraId="276DDCF2">
            <w:pPr>
              <w:snapToGrid w:val="0"/>
              <w:spacing w:line="360" w:lineRule="auto"/>
              <w:jc w:val="center"/>
              <w:rPr>
                <w:rFonts w:hint="eastAsia" w:ascii="宋体" w:hAnsi="宋体" w:cs="宋体"/>
                <w:color w:val="auto"/>
                <w:spacing w:val="2"/>
                <w:szCs w:val="21"/>
                <w:highlight w:val="none"/>
              </w:rPr>
            </w:pPr>
            <w:r>
              <w:rPr>
                <w:rFonts w:hint="eastAsia" w:ascii="宋体" w:hAnsi="宋体" w:cs="宋体"/>
                <w:color w:val="auto"/>
                <w:spacing w:val="2"/>
                <w:szCs w:val="21"/>
                <w:highlight w:val="none"/>
              </w:rPr>
              <w:t>体系认证（满分</w:t>
            </w:r>
            <w:r>
              <w:rPr>
                <w:rFonts w:hint="eastAsia" w:ascii="宋体" w:hAnsi="宋体" w:cs="宋体"/>
                <w:color w:val="auto"/>
                <w:spacing w:val="2"/>
                <w:szCs w:val="21"/>
                <w:highlight w:val="none"/>
                <w:lang w:val="en-US" w:eastAsia="zh-CN"/>
              </w:rPr>
              <w:t>3</w:t>
            </w:r>
            <w:r>
              <w:rPr>
                <w:rFonts w:hint="eastAsia" w:ascii="宋体" w:hAnsi="宋体" w:cs="宋体"/>
                <w:color w:val="auto"/>
                <w:spacing w:val="2"/>
                <w:szCs w:val="21"/>
                <w:highlight w:val="none"/>
              </w:rPr>
              <w:t>分）</w:t>
            </w:r>
          </w:p>
        </w:tc>
        <w:tc>
          <w:tcPr>
            <w:tcW w:w="5387" w:type="dxa"/>
            <w:tcBorders>
              <w:top w:val="single" w:color="auto" w:sz="4" w:space="0"/>
              <w:left w:val="single" w:color="auto" w:sz="4" w:space="0"/>
              <w:bottom w:val="single" w:color="auto" w:sz="4" w:space="0"/>
              <w:right w:val="single" w:color="auto" w:sz="4" w:space="0"/>
            </w:tcBorders>
            <w:vAlign w:val="center"/>
          </w:tcPr>
          <w:p w14:paraId="16D4F006">
            <w:pPr>
              <w:snapToGrid w:val="0"/>
              <w:spacing w:line="360" w:lineRule="auto"/>
              <w:ind w:firstLine="428" w:firstLineChars="200"/>
              <w:jc w:val="left"/>
              <w:rPr>
                <w:rFonts w:hint="eastAsia" w:ascii="宋体" w:hAnsi="宋体" w:cs="宋体"/>
                <w:color w:val="auto"/>
                <w:spacing w:val="2"/>
                <w:szCs w:val="21"/>
                <w:highlight w:val="none"/>
              </w:rPr>
            </w:pPr>
            <w:r>
              <w:rPr>
                <w:rFonts w:hint="eastAsia" w:ascii="宋体" w:hAnsi="宋体" w:cs="宋体"/>
                <w:color w:val="auto"/>
                <w:spacing w:val="2"/>
                <w:szCs w:val="21"/>
                <w:highlight w:val="none"/>
              </w:rPr>
              <w:t>投标人或所投产品的生产厂家具有有效的①质量管理体系认证证书②环境管理体系认证证书③职业健康安全管理体系认证证书（提供相应认证证书并加盖公章，投标文件中须同时提供相应认证证书复印件及国家认证认可监督管理委员会的“全国认证认可信息公共服务平台”（http://cx.cnca.cn） 查询结果截图，失效、撤销或暂停的对应证书项不得分），提供1项得1分，总分</w:t>
            </w:r>
            <w:r>
              <w:rPr>
                <w:rFonts w:hint="eastAsia" w:ascii="宋体" w:hAnsi="宋体" w:cs="宋体"/>
                <w:color w:val="auto"/>
                <w:spacing w:val="2"/>
                <w:szCs w:val="21"/>
                <w:highlight w:val="none"/>
                <w:lang w:val="en-US" w:eastAsia="zh-CN"/>
              </w:rPr>
              <w:t>3</w:t>
            </w:r>
            <w:r>
              <w:rPr>
                <w:rFonts w:hint="eastAsia" w:ascii="宋体" w:hAnsi="宋体" w:cs="宋体"/>
                <w:color w:val="auto"/>
                <w:spacing w:val="2"/>
                <w:szCs w:val="21"/>
                <w:highlight w:val="none"/>
              </w:rPr>
              <w:t>分，不提供则不得分。</w:t>
            </w:r>
            <w:r>
              <w:rPr>
                <w:rFonts w:hint="eastAsia"/>
                <w:color w:val="auto"/>
                <w:highlight w:val="none"/>
              </w:rPr>
              <w:t>以上材料提供清单汇总表（包括但不限于证书名称、证书编号、认证机构、认证时间、有效期、认证范围等内容）</w:t>
            </w:r>
            <w:r>
              <w:rPr>
                <w:rFonts w:hint="eastAsia"/>
                <w:color w:val="auto"/>
                <w:highlight w:val="none"/>
                <w:lang w:eastAsia="zh-CN"/>
              </w:rPr>
              <w:t>。</w:t>
            </w:r>
            <w:r>
              <w:rPr>
                <w:rFonts w:hint="eastAsia" w:ascii="宋体" w:hAnsi="宋体" w:cs="宋体"/>
                <w:color w:val="auto"/>
                <w:spacing w:val="2"/>
                <w:szCs w:val="21"/>
                <w:highlight w:val="none"/>
              </w:rPr>
              <w:t xml:space="preserve"> </w:t>
            </w:r>
          </w:p>
        </w:tc>
      </w:tr>
      <w:tr w14:paraId="448CA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633" w:type="dxa"/>
            <w:vMerge w:val="continue"/>
            <w:tcBorders>
              <w:left w:val="single" w:color="auto" w:sz="4" w:space="0"/>
              <w:bottom w:val="single" w:color="auto" w:sz="4" w:space="0"/>
              <w:right w:val="single" w:color="auto" w:sz="4" w:space="0"/>
            </w:tcBorders>
            <w:vAlign w:val="center"/>
          </w:tcPr>
          <w:p w14:paraId="7BD5ED27">
            <w:pPr>
              <w:snapToGrid w:val="0"/>
              <w:spacing w:line="360" w:lineRule="auto"/>
              <w:ind w:firstLine="214" w:firstLineChars="100"/>
              <w:rPr>
                <w:rFonts w:hint="eastAsia" w:ascii="宋体" w:hAnsi="宋体" w:cs="宋体"/>
                <w:color w:val="auto"/>
                <w:spacing w:val="2"/>
                <w:szCs w:val="21"/>
                <w:highlight w:val="none"/>
              </w:rPr>
            </w:pPr>
          </w:p>
        </w:tc>
        <w:tc>
          <w:tcPr>
            <w:tcW w:w="1515" w:type="dxa"/>
            <w:vMerge w:val="continue"/>
            <w:tcBorders>
              <w:left w:val="single" w:color="auto" w:sz="4" w:space="0"/>
              <w:bottom w:val="single" w:color="auto" w:sz="4" w:space="0"/>
              <w:right w:val="single" w:color="auto" w:sz="4" w:space="0"/>
            </w:tcBorders>
            <w:vAlign w:val="center"/>
          </w:tcPr>
          <w:p w14:paraId="6049BBFC">
            <w:pPr>
              <w:snapToGrid w:val="0"/>
              <w:spacing w:line="360" w:lineRule="auto"/>
              <w:ind w:firstLine="428" w:firstLineChars="200"/>
              <w:rPr>
                <w:rFonts w:hint="eastAsia" w:ascii="宋体" w:hAnsi="宋体" w:cs="宋体"/>
                <w:color w:val="auto"/>
                <w:spacing w:val="2"/>
                <w:szCs w:val="21"/>
                <w:highlight w:val="none"/>
              </w:rPr>
            </w:pPr>
          </w:p>
        </w:tc>
        <w:tc>
          <w:tcPr>
            <w:tcW w:w="2180" w:type="dxa"/>
            <w:tcBorders>
              <w:top w:val="single" w:color="auto" w:sz="4" w:space="0"/>
              <w:left w:val="single" w:color="auto" w:sz="4" w:space="0"/>
              <w:right w:val="single" w:color="auto" w:sz="4" w:space="0"/>
            </w:tcBorders>
            <w:vAlign w:val="center"/>
          </w:tcPr>
          <w:p w14:paraId="16F46F7F">
            <w:pPr>
              <w:snapToGrid w:val="0"/>
              <w:spacing w:line="360" w:lineRule="auto"/>
              <w:jc w:val="center"/>
              <w:rPr>
                <w:rFonts w:hint="eastAsia" w:ascii="宋体" w:hAnsi="宋体" w:cs="宋体"/>
                <w:color w:val="auto"/>
                <w:spacing w:val="2"/>
                <w:szCs w:val="21"/>
                <w:highlight w:val="none"/>
              </w:rPr>
            </w:pPr>
            <w:r>
              <w:rPr>
                <w:rFonts w:hint="eastAsia" w:ascii="宋体" w:hAnsi="宋体" w:cs="宋体"/>
                <w:color w:val="auto"/>
                <w:spacing w:val="2"/>
                <w:szCs w:val="21"/>
                <w:highlight w:val="none"/>
              </w:rPr>
              <w:t>知识产权（满分5分）</w:t>
            </w:r>
          </w:p>
        </w:tc>
        <w:tc>
          <w:tcPr>
            <w:tcW w:w="5387" w:type="dxa"/>
            <w:tcBorders>
              <w:top w:val="single" w:color="auto" w:sz="4" w:space="0"/>
              <w:left w:val="single" w:color="auto" w:sz="4" w:space="0"/>
              <w:bottom w:val="single" w:color="auto" w:sz="4" w:space="0"/>
              <w:right w:val="single" w:color="auto" w:sz="4" w:space="0"/>
            </w:tcBorders>
          </w:tcPr>
          <w:p w14:paraId="3FF31FA7">
            <w:pPr>
              <w:snapToGrid w:val="0"/>
              <w:spacing w:line="360" w:lineRule="auto"/>
              <w:ind w:firstLine="428" w:firstLineChars="200"/>
              <w:rPr>
                <w:rFonts w:hint="eastAsia" w:ascii="宋体" w:hAnsi="宋体" w:eastAsia="宋体" w:cs="宋体"/>
                <w:color w:val="auto"/>
                <w:spacing w:val="2"/>
                <w:szCs w:val="21"/>
                <w:highlight w:val="none"/>
                <w:lang w:val="en-US" w:eastAsia="zh-CN"/>
              </w:rPr>
            </w:pPr>
            <w:r>
              <w:rPr>
                <w:rFonts w:hint="eastAsia" w:ascii="宋体" w:hAnsi="宋体" w:cs="宋体"/>
                <w:color w:val="auto"/>
                <w:spacing w:val="2"/>
                <w:szCs w:val="21"/>
                <w:highlight w:val="none"/>
              </w:rPr>
              <w:t>投标人或所投产品生产厂家投入（或拟投入）本项目</w:t>
            </w:r>
            <w:r>
              <w:rPr>
                <w:rFonts w:hint="eastAsia" w:ascii="宋体" w:hAnsi="宋体" w:cs="宋体"/>
                <w:color w:val="auto"/>
                <w:spacing w:val="2"/>
                <w:szCs w:val="21"/>
                <w:highlight w:val="none"/>
                <w:lang w:val="en-US" w:eastAsia="zh-CN"/>
              </w:rPr>
              <w:t>包括但不限于</w:t>
            </w:r>
            <w:r>
              <w:rPr>
                <w:rFonts w:hint="eastAsia" w:ascii="宋体" w:hAnsi="宋体" w:cs="宋体"/>
                <w:color w:val="auto"/>
                <w:spacing w:val="2"/>
                <w:szCs w:val="21"/>
                <w:highlight w:val="none"/>
              </w:rPr>
              <w:t>数据采集管理</w:t>
            </w:r>
            <w:r>
              <w:rPr>
                <w:rFonts w:hint="eastAsia" w:ascii="宋体" w:hAnsi="宋体" w:cs="宋体"/>
                <w:color w:val="auto"/>
                <w:spacing w:val="2"/>
                <w:szCs w:val="21"/>
                <w:highlight w:val="none"/>
                <w:lang w:eastAsia="zh-CN"/>
              </w:rPr>
              <w:t>、</w:t>
            </w:r>
            <w:r>
              <w:rPr>
                <w:rFonts w:hint="eastAsia" w:ascii="宋体" w:hAnsi="宋体" w:cs="宋体"/>
                <w:color w:val="auto"/>
                <w:spacing w:val="2"/>
                <w:szCs w:val="21"/>
                <w:highlight w:val="none"/>
                <w:lang w:val="en-US" w:eastAsia="zh-CN"/>
              </w:rPr>
              <w:t>抽样、检测等与本项目</w:t>
            </w:r>
            <w:r>
              <w:rPr>
                <w:rFonts w:hint="eastAsia" w:ascii="宋体" w:hAnsi="宋体" w:cs="宋体"/>
                <w:color w:val="auto"/>
                <w:spacing w:val="2"/>
                <w:szCs w:val="21"/>
                <w:highlight w:val="none"/>
              </w:rPr>
              <w:t>相关的软件，</w:t>
            </w:r>
            <w:r>
              <w:rPr>
                <w:rFonts w:hint="eastAsia" w:ascii="宋体" w:hAnsi="宋体" w:cs="宋体"/>
                <w:color w:val="auto"/>
                <w:spacing w:val="2"/>
                <w:szCs w:val="21"/>
                <w:highlight w:val="none"/>
              </w:rPr>
              <w:t>每提供1项相关证明材料得</w:t>
            </w:r>
            <w:r>
              <w:rPr>
                <w:rFonts w:hint="eastAsia" w:ascii="宋体" w:hAnsi="宋体" w:cs="宋体"/>
                <w:color w:val="auto"/>
                <w:spacing w:val="2"/>
                <w:szCs w:val="21"/>
                <w:highlight w:val="none"/>
                <w:lang w:val="en-US" w:eastAsia="zh-CN"/>
              </w:rPr>
              <w:t>1</w:t>
            </w:r>
            <w:r>
              <w:rPr>
                <w:rFonts w:hint="eastAsia" w:ascii="宋体" w:hAnsi="宋体" w:cs="宋体"/>
                <w:color w:val="auto"/>
                <w:spacing w:val="2"/>
                <w:szCs w:val="21"/>
                <w:highlight w:val="none"/>
              </w:rPr>
              <w:t>分，满分5分，不提供不得分。</w:t>
            </w:r>
            <w:r>
              <w:rPr>
                <w:rFonts w:hint="eastAsia"/>
                <w:color w:val="auto"/>
                <w:highlight w:val="none"/>
              </w:rPr>
              <w:t>以上材料提供清单汇总表（包括但不限于</w:t>
            </w:r>
            <w:r>
              <w:rPr>
                <w:rFonts w:hint="eastAsia"/>
                <w:color w:val="auto"/>
                <w:highlight w:val="none"/>
                <w:lang w:val="en-US" w:eastAsia="zh-CN"/>
              </w:rPr>
              <w:t>软件</w:t>
            </w:r>
            <w:r>
              <w:rPr>
                <w:rFonts w:hint="eastAsia"/>
                <w:color w:val="auto"/>
                <w:highlight w:val="none"/>
              </w:rPr>
              <w:t>名称</w:t>
            </w:r>
            <w:r>
              <w:rPr>
                <w:rFonts w:hint="eastAsia"/>
                <w:color w:val="auto"/>
                <w:highlight w:val="none"/>
                <w:lang w:eastAsia="zh-CN"/>
              </w:rPr>
              <w:t>、</w:t>
            </w:r>
            <w:r>
              <w:rPr>
                <w:rFonts w:hint="eastAsia"/>
                <w:color w:val="auto"/>
                <w:highlight w:val="none"/>
                <w:lang w:val="en-US" w:eastAsia="zh-CN"/>
              </w:rPr>
              <w:t>主要功能</w:t>
            </w:r>
            <w:r>
              <w:rPr>
                <w:rFonts w:hint="eastAsia"/>
                <w:color w:val="auto"/>
                <w:highlight w:val="none"/>
              </w:rPr>
              <w:t>等）</w:t>
            </w:r>
            <w:r>
              <w:rPr>
                <w:rFonts w:hint="eastAsia"/>
                <w:color w:val="auto"/>
                <w:highlight w:val="none"/>
                <w:lang w:eastAsia="zh-CN"/>
              </w:rPr>
              <w:t>。</w:t>
            </w:r>
            <w:r>
              <w:rPr>
                <w:rFonts w:hint="eastAsia" w:ascii="宋体" w:hAnsi="宋体" w:cs="宋体"/>
                <w:color w:val="auto"/>
                <w:spacing w:val="2"/>
                <w:szCs w:val="21"/>
                <w:highlight w:val="none"/>
                <w:lang w:val="en-US" w:eastAsia="zh-CN"/>
              </w:rPr>
              <w:t xml:space="preserve"> </w:t>
            </w:r>
          </w:p>
        </w:tc>
      </w:tr>
      <w:tr w14:paraId="3CDE1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9715" w:type="dxa"/>
            <w:gridSpan w:val="4"/>
            <w:tcBorders>
              <w:top w:val="single" w:color="auto" w:sz="4" w:space="0"/>
              <w:left w:val="single" w:color="auto" w:sz="4" w:space="0"/>
              <w:bottom w:val="single" w:color="auto" w:sz="4" w:space="0"/>
              <w:right w:val="single" w:color="auto" w:sz="4" w:space="0"/>
            </w:tcBorders>
            <w:vAlign w:val="center"/>
          </w:tcPr>
          <w:p w14:paraId="6AAACCE4">
            <w:pPr>
              <w:snapToGrid w:val="0"/>
              <w:spacing w:line="360" w:lineRule="auto"/>
              <w:ind w:firstLine="428" w:firstLineChars="200"/>
              <w:rPr>
                <w:rFonts w:hint="eastAsia" w:ascii="宋体" w:hAnsi="宋体" w:cs="宋体"/>
                <w:color w:val="auto"/>
                <w:spacing w:val="2"/>
                <w:szCs w:val="21"/>
                <w:highlight w:val="none"/>
              </w:rPr>
            </w:pPr>
            <w:r>
              <w:rPr>
                <w:rFonts w:hint="eastAsia" w:ascii="宋体" w:hAnsi="宋体" w:cs="宋体"/>
                <w:color w:val="auto"/>
                <w:spacing w:val="2"/>
                <w:szCs w:val="21"/>
                <w:highlight w:val="none"/>
              </w:rPr>
              <w:t xml:space="preserve">总得分=1+2+3                                       </w:t>
            </w:r>
          </w:p>
        </w:tc>
      </w:tr>
      <w:bookmarkEnd w:id="133"/>
    </w:tbl>
    <w:p w14:paraId="472C0E6A">
      <w:pPr>
        <w:pStyle w:val="4"/>
        <w:keepNext w:val="0"/>
        <w:keepLines w:val="0"/>
        <w:jc w:val="center"/>
        <w:rPr>
          <w:rFonts w:hint="eastAsia" w:ascii="宋体" w:hAnsi="宋体" w:cs="宋体"/>
          <w:color w:val="auto"/>
          <w:sz w:val="30"/>
          <w:szCs w:val="30"/>
          <w:highlight w:val="none"/>
        </w:rPr>
      </w:pPr>
      <w:r>
        <w:rPr>
          <w:rFonts w:hint="eastAsia" w:ascii="宋体" w:hAnsi="宋体" w:cs="宋体"/>
          <w:color w:val="auto"/>
          <w:sz w:val="30"/>
          <w:szCs w:val="30"/>
          <w:highlight w:val="none"/>
        </w:rPr>
        <w:t>四、中标候选人推荐原则</w:t>
      </w:r>
    </w:p>
    <w:p w14:paraId="53F62C0D">
      <w:pPr>
        <w:pStyle w:val="32"/>
        <w:jc w:val="center"/>
        <w:rPr>
          <w:rFonts w:hint="eastAsia" w:hAnsi="宋体" w:cs="宋体"/>
          <w:color w:val="auto"/>
          <w:sz w:val="30"/>
          <w:szCs w:val="30"/>
          <w:highlight w:val="none"/>
        </w:rPr>
      </w:pPr>
      <w:r>
        <w:rPr>
          <w:rFonts w:hint="eastAsia" w:hAnsi="宋体" w:cs="宋体"/>
          <w:color w:val="auto"/>
          <w:sz w:val="30"/>
          <w:szCs w:val="30"/>
          <w:highlight w:val="none"/>
        </w:rPr>
        <w:t>综合评分法</w:t>
      </w:r>
    </w:p>
    <w:p w14:paraId="0F1CD4D0">
      <w:pPr>
        <w:pStyle w:val="32"/>
        <w:spacing w:line="360" w:lineRule="auto"/>
        <w:ind w:firstLine="456" w:firstLineChars="200"/>
        <w:rPr>
          <w:rFonts w:hint="eastAsia" w:hAnsi="宋体" w:cs="宋体"/>
          <w:color w:val="auto"/>
          <w:sz w:val="24"/>
          <w:szCs w:val="24"/>
          <w:highlight w:val="none"/>
        </w:rPr>
      </w:pPr>
      <w:r>
        <w:rPr>
          <w:rFonts w:hint="eastAsia" w:hAnsi="宋体" w:cs="宋体"/>
          <w:color w:val="auto"/>
          <w:sz w:val="24"/>
          <w:szCs w:val="24"/>
          <w:highlight w:val="none"/>
        </w:rPr>
        <w:t>1.评标委员会根据原始评标记录和评标结果编写评标报告，并通过电子交易平台向采购人、采购代理机构提交。</w:t>
      </w:r>
    </w:p>
    <w:p w14:paraId="18A6D096">
      <w:pPr>
        <w:pStyle w:val="32"/>
        <w:spacing w:line="360" w:lineRule="auto"/>
        <w:ind w:firstLine="456" w:firstLineChars="200"/>
        <w:rPr>
          <w:rFonts w:hint="eastAsia" w:hAnsi="宋体" w:cs="宋体"/>
          <w:color w:val="auto"/>
          <w:sz w:val="24"/>
          <w:szCs w:val="24"/>
          <w:highlight w:val="none"/>
        </w:rPr>
      </w:pPr>
      <w:r>
        <w:rPr>
          <w:rFonts w:hint="eastAsia" w:hAnsi="宋体" w:cs="宋体"/>
          <w:color w:val="auto"/>
          <w:sz w:val="24"/>
          <w:szCs w:val="24"/>
          <w:highlight w:val="none"/>
        </w:rPr>
        <w:t>2.评标委员会将根据总得分由高到低排列次序并推荐中标候选人。得分相同的，以投标报价由低到高顺序排列，得分相同且投标报价相同的并列。投标文件满足招标文件全部实质性要求，且按照评审因素的量化指标评审得分最高的投标人为排名第一的中标候选人。</w:t>
      </w:r>
    </w:p>
    <w:p w14:paraId="11D7F934">
      <w:pPr>
        <w:pStyle w:val="32"/>
        <w:spacing w:line="360" w:lineRule="auto"/>
        <w:ind w:firstLine="456" w:firstLineChars="200"/>
        <w:rPr>
          <w:rFonts w:hint="eastAsia" w:hAnsi="宋体" w:cs="宋体"/>
          <w:color w:val="auto"/>
          <w:sz w:val="24"/>
          <w:szCs w:val="24"/>
          <w:highlight w:val="none"/>
        </w:rPr>
      </w:pPr>
      <w:r>
        <w:rPr>
          <w:rFonts w:hint="eastAsia" w:hAnsi="宋体" w:cs="宋体"/>
          <w:color w:val="auto"/>
          <w:sz w:val="24"/>
          <w:szCs w:val="24"/>
          <w:highlight w:val="none"/>
        </w:rPr>
        <w:t>说明：投标人可以对所有分标进行投标，也可以选择某个分标或某几个分标进行投标并报价。为保证履约质量，一个投标人只能中 A、B、C、D分标其中一个分标。评标/中标顺序按 A→B→C→D分标顺推。(即中A分标后不能再中 B、C、D分标；中B分标后不能再中 C、D分标，中C分标后不能再中 D分标，以此类推)。采购人应当按评审委员会推荐的排名顺序，按前述原则确定中标候选人作为中标人。总得分相同的，以投标报价由低到高顺序排列。得分相同且投标报价相同的并列，按依次按项目服务方案得分高者优先、检测能力得分高者优先、质量控制及应急能力得分高者优先、项目抽样和制样方案得分高者优先、投入项目的人员得分高者优先、商务分得分高者优先的顺序排列为排名第一的中标候选人。</w:t>
      </w:r>
      <w:r>
        <w:rPr>
          <w:rFonts w:hint="eastAsia" w:hAnsi="宋体" w:cs="宋体"/>
          <w:color w:val="auto"/>
          <w:sz w:val="24"/>
          <w:szCs w:val="24"/>
          <w:highlight w:val="none"/>
        </w:rPr>
        <w:br w:type="page"/>
      </w:r>
    </w:p>
    <w:p w14:paraId="029F9993">
      <w:pPr>
        <w:spacing w:before="120" w:beforeLines="50" w:after="120" w:afterLines="50" w:line="400" w:lineRule="exact"/>
        <w:rPr>
          <w:rFonts w:hint="eastAsia" w:ascii="宋体" w:hAnsi="宋体" w:cs="宋体"/>
          <w:b/>
          <w:color w:val="auto"/>
          <w:sz w:val="24"/>
          <w:highlight w:val="none"/>
        </w:rPr>
      </w:pPr>
    </w:p>
    <w:p w14:paraId="3CE186C5">
      <w:pPr>
        <w:spacing w:before="120" w:beforeLines="50" w:after="120" w:afterLines="50" w:line="400" w:lineRule="exact"/>
        <w:rPr>
          <w:rFonts w:hint="eastAsia" w:ascii="宋体" w:hAnsi="宋体" w:cs="宋体"/>
          <w:b/>
          <w:color w:val="auto"/>
          <w:sz w:val="24"/>
          <w:highlight w:val="none"/>
        </w:rPr>
      </w:pPr>
    </w:p>
    <w:p w14:paraId="25579B07">
      <w:pPr>
        <w:spacing w:before="120" w:beforeLines="50" w:after="120" w:afterLines="50" w:line="400" w:lineRule="exact"/>
        <w:rPr>
          <w:rFonts w:hint="eastAsia" w:ascii="宋体" w:hAnsi="宋体" w:cs="宋体"/>
          <w:b/>
          <w:color w:val="auto"/>
          <w:sz w:val="24"/>
          <w:highlight w:val="none"/>
        </w:rPr>
      </w:pPr>
    </w:p>
    <w:p w14:paraId="3C9913D3">
      <w:pPr>
        <w:spacing w:before="120" w:beforeLines="50" w:after="120" w:afterLines="50" w:line="400" w:lineRule="exact"/>
        <w:rPr>
          <w:rFonts w:hint="eastAsia" w:ascii="宋体" w:hAnsi="宋体" w:cs="宋体"/>
          <w:b/>
          <w:color w:val="auto"/>
          <w:sz w:val="24"/>
          <w:highlight w:val="none"/>
        </w:rPr>
      </w:pPr>
    </w:p>
    <w:p w14:paraId="43E374EA">
      <w:pPr>
        <w:spacing w:before="120" w:beforeLines="50" w:after="120" w:afterLines="50" w:line="400" w:lineRule="exact"/>
        <w:rPr>
          <w:rFonts w:hint="eastAsia" w:ascii="宋体" w:hAnsi="宋体" w:cs="宋体"/>
          <w:b/>
          <w:color w:val="auto"/>
          <w:sz w:val="24"/>
          <w:highlight w:val="none"/>
        </w:rPr>
      </w:pPr>
    </w:p>
    <w:p w14:paraId="0D935630">
      <w:pPr>
        <w:spacing w:before="120" w:beforeLines="50" w:after="120" w:afterLines="50" w:line="400" w:lineRule="exact"/>
        <w:rPr>
          <w:rFonts w:hint="eastAsia" w:ascii="宋体" w:hAnsi="宋体" w:cs="宋体"/>
          <w:b/>
          <w:color w:val="auto"/>
          <w:sz w:val="24"/>
          <w:highlight w:val="none"/>
        </w:rPr>
      </w:pPr>
    </w:p>
    <w:p w14:paraId="11EF9692">
      <w:pPr>
        <w:spacing w:before="120" w:beforeLines="50" w:after="120" w:afterLines="50" w:line="400" w:lineRule="exact"/>
        <w:rPr>
          <w:rFonts w:hint="eastAsia" w:ascii="宋体" w:hAnsi="宋体" w:cs="宋体"/>
          <w:b/>
          <w:color w:val="auto"/>
          <w:sz w:val="24"/>
          <w:highlight w:val="none"/>
        </w:rPr>
      </w:pPr>
    </w:p>
    <w:p w14:paraId="32F2AA95">
      <w:pPr>
        <w:pStyle w:val="2"/>
        <w:jc w:val="center"/>
        <w:rPr>
          <w:rFonts w:hint="eastAsia" w:ascii="宋体" w:hAnsi="宋体" w:cs="宋体"/>
          <w:color w:val="auto"/>
          <w:highlight w:val="none"/>
        </w:rPr>
      </w:pPr>
      <w:bookmarkStart w:id="134" w:name="_Toc6945"/>
      <w:bookmarkStart w:id="135" w:name="_Toc28267"/>
      <w:r>
        <w:rPr>
          <w:rFonts w:hint="eastAsia" w:ascii="宋体" w:hAnsi="宋体" w:cs="宋体"/>
          <w:color w:val="auto"/>
          <w:highlight w:val="none"/>
        </w:rPr>
        <w:t>第五章  拟签订的合同文本</w:t>
      </w:r>
      <w:bookmarkEnd w:id="134"/>
      <w:bookmarkEnd w:id="135"/>
    </w:p>
    <w:p w14:paraId="483C293C">
      <w:pPr>
        <w:snapToGrid w:val="0"/>
        <w:jc w:val="center"/>
        <w:rPr>
          <w:rFonts w:hint="eastAsia" w:ascii="宋体" w:hAnsi="宋体" w:cs="宋体"/>
          <w:bCs/>
          <w:color w:val="auto"/>
          <w:sz w:val="32"/>
          <w:szCs w:val="32"/>
          <w:highlight w:val="none"/>
        </w:rPr>
      </w:pPr>
    </w:p>
    <w:p w14:paraId="0700FA2D">
      <w:pPr>
        <w:snapToGrid w:val="0"/>
        <w:jc w:val="center"/>
        <w:rPr>
          <w:rFonts w:hint="eastAsia" w:ascii="宋体" w:hAnsi="宋体" w:cs="宋体"/>
          <w:bCs/>
          <w:color w:val="auto"/>
          <w:sz w:val="32"/>
          <w:szCs w:val="32"/>
          <w:highlight w:val="none"/>
        </w:rPr>
      </w:pPr>
    </w:p>
    <w:p w14:paraId="1081087D">
      <w:pPr>
        <w:snapToGrid w:val="0"/>
        <w:jc w:val="center"/>
        <w:rPr>
          <w:rFonts w:hint="eastAsia" w:ascii="宋体" w:hAnsi="宋体" w:cs="宋体"/>
          <w:bCs/>
          <w:color w:val="auto"/>
          <w:sz w:val="32"/>
          <w:szCs w:val="32"/>
          <w:highlight w:val="none"/>
        </w:rPr>
      </w:pPr>
    </w:p>
    <w:p w14:paraId="40C04BC7">
      <w:pPr>
        <w:snapToGrid w:val="0"/>
        <w:jc w:val="center"/>
        <w:rPr>
          <w:rFonts w:hint="eastAsia" w:ascii="宋体" w:hAnsi="宋体" w:cs="宋体"/>
          <w:bCs/>
          <w:color w:val="auto"/>
          <w:sz w:val="32"/>
          <w:szCs w:val="32"/>
          <w:highlight w:val="none"/>
        </w:rPr>
      </w:pPr>
    </w:p>
    <w:p w14:paraId="0B9680E8">
      <w:pPr>
        <w:snapToGrid w:val="0"/>
        <w:jc w:val="center"/>
        <w:rPr>
          <w:rFonts w:hint="eastAsia" w:ascii="宋体" w:hAnsi="宋体" w:cs="宋体"/>
          <w:bCs/>
          <w:color w:val="auto"/>
          <w:sz w:val="32"/>
          <w:szCs w:val="32"/>
          <w:highlight w:val="none"/>
        </w:rPr>
      </w:pPr>
    </w:p>
    <w:p w14:paraId="5C3F11CA">
      <w:pPr>
        <w:snapToGrid w:val="0"/>
        <w:jc w:val="center"/>
        <w:rPr>
          <w:rFonts w:hint="eastAsia" w:ascii="宋体" w:hAnsi="宋体" w:cs="宋体"/>
          <w:bCs/>
          <w:color w:val="auto"/>
          <w:sz w:val="32"/>
          <w:szCs w:val="32"/>
          <w:highlight w:val="none"/>
        </w:rPr>
      </w:pPr>
    </w:p>
    <w:p w14:paraId="710295F6">
      <w:pPr>
        <w:snapToGrid w:val="0"/>
        <w:jc w:val="center"/>
        <w:rPr>
          <w:rFonts w:hint="eastAsia" w:ascii="宋体" w:hAnsi="宋体" w:cs="宋体"/>
          <w:bCs/>
          <w:color w:val="auto"/>
          <w:sz w:val="32"/>
          <w:szCs w:val="32"/>
          <w:highlight w:val="none"/>
        </w:rPr>
      </w:pPr>
    </w:p>
    <w:p w14:paraId="6B3406A2">
      <w:pPr>
        <w:snapToGrid w:val="0"/>
        <w:jc w:val="center"/>
        <w:rPr>
          <w:rFonts w:hint="eastAsia" w:ascii="宋体" w:hAnsi="宋体" w:cs="宋体"/>
          <w:bCs/>
          <w:color w:val="auto"/>
          <w:sz w:val="32"/>
          <w:szCs w:val="32"/>
          <w:highlight w:val="none"/>
        </w:rPr>
      </w:pPr>
    </w:p>
    <w:p w14:paraId="703D0371">
      <w:pPr>
        <w:snapToGrid w:val="0"/>
        <w:jc w:val="center"/>
        <w:rPr>
          <w:rFonts w:hint="eastAsia" w:ascii="宋体" w:hAnsi="宋体" w:cs="宋体"/>
          <w:bCs/>
          <w:color w:val="auto"/>
          <w:sz w:val="32"/>
          <w:szCs w:val="32"/>
          <w:highlight w:val="none"/>
        </w:rPr>
      </w:pPr>
    </w:p>
    <w:p w14:paraId="681234BC">
      <w:pPr>
        <w:snapToGrid w:val="0"/>
        <w:jc w:val="center"/>
        <w:rPr>
          <w:rFonts w:hint="eastAsia" w:ascii="宋体" w:hAnsi="宋体" w:cs="宋体"/>
          <w:bCs/>
          <w:color w:val="auto"/>
          <w:sz w:val="32"/>
          <w:szCs w:val="32"/>
          <w:highlight w:val="none"/>
        </w:rPr>
      </w:pPr>
    </w:p>
    <w:p w14:paraId="09647B0B">
      <w:pPr>
        <w:snapToGrid w:val="0"/>
        <w:jc w:val="center"/>
        <w:rPr>
          <w:rFonts w:hint="eastAsia" w:ascii="宋体" w:hAnsi="宋体" w:cs="宋体"/>
          <w:bCs/>
          <w:color w:val="auto"/>
          <w:sz w:val="32"/>
          <w:szCs w:val="32"/>
          <w:highlight w:val="none"/>
        </w:rPr>
      </w:pPr>
    </w:p>
    <w:p w14:paraId="51B8EBA0">
      <w:pPr>
        <w:snapToGrid w:val="0"/>
        <w:jc w:val="center"/>
        <w:rPr>
          <w:rFonts w:hint="eastAsia" w:ascii="宋体" w:hAnsi="宋体" w:cs="宋体"/>
          <w:bCs/>
          <w:color w:val="auto"/>
          <w:sz w:val="32"/>
          <w:szCs w:val="32"/>
          <w:highlight w:val="none"/>
        </w:rPr>
      </w:pPr>
    </w:p>
    <w:p w14:paraId="40153522">
      <w:pPr>
        <w:snapToGrid w:val="0"/>
        <w:jc w:val="center"/>
        <w:rPr>
          <w:rFonts w:hint="eastAsia" w:ascii="宋体" w:hAnsi="宋体" w:cs="宋体"/>
          <w:bCs/>
          <w:color w:val="auto"/>
          <w:sz w:val="32"/>
          <w:szCs w:val="32"/>
          <w:highlight w:val="none"/>
        </w:rPr>
      </w:pPr>
    </w:p>
    <w:p w14:paraId="226F6FA2">
      <w:pPr>
        <w:snapToGrid w:val="0"/>
        <w:jc w:val="center"/>
        <w:rPr>
          <w:rFonts w:hint="eastAsia" w:ascii="宋体" w:hAnsi="宋体" w:cs="宋体"/>
          <w:bCs/>
          <w:color w:val="auto"/>
          <w:sz w:val="32"/>
          <w:szCs w:val="32"/>
          <w:highlight w:val="none"/>
        </w:rPr>
      </w:pPr>
    </w:p>
    <w:p w14:paraId="47AA5D0E">
      <w:pPr>
        <w:snapToGrid w:val="0"/>
        <w:jc w:val="center"/>
        <w:rPr>
          <w:rFonts w:hint="eastAsia" w:ascii="宋体" w:hAnsi="宋体" w:cs="宋体"/>
          <w:bCs/>
          <w:color w:val="auto"/>
          <w:sz w:val="32"/>
          <w:szCs w:val="32"/>
          <w:highlight w:val="none"/>
        </w:rPr>
      </w:pPr>
    </w:p>
    <w:p w14:paraId="535774F8">
      <w:pPr>
        <w:rPr>
          <w:rFonts w:hint="eastAsia" w:ascii="宋体" w:hAnsi="宋体" w:cs="宋体"/>
          <w:color w:val="auto"/>
          <w:sz w:val="28"/>
          <w:szCs w:val="28"/>
          <w:highlight w:val="none"/>
        </w:rPr>
      </w:pPr>
      <w:r>
        <w:rPr>
          <w:rFonts w:hint="eastAsia" w:ascii="宋体" w:hAnsi="宋体" w:cs="宋体"/>
          <w:color w:val="auto"/>
          <w:sz w:val="28"/>
          <w:szCs w:val="28"/>
          <w:highlight w:val="none"/>
        </w:rPr>
        <w:br w:type="page"/>
      </w:r>
    </w:p>
    <w:p w14:paraId="0ADB2F52">
      <w:pPr>
        <w:snapToGrid w:val="0"/>
        <w:spacing w:line="480" w:lineRule="auto"/>
        <w:ind w:left="5880" w:hanging="5880" w:hangingChars="2800"/>
        <w:rPr>
          <w:rFonts w:hint="eastAsia" w:ascii="宋体" w:hAnsi="宋体" w:cs="宋体"/>
          <w:color w:val="auto"/>
          <w:szCs w:val="21"/>
          <w:highlight w:val="none"/>
        </w:rPr>
      </w:pPr>
      <w:r>
        <w:rPr>
          <w:rFonts w:hint="eastAsia" w:ascii="宋体" w:hAnsi="宋体" w:cs="宋体"/>
          <w:color w:val="auto"/>
          <w:szCs w:val="21"/>
          <w:highlight w:val="none"/>
        </w:rPr>
        <w:t>采购单位（甲方）</w:t>
      </w:r>
      <w:r>
        <w:rPr>
          <w:rFonts w:hint="eastAsia" w:ascii="宋体" w:hAnsi="宋体" w:cs="宋体"/>
          <w:color w:val="auto"/>
          <w:szCs w:val="21"/>
          <w:highlight w:val="none"/>
          <w:u w:val="single"/>
        </w:rPr>
        <w:t>广西壮族自治区农业农村厅</w:t>
      </w:r>
      <w:r>
        <w:rPr>
          <w:rFonts w:hint="eastAsia" w:ascii="宋体" w:hAnsi="宋体" w:cs="宋体"/>
          <w:color w:val="auto"/>
          <w:szCs w:val="21"/>
          <w:highlight w:val="none"/>
        </w:rPr>
        <w:t xml:space="preserve">         </w:t>
      </w:r>
    </w:p>
    <w:p w14:paraId="2CCCAF67">
      <w:pPr>
        <w:snapToGrid w:val="0"/>
        <w:spacing w:line="480" w:lineRule="auto"/>
        <w:rPr>
          <w:rFonts w:hint="eastAsia" w:ascii="宋体" w:hAnsi="宋体" w:cs="宋体"/>
          <w:color w:val="auto"/>
          <w:szCs w:val="21"/>
          <w:highlight w:val="none"/>
          <w:u w:val="single"/>
        </w:rPr>
      </w:pPr>
      <w:r>
        <w:rPr>
          <w:rFonts w:hint="eastAsia" w:ascii="宋体" w:hAnsi="宋体" w:cs="宋体"/>
          <w:color w:val="auto"/>
          <w:szCs w:val="21"/>
          <w:highlight w:val="none"/>
        </w:rPr>
        <w:t xml:space="preserve">供 应 商（乙方） </w:t>
      </w:r>
      <w:r>
        <w:rPr>
          <w:rFonts w:hint="eastAsia" w:ascii="宋体" w:hAnsi="宋体" w:cs="宋体"/>
          <w:color w:val="auto"/>
          <w:szCs w:val="21"/>
          <w:highlight w:val="none"/>
          <w:u w:val="single"/>
        </w:rPr>
        <w:t xml:space="preserve">                       </w:t>
      </w:r>
    </w:p>
    <w:p w14:paraId="2E015EF7">
      <w:pPr>
        <w:snapToGrid w:val="0"/>
        <w:spacing w:line="480" w:lineRule="auto"/>
        <w:rPr>
          <w:rFonts w:hint="eastAsia" w:ascii="宋体" w:hAnsi="宋体" w:cs="宋体"/>
          <w:color w:val="auto"/>
          <w:szCs w:val="21"/>
          <w:highlight w:val="none"/>
        </w:rPr>
      </w:pPr>
      <w:r>
        <w:rPr>
          <w:rFonts w:hint="eastAsia" w:ascii="宋体" w:hAnsi="宋体" w:cs="宋体"/>
          <w:color w:val="auto"/>
          <w:szCs w:val="21"/>
          <w:highlight w:val="none"/>
        </w:rPr>
        <w:t xml:space="preserve">项目名称：    </w:t>
      </w:r>
    </w:p>
    <w:p w14:paraId="29E591D9">
      <w:pPr>
        <w:snapToGrid w:val="0"/>
        <w:spacing w:line="480" w:lineRule="auto"/>
        <w:rPr>
          <w:rFonts w:hint="eastAsia" w:ascii="宋体" w:hAnsi="宋体" w:cs="宋体"/>
          <w:color w:val="auto"/>
          <w:szCs w:val="21"/>
          <w:highlight w:val="none"/>
          <w:u w:val="single"/>
        </w:rPr>
      </w:pPr>
      <w:r>
        <w:rPr>
          <w:rFonts w:hint="eastAsia" w:ascii="宋体" w:hAnsi="宋体" w:cs="宋体"/>
          <w:color w:val="auto"/>
          <w:szCs w:val="21"/>
          <w:highlight w:val="none"/>
        </w:rPr>
        <w:t>项目编号：</w:t>
      </w:r>
    </w:p>
    <w:p w14:paraId="60791192">
      <w:pPr>
        <w:snapToGrid w:val="0"/>
        <w:spacing w:line="480" w:lineRule="auto"/>
        <w:rPr>
          <w:rFonts w:hint="eastAsia" w:ascii="宋体" w:hAnsi="宋体" w:cs="宋体"/>
          <w:color w:val="auto"/>
          <w:szCs w:val="21"/>
          <w:highlight w:val="none"/>
          <w:u w:val="single"/>
        </w:rPr>
      </w:pPr>
      <w:r>
        <w:rPr>
          <w:rFonts w:hint="eastAsia" w:ascii="宋体" w:hAnsi="宋体" w:cs="宋体"/>
          <w:color w:val="auto"/>
          <w:szCs w:val="21"/>
          <w:highlight w:val="none"/>
        </w:rPr>
        <w:t xml:space="preserve">签订地点：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签订时间：2025年     月     日</w:t>
      </w:r>
    </w:p>
    <w:p w14:paraId="735A40CD">
      <w:p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根据《中华人民共和国政府采购法》、《中华人民共和国民法典》等法律、法规规定，按照招投标（采购文件）规定条款和中标人承诺，甲乙双方签订本合同。</w:t>
      </w:r>
    </w:p>
    <w:p w14:paraId="168E08F1">
      <w:pPr>
        <w:snapToGrid w:val="0"/>
        <w:spacing w:line="48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第一条　合同标的</w:t>
      </w:r>
    </w:p>
    <w:p w14:paraId="67D85655">
      <w:p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1、提供项目（服务）一览表</w:t>
      </w:r>
    </w:p>
    <w:tbl>
      <w:tblPr>
        <w:tblStyle w:val="63"/>
        <w:tblW w:w="98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0"/>
        <w:gridCol w:w="2230"/>
        <w:gridCol w:w="1483"/>
        <w:gridCol w:w="1339"/>
        <w:gridCol w:w="1815"/>
        <w:gridCol w:w="2236"/>
      </w:tblGrid>
      <w:tr w14:paraId="0435A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jc w:val="center"/>
        </w:trPr>
        <w:tc>
          <w:tcPr>
            <w:tcW w:w="780" w:type="dxa"/>
            <w:vAlign w:val="center"/>
          </w:tcPr>
          <w:p w14:paraId="5B06856B">
            <w:pPr>
              <w:spacing w:line="480" w:lineRule="auto"/>
              <w:jc w:val="center"/>
              <w:rPr>
                <w:rFonts w:hint="eastAsia" w:ascii="宋体" w:hAnsi="宋体" w:cs="宋体"/>
                <w:color w:val="auto"/>
                <w:szCs w:val="21"/>
                <w:highlight w:val="none"/>
              </w:rPr>
            </w:pPr>
            <w:r>
              <w:rPr>
                <w:rFonts w:hint="eastAsia" w:ascii="宋体" w:hAnsi="宋体" w:cs="宋体"/>
                <w:color w:val="auto"/>
                <w:szCs w:val="21"/>
                <w:highlight w:val="none"/>
              </w:rPr>
              <w:t>项号</w:t>
            </w:r>
          </w:p>
        </w:tc>
        <w:tc>
          <w:tcPr>
            <w:tcW w:w="2230" w:type="dxa"/>
            <w:vAlign w:val="center"/>
          </w:tcPr>
          <w:p w14:paraId="51FF86E8">
            <w:pPr>
              <w:spacing w:line="480" w:lineRule="auto"/>
              <w:jc w:val="center"/>
              <w:rPr>
                <w:rFonts w:hint="eastAsia" w:ascii="宋体" w:hAnsi="宋体" w:cs="宋体"/>
                <w:color w:val="auto"/>
                <w:szCs w:val="21"/>
                <w:highlight w:val="none"/>
              </w:rPr>
            </w:pPr>
            <w:r>
              <w:rPr>
                <w:rFonts w:hint="eastAsia" w:ascii="宋体" w:hAnsi="宋体" w:cs="宋体"/>
                <w:color w:val="auto"/>
                <w:szCs w:val="21"/>
                <w:highlight w:val="none"/>
              </w:rPr>
              <w:t>服务名称</w:t>
            </w:r>
          </w:p>
        </w:tc>
        <w:tc>
          <w:tcPr>
            <w:tcW w:w="1483" w:type="dxa"/>
            <w:vAlign w:val="center"/>
          </w:tcPr>
          <w:p w14:paraId="301E98C5">
            <w:pPr>
              <w:spacing w:line="480" w:lineRule="auto"/>
              <w:jc w:val="center"/>
              <w:rPr>
                <w:rFonts w:hint="eastAsia" w:ascii="宋体" w:hAnsi="宋体" w:cs="宋体"/>
                <w:color w:val="auto"/>
                <w:szCs w:val="21"/>
                <w:highlight w:val="none"/>
              </w:rPr>
            </w:pPr>
            <w:r>
              <w:rPr>
                <w:rFonts w:hint="eastAsia" w:ascii="宋体" w:hAnsi="宋体" w:cs="宋体"/>
                <w:color w:val="auto"/>
                <w:szCs w:val="21"/>
                <w:highlight w:val="none"/>
              </w:rPr>
              <w:t>数量</w:t>
            </w:r>
          </w:p>
        </w:tc>
        <w:tc>
          <w:tcPr>
            <w:tcW w:w="1339" w:type="dxa"/>
            <w:vAlign w:val="center"/>
          </w:tcPr>
          <w:p w14:paraId="76873FE4">
            <w:pPr>
              <w:spacing w:line="480" w:lineRule="auto"/>
              <w:jc w:val="center"/>
              <w:rPr>
                <w:rFonts w:hint="eastAsia" w:ascii="宋体" w:hAnsi="宋体" w:cs="宋体"/>
                <w:color w:val="auto"/>
                <w:szCs w:val="21"/>
                <w:highlight w:val="none"/>
              </w:rPr>
            </w:pPr>
            <w:r>
              <w:rPr>
                <w:rFonts w:hint="eastAsia" w:ascii="宋体" w:hAnsi="宋体" w:cs="宋体"/>
                <w:color w:val="auto"/>
                <w:szCs w:val="21"/>
                <w:highlight w:val="none"/>
              </w:rPr>
              <w:t>单位</w:t>
            </w:r>
          </w:p>
        </w:tc>
        <w:tc>
          <w:tcPr>
            <w:tcW w:w="1815" w:type="dxa"/>
            <w:vAlign w:val="center"/>
          </w:tcPr>
          <w:p w14:paraId="3ADAA9F7">
            <w:pPr>
              <w:spacing w:line="480" w:lineRule="auto"/>
              <w:jc w:val="center"/>
              <w:rPr>
                <w:rFonts w:hint="eastAsia" w:ascii="宋体" w:hAnsi="宋体" w:cs="宋体"/>
                <w:color w:val="auto"/>
                <w:szCs w:val="21"/>
                <w:highlight w:val="none"/>
              </w:rPr>
            </w:pPr>
            <w:r>
              <w:rPr>
                <w:rFonts w:hint="eastAsia" w:ascii="宋体" w:hAnsi="宋体" w:cs="宋体"/>
                <w:color w:val="auto"/>
                <w:szCs w:val="21"/>
                <w:highlight w:val="none"/>
              </w:rPr>
              <w:t>单价（元）</w:t>
            </w:r>
          </w:p>
        </w:tc>
        <w:tc>
          <w:tcPr>
            <w:tcW w:w="2236" w:type="dxa"/>
            <w:vAlign w:val="center"/>
          </w:tcPr>
          <w:p w14:paraId="5B3A6D92">
            <w:pPr>
              <w:spacing w:line="480" w:lineRule="auto"/>
              <w:jc w:val="center"/>
              <w:rPr>
                <w:rFonts w:hint="eastAsia" w:ascii="宋体" w:hAnsi="宋体" w:cs="宋体"/>
                <w:color w:val="auto"/>
                <w:szCs w:val="21"/>
                <w:highlight w:val="none"/>
              </w:rPr>
            </w:pPr>
            <w:r>
              <w:rPr>
                <w:rFonts w:hint="eastAsia" w:ascii="宋体" w:hAnsi="宋体" w:cs="宋体"/>
                <w:color w:val="auto"/>
                <w:szCs w:val="21"/>
                <w:highlight w:val="none"/>
              </w:rPr>
              <w:t>单项合计（元）</w:t>
            </w:r>
          </w:p>
        </w:tc>
      </w:tr>
      <w:tr w14:paraId="50A64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jc w:val="center"/>
        </w:trPr>
        <w:tc>
          <w:tcPr>
            <w:tcW w:w="780" w:type="dxa"/>
            <w:vAlign w:val="center"/>
          </w:tcPr>
          <w:p w14:paraId="7A9013BC">
            <w:pPr>
              <w:spacing w:line="480" w:lineRule="auto"/>
              <w:jc w:val="center"/>
              <w:rPr>
                <w:rFonts w:hint="eastAsia" w:ascii="宋体" w:hAnsi="宋体" w:cs="宋体"/>
                <w:color w:val="auto"/>
                <w:szCs w:val="21"/>
                <w:highlight w:val="none"/>
              </w:rPr>
            </w:pPr>
            <w:r>
              <w:rPr>
                <w:rFonts w:hint="eastAsia" w:ascii="宋体" w:hAnsi="宋体" w:cs="宋体"/>
                <w:color w:val="auto"/>
                <w:szCs w:val="21"/>
                <w:highlight w:val="none"/>
              </w:rPr>
              <w:t>1</w:t>
            </w:r>
          </w:p>
        </w:tc>
        <w:tc>
          <w:tcPr>
            <w:tcW w:w="2230" w:type="dxa"/>
            <w:vAlign w:val="center"/>
          </w:tcPr>
          <w:p w14:paraId="19ED6524">
            <w:pPr>
              <w:spacing w:line="480" w:lineRule="auto"/>
              <w:jc w:val="center"/>
              <w:rPr>
                <w:rFonts w:hint="eastAsia" w:ascii="宋体" w:hAnsi="宋体" w:cs="宋体"/>
                <w:color w:val="auto"/>
                <w:szCs w:val="21"/>
                <w:highlight w:val="none"/>
              </w:rPr>
            </w:pPr>
          </w:p>
        </w:tc>
        <w:tc>
          <w:tcPr>
            <w:tcW w:w="1483" w:type="dxa"/>
            <w:vAlign w:val="center"/>
          </w:tcPr>
          <w:p w14:paraId="1FCB0517">
            <w:pPr>
              <w:spacing w:line="480" w:lineRule="auto"/>
              <w:jc w:val="center"/>
              <w:rPr>
                <w:rFonts w:hint="eastAsia" w:ascii="宋体" w:hAnsi="宋体" w:cs="宋体"/>
                <w:color w:val="auto"/>
                <w:szCs w:val="21"/>
                <w:highlight w:val="none"/>
              </w:rPr>
            </w:pPr>
          </w:p>
        </w:tc>
        <w:tc>
          <w:tcPr>
            <w:tcW w:w="1339" w:type="dxa"/>
            <w:vAlign w:val="center"/>
          </w:tcPr>
          <w:p w14:paraId="6A2072BF">
            <w:pPr>
              <w:spacing w:line="480" w:lineRule="auto"/>
              <w:jc w:val="center"/>
              <w:rPr>
                <w:rFonts w:hint="eastAsia" w:ascii="宋体" w:hAnsi="宋体" w:cs="宋体"/>
                <w:color w:val="auto"/>
                <w:szCs w:val="21"/>
                <w:highlight w:val="none"/>
              </w:rPr>
            </w:pPr>
          </w:p>
        </w:tc>
        <w:tc>
          <w:tcPr>
            <w:tcW w:w="1815" w:type="dxa"/>
            <w:vAlign w:val="center"/>
          </w:tcPr>
          <w:p w14:paraId="7CD7F75E">
            <w:pPr>
              <w:spacing w:line="480" w:lineRule="auto"/>
              <w:jc w:val="center"/>
              <w:rPr>
                <w:rFonts w:hint="eastAsia" w:ascii="宋体" w:hAnsi="宋体" w:cs="宋体"/>
                <w:color w:val="auto"/>
                <w:szCs w:val="21"/>
                <w:highlight w:val="none"/>
              </w:rPr>
            </w:pPr>
          </w:p>
        </w:tc>
        <w:tc>
          <w:tcPr>
            <w:tcW w:w="2236" w:type="dxa"/>
            <w:vAlign w:val="center"/>
          </w:tcPr>
          <w:p w14:paraId="6AEDC7E9">
            <w:pPr>
              <w:spacing w:line="480" w:lineRule="auto"/>
              <w:jc w:val="center"/>
              <w:rPr>
                <w:rFonts w:hint="eastAsia" w:ascii="宋体" w:hAnsi="宋体" w:cs="宋体"/>
                <w:color w:val="auto"/>
                <w:szCs w:val="21"/>
                <w:highlight w:val="none"/>
              </w:rPr>
            </w:pPr>
          </w:p>
        </w:tc>
      </w:tr>
      <w:tr w14:paraId="5C327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3" w:type="dxa"/>
            <w:gridSpan w:val="6"/>
            <w:vAlign w:val="center"/>
          </w:tcPr>
          <w:p w14:paraId="0A10FE93">
            <w:pPr>
              <w:spacing w:line="480" w:lineRule="auto"/>
              <w:jc w:val="left"/>
              <w:rPr>
                <w:rFonts w:hint="eastAsia" w:ascii="宋体" w:hAnsi="宋体" w:cs="宋体"/>
                <w:color w:val="auto"/>
                <w:szCs w:val="21"/>
                <w:highlight w:val="none"/>
              </w:rPr>
            </w:pPr>
            <w:r>
              <w:rPr>
                <w:rFonts w:hint="eastAsia" w:ascii="宋体" w:hAnsi="宋体" w:cs="宋体"/>
                <w:color w:val="auto"/>
                <w:szCs w:val="21"/>
                <w:highlight w:val="none"/>
              </w:rPr>
              <w:t>中标单价：</w:t>
            </w:r>
          </w:p>
        </w:tc>
      </w:tr>
      <w:tr w14:paraId="6F31B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9883" w:type="dxa"/>
            <w:gridSpan w:val="6"/>
            <w:vAlign w:val="center"/>
          </w:tcPr>
          <w:p w14:paraId="268DC8B6">
            <w:pPr>
              <w:spacing w:line="480" w:lineRule="auto"/>
              <w:jc w:val="left"/>
              <w:rPr>
                <w:rFonts w:hint="eastAsia" w:ascii="宋体" w:hAnsi="宋体" w:cs="宋体"/>
                <w:color w:val="auto"/>
                <w:szCs w:val="21"/>
                <w:highlight w:val="none"/>
              </w:rPr>
            </w:pPr>
            <w:r>
              <w:rPr>
                <w:rFonts w:hint="eastAsia" w:ascii="宋体" w:hAnsi="宋体" w:cs="宋体"/>
                <w:b/>
                <w:bCs/>
                <w:color w:val="auto"/>
                <w:szCs w:val="21"/>
                <w:highlight w:val="none"/>
              </w:rPr>
              <w:t>注：合同结算金额=实际监测数量*单价。</w:t>
            </w:r>
          </w:p>
        </w:tc>
      </w:tr>
    </w:tbl>
    <w:p w14:paraId="206E31CC">
      <w:pPr>
        <w:tabs>
          <w:tab w:val="left" w:pos="8280"/>
        </w:tabs>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合同合计金额包括相关服务、备品备件、标准附件、专用工具、人员薪酬、交通费、安装、调试、技术支持、检测检验、必要的保费、各项税费、代理服务费、项目验收费等各项费用的总和。如招投标文件对其另有规定的，从其规定。</w:t>
      </w:r>
    </w:p>
    <w:p w14:paraId="017E8AAA">
      <w:pPr>
        <w:tabs>
          <w:tab w:val="left" w:pos="8280"/>
        </w:tabs>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3、具体服务内容、范围及要求详见招标文件“第三章 项目需求”和当年具体实施方案的约定，招标文件中的项目需求与实施方案有冲突的，以实施方案要求为准。</w:t>
      </w:r>
    </w:p>
    <w:p w14:paraId="65AE4212">
      <w:pPr>
        <w:snapToGrid w:val="0"/>
        <w:spacing w:line="480" w:lineRule="auto"/>
        <w:ind w:firstLine="422" w:firstLineChars="200"/>
        <w:rPr>
          <w:rFonts w:hint="eastAsia" w:ascii="宋体" w:hAnsi="宋体" w:cs="宋体"/>
          <w:color w:val="auto"/>
          <w:szCs w:val="21"/>
          <w:highlight w:val="none"/>
        </w:rPr>
      </w:pPr>
      <w:r>
        <w:rPr>
          <w:rFonts w:hint="eastAsia" w:ascii="宋体" w:hAnsi="宋体" w:cs="宋体"/>
          <w:b/>
          <w:color w:val="auto"/>
          <w:szCs w:val="21"/>
          <w:highlight w:val="none"/>
        </w:rPr>
        <w:t>第二条　质量保证</w:t>
      </w:r>
    </w:p>
    <w:p w14:paraId="3189CA7E">
      <w:p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1、乙方所提供的技术条款、服务标准等质量必须与招投标文件和承诺相一致。</w:t>
      </w:r>
    </w:p>
    <w:p w14:paraId="34318CF7">
      <w:p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2、乙方所提供的服务必须是符合招标要求、国家标准、行业标准的。</w:t>
      </w:r>
    </w:p>
    <w:p w14:paraId="1FC76734">
      <w:pPr>
        <w:snapToGrid w:val="0"/>
        <w:spacing w:line="480" w:lineRule="auto"/>
        <w:ind w:firstLine="422" w:firstLineChars="200"/>
        <w:rPr>
          <w:rFonts w:hint="eastAsia" w:ascii="宋体" w:hAnsi="宋体" w:cs="宋体"/>
          <w:color w:val="auto"/>
          <w:szCs w:val="21"/>
          <w:highlight w:val="none"/>
        </w:rPr>
      </w:pPr>
      <w:r>
        <w:rPr>
          <w:rFonts w:hint="eastAsia" w:ascii="宋体" w:hAnsi="宋体" w:cs="宋体"/>
          <w:b/>
          <w:color w:val="auto"/>
          <w:szCs w:val="21"/>
          <w:highlight w:val="none"/>
        </w:rPr>
        <w:t>第三条　权利保证</w:t>
      </w:r>
    </w:p>
    <w:p w14:paraId="26BBA627">
      <w:p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1、乙方应保证所提供服务在使用时不会侵犯任何第三方的专利权、设计权或其他权利。</w:t>
      </w:r>
    </w:p>
    <w:p w14:paraId="48150405">
      <w:p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2、乙方应按采购文件规定的时间向甲方提供使用服务的有关技术资料。</w:t>
      </w:r>
    </w:p>
    <w:p w14:paraId="46FB9E5C">
      <w:p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没有甲方事先书面同意，乙方不得将由甲方提供的有关合同或任何合同条文、规格、计划、图纸、样品或资料提供给与履行本合同无关的任何其他人。即使向履行本合同有关的人员提供，也应注意保密并限于履行合同的必需范围。</w:t>
      </w:r>
    </w:p>
    <w:p w14:paraId="5B59593E">
      <w:p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4、乙方保证所交付的项目的所有权完全属于乙方且无任何抵押、质押、查封等产权瑕疵。</w:t>
      </w:r>
    </w:p>
    <w:p w14:paraId="569945E7">
      <w:pPr>
        <w:snapToGrid w:val="0"/>
        <w:spacing w:line="480" w:lineRule="auto"/>
        <w:ind w:firstLine="422" w:firstLineChars="200"/>
        <w:rPr>
          <w:rFonts w:hint="eastAsia" w:ascii="宋体" w:hAnsi="宋体" w:cs="宋体"/>
          <w:color w:val="auto"/>
          <w:szCs w:val="21"/>
          <w:highlight w:val="none"/>
        </w:rPr>
      </w:pPr>
      <w:r>
        <w:rPr>
          <w:rFonts w:hint="eastAsia" w:ascii="宋体" w:hAnsi="宋体" w:cs="宋体"/>
          <w:b/>
          <w:color w:val="auto"/>
          <w:szCs w:val="21"/>
          <w:highlight w:val="none"/>
        </w:rPr>
        <w:t>第四条　服务期限和验收</w:t>
      </w:r>
    </w:p>
    <w:p w14:paraId="5BBA5CAC">
      <w:p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1、服务期限：自签订合同之日起一年内。</w:t>
      </w:r>
    </w:p>
    <w:p w14:paraId="2C1BC241">
      <w:pPr>
        <w:snapToGrid w:val="0"/>
        <w:spacing w:line="480" w:lineRule="auto"/>
        <w:ind w:firstLine="630" w:firstLineChars="300"/>
        <w:rPr>
          <w:rFonts w:hint="eastAsia" w:ascii="宋体" w:hAnsi="宋体" w:cs="宋体"/>
          <w:color w:val="auto"/>
          <w:szCs w:val="21"/>
          <w:highlight w:val="none"/>
          <w:u w:val="single"/>
        </w:rPr>
      </w:pPr>
      <w:r>
        <w:rPr>
          <w:rFonts w:hint="eastAsia" w:ascii="宋体" w:hAnsi="宋体" w:cs="宋体"/>
          <w:color w:val="auto"/>
          <w:szCs w:val="21"/>
          <w:highlight w:val="none"/>
        </w:rPr>
        <w:t>服务地点：广西区内采购人指定地点。</w:t>
      </w:r>
    </w:p>
    <w:p w14:paraId="63EE8BCD">
      <w:p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2、乙方提供不符合招标文件和本合同约定的服务成果，甲方有权拒绝接受。</w:t>
      </w:r>
    </w:p>
    <w:p w14:paraId="58F03541">
      <w:p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甲方对乙方提交的服务按照采购文件上的采购服务要求和具体实施方案内容规定的服务成果，依据按国家相关标准、行业标准、地方标准或者其他标准、规范进行验收。乙方在指定地点提交服务成果后，甲方应当在项目交付30个工作日内进行验收，逾期不验收的，乙方可视同验收合格。验收合格后由甲乙双方签署验收单并加盖采购单位公章，甲乙双方各执一份。</w:t>
      </w:r>
    </w:p>
    <w:p w14:paraId="1981A7B7">
      <w:p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4、乙方应按要求提交服务成果材料：</w:t>
      </w:r>
      <w:r>
        <w:rPr>
          <w:rFonts w:hint="eastAsia" w:ascii="宋体" w:hAnsi="宋体" w:cs="宋体"/>
          <w:color w:val="auto"/>
          <w:szCs w:val="21"/>
          <w:highlight w:val="none"/>
          <w:u w:val="single"/>
        </w:rPr>
        <w:t>详见乙方投标文件</w:t>
      </w:r>
      <w:r>
        <w:rPr>
          <w:rFonts w:hint="eastAsia" w:ascii="宋体" w:hAnsi="宋体" w:cs="宋体"/>
          <w:color w:val="auto"/>
          <w:szCs w:val="21"/>
          <w:highlight w:val="none"/>
        </w:rPr>
        <w:t>，和当年具体实施方案的约定，招标文件中的成果材料与实施方案有冲突的，以实施方案要求为准。如有缺失应及时补齐，否则视为逾期交付。在验收过程中发现乙方有违约问题，可暂缓资金结算，待违约问题解决后，方可办理资金结算事宜，在此期间，甲方不承担逾期付款责任。</w:t>
      </w:r>
    </w:p>
    <w:p w14:paraId="5749A439">
      <w:pPr>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5、乙方项目交付前应对产品作出全面检查和对验收文件进行整理，并列出清单，作为甲方项目验收和使用的技术条件依据，检验的结果应随项目成果交甲方。</w:t>
      </w:r>
    </w:p>
    <w:p w14:paraId="5C1A4992">
      <w:p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6、甲方对验收有异议的，在验收后五个工作日内以书面形式向乙方提出，乙方应自收到甲方书面异议后</w:t>
      </w:r>
      <w:r>
        <w:rPr>
          <w:rFonts w:hint="eastAsia" w:ascii="宋体" w:hAnsi="宋体" w:cs="宋体"/>
          <w:color w:val="auto"/>
          <w:szCs w:val="21"/>
          <w:highlight w:val="none"/>
          <w:u w:val="single"/>
        </w:rPr>
        <w:t xml:space="preserve"> 5个工作</w:t>
      </w:r>
      <w:r>
        <w:rPr>
          <w:rFonts w:hint="eastAsia" w:ascii="宋体" w:hAnsi="宋体" w:cs="宋体"/>
          <w:color w:val="auto"/>
          <w:szCs w:val="21"/>
          <w:highlight w:val="none"/>
        </w:rPr>
        <w:t>日内及时予以解决。</w:t>
      </w:r>
    </w:p>
    <w:p w14:paraId="3120DED3">
      <w:p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7、验收时乙方必须在现场，验收完毕后作出验收结果报告；验收费用由乙方负责。</w:t>
      </w:r>
    </w:p>
    <w:p w14:paraId="1C8D4913">
      <w:pPr>
        <w:snapToGrid w:val="0"/>
        <w:spacing w:line="48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第五条  服务、质量保证期</w:t>
      </w:r>
    </w:p>
    <w:p w14:paraId="52C4A9E1">
      <w:p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乙方应按照国家有关法律法规以及采购文件和本合同所附的《服务承诺》，为甲方提供技术服务。</w:t>
      </w:r>
    </w:p>
    <w:p w14:paraId="33967B5C">
      <w:pPr>
        <w:snapToGrid w:val="0"/>
        <w:spacing w:line="480" w:lineRule="auto"/>
        <w:ind w:firstLine="422" w:firstLineChars="200"/>
        <w:rPr>
          <w:rFonts w:hint="eastAsia" w:ascii="宋体" w:hAnsi="宋体" w:cs="宋体"/>
          <w:color w:val="auto"/>
          <w:szCs w:val="21"/>
          <w:highlight w:val="none"/>
        </w:rPr>
      </w:pPr>
      <w:r>
        <w:rPr>
          <w:rFonts w:hint="eastAsia" w:ascii="宋体" w:hAnsi="宋体" w:cs="宋体"/>
          <w:b/>
          <w:color w:val="auto"/>
          <w:szCs w:val="21"/>
          <w:highlight w:val="none"/>
        </w:rPr>
        <w:t>第六条　付款方式</w:t>
      </w:r>
    </w:p>
    <w:p w14:paraId="711B6D5F">
      <w:pPr>
        <w:snapToGrid w:val="0"/>
        <w:spacing w:line="480" w:lineRule="auto"/>
        <w:ind w:firstLine="420" w:firstLineChars="200"/>
        <w:rPr>
          <w:rFonts w:hint="eastAsia" w:ascii="宋体" w:hAnsi="宋体" w:cs="宋体"/>
          <w:color w:val="auto"/>
          <w:kern w:val="0"/>
          <w:szCs w:val="21"/>
          <w:highlight w:val="none"/>
        </w:rPr>
      </w:pPr>
      <w:r>
        <w:rPr>
          <w:rFonts w:hint="eastAsia" w:ascii="宋体" w:hAnsi="宋体" w:cs="宋体"/>
          <w:bCs/>
          <w:color w:val="auto"/>
          <w:kern w:val="0"/>
          <w:szCs w:val="21"/>
          <w:highlight w:val="none"/>
        </w:rPr>
        <w:t>1、</w:t>
      </w:r>
      <w:r>
        <w:rPr>
          <w:rFonts w:hint="eastAsia" w:ascii="宋体" w:hAnsi="宋体" w:cs="宋体"/>
          <w:color w:val="auto"/>
          <w:kern w:val="0"/>
          <w:szCs w:val="21"/>
          <w:highlight w:val="none"/>
        </w:rPr>
        <w:t>在合同履行期间，甲方要求终止或解除合同，乙方已开始评估工作的，甲方应根据乙方已进行的实际工作量给予适当的补偿。</w:t>
      </w:r>
    </w:p>
    <w:p w14:paraId="2E1AAE41">
      <w:pPr>
        <w:snapToGrid w:val="0"/>
        <w:spacing w:line="480" w:lineRule="auto"/>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rPr>
        <w:t>2、资金性质：</w:t>
      </w:r>
      <w:r>
        <w:rPr>
          <w:rFonts w:hint="eastAsia" w:ascii="宋体" w:hAnsi="宋体" w:cs="宋体"/>
          <w:color w:val="auto"/>
          <w:szCs w:val="21"/>
          <w:highlight w:val="none"/>
          <w:u w:val="single"/>
        </w:rPr>
        <w:t>财政预算拨款。</w:t>
      </w:r>
    </w:p>
    <w:p w14:paraId="273C2520">
      <w:pPr>
        <w:snapToGrid w:val="0"/>
        <w:spacing w:line="480" w:lineRule="auto"/>
        <w:ind w:firstLine="420" w:firstLineChars="200"/>
        <w:rPr>
          <w:rFonts w:hint="eastAsia" w:ascii="宋体" w:hAnsi="宋体" w:cs="宋体"/>
          <w:color w:val="auto"/>
          <w:kern w:val="0"/>
          <w:szCs w:val="21"/>
          <w:highlight w:val="none"/>
          <w:u w:val="single"/>
        </w:rPr>
      </w:pPr>
      <w:r>
        <w:rPr>
          <w:rFonts w:hint="eastAsia" w:ascii="宋体" w:hAnsi="宋体" w:cs="宋体"/>
          <w:color w:val="auto"/>
          <w:kern w:val="0"/>
          <w:szCs w:val="21"/>
          <w:highlight w:val="none"/>
        </w:rPr>
        <w:t>3、付款方式：</w:t>
      </w:r>
    </w:p>
    <w:p w14:paraId="389632C7">
      <w:pPr>
        <w:spacing w:line="480" w:lineRule="auto"/>
        <w:ind w:firstLine="420" w:firstLineChars="200"/>
        <w:rPr>
          <w:rFonts w:hint="eastAsia" w:ascii="宋体" w:hAnsi="宋体" w:cs="宋体"/>
          <w:color w:val="auto"/>
          <w:kern w:val="0"/>
          <w:szCs w:val="21"/>
          <w:highlight w:val="none"/>
        </w:rPr>
      </w:pPr>
      <w:r>
        <w:rPr>
          <w:rFonts w:hint="eastAsia" w:ascii="宋体" w:hAnsi="宋体" w:cs="宋体"/>
          <w:bCs/>
          <w:color w:val="auto"/>
          <w:szCs w:val="21"/>
          <w:highlight w:val="none"/>
        </w:rPr>
        <w:t>4、</w:t>
      </w:r>
      <w:r>
        <w:rPr>
          <w:rFonts w:hint="eastAsia" w:ascii="宋体" w:hAnsi="宋体" w:cs="宋体"/>
          <w:color w:val="auto"/>
          <w:kern w:val="0"/>
          <w:szCs w:val="21"/>
          <w:highlight w:val="none"/>
        </w:rPr>
        <w:t>履约保证金金额：合同总价的2%。</w:t>
      </w:r>
    </w:p>
    <w:p w14:paraId="3DAED812">
      <w:pPr>
        <w:pStyle w:val="19"/>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签订合同前交至指定账户，否则不予签订合同</w:t>
      </w:r>
    </w:p>
    <w:p w14:paraId="27914209">
      <w:p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履约保证金递交方式：银行转账、电汇或网上支付、支票、汇票、本票或者银行、保险机构出具的保函（含电子保函）等非现金方式</w:t>
      </w:r>
    </w:p>
    <w:p w14:paraId="2370BB96">
      <w:p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履约保证金退付方式、时间及条件：项目验收完成后无息退付。履约保证金退付方式同投标保证金退付方式。</w:t>
      </w:r>
    </w:p>
    <w:p w14:paraId="586FF024">
      <w:p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由中标人向履约保证金收取单位提供《政府采购项目合同验收书》、《政府采购项目履约保证金退付意见书》，保证金收取单位在收到合格材料后10个工作日内办理退还手续（不计利息）。</w:t>
      </w:r>
    </w:p>
    <w:p w14:paraId="75DA9057">
      <w:p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履约保证金收取单位指定账户：</w:t>
      </w:r>
    </w:p>
    <w:p w14:paraId="0D89F25F">
      <w:p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开户名称：广西壮族自治区农业农村厅</w:t>
      </w:r>
    </w:p>
    <w:p w14:paraId="1A4CC703">
      <w:p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开户银行：20022101040001679</w:t>
      </w:r>
    </w:p>
    <w:p w14:paraId="375050A0">
      <w:p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银行账号：农行南宁天桃支行。</w:t>
      </w:r>
    </w:p>
    <w:p w14:paraId="2EEA692B">
      <w:pPr>
        <w:snapToGrid w:val="0"/>
        <w:spacing w:line="48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第七条  税费</w:t>
      </w:r>
    </w:p>
    <w:p w14:paraId="0C3E1E7A">
      <w:p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本合同执行中相关的一切税费均由乙方负担。</w:t>
      </w:r>
    </w:p>
    <w:p w14:paraId="5F43C19D">
      <w:pPr>
        <w:snapToGrid w:val="0"/>
        <w:spacing w:line="48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第八条  质量保证及售后服务</w:t>
      </w:r>
    </w:p>
    <w:p w14:paraId="2C5E1F25">
      <w:p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1、乙方应按采购文件规定的技术要求、服务质量标准向甲方提供服务。不符合要求者，根据实际情况，经双方协商，可按以下办法处理：</w:t>
      </w:r>
    </w:p>
    <w:p w14:paraId="11BEEAEB">
      <w:p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⑴更换：由乙方承担所发生的全部费用。</w:t>
      </w:r>
    </w:p>
    <w:p w14:paraId="011DD62F">
      <w:p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⑵贬值处理：由甲乙双方合议定价。</w:t>
      </w:r>
    </w:p>
    <w:p w14:paraId="71354EE0">
      <w:p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⑶合同终止处理：乙方应退还甲方支付的合同款，同时应承担该项目的直接费用（保险、检验、货款利息及银行手续费等）。</w:t>
      </w:r>
    </w:p>
    <w:p w14:paraId="29F04175">
      <w:p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 成果提交后，如有修改，乙方应在规定时间按要求完成修改工作，甲方不另行支付额外费用。</w:t>
      </w:r>
    </w:p>
    <w:p w14:paraId="68C8A001">
      <w:pPr>
        <w:snapToGrid w:val="0"/>
        <w:spacing w:line="48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第九条　违约责任</w:t>
      </w:r>
    </w:p>
    <w:p w14:paraId="0758B001">
      <w:p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1、乙方不能按约定向甲方交付合法有效的发票的，甲方有权暂不予支付合同款项。</w:t>
      </w:r>
    </w:p>
    <w:p w14:paraId="2F34CF47">
      <w:p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2、乙方擅自转让本合同服务内容的，甲方有权解除合同，不予支付合同款项并要求乙方按合同总金额的20%向甲方支付违约金。</w:t>
      </w:r>
    </w:p>
    <w:p w14:paraId="4A41D16E">
      <w:p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3、乙方擅自解除合同的，应向甲方支付合同总金额20%的违约金，同时甲方有权不予支付合同款项。</w:t>
      </w:r>
    </w:p>
    <w:p w14:paraId="6A466C8F">
      <w:p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4、乙方未按期限提交服务成果的，乙方应向甲方支付合同总金额 </w:t>
      </w:r>
      <w:r>
        <w:rPr>
          <w:rFonts w:hint="eastAsia" w:ascii="宋体" w:hAnsi="宋体" w:cs="宋体"/>
          <w:color w:val="auto"/>
          <w:szCs w:val="21"/>
          <w:highlight w:val="none"/>
          <w:lang w:val="zh-CN"/>
        </w:rPr>
        <w:t>3‰/天的</w:t>
      </w:r>
      <w:r>
        <w:rPr>
          <w:rFonts w:hint="eastAsia" w:ascii="宋体" w:hAnsi="宋体" w:cs="宋体"/>
          <w:color w:val="auto"/>
          <w:szCs w:val="21"/>
          <w:highlight w:val="none"/>
        </w:rPr>
        <w:t>违约金，逾期交付</w:t>
      </w:r>
      <w:r>
        <w:rPr>
          <w:rFonts w:hint="eastAsia" w:ascii="宋体" w:hAnsi="宋体" w:cs="宋体"/>
          <w:color w:val="auto"/>
          <w:szCs w:val="21"/>
          <w:highlight w:val="none"/>
          <w:lang w:val="zh-CN"/>
        </w:rPr>
        <w:t>超过</w:t>
      </w:r>
      <w:r>
        <w:rPr>
          <w:rFonts w:hint="eastAsia" w:ascii="宋体" w:hAnsi="宋体" w:cs="宋体"/>
          <w:color w:val="auto"/>
          <w:szCs w:val="21"/>
          <w:highlight w:val="none"/>
          <w:u w:val="single"/>
          <w:lang w:val="zh-CN"/>
        </w:rPr>
        <w:t>30</w:t>
      </w:r>
      <w:r>
        <w:rPr>
          <w:rFonts w:hint="eastAsia" w:ascii="宋体" w:hAnsi="宋体" w:cs="宋体"/>
          <w:color w:val="auto"/>
          <w:szCs w:val="21"/>
          <w:highlight w:val="none"/>
          <w:lang w:val="zh-CN"/>
        </w:rPr>
        <w:t>天的，甲方有权解除合同，</w:t>
      </w:r>
      <w:r>
        <w:rPr>
          <w:rFonts w:hint="eastAsia" w:ascii="宋体" w:hAnsi="宋体" w:cs="宋体"/>
          <w:color w:val="auto"/>
          <w:szCs w:val="21"/>
          <w:highlight w:val="none"/>
        </w:rPr>
        <w:t>并</w:t>
      </w:r>
      <w:r>
        <w:rPr>
          <w:rFonts w:hint="eastAsia" w:ascii="宋体" w:hAnsi="宋体" w:cs="宋体"/>
          <w:color w:val="auto"/>
          <w:szCs w:val="21"/>
          <w:highlight w:val="none"/>
          <w:lang w:val="zh-CN"/>
        </w:rPr>
        <w:t>要求乙方</w:t>
      </w:r>
      <w:r>
        <w:rPr>
          <w:rFonts w:hint="eastAsia" w:ascii="宋体" w:hAnsi="宋体" w:cs="宋体"/>
          <w:color w:val="auto"/>
          <w:szCs w:val="21"/>
          <w:highlight w:val="none"/>
        </w:rPr>
        <w:t xml:space="preserve">向甲方支付合同总金额10%的违约金。  </w:t>
      </w:r>
    </w:p>
    <w:p w14:paraId="0E56AC59">
      <w:p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5、乙方提交的服务成果不符合约定的，应予以负责整改，造成逾期交付的，乙方承担逾期交工的违约责任。</w:t>
      </w:r>
    </w:p>
    <w:p w14:paraId="74A2CF43">
      <w:p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6、乙方提供的成果如侵犯了第三方合法权益而引发的任何纠纷或诉讼，均由乙方负责交涉并承担全部责任</w:t>
      </w:r>
      <w:r>
        <w:rPr>
          <w:rFonts w:hint="eastAsia" w:ascii="宋体" w:hAnsi="宋体" w:cs="宋体"/>
          <w:color w:val="auto"/>
          <w:szCs w:val="21"/>
          <w:highlight w:val="none"/>
          <w:lang w:val="zh-CN"/>
        </w:rPr>
        <w:t>，造成甲方损失的，乙方应予赔偿</w:t>
      </w:r>
      <w:r>
        <w:rPr>
          <w:rFonts w:hint="eastAsia" w:ascii="宋体" w:hAnsi="宋体" w:cs="宋体"/>
          <w:color w:val="auto"/>
          <w:szCs w:val="21"/>
          <w:highlight w:val="none"/>
        </w:rPr>
        <w:t>。</w:t>
      </w:r>
    </w:p>
    <w:p w14:paraId="04FD0448">
      <w:p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7、乙方未按本合同和招标文件中规定的服务承诺提供售后服务的，乙方应按本合同总金额 5%向甲方支付违约金。</w:t>
      </w:r>
    </w:p>
    <w:p w14:paraId="7F92E042">
      <w:p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8、乙方及乙方工作人员必须对实施本服务接触到的甲方资料保密，若发生泄密，乙方应按合同总金额的5%支付违约金，甲方损失超过此违约金的，乙方亦应赔偿。</w:t>
      </w:r>
    </w:p>
    <w:p w14:paraId="71186A0B">
      <w:p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9、因乙方违约造成的甲方损失或应向甲方支付的违约金，甲方有权直接从未付款中扣除。</w:t>
      </w:r>
    </w:p>
    <w:p w14:paraId="18A5E403">
      <w:p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10、因乙方违约，造成的甲方支出的争议处理费用（包括但不限于诉讼费、律师费、保全费、诉讼财产保全担保保险费等）也由乙方承担。</w:t>
      </w:r>
    </w:p>
    <w:p w14:paraId="6B1F8862">
      <w:pPr>
        <w:snapToGrid w:val="0"/>
        <w:spacing w:line="48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第十条  不可抗力事件处理</w:t>
      </w:r>
    </w:p>
    <w:p w14:paraId="2FDA72AF">
      <w:p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1、在合同有效期内，任何一方因不可抗力事件导致不能履行合同，则合同履行期可延长，其延长期与不可抗力影响期相同。</w:t>
      </w:r>
    </w:p>
    <w:p w14:paraId="69A94CA3">
      <w:p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2、不可抗力事件发生后，应立即通知对方，并寄送有关权威机构出具的证明。</w:t>
      </w:r>
    </w:p>
    <w:p w14:paraId="58038A2F">
      <w:p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3、不可抗力事件延续30天以上，双方应通过友好协商，确定是否继续履行合同。</w:t>
      </w:r>
    </w:p>
    <w:p w14:paraId="33407388">
      <w:pPr>
        <w:snapToGrid w:val="0"/>
        <w:spacing w:line="480" w:lineRule="auto"/>
        <w:ind w:firstLine="422" w:firstLineChars="200"/>
        <w:rPr>
          <w:rFonts w:hint="eastAsia" w:ascii="宋体" w:hAnsi="宋体" w:cs="宋体"/>
          <w:color w:val="auto"/>
          <w:szCs w:val="21"/>
          <w:highlight w:val="none"/>
        </w:rPr>
      </w:pPr>
      <w:r>
        <w:rPr>
          <w:rFonts w:hint="eastAsia" w:ascii="宋体" w:hAnsi="宋体" w:cs="宋体"/>
          <w:b/>
          <w:color w:val="auto"/>
          <w:szCs w:val="21"/>
          <w:highlight w:val="none"/>
        </w:rPr>
        <w:t>第十一条  合同争议解决</w:t>
      </w:r>
    </w:p>
    <w:p w14:paraId="2525B6FF">
      <w:p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1、因履行本合同引起的或与本合同有关的争议，甲乙双方应首先通过友好协商解决，如果协商不能解决，任何一方可向甲方所在地有管辖权的人民法院提起诉讼。</w:t>
      </w:r>
    </w:p>
    <w:p w14:paraId="72E32925">
      <w:p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2、诉讼期间，本合同继续履行。</w:t>
      </w:r>
    </w:p>
    <w:p w14:paraId="7E104ABE">
      <w:pPr>
        <w:snapToGrid w:val="0"/>
        <w:spacing w:line="48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第十二条  合同生效及其他</w:t>
      </w:r>
    </w:p>
    <w:p w14:paraId="17C7968B">
      <w:p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1、合同经双方法定代表人或被授权代表签字并加盖单位公章后生效。</w:t>
      </w:r>
    </w:p>
    <w:p w14:paraId="4CD81AC6">
      <w:p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2、合同执行中涉及采购资金和采购内容修改或补充的，须经财政部门审批，并签书面补充协议报财政部门备案，而后双方就此签署补充协议确定。</w:t>
      </w:r>
    </w:p>
    <w:p w14:paraId="52EDC1BB">
      <w:p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3、本合同未尽事宜，双方协商并签署补充协议确定。</w:t>
      </w:r>
    </w:p>
    <w:p w14:paraId="21E80426">
      <w:pPr>
        <w:snapToGrid w:val="0"/>
        <w:spacing w:line="48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第十三条　合同的变更、终止与转让</w:t>
      </w:r>
    </w:p>
    <w:p w14:paraId="177BB2A8">
      <w:p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1、除《中华人民共和国政府采购法》第五十条规定的情形外，本合同一经签订，甲乙双方不得擅自变更、中止或终止。</w:t>
      </w:r>
    </w:p>
    <w:p w14:paraId="2AFF5131">
      <w:p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2、乙方不得擅自转让其应履行的合同义务。</w:t>
      </w:r>
    </w:p>
    <w:p w14:paraId="2E2D3ADA">
      <w:pPr>
        <w:snapToGrid w:val="0"/>
        <w:spacing w:line="48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第十四条　附件为合同有效组成部分，与合同效力同等。本合同附件如下：</w:t>
      </w:r>
    </w:p>
    <w:p w14:paraId="74C5C39A">
      <w:pPr>
        <w:numPr>
          <w:ilvl w:val="0"/>
          <w:numId w:val="27"/>
        </w:num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招标文件；</w:t>
      </w:r>
    </w:p>
    <w:p w14:paraId="0939820E">
      <w:pPr>
        <w:numPr>
          <w:ilvl w:val="0"/>
          <w:numId w:val="27"/>
        </w:num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乙方提供的投标文件；</w:t>
      </w:r>
    </w:p>
    <w:p w14:paraId="418B4A1E">
      <w:pPr>
        <w:numPr>
          <w:ilvl w:val="0"/>
          <w:numId w:val="27"/>
        </w:num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其他约定附件。</w:t>
      </w:r>
    </w:p>
    <w:p w14:paraId="0F23D005">
      <w:pPr>
        <w:snapToGrid w:val="0"/>
        <w:spacing w:line="48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第十五条　签订本合同依据</w:t>
      </w:r>
    </w:p>
    <w:p w14:paraId="65B3A843">
      <w:p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1、政府采招标文件；</w:t>
      </w:r>
    </w:p>
    <w:p w14:paraId="2CEB1BA6">
      <w:pPr>
        <w:snapToGrid w:val="0"/>
        <w:spacing w:line="48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2、乙方提供的投标；</w:t>
      </w:r>
    </w:p>
    <w:p w14:paraId="0F446FEE">
      <w:pPr>
        <w:snapToGrid w:val="0"/>
        <w:spacing w:line="480" w:lineRule="auto"/>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rPr>
        <w:t>3、中标通知书。</w:t>
      </w:r>
    </w:p>
    <w:p w14:paraId="4CA51F86">
      <w:pPr>
        <w:snapToGrid w:val="0"/>
        <w:spacing w:line="480" w:lineRule="auto"/>
        <w:ind w:firstLine="422" w:firstLineChars="200"/>
        <w:rPr>
          <w:rFonts w:hint="eastAsia" w:ascii="宋体" w:hAnsi="宋体" w:cs="宋体"/>
          <w:color w:val="auto"/>
          <w:szCs w:val="21"/>
          <w:highlight w:val="none"/>
        </w:rPr>
      </w:pPr>
      <w:r>
        <w:rPr>
          <w:rFonts w:hint="eastAsia" w:ascii="宋体" w:hAnsi="宋体" w:cs="宋体"/>
          <w:b/>
          <w:color w:val="auto"/>
          <w:szCs w:val="21"/>
          <w:highlight w:val="none"/>
        </w:rPr>
        <w:t>第十六条　</w:t>
      </w:r>
      <w:r>
        <w:rPr>
          <w:rFonts w:hint="eastAsia" w:ascii="宋体" w:hAnsi="宋体" w:cs="宋体"/>
          <w:color w:val="auto"/>
          <w:szCs w:val="21"/>
          <w:highlight w:val="none"/>
        </w:rPr>
        <w:t>本合同一式五份，具有同等法律效力，甲乙双方各两份、采购代理机构一份。（可根据需要另增加）。</w:t>
      </w:r>
    </w:p>
    <w:tbl>
      <w:tblPr>
        <w:tblStyle w:val="62"/>
        <w:tblW w:w="92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9"/>
        <w:gridCol w:w="4650"/>
      </w:tblGrid>
      <w:tr w14:paraId="0EDD4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3" w:hRule="atLeast"/>
        </w:trPr>
        <w:tc>
          <w:tcPr>
            <w:tcW w:w="4649" w:type="dxa"/>
            <w:vAlign w:val="center"/>
          </w:tcPr>
          <w:p w14:paraId="408F8256">
            <w:pPr>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 xml:space="preserve">甲方（章）广西壮族自治区农业农村厅           </w:t>
            </w:r>
          </w:p>
          <w:p w14:paraId="5557F23F">
            <w:pPr>
              <w:snapToGrid w:val="0"/>
              <w:spacing w:line="360" w:lineRule="auto"/>
              <w:ind w:firstLine="945" w:firstLineChars="450"/>
              <w:jc w:val="right"/>
              <w:rPr>
                <w:rFonts w:hint="eastAsia" w:ascii="宋体" w:hAnsi="宋体" w:cs="宋体"/>
                <w:color w:val="auto"/>
                <w:szCs w:val="21"/>
                <w:highlight w:val="none"/>
              </w:rPr>
            </w:pPr>
          </w:p>
          <w:p w14:paraId="365E9D98">
            <w:pPr>
              <w:snapToGrid w:val="0"/>
              <w:spacing w:line="360" w:lineRule="auto"/>
              <w:ind w:firstLine="945" w:firstLineChars="450"/>
              <w:jc w:val="right"/>
              <w:rPr>
                <w:rFonts w:hint="eastAsia" w:ascii="宋体" w:hAnsi="宋体" w:cs="宋体"/>
                <w:color w:val="auto"/>
                <w:szCs w:val="21"/>
                <w:highlight w:val="none"/>
              </w:rPr>
            </w:pPr>
            <w:r>
              <w:rPr>
                <w:rFonts w:hint="eastAsia" w:ascii="宋体" w:hAnsi="宋体" w:cs="宋体"/>
                <w:color w:val="auto"/>
                <w:szCs w:val="21"/>
                <w:highlight w:val="none"/>
              </w:rPr>
              <w:t>年   月   日</w:t>
            </w:r>
          </w:p>
        </w:tc>
        <w:tc>
          <w:tcPr>
            <w:tcW w:w="4650" w:type="dxa"/>
            <w:vAlign w:val="center"/>
          </w:tcPr>
          <w:p w14:paraId="73600D3C">
            <w:pPr>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 xml:space="preserve">乙方（章）              </w:t>
            </w:r>
          </w:p>
          <w:p w14:paraId="6D371959">
            <w:pPr>
              <w:snapToGrid w:val="0"/>
              <w:spacing w:line="360" w:lineRule="auto"/>
              <w:jc w:val="right"/>
              <w:rPr>
                <w:rFonts w:hint="eastAsia" w:ascii="宋体" w:hAnsi="宋体" w:cs="宋体"/>
                <w:color w:val="auto"/>
                <w:szCs w:val="21"/>
                <w:highlight w:val="none"/>
              </w:rPr>
            </w:pPr>
            <w:r>
              <w:rPr>
                <w:rFonts w:hint="eastAsia" w:ascii="宋体" w:hAnsi="宋体" w:cs="宋体"/>
                <w:color w:val="auto"/>
                <w:szCs w:val="21"/>
                <w:highlight w:val="none"/>
              </w:rPr>
              <w:t xml:space="preserve"> </w:t>
            </w:r>
          </w:p>
          <w:p w14:paraId="489F7C92">
            <w:pPr>
              <w:snapToGrid w:val="0"/>
              <w:spacing w:line="360" w:lineRule="auto"/>
              <w:jc w:val="right"/>
              <w:rPr>
                <w:rFonts w:hint="eastAsia" w:ascii="宋体" w:hAnsi="宋体" w:cs="宋体"/>
                <w:color w:val="auto"/>
                <w:szCs w:val="21"/>
                <w:highlight w:val="none"/>
              </w:rPr>
            </w:pPr>
            <w:r>
              <w:rPr>
                <w:rFonts w:hint="eastAsia" w:ascii="宋体" w:hAnsi="宋体" w:cs="宋体"/>
                <w:color w:val="auto"/>
                <w:szCs w:val="21"/>
                <w:highlight w:val="none"/>
              </w:rPr>
              <w:t>年   月   日</w:t>
            </w:r>
          </w:p>
        </w:tc>
      </w:tr>
      <w:tr w14:paraId="799ED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7" w:hRule="exact"/>
        </w:trPr>
        <w:tc>
          <w:tcPr>
            <w:tcW w:w="4649" w:type="dxa"/>
            <w:vAlign w:val="center"/>
          </w:tcPr>
          <w:p w14:paraId="13FA66F5">
            <w:pPr>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单位地址：</w:t>
            </w:r>
            <w:r>
              <w:rPr>
                <w:rFonts w:hint="eastAsia" w:ascii="宋体" w:hAnsi="宋体" w:cs="宋体"/>
                <w:bCs/>
                <w:color w:val="auto"/>
                <w:szCs w:val="21"/>
                <w:highlight w:val="none"/>
              </w:rPr>
              <w:t>广西壮族自治区南宁市青秀区青山路8号</w:t>
            </w:r>
          </w:p>
        </w:tc>
        <w:tc>
          <w:tcPr>
            <w:tcW w:w="4650" w:type="dxa"/>
            <w:vAlign w:val="center"/>
          </w:tcPr>
          <w:p w14:paraId="031686BB">
            <w:pPr>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单位地址：</w:t>
            </w:r>
          </w:p>
        </w:tc>
      </w:tr>
      <w:tr w14:paraId="01A23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exact"/>
        </w:trPr>
        <w:tc>
          <w:tcPr>
            <w:tcW w:w="4649" w:type="dxa"/>
            <w:vAlign w:val="center"/>
          </w:tcPr>
          <w:p w14:paraId="5E9142D2">
            <w:pPr>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法定代表人：</w:t>
            </w:r>
          </w:p>
        </w:tc>
        <w:tc>
          <w:tcPr>
            <w:tcW w:w="4650" w:type="dxa"/>
            <w:vAlign w:val="center"/>
          </w:tcPr>
          <w:p w14:paraId="79C29C66">
            <w:pPr>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法定代表人：</w:t>
            </w:r>
          </w:p>
        </w:tc>
      </w:tr>
      <w:tr w14:paraId="7FC47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exact"/>
        </w:trPr>
        <w:tc>
          <w:tcPr>
            <w:tcW w:w="4649" w:type="dxa"/>
            <w:vAlign w:val="center"/>
          </w:tcPr>
          <w:p w14:paraId="67366F9E">
            <w:pPr>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委托代理人：</w:t>
            </w:r>
          </w:p>
        </w:tc>
        <w:tc>
          <w:tcPr>
            <w:tcW w:w="4650" w:type="dxa"/>
            <w:vAlign w:val="center"/>
          </w:tcPr>
          <w:p w14:paraId="1DBF14A3">
            <w:pPr>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委托代理人</w:t>
            </w:r>
          </w:p>
        </w:tc>
      </w:tr>
      <w:tr w14:paraId="22289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exact"/>
        </w:trPr>
        <w:tc>
          <w:tcPr>
            <w:tcW w:w="4649" w:type="dxa"/>
            <w:vAlign w:val="center"/>
          </w:tcPr>
          <w:p w14:paraId="7C18D33D">
            <w:pPr>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电话：</w:t>
            </w:r>
          </w:p>
        </w:tc>
        <w:tc>
          <w:tcPr>
            <w:tcW w:w="4650" w:type="dxa"/>
            <w:vAlign w:val="center"/>
          </w:tcPr>
          <w:p w14:paraId="4902EA4F">
            <w:pPr>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电话：</w:t>
            </w:r>
          </w:p>
        </w:tc>
      </w:tr>
      <w:tr w14:paraId="613A5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exact"/>
        </w:trPr>
        <w:tc>
          <w:tcPr>
            <w:tcW w:w="4649" w:type="dxa"/>
            <w:vAlign w:val="center"/>
          </w:tcPr>
          <w:p w14:paraId="7E8D2D2A">
            <w:pPr>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电子邮箱：</w:t>
            </w:r>
          </w:p>
        </w:tc>
        <w:tc>
          <w:tcPr>
            <w:tcW w:w="4650" w:type="dxa"/>
            <w:vAlign w:val="center"/>
          </w:tcPr>
          <w:p w14:paraId="28D8C078">
            <w:pPr>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电子邮箱：</w:t>
            </w:r>
          </w:p>
        </w:tc>
      </w:tr>
      <w:tr w14:paraId="7A3FE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exact"/>
        </w:trPr>
        <w:tc>
          <w:tcPr>
            <w:tcW w:w="4649" w:type="dxa"/>
            <w:vAlign w:val="center"/>
          </w:tcPr>
          <w:p w14:paraId="50FB1C59">
            <w:pPr>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开户银行：</w:t>
            </w:r>
          </w:p>
        </w:tc>
        <w:tc>
          <w:tcPr>
            <w:tcW w:w="4650" w:type="dxa"/>
            <w:vAlign w:val="center"/>
          </w:tcPr>
          <w:p w14:paraId="406173CB">
            <w:pPr>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开户银行：</w:t>
            </w:r>
          </w:p>
        </w:tc>
      </w:tr>
      <w:tr w14:paraId="1BFF6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exact"/>
        </w:trPr>
        <w:tc>
          <w:tcPr>
            <w:tcW w:w="4649" w:type="dxa"/>
            <w:vAlign w:val="center"/>
          </w:tcPr>
          <w:p w14:paraId="0E3F9A6B">
            <w:pPr>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账号：</w:t>
            </w:r>
          </w:p>
        </w:tc>
        <w:tc>
          <w:tcPr>
            <w:tcW w:w="4650" w:type="dxa"/>
            <w:vAlign w:val="center"/>
          </w:tcPr>
          <w:p w14:paraId="14FE7FC0">
            <w:pPr>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账号：</w:t>
            </w:r>
          </w:p>
        </w:tc>
      </w:tr>
      <w:tr w14:paraId="28812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exact"/>
        </w:trPr>
        <w:tc>
          <w:tcPr>
            <w:tcW w:w="4649" w:type="dxa"/>
            <w:vAlign w:val="center"/>
          </w:tcPr>
          <w:p w14:paraId="6EAC1B6D">
            <w:pPr>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邮政编码：</w:t>
            </w:r>
          </w:p>
        </w:tc>
        <w:tc>
          <w:tcPr>
            <w:tcW w:w="4650" w:type="dxa"/>
            <w:vAlign w:val="center"/>
          </w:tcPr>
          <w:p w14:paraId="75B7916B">
            <w:pPr>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邮政编码：</w:t>
            </w:r>
          </w:p>
        </w:tc>
      </w:tr>
      <w:tr w14:paraId="59866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exact"/>
        </w:trPr>
        <w:tc>
          <w:tcPr>
            <w:tcW w:w="4649" w:type="dxa"/>
            <w:vAlign w:val="center"/>
          </w:tcPr>
          <w:p w14:paraId="121A05D6">
            <w:pPr>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统一社会信用代码：</w:t>
            </w:r>
          </w:p>
        </w:tc>
        <w:tc>
          <w:tcPr>
            <w:tcW w:w="4650" w:type="dxa"/>
            <w:vAlign w:val="center"/>
          </w:tcPr>
          <w:p w14:paraId="73BAF54C">
            <w:pPr>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统一社会信用代码：</w:t>
            </w:r>
          </w:p>
        </w:tc>
      </w:tr>
      <w:tr w14:paraId="7DA6E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5" w:hRule="atLeast"/>
        </w:trPr>
        <w:tc>
          <w:tcPr>
            <w:tcW w:w="9299" w:type="dxa"/>
            <w:gridSpan w:val="2"/>
          </w:tcPr>
          <w:p w14:paraId="218B769B">
            <w:pPr>
              <w:wordWrap w:val="0"/>
              <w:snapToGrid w:val="0"/>
              <w:spacing w:line="360" w:lineRule="auto"/>
              <w:ind w:right="240"/>
              <w:rPr>
                <w:rFonts w:hint="eastAsia" w:ascii="宋体" w:hAnsi="宋体" w:cs="宋体"/>
                <w:color w:val="auto"/>
                <w:szCs w:val="21"/>
                <w:highlight w:val="none"/>
              </w:rPr>
            </w:pPr>
          </w:p>
          <w:p w14:paraId="16595A2A">
            <w:pPr>
              <w:wordWrap w:val="0"/>
              <w:snapToGrid w:val="0"/>
              <w:spacing w:line="360" w:lineRule="auto"/>
              <w:ind w:right="240"/>
              <w:rPr>
                <w:rFonts w:hint="eastAsia" w:ascii="宋体" w:hAnsi="宋体" w:cs="宋体"/>
                <w:color w:val="auto"/>
                <w:szCs w:val="21"/>
                <w:highlight w:val="none"/>
              </w:rPr>
            </w:pPr>
            <w:r>
              <w:rPr>
                <w:rFonts w:hint="eastAsia" w:ascii="宋体" w:hAnsi="宋体" w:cs="宋体"/>
                <w:color w:val="auto"/>
                <w:szCs w:val="21"/>
                <w:highlight w:val="none"/>
              </w:rPr>
              <w:t xml:space="preserve">经办人：                                                 </w:t>
            </w:r>
          </w:p>
          <w:p w14:paraId="4E2F5AF1">
            <w:pPr>
              <w:wordWrap w:val="0"/>
              <w:snapToGrid w:val="0"/>
              <w:spacing w:line="360" w:lineRule="auto"/>
              <w:ind w:right="240"/>
              <w:jc w:val="right"/>
              <w:rPr>
                <w:rFonts w:hint="eastAsia" w:ascii="宋体" w:hAnsi="宋体" w:cs="宋体"/>
                <w:color w:val="auto"/>
                <w:szCs w:val="21"/>
                <w:highlight w:val="none"/>
              </w:rPr>
            </w:pPr>
            <w:r>
              <w:rPr>
                <w:rFonts w:hint="eastAsia" w:ascii="宋体" w:hAnsi="宋体" w:cs="宋体"/>
                <w:color w:val="auto"/>
                <w:szCs w:val="21"/>
                <w:highlight w:val="none"/>
              </w:rPr>
              <w:t>年    月    日</w:t>
            </w:r>
          </w:p>
        </w:tc>
      </w:tr>
    </w:tbl>
    <w:p w14:paraId="1CEFD917">
      <w:pPr>
        <w:snapToGrid w:val="0"/>
        <w:jc w:val="center"/>
        <w:rPr>
          <w:rFonts w:hint="eastAsia" w:ascii="宋体" w:hAnsi="宋体" w:cs="宋体"/>
          <w:bCs/>
          <w:color w:val="auto"/>
          <w:sz w:val="32"/>
          <w:szCs w:val="32"/>
          <w:highlight w:val="none"/>
        </w:rPr>
      </w:pPr>
    </w:p>
    <w:p w14:paraId="2AF4C629">
      <w:pPr>
        <w:snapToGrid w:val="0"/>
        <w:jc w:val="center"/>
        <w:rPr>
          <w:rFonts w:hint="eastAsia" w:ascii="宋体" w:hAnsi="宋体" w:cs="宋体"/>
          <w:bCs/>
          <w:color w:val="auto"/>
          <w:sz w:val="32"/>
          <w:szCs w:val="32"/>
          <w:highlight w:val="none"/>
        </w:rPr>
      </w:pPr>
    </w:p>
    <w:p w14:paraId="7E60FA59">
      <w:pPr>
        <w:snapToGrid w:val="0"/>
        <w:jc w:val="center"/>
        <w:rPr>
          <w:rFonts w:hint="eastAsia" w:ascii="宋体" w:hAnsi="宋体" w:cs="宋体"/>
          <w:bCs/>
          <w:color w:val="auto"/>
          <w:sz w:val="32"/>
          <w:szCs w:val="32"/>
          <w:highlight w:val="none"/>
        </w:rPr>
      </w:pPr>
    </w:p>
    <w:p w14:paraId="78D58A51">
      <w:pPr>
        <w:snapToGrid w:val="0"/>
        <w:jc w:val="center"/>
        <w:rPr>
          <w:rFonts w:hint="eastAsia" w:ascii="宋体" w:hAnsi="宋体" w:cs="宋体"/>
          <w:bCs/>
          <w:color w:val="auto"/>
          <w:sz w:val="32"/>
          <w:szCs w:val="32"/>
          <w:highlight w:val="none"/>
        </w:rPr>
      </w:pPr>
    </w:p>
    <w:p w14:paraId="32E6815E">
      <w:pPr>
        <w:snapToGrid w:val="0"/>
        <w:jc w:val="center"/>
        <w:rPr>
          <w:rFonts w:hint="eastAsia" w:ascii="宋体" w:hAnsi="宋体" w:cs="宋体"/>
          <w:bCs/>
          <w:color w:val="auto"/>
          <w:sz w:val="32"/>
          <w:szCs w:val="32"/>
          <w:highlight w:val="none"/>
        </w:rPr>
      </w:pPr>
    </w:p>
    <w:p w14:paraId="4B24E59B">
      <w:pPr>
        <w:snapToGrid w:val="0"/>
        <w:jc w:val="center"/>
        <w:rPr>
          <w:rFonts w:hint="eastAsia" w:ascii="宋体" w:hAnsi="宋体" w:cs="宋体"/>
          <w:bCs/>
          <w:color w:val="auto"/>
          <w:sz w:val="32"/>
          <w:szCs w:val="32"/>
          <w:highlight w:val="none"/>
        </w:rPr>
      </w:pPr>
    </w:p>
    <w:p w14:paraId="357DACA0">
      <w:pPr>
        <w:snapToGrid w:val="0"/>
        <w:jc w:val="center"/>
        <w:rPr>
          <w:rFonts w:hint="eastAsia" w:ascii="宋体" w:hAnsi="宋体" w:cs="宋体"/>
          <w:bCs/>
          <w:color w:val="auto"/>
          <w:sz w:val="32"/>
          <w:szCs w:val="32"/>
          <w:highlight w:val="none"/>
        </w:rPr>
      </w:pPr>
    </w:p>
    <w:p w14:paraId="5D8B6870">
      <w:pPr>
        <w:snapToGrid w:val="0"/>
        <w:jc w:val="center"/>
        <w:rPr>
          <w:rFonts w:hint="eastAsia" w:ascii="宋体" w:hAnsi="宋体" w:cs="宋体"/>
          <w:bCs/>
          <w:color w:val="auto"/>
          <w:sz w:val="32"/>
          <w:szCs w:val="32"/>
          <w:highlight w:val="none"/>
        </w:rPr>
      </w:pPr>
    </w:p>
    <w:p w14:paraId="3A4CE3B9">
      <w:pPr>
        <w:snapToGrid w:val="0"/>
        <w:jc w:val="center"/>
        <w:rPr>
          <w:rFonts w:hint="eastAsia" w:ascii="宋体" w:hAnsi="宋体" w:cs="宋体"/>
          <w:bCs/>
          <w:color w:val="auto"/>
          <w:sz w:val="32"/>
          <w:szCs w:val="32"/>
          <w:highlight w:val="none"/>
        </w:rPr>
      </w:pPr>
    </w:p>
    <w:p w14:paraId="07940D99">
      <w:pPr>
        <w:snapToGrid w:val="0"/>
        <w:jc w:val="center"/>
        <w:rPr>
          <w:rFonts w:hint="eastAsia" w:ascii="宋体" w:hAnsi="宋体" w:cs="宋体"/>
          <w:bCs/>
          <w:color w:val="auto"/>
          <w:sz w:val="32"/>
          <w:szCs w:val="32"/>
          <w:highlight w:val="none"/>
        </w:rPr>
      </w:pPr>
    </w:p>
    <w:p w14:paraId="19422299">
      <w:pPr>
        <w:snapToGrid w:val="0"/>
        <w:jc w:val="center"/>
        <w:rPr>
          <w:rFonts w:hint="eastAsia" w:ascii="宋体" w:hAnsi="宋体" w:cs="宋体"/>
          <w:bCs/>
          <w:color w:val="auto"/>
          <w:sz w:val="32"/>
          <w:szCs w:val="32"/>
          <w:highlight w:val="none"/>
        </w:rPr>
      </w:pPr>
    </w:p>
    <w:p w14:paraId="539D2AD0">
      <w:pPr>
        <w:snapToGrid w:val="0"/>
        <w:jc w:val="center"/>
        <w:rPr>
          <w:rFonts w:hint="eastAsia" w:ascii="宋体" w:hAnsi="宋体" w:cs="宋体"/>
          <w:bCs/>
          <w:color w:val="auto"/>
          <w:sz w:val="32"/>
          <w:szCs w:val="32"/>
          <w:highlight w:val="none"/>
        </w:rPr>
      </w:pPr>
    </w:p>
    <w:p w14:paraId="1F6559C8">
      <w:pPr>
        <w:snapToGrid w:val="0"/>
        <w:jc w:val="center"/>
        <w:rPr>
          <w:rFonts w:hint="eastAsia" w:ascii="宋体" w:hAnsi="宋体" w:cs="宋体"/>
          <w:bCs/>
          <w:color w:val="auto"/>
          <w:sz w:val="32"/>
          <w:szCs w:val="32"/>
          <w:highlight w:val="none"/>
        </w:rPr>
      </w:pPr>
    </w:p>
    <w:p w14:paraId="15A8129E">
      <w:pPr>
        <w:snapToGrid w:val="0"/>
        <w:jc w:val="center"/>
        <w:rPr>
          <w:rFonts w:hint="eastAsia" w:ascii="宋体" w:hAnsi="宋体" w:cs="宋体"/>
          <w:bCs/>
          <w:color w:val="auto"/>
          <w:sz w:val="32"/>
          <w:szCs w:val="32"/>
          <w:highlight w:val="none"/>
        </w:rPr>
      </w:pPr>
    </w:p>
    <w:p w14:paraId="2547C03B">
      <w:pPr>
        <w:snapToGrid w:val="0"/>
        <w:jc w:val="center"/>
        <w:rPr>
          <w:rFonts w:hint="eastAsia" w:ascii="宋体" w:hAnsi="宋体" w:cs="宋体"/>
          <w:bCs/>
          <w:color w:val="auto"/>
          <w:sz w:val="32"/>
          <w:szCs w:val="32"/>
          <w:highlight w:val="none"/>
        </w:rPr>
      </w:pPr>
    </w:p>
    <w:p w14:paraId="1398B259">
      <w:pPr>
        <w:snapToGrid w:val="0"/>
        <w:jc w:val="center"/>
        <w:rPr>
          <w:rFonts w:hint="eastAsia" w:ascii="宋体" w:hAnsi="宋体" w:cs="宋体"/>
          <w:bCs/>
          <w:color w:val="auto"/>
          <w:sz w:val="32"/>
          <w:szCs w:val="32"/>
          <w:highlight w:val="none"/>
        </w:rPr>
      </w:pPr>
    </w:p>
    <w:p w14:paraId="5EBC18E0">
      <w:pPr>
        <w:snapToGrid w:val="0"/>
        <w:jc w:val="center"/>
        <w:rPr>
          <w:rFonts w:hint="eastAsia" w:ascii="宋体" w:hAnsi="宋体" w:cs="宋体"/>
          <w:bCs/>
          <w:color w:val="auto"/>
          <w:sz w:val="32"/>
          <w:szCs w:val="32"/>
          <w:highlight w:val="none"/>
        </w:rPr>
      </w:pPr>
    </w:p>
    <w:p w14:paraId="46171E5A">
      <w:pPr>
        <w:snapToGrid w:val="0"/>
        <w:jc w:val="center"/>
        <w:rPr>
          <w:rFonts w:hint="eastAsia" w:ascii="宋体" w:hAnsi="宋体" w:cs="宋体"/>
          <w:bCs/>
          <w:color w:val="auto"/>
          <w:sz w:val="32"/>
          <w:szCs w:val="32"/>
          <w:highlight w:val="none"/>
        </w:rPr>
      </w:pPr>
    </w:p>
    <w:p w14:paraId="06E0FEE0">
      <w:pPr>
        <w:snapToGrid w:val="0"/>
        <w:jc w:val="center"/>
        <w:rPr>
          <w:rFonts w:hint="eastAsia" w:ascii="宋体" w:hAnsi="宋体" w:cs="宋体"/>
          <w:bCs/>
          <w:color w:val="auto"/>
          <w:sz w:val="32"/>
          <w:szCs w:val="32"/>
          <w:highlight w:val="none"/>
        </w:rPr>
      </w:pPr>
    </w:p>
    <w:p w14:paraId="59DB88C2">
      <w:pPr>
        <w:pStyle w:val="39"/>
        <w:rPr>
          <w:rFonts w:hint="eastAsia" w:ascii="宋体" w:hAnsi="宋体" w:cs="宋体"/>
          <w:bCs/>
          <w:color w:val="auto"/>
          <w:sz w:val="32"/>
          <w:szCs w:val="32"/>
          <w:highlight w:val="none"/>
        </w:rPr>
      </w:pPr>
    </w:p>
    <w:p w14:paraId="2DD39CF4">
      <w:pPr>
        <w:pStyle w:val="39"/>
        <w:rPr>
          <w:rFonts w:hint="eastAsia" w:ascii="宋体" w:hAnsi="宋体" w:cs="宋体"/>
          <w:bCs/>
          <w:color w:val="auto"/>
          <w:sz w:val="32"/>
          <w:szCs w:val="32"/>
          <w:highlight w:val="none"/>
        </w:rPr>
      </w:pPr>
    </w:p>
    <w:p w14:paraId="353A5553">
      <w:pPr>
        <w:pStyle w:val="39"/>
        <w:rPr>
          <w:rFonts w:hint="eastAsia" w:ascii="宋体" w:hAnsi="宋体" w:cs="宋体"/>
          <w:bCs/>
          <w:color w:val="auto"/>
          <w:sz w:val="32"/>
          <w:szCs w:val="32"/>
          <w:highlight w:val="none"/>
        </w:rPr>
      </w:pPr>
    </w:p>
    <w:p w14:paraId="252342E1">
      <w:pPr>
        <w:pStyle w:val="39"/>
        <w:rPr>
          <w:rFonts w:hint="eastAsia" w:ascii="宋体" w:hAnsi="宋体" w:cs="宋体"/>
          <w:bCs/>
          <w:color w:val="auto"/>
          <w:sz w:val="32"/>
          <w:szCs w:val="32"/>
          <w:highlight w:val="none"/>
        </w:rPr>
      </w:pPr>
    </w:p>
    <w:p w14:paraId="3489A5AC">
      <w:pPr>
        <w:pStyle w:val="39"/>
        <w:rPr>
          <w:rFonts w:hint="eastAsia" w:ascii="宋体" w:hAnsi="宋体" w:cs="宋体"/>
          <w:bCs/>
          <w:color w:val="auto"/>
          <w:sz w:val="32"/>
          <w:szCs w:val="32"/>
          <w:highlight w:val="none"/>
        </w:rPr>
      </w:pPr>
    </w:p>
    <w:p w14:paraId="78D20590">
      <w:pPr>
        <w:pStyle w:val="39"/>
        <w:rPr>
          <w:rFonts w:hint="eastAsia" w:ascii="宋体" w:hAnsi="宋体" w:cs="宋体"/>
          <w:bCs/>
          <w:color w:val="auto"/>
          <w:sz w:val="32"/>
          <w:szCs w:val="32"/>
          <w:highlight w:val="none"/>
        </w:rPr>
      </w:pPr>
    </w:p>
    <w:p w14:paraId="35AE110E">
      <w:pPr>
        <w:pStyle w:val="39"/>
        <w:rPr>
          <w:rFonts w:hint="eastAsia" w:ascii="宋体" w:hAnsi="宋体" w:cs="宋体"/>
          <w:bCs/>
          <w:color w:val="auto"/>
          <w:sz w:val="32"/>
          <w:szCs w:val="32"/>
          <w:highlight w:val="none"/>
        </w:rPr>
      </w:pPr>
    </w:p>
    <w:p w14:paraId="34E86671">
      <w:pPr>
        <w:snapToGrid w:val="0"/>
        <w:jc w:val="center"/>
        <w:rPr>
          <w:rFonts w:hint="eastAsia" w:ascii="宋体" w:hAnsi="宋体" w:cs="宋体"/>
          <w:bCs/>
          <w:color w:val="auto"/>
          <w:sz w:val="32"/>
          <w:szCs w:val="32"/>
          <w:highlight w:val="none"/>
        </w:rPr>
      </w:pPr>
    </w:p>
    <w:p w14:paraId="5351497F">
      <w:pPr>
        <w:pStyle w:val="2"/>
        <w:jc w:val="center"/>
        <w:rPr>
          <w:rFonts w:hint="eastAsia" w:ascii="宋体" w:hAnsi="宋体" w:cs="宋体"/>
          <w:color w:val="auto"/>
          <w:highlight w:val="none"/>
        </w:rPr>
      </w:pPr>
      <w:bookmarkStart w:id="136" w:name="_Toc21405"/>
      <w:bookmarkStart w:id="137" w:name="_Toc7433"/>
      <w:r>
        <w:rPr>
          <w:rFonts w:hint="eastAsia" w:ascii="宋体" w:hAnsi="宋体" w:cs="宋体"/>
          <w:color w:val="auto"/>
          <w:highlight w:val="none"/>
        </w:rPr>
        <w:t>第六章  投标文件格式</w:t>
      </w:r>
      <w:bookmarkEnd w:id="136"/>
      <w:bookmarkEnd w:id="137"/>
    </w:p>
    <w:p w14:paraId="5437CD12">
      <w:pPr>
        <w:snapToGrid w:val="0"/>
        <w:spacing w:before="50" w:after="50"/>
        <w:outlineLvl w:val="1"/>
        <w:rPr>
          <w:rFonts w:hint="eastAsia" w:ascii="宋体" w:hAnsi="宋体" w:cs="宋体"/>
          <w:color w:val="auto"/>
          <w:sz w:val="32"/>
          <w:szCs w:val="20"/>
          <w:highlight w:val="none"/>
        </w:rPr>
      </w:pPr>
    </w:p>
    <w:p w14:paraId="4908C84E">
      <w:pPr>
        <w:snapToGrid w:val="0"/>
        <w:spacing w:before="50" w:after="50"/>
        <w:outlineLvl w:val="1"/>
        <w:rPr>
          <w:rFonts w:hint="eastAsia" w:ascii="宋体" w:hAnsi="宋体" w:cs="宋体"/>
          <w:color w:val="auto"/>
          <w:sz w:val="32"/>
          <w:szCs w:val="20"/>
          <w:highlight w:val="none"/>
        </w:rPr>
      </w:pPr>
    </w:p>
    <w:p w14:paraId="22472597">
      <w:pPr>
        <w:snapToGrid w:val="0"/>
        <w:spacing w:before="50" w:after="50"/>
        <w:outlineLvl w:val="1"/>
        <w:rPr>
          <w:rFonts w:hint="eastAsia" w:ascii="宋体" w:hAnsi="宋体" w:cs="宋体"/>
          <w:color w:val="auto"/>
          <w:sz w:val="32"/>
          <w:szCs w:val="20"/>
          <w:highlight w:val="none"/>
        </w:rPr>
      </w:pPr>
    </w:p>
    <w:p w14:paraId="4A8A2FBB">
      <w:pPr>
        <w:snapToGrid w:val="0"/>
        <w:spacing w:before="50" w:after="50"/>
        <w:outlineLvl w:val="1"/>
        <w:rPr>
          <w:rFonts w:hint="eastAsia" w:ascii="宋体" w:hAnsi="宋体" w:cs="宋体"/>
          <w:color w:val="auto"/>
          <w:sz w:val="32"/>
          <w:szCs w:val="20"/>
          <w:highlight w:val="none"/>
        </w:rPr>
      </w:pPr>
    </w:p>
    <w:p w14:paraId="3006CEA1">
      <w:pPr>
        <w:snapToGrid w:val="0"/>
        <w:spacing w:before="50" w:after="50"/>
        <w:outlineLvl w:val="1"/>
        <w:rPr>
          <w:rFonts w:hint="eastAsia" w:ascii="宋体" w:hAnsi="宋体" w:cs="宋体"/>
          <w:color w:val="auto"/>
          <w:sz w:val="32"/>
          <w:szCs w:val="20"/>
          <w:highlight w:val="none"/>
        </w:rPr>
      </w:pPr>
    </w:p>
    <w:p w14:paraId="7B4327E8">
      <w:pPr>
        <w:snapToGrid w:val="0"/>
        <w:spacing w:before="50" w:after="50"/>
        <w:outlineLvl w:val="1"/>
        <w:rPr>
          <w:rFonts w:hint="eastAsia" w:ascii="宋体" w:hAnsi="宋体" w:cs="宋体"/>
          <w:color w:val="auto"/>
          <w:sz w:val="32"/>
          <w:szCs w:val="20"/>
          <w:highlight w:val="none"/>
        </w:rPr>
      </w:pPr>
    </w:p>
    <w:p w14:paraId="780A76AF">
      <w:pPr>
        <w:snapToGrid w:val="0"/>
        <w:spacing w:before="50" w:after="50"/>
        <w:outlineLvl w:val="1"/>
        <w:rPr>
          <w:rFonts w:hint="eastAsia" w:ascii="宋体" w:hAnsi="宋体" w:cs="宋体"/>
          <w:color w:val="auto"/>
          <w:sz w:val="32"/>
          <w:szCs w:val="20"/>
          <w:highlight w:val="none"/>
        </w:rPr>
      </w:pPr>
    </w:p>
    <w:p w14:paraId="7EBCC560">
      <w:pPr>
        <w:snapToGrid w:val="0"/>
        <w:spacing w:before="50" w:after="50"/>
        <w:outlineLvl w:val="1"/>
        <w:rPr>
          <w:rFonts w:hint="eastAsia" w:ascii="宋体" w:hAnsi="宋体" w:cs="宋体"/>
          <w:color w:val="auto"/>
          <w:sz w:val="32"/>
          <w:szCs w:val="20"/>
          <w:highlight w:val="none"/>
        </w:rPr>
      </w:pPr>
    </w:p>
    <w:p w14:paraId="008FB6CC">
      <w:pPr>
        <w:snapToGrid w:val="0"/>
        <w:spacing w:before="50" w:after="50"/>
        <w:outlineLvl w:val="1"/>
        <w:rPr>
          <w:rFonts w:hint="eastAsia" w:ascii="宋体" w:hAnsi="宋体" w:cs="宋体"/>
          <w:color w:val="auto"/>
          <w:sz w:val="32"/>
          <w:szCs w:val="20"/>
          <w:highlight w:val="none"/>
        </w:rPr>
      </w:pPr>
    </w:p>
    <w:p w14:paraId="54394FA5">
      <w:pPr>
        <w:snapToGrid w:val="0"/>
        <w:spacing w:before="50" w:after="50"/>
        <w:outlineLvl w:val="1"/>
        <w:rPr>
          <w:rFonts w:hint="eastAsia" w:ascii="宋体" w:hAnsi="宋体" w:cs="宋体"/>
          <w:color w:val="auto"/>
          <w:sz w:val="32"/>
          <w:szCs w:val="20"/>
          <w:highlight w:val="none"/>
        </w:rPr>
      </w:pPr>
    </w:p>
    <w:p w14:paraId="0B7A5DCD">
      <w:pPr>
        <w:rPr>
          <w:rFonts w:hint="eastAsia" w:ascii="宋体" w:hAnsi="宋体" w:cs="宋体"/>
          <w:b/>
          <w:color w:val="auto"/>
          <w:sz w:val="28"/>
          <w:szCs w:val="28"/>
          <w:highlight w:val="none"/>
        </w:rPr>
      </w:pPr>
      <w:r>
        <w:rPr>
          <w:rFonts w:hint="eastAsia" w:ascii="宋体" w:hAnsi="宋体" w:cs="宋体"/>
          <w:color w:val="auto"/>
          <w:sz w:val="32"/>
          <w:szCs w:val="20"/>
          <w:highlight w:val="none"/>
        </w:rPr>
        <w:br w:type="page"/>
      </w:r>
      <w:bookmarkStart w:id="138" w:name="_Toc19686836"/>
      <w:bookmarkStart w:id="139" w:name="_Toc254970557"/>
      <w:bookmarkStart w:id="140" w:name="_Toc254970698"/>
      <w:r>
        <w:rPr>
          <w:rFonts w:hint="eastAsia" w:ascii="宋体" w:hAnsi="宋体" w:cs="宋体"/>
          <w:b/>
          <w:color w:val="auto"/>
          <w:sz w:val="28"/>
          <w:szCs w:val="28"/>
          <w:highlight w:val="none"/>
        </w:rPr>
        <w:t>一、报价文件格式</w:t>
      </w:r>
      <w:bookmarkEnd w:id="138"/>
    </w:p>
    <w:p w14:paraId="316DE621">
      <w:pPr>
        <w:snapToGrid w:val="0"/>
        <w:spacing w:before="120" w:beforeLines="50" w:after="50" w:line="360" w:lineRule="auto"/>
        <w:ind w:left="142"/>
        <w:jc w:val="left"/>
        <w:rPr>
          <w:rFonts w:hint="eastAsia" w:ascii="宋体" w:hAnsi="宋体" w:cs="宋体"/>
          <w:color w:val="auto"/>
          <w:sz w:val="24"/>
          <w:szCs w:val="20"/>
          <w:highlight w:val="none"/>
        </w:rPr>
      </w:pPr>
      <w:r>
        <w:rPr>
          <w:rFonts w:hint="eastAsia" w:ascii="宋体" w:hAnsi="宋体" w:cs="宋体"/>
          <w:b/>
          <w:color w:val="auto"/>
          <w:sz w:val="24"/>
          <w:highlight w:val="none"/>
        </w:rPr>
        <w:t xml:space="preserve">1. 报价文件封面格式： </w:t>
      </w:r>
    </w:p>
    <w:p w14:paraId="521A2938">
      <w:pPr>
        <w:snapToGrid w:val="0"/>
        <w:spacing w:before="120" w:beforeLines="50" w:after="50" w:line="360" w:lineRule="auto"/>
        <w:ind w:left="142"/>
        <w:jc w:val="center"/>
        <w:rPr>
          <w:rFonts w:hint="eastAsia" w:ascii="宋体" w:hAnsi="宋体" w:cs="宋体"/>
          <w:bCs/>
          <w:color w:val="auto"/>
          <w:sz w:val="48"/>
          <w:szCs w:val="48"/>
          <w:highlight w:val="none"/>
        </w:rPr>
      </w:pPr>
      <w:r>
        <w:rPr>
          <w:rFonts w:hint="eastAsia" w:ascii="宋体" w:hAnsi="宋体" w:cs="宋体"/>
          <w:bCs/>
          <w:color w:val="auto"/>
          <w:sz w:val="48"/>
          <w:szCs w:val="48"/>
          <w:highlight w:val="none"/>
        </w:rPr>
        <w:t>电子投标文件</w:t>
      </w:r>
    </w:p>
    <w:p w14:paraId="35F22816">
      <w:pPr>
        <w:snapToGrid w:val="0"/>
        <w:spacing w:before="120" w:beforeLines="50" w:after="50" w:line="400" w:lineRule="exact"/>
        <w:rPr>
          <w:rFonts w:hint="eastAsia" w:ascii="宋体" w:hAnsi="宋体" w:cs="宋体"/>
          <w:bCs/>
          <w:color w:val="auto"/>
          <w:sz w:val="32"/>
          <w:szCs w:val="20"/>
          <w:highlight w:val="none"/>
        </w:rPr>
      </w:pPr>
      <w:r>
        <w:rPr>
          <w:rFonts w:hint="eastAsia" w:ascii="宋体" w:hAnsi="宋体" w:cs="宋体"/>
          <w:color w:val="auto"/>
          <w:sz w:val="24"/>
          <w:highlight w:val="none"/>
        </w:rPr>
        <w:t xml:space="preserve">                 </w:t>
      </w:r>
    </w:p>
    <w:p w14:paraId="68A9B63E">
      <w:pPr>
        <w:snapToGrid w:val="0"/>
        <w:spacing w:before="120" w:beforeLines="50" w:after="50" w:line="400" w:lineRule="exact"/>
        <w:jc w:val="center"/>
        <w:rPr>
          <w:rFonts w:hint="eastAsia" w:ascii="宋体" w:hAnsi="宋体" w:cs="宋体"/>
          <w:bCs/>
          <w:color w:val="auto"/>
          <w:sz w:val="24"/>
          <w:szCs w:val="20"/>
          <w:highlight w:val="none"/>
        </w:rPr>
      </w:pPr>
    </w:p>
    <w:p w14:paraId="2E4CD4DD">
      <w:pPr>
        <w:snapToGrid w:val="0"/>
        <w:spacing w:before="120" w:beforeLines="50" w:after="50" w:line="400" w:lineRule="exact"/>
        <w:jc w:val="center"/>
        <w:rPr>
          <w:rFonts w:hint="eastAsia" w:ascii="宋体" w:hAnsi="宋体" w:cs="宋体"/>
          <w:b/>
          <w:bCs/>
          <w:color w:val="auto"/>
          <w:sz w:val="32"/>
          <w:szCs w:val="32"/>
          <w:highlight w:val="none"/>
        </w:rPr>
      </w:pPr>
      <w:r>
        <w:rPr>
          <w:rFonts w:hint="eastAsia" w:ascii="宋体" w:hAnsi="宋体" w:cs="宋体"/>
          <w:b/>
          <w:bCs/>
          <w:color w:val="auto"/>
          <w:sz w:val="32"/>
          <w:szCs w:val="32"/>
          <w:highlight w:val="none"/>
        </w:rPr>
        <w:t>报价文件</w:t>
      </w:r>
    </w:p>
    <w:p w14:paraId="0614AB1B">
      <w:pPr>
        <w:snapToGrid w:val="0"/>
        <w:spacing w:before="120" w:beforeLines="50" w:after="50" w:line="400" w:lineRule="exact"/>
        <w:rPr>
          <w:rFonts w:hint="eastAsia" w:ascii="宋体" w:hAnsi="宋体" w:cs="宋体"/>
          <w:bCs/>
          <w:color w:val="auto"/>
          <w:sz w:val="24"/>
          <w:szCs w:val="20"/>
          <w:highlight w:val="none"/>
        </w:rPr>
      </w:pPr>
    </w:p>
    <w:p w14:paraId="08D19BFB">
      <w:pPr>
        <w:snapToGrid w:val="0"/>
        <w:spacing w:before="120" w:beforeLines="50" w:after="50" w:line="400" w:lineRule="exact"/>
        <w:rPr>
          <w:rFonts w:hint="eastAsia" w:ascii="宋体" w:hAnsi="宋体" w:cs="宋体"/>
          <w:bCs/>
          <w:color w:val="auto"/>
          <w:sz w:val="24"/>
          <w:szCs w:val="20"/>
          <w:highlight w:val="none"/>
        </w:rPr>
      </w:pPr>
    </w:p>
    <w:p w14:paraId="4D71E984">
      <w:pPr>
        <w:snapToGrid w:val="0"/>
        <w:spacing w:before="120" w:beforeLines="50" w:after="50" w:line="400" w:lineRule="exact"/>
        <w:rPr>
          <w:rFonts w:hint="eastAsia" w:ascii="宋体" w:hAnsi="宋体" w:cs="宋体"/>
          <w:bCs/>
          <w:color w:val="auto"/>
          <w:sz w:val="24"/>
          <w:szCs w:val="20"/>
          <w:highlight w:val="none"/>
        </w:rPr>
      </w:pPr>
    </w:p>
    <w:p w14:paraId="5A23D7D4">
      <w:pPr>
        <w:snapToGrid w:val="0"/>
        <w:spacing w:before="120" w:beforeLines="50" w:after="50" w:line="400" w:lineRule="exact"/>
        <w:rPr>
          <w:rFonts w:hint="eastAsia" w:ascii="宋体" w:hAnsi="宋体" w:cs="宋体"/>
          <w:bCs/>
          <w:color w:val="auto"/>
          <w:sz w:val="24"/>
          <w:szCs w:val="20"/>
          <w:highlight w:val="none"/>
        </w:rPr>
      </w:pPr>
    </w:p>
    <w:p w14:paraId="29DAFB89">
      <w:pPr>
        <w:snapToGrid w:val="0"/>
        <w:spacing w:before="120" w:beforeLines="50" w:after="50" w:line="400" w:lineRule="exact"/>
        <w:ind w:firstLine="360" w:firstLineChars="150"/>
        <w:rPr>
          <w:rFonts w:hint="eastAsia" w:ascii="宋体" w:hAnsi="宋体" w:cs="宋体"/>
          <w:bCs/>
          <w:color w:val="auto"/>
          <w:sz w:val="24"/>
          <w:highlight w:val="none"/>
        </w:rPr>
      </w:pPr>
      <w:r>
        <w:rPr>
          <w:rFonts w:hint="eastAsia" w:ascii="宋体" w:hAnsi="宋体" w:cs="宋体"/>
          <w:bCs/>
          <w:color w:val="auto"/>
          <w:sz w:val="24"/>
          <w:highlight w:val="none"/>
        </w:rPr>
        <w:t xml:space="preserve">项目名称： </w:t>
      </w:r>
    </w:p>
    <w:p w14:paraId="2498CA4F">
      <w:pPr>
        <w:snapToGrid w:val="0"/>
        <w:spacing w:before="120" w:beforeLines="50" w:after="50" w:line="400" w:lineRule="exact"/>
        <w:ind w:firstLine="360" w:firstLineChars="150"/>
        <w:rPr>
          <w:rFonts w:hint="eastAsia" w:ascii="宋体" w:hAnsi="宋体" w:cs="宋体"/>
          <w:bCs/>
          <w:color w:val="auto"/>
          <w:sz w:val="24"/>
          <w:highlight w:val="none"/>
        </w:rPr>
      </w:pPr>
    </w:p>
    <w:p w14:paraId="65641C53">
      <w:pPr>
        <w:snapToGrid w:val="0"/>
        <w:spacing w:before="120" w:beforeLines="50" w:after="50" w:line="400" w:lineRule="exact"/>
        <w:ind w:firstLine="360" w:firstLineChars="150"/>
        <w:rPr>
          <w:rFonts w:hint="eastAsia" w:ascii="宋体" w:hAnsi="宋体" w:cs="宋体"/>
          <w:bCs/>
          <w:color w:val="auto"/>
          <w:sz w:val="24"/>
          <w:highlight w:val="none"/>
        </w:rPr>
      </w:pPr>
      <w:r>
        <w:rPr>
          <w:rFonts w:hint="eastAsia" w:ascii="宋体" w:hAnsi="宋体" w:cs="宋体"/>
          <w:bCs/>
          <w:color w:val="auto"/>
          <w:sz w:val="24"/>
          <w:highlight w:val="none"/>
        </w:rPr>
        <w:t xml:space="preserve">项目编号： </w:t>
      </w:r>
    </w:p>
    <w:p w14:paraId="67DF6C79">
      <w:pPr>
        <w:snapToGrid w:val="0"/>
        <w:spacing w:before="120" w:beforeLines="50" w:after="50" w:line="400" w:lineRule="exact"/>
        <w:ind w:firstLine="360" w:firstLineChars="150"/>
        <w:rPr>
          <w:rFonts w:hint="eastAsia" w:ascii="宋体" w:hAnsi="宋体" w:cs="宋体"/>
          <w:bCs/>
          <w:color w:val="auto"/>
          <w:sz w:val="24"/>
          <w:highlight w:val="none"/>
        </w:rPr>
      </w:pPr>
    </w:p>
    <w:p w14:paraId="31C7F7A1">
      <w:pPr>
        <w:snapToGrid w:val="0"/>
        <w:spacing w:before="120" w:beforeLines="50" w:after="50" w:line="400" w:lineRule="exact"/>
        <w:ind w:firstLine="360" w:firstLineChars="150"/>
        <w:rPr>
          <w:rFonts w:hint="eastAsia" w:ascii="宋体" w:hAnsi="宋体" w:cs="宋体"/>
          <w:bCs/>
          <w:color w:val="auto"/>
          <w:sz w:val="24"/>
          <w:highlight w:val="none"/>
        </w:rPr>
      </w:pPr>
      <w:r>
        <w:rPr>
          <w:rFonts w:hint="eastAsia" w:ascii="宋体" w:hAnsi="宋体" w:cs="宋体"/>
          <w:bCs/>
          <w:color w:val="auto"/>
          <w:sz w:val="24"/>
          <w:highlight w:val="none"/>
        </w:rPr>
        <w:t>所投分标：</w:t>
      </w:r>
    </w:p>
    <w:p w14:paraId="4437FF57">
      <w:pPr>
        <w:snapToGrid w:val="0"/>
        <w:spacing w:before="120" w:beforeLines="50" w:after="50" w:line="400" w:lineRule="exact"/>
        <w:ind w:firstLine="360" w:firstLineChars="150"/>
        <w:rPr>
          <w:rFonts w:hint="eastAsia" w:ascii="宋体" w:hAnsi="宋体" w:cs="宋体"/>
          <w:bCs/>
          <w:color w:val="auto"/>
          <w:sz w:val="24"/>
          <w:highlight w:val="none"/>
        </w:rPr>
      </w:pPr>
    </w:p>
    <w:p w14:paraId="247C3DFF">
      <w:pPr>
        <w:snapToGrid w:val="0"/>
        <w:spacing w:before="120" w:beforeLines="50" w:after="50" w:line="400" w:lineRule="exact"/>
        <w:ind w:firstLine="360" w:firstLineChars="150"/>
        <w:rPr>
          <w:rFonts w:hint="eastAsia" w:ascii="宋体" w:hAnsi="宋体" w:cs="宋体"/>
          <w:bCs/>
          <w:color w:val="auto"/>
          <w:sz w:val="24"/>
          <w:highlight w:val="none"/>
        </w:rPr>
      </w:pPr>
      <w:r>
        <w:rPr>
          <w:rFonts w:hint="eastAsia" w:ascii="宋体" w:hAnsi="宋体" w:cs="宋体"/>
          <w:bCs/>
          <w:color w:val="auto"/>
          <w:sz w:val="24"/>
          <w:highlight w:val="none"/>
        </w:rPr>
        <w:t>投标人名称：</w:t>
      </w:r>
    </w:p>
    <w:p w14:paraId="7016B751">
      <w:pPr>
        <w:snapToGrid w:val="0"/>
        <w:spacing w:before="120" w:beforeLines="50" w:after="50" w:line="400" w:lineRule="exact"/>
        <w:ind w:firstLine="360" w:firstLineChars="150"/>
        <w:rPr>
          <w:rFonts w:hint="eastAsia" w:ascii="宋体" w:hAnsi="宋体" w:cs="宋体"/>
          <w:bCs/>
          <w:color w:val="auto"/>
          <w:sz w:val="24"/>
          <w:highlight w:val="none"/>
        </w:rPr>
      </w:pPr>
    </w:p>
    <w:p w14:paraId="13999ADF">
      <w:pPr>
        <w:snapToGrid w:val="0"/>
        <w:spacing w:before="120" w:beforeLines="50" w:after="50" w:line="400" w:lineRule="exact"/>
        <w:ind w:firstLine="360" w:firstLineChars="150"/>
        <w:rPr>
          <w:rFonts w:hint="eastAsia" w:ascii="宋体" w:hAnsi="宋体" w:cs="宋体"/>
          <w:bCs/>
          <w:color w:val="auto"/>
          <w:sz w:val="24"/>
          <w:highlight w:val="none"/>
        </w:rPr>
      </w:pPr>
      <w:r>
        <w:rPr>
          <w:rFonts w:hint="eastAsia" w:ascii="宋体" w:hAnsi="宋体" w:cs="宋体"/>
          <w:bCs/>
          <w:color w:val="auto"/>
          <w:sz w:val="24"/>
          <w:highlight w:val="none"/>
        </w:rPr>
        <w:t>投标人地址：</w:t>
      </w:r>
    </w:p>
    <w:p w14:paraId="71754FE1">
      <w:pPr>
        <w:pStyle w:val="8"/>
        <w:snapToGrid w:val="0"/>
        <w:spacing w:before="50" w:after="50" w:line="400" w:lineRule="exact"/>
        <w:ind w:firstLine="960" w:firstLineChars="400"/>
        <w:rPr>
          <w:rFonts w:hint="eastAsia" w:ascii="宋体" w:hAnsi="宋体" w:cs="宋体"/>
          <w:bCs/>
          <w:color w:val="auto"/>
          <w:sz w:val="24"/>
          <w:szCs w:val="24"/>
          <w:highlight w:val="none"/>
        </w:rPr>
      </w:pPr>
    </w:p>
    <w:p w14:paraId="74FF944B">
      <w:pPr>
        <w:snapToGrid w:val="0"/>
        <w:spacing w:before="120" w:beforeLines="50" w:after="50" w:line="400" w:lineRule="exact"/>
        <w:rPr>
          <w:rFonts w:hint="eastAsia" w:ascii="宋体" w:hAnsi="宋体" w:cs="宋体"/>
          <w:color w:val="auto"/>
          <w:sz w:val="30"/>
          <w:szCs w:val="20"/>
          <w:highlight w:val="none"/>
        </w:rPr>
      </w:pPr>
      <w:r>
        <w:rPr>
          <w:rFonts w:hint="eastAsia" w:ascii="宋体" w:hAnsi="宋体" w:cs="宋体"/>
          <w:color w:val="auto"/>
          <w:sz w:val="24"/>
          <w:highlight w:val="none"/>
        </w:rPr>
        <w:t xml:space="preserve">                                   年  月  日</w:t>
      </w:r>
    </w:p>
    <w:p w14:paraId="2975636A">
      <w:pPr>
        <w:snapToGrid w:val="0"/>
        <w:spacing w:before="120" w:beforeLines="50" w:after="50" w:line="360" w:lineRule="auto"/>
        <w:jc w:val="left"/>
        <w:rPr>
          <w:rFonts w:hint="eastAsia" w:ascii="宋体" w:hAnsi="宋体" w:cs="宋体"/>
          <w:color w:val="auto"/>
          <w:sz w:val="24"/>
          <w:szCs w:val="20"/>
          <w:highlight w:val="none"/>
        </w:rPr>
      </w:pPr>
      <w:r>
        <w:rPr>
          <w:rFonts w:hint="eastAsia" w:ascii="宋体" w:hAnsi="宋体" w:cs="宋体"/>
          <w:b/>
          <w:color w:val="auto"/>
          <w:sz w:val="24"/>
          <w:highlight w:val="none"/>
        </w:rPr>
        <w:br w:type="page"/>
      </w:r>
      <w:r>
        <w:rPr>
          <w:rFonts w:hint="eastAsia" w:ascii="宋体" w:hAnsi="宋体" w:cs="宋体"/>
          <w:b/>
          <w:color w:val="auto"/>
          <w:sz w:val="24"/>
          <w:highlight w:val="none"/>
        </w:rPr>
        <w:t>2.</w:t>
      </w:r>
      <w:r>
        <w:rPr>
          <w:rFonts w:hint="eastAsia" w:ascii="宋体" w:hAnsi="宋体" w:cs="宋体"/>
          <w:b/>
          <w:bCs/>
          <w:color w:val="auto"/>
          <w:sz w:val="24"/>
          <w:highlight w:val="none"/>
        </w:rPr>
        <w:t>报价文件目录</w:t>
      </w:r>
    </w:p>
    <w:p w14:paraId="44B261A7">
      <w:pPr>
        <w:snapToGrid w:val="0"/>
        <w:spacing w:before="50" w:after="120" w:afterLines="50" w:line="360" w:lineRule="auto"/>
        <w:jc w:val="left"/>
        <w:rPr>
          <w:rFonts w:hint="eastAsia" w:ascii="宋体" w:hAnsi="宋体" w:cs="宋体"/>
          <w:b/>
          <w:color w:val="auto"/>
          <w:sz w:val="24"/>
          <w:highlight w:val="none"/>
        </w:rPr>
      </w:pPr>
      <w:r>
        <w:rPr>
          <w:rFonts w:hint="eastAsia" w:ascii="宋体" w:hAnsi="宋体" w:cs="宋体"/>
          <w:color w:val="auto"/>
          <w:szCs w:val="21"/>
          <w:highlight w:val="none"/>
        </w:rPr>
        <w:t>根据招标文件规定及投标人提供的材料自行编写目录。</w:t>
      </w:r>
    </w:p>
    <w:p w14:paraId="14789429">
      <w:pPr>
        <w:snapToGrid w:val="0"/>
        <w:spacing w:before="120" w:beforeLines="50" w:after="50"/>
        <w:rPr>
          <w:rFonts w:hint="eastAsia" w:ascii="宋体" w:hAnsi="宋体" w:cs="宋体"/>
          <w:b/>
          <w:color w:val="auto"/>
          <w:sz w:val="24"/>
          <w:highlight w:val="none"/>
        </w:rPr>
      </w:pPr>
    </w:p>
    <w:p w14:paraId="34E6B61F">
      <w:pPr>
        <w:snapToGrid w:val="0"/>
        <w:spacing w:before="120" w:beforeLines="50" w:after="50"/>
        <w:rPr>
          <w:rFonts w:hint="eastAsia" w:ascii="宋体" w:hAnsi="宋体" w:cs="宋体"/>
          <w:b/>
          <w:color w:val="auto"/>
          <w:sz w:val="24"/>
          <w:highlight w:val="none"/>
        </w:rPr>
      </w:pPr>
    </w:p>
    <w:p w14:paraId="45CB47F8">
      <w:pPr>
        <w:snapToGrid w:val="0"/>
        <w:spacing w:before="120" w:beforeLines="50" w:after="50"/>
        <w:rPr>
          <w:rFonts w:hint="eastAsia" w:ascii="宋体" w:hAnsi="宋体" w:cs="宋体"/>
          <w:b/>
          <w:color w:val="auto"/>
          <w:sz w:val="24"/>
          <w:highlight w:val="none"/>
        </w:rPr>
      </w:pPr>
    </w:p>
    <w:p w14:paraId="41F08E1A">
      <w:pPr>
        <w:snapToGrid w:val="0"/>
        <w:spacing w:before="120" w:beforeLines="50" w:after="50"/>
        <w:ind w:left="142"/>
        <w:jc w:val="left"/>
        <w:rPr>
          <w:rFonts w:hint="eastAsia" w:ascii="宋体" w:hAnsi="宋体" w:cs="宋体"/>
          <w:b/>
          <w:color w:val="auto"/>
          <w:sz w:val="24"/>
          <w:highlight w:val="none"/>
        </w:rPr>
      </w:pPr>
      <w:r>
        <w:rPr>
          <w:rFonts w:hint="eastAsia" w:ascii="宋体" w:hAnsi="宋体" w:cs="宋体"/>
          <w:b/>
          <w:color w:val="auto"/>
          <w:sz w:val="24"/>
          <w:highlight w:val="none"/>
        </w:rPr>
        <w:br w:type="page"/>
      </w:r>
      <w:r>
        <w:rPr>
          <w:rFonts w:hint="eastAsia" w:ascii="宋体" w:hAnsi="宋体" w:cs="宋体"/>
          <w:b/>
          <w:color w:val="auto"/>
          <w:sz w:val="24"/>
          <w:highlight w:val="none"/>
        </w:rPr>
        <w:t>3. 投标函格式：</w:t>
      </w:r>
    </w:p>
    <w:p w14:paraId="56FC74CB">
      <w:pPr>
        <w:snapToGrid w:val="0"/>
        <w:spacing w:before="120" w:beforeLines="50" w:after="50" w:line="320" w:lineRule="exact"/>
        <w:jc w:val="center"/>
        <w:rPr>
          <w:rFonts w:hint="eastAsia" w:ascii="宋体" w:hAnsi="宋体" w:cs="宋体"/>
          <w:b/>
          <w:color w:val="auto"/>
          <w:sz w:val="32"/>
          <w:szCs w:val="32"/>
          <w:highlight w:val="none"/>
        </w:rPr>
      </w:pPr>
      <w:r>
        <w:rPr>
          <w:rFonts w:hint="eastAsia" w:ascii="宋体" w:hAnsi="宋体" w:cs="宋体"/>
          <w:b/>
          <w:color w:val="auto"/>
          <w:sz w:val="32"/>
          <w:szCs w:val="32"/>
          <w:highlight w:val="none"/>
        </w:rPr>
        <w:t>投 标 函</w:t>
      </w:r>
    </w:p>
    <w:p w14:paraId="1A920A56">
      <w:pPr>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致：</w:t>
      </w:r>
      <w:r>
        <w:rPr>
          <w:rFonts w:hint="eastAsia" w:ascii="宋体" w:hAnsi="宋体" w:cs="宋体"/>
          <w:color w:val="auto"/>
          <w:sz w:val="24"/>
          <w:highlight w:val="none"/>
          <w:u w:val="single"/>
        </w:rPr>
        <w:t>采购人名称</w:t>
      </w:r>
    </w:p>
    <w:p w14:paraId="28251DD8">
      <w:pPr>
        <w:snapToGrid w:val="0"/>
        <w:spacing w:line="360" w:lineRule="auto"/>
        <w:ind w:firstLine="480"/>
        <w:rPr>
          <w:rFonts w:hint="eastAsia" w:ascii="宋体" w:hAnsi="宋体" w:cs="宋体"/>
          <w:color w:val="auto"/>
          <w:sz w:val="24"/>
          <w:highlight w:val="none"/>
        </w:rPr>
      </w:pPr>
      <w:r>
        <w:rPr>
          <w:rFonts w:hint="eastAsia" w:ascii="宋体" w:hAnsi="宋体" w:cs="宋体"/>
          <w:color w:val="auto"/>
          <w:sz w:val="24"/>
          <w:highlight w:val="none"/>
        </w:rPr>
        <w:t>根据贵方</w:t>
      </w:r>
      <w:r>
        <w:rPr>
          <w:rFonts w:hint="eastAsia" w:ascii="宋体" w:hAnsi="宋体" w:cs="宋体"/>
          <w:color w:val="auto"/>
          <w:sz w:val="24"/>
          <w:highlight w:val="none"/>
          <w:u w:val="single"/>
        </w:rPr>
        <w:t xml:space="preserve"> 项目名称</w:t>
      </w:r>
      <w:r>
        <w:rPr>
          <w:rFonts w:hint="eastAsia" w:ascii="宋体" w:hAnsi="宋体" w:cs="宋体"/>
          <w:color w:val="auto"/>
          <w:sz w:val="24"/>
          <w:highlight w:val="none"/>
        </w:rPr>
        <w:t>（项目编号：</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）的招标文件，签字代表______</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（姓名）经正式授权并代表投标人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（投标人名称）提交投标文件。</w:t>
      </w:r>
    </w:p>
    <w:p w14:paraId="59344104">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据此函，我方宣布同意如下：</w:t>
      </w:r>
    </w:p>
    <w:p w14:paraId="1E413DC4">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1.我方已详细审查全部“招标文件”，包括修改文件（如有的话）以及全部参考资料和有关附件，已经了解我方对于招标文件、采购过程、采购结果有依法进行询问、质疑、投诉的权利及相关渠道和要求。</w:t>
      </w:r>
    </w:p>
    <w:p w14:paraId="3CF8197D">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2.我方在投标之前已经完全理解并接受招标文件的各项规定和要求，对招标文件的合理性、合法性不再有异议。</w:t>
      </w:r>
    </w:p>
    <w:p w14:paraId="4E33739B">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3.本投标有效期自投标截止之日起</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日。</w:t>
      </w:r>
    </w:p>
    <w:p w14:paraId="3D9783B3">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4.如中标，本投标文件至本项目合同履行完毕止均保持有效，我方将按“招标文件”及政府采购法律、法规的规定履行合同责任和义务。</w:t>
      </w:r>
    </w:p>
    <w:p w14:paraId="25636131">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5.我方同意按照贵方要求提供与投标有关的一切数据或者资料。</w:t>
      </w:r>
    </w:p>
    <w:p w14:paraId="43C9C3AA">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6.我方向贵方提交的所有投标文件、资料都是准确的和真实的。</w:t>
      </w:r>
    </w:p>
    <w:p w14:paraId="1081B6EE">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7.以上事项如有虚假或者隐瞒，我方愿意承担一切后果，并不再寻求任何旨在减轻或者免除法律责任的辩解。</w:t>
      </w:r>
    </w:p>
    <w:p w14:paraId="1F2CC0A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根据《中华人民共和国政府采购法实施条例》第五十条要求对政府采购合同进行公告，但政府采购合同中涉及国家秘密、商业秘密的内容除外。我方就对本次投标文件进行注明如下：（两项内容中必须选择一项）</w:t>
      </w:r>
    </w:p>
    <w:p w14:paraId="1FD901C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□我方本次投标文件</w:t>
      </w:r>
      <w:r>
        <w:rPr>
          <w:rFonts w:hint="eastAsia" w:ascii="宋体" w:hAnsi="宋体" w:cs="宋体"/>
          <w:color w:val="auto"/>
          <w:kern w:val="0"/>
          <w:sz w:val="24"/>
          <w:highlight w:val="none"/>
        </w:rPr>
        <w:t>内容中</w:t>
      </w:r>
      <w:r>
        <w:rPr>
          <w:rFonts w:hint="eastAsia" w:ascii="宋体" w:hAnsi="宋体" w:cs="宋体"/>
          <w:color w:val="auto"/>
          <w:sz w:val="24"/>
          <w:highlight w:val="none"/>
        </w:rPr>
        <w:t>未</w:t>
      </w:r>
      <w:r>
        <w:rPr>
          <w:rFonts w:hint="eastAsia" w:ascii="宋体" w:hAnsi="宋体" w:cs="宋体"/>
          <w:color w:val="auto"/>
          <w:kern w:val="0"/>
          <w:sz w:val="24"/>
          <w:highlight w:val="none"/>
        </w:rPr>
        <w:t>涉及商业秘密；</w:t>
      </w:r>
    </w:p>
    <w:p w14:paraId="18425073">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□我方本次投标文件</w:t>
      </w:r>
      <w:r>
        <w:rPr>
          <w:rFonts w:hint="eastAsia" w:ascii="宋体" w:hAnsi="宋体" w:cs="宋体"/>
          <w:color w:val="auto"/>
          <w:kern w:val="0"/>
          <w:sz w:val="24"/>
          <w:highlight w:val="none"/>
        </w:rPr>
        <w:t>涉及商业秘密的内容有：</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w:t>
      </w:r>
    </w:p>
    <w:p w14:paraId="4ACA37B0">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9.与本项目有关的一切正式往来信函请寄：</w:t>
      </w:r>
    </w:p>
    <w:p w14:paraId="2DDA6277">
      <w:pPr>
        <w:snapToGrid w:val="0"/>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rPr>
        <w:t>地址：</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邮编：</w:t>
      </w:r>
      <w:r>
        <w:rPr>
          <w:rFonts w:hint="eastAsia" w:ascii="宋体" w:hAnsi="宋体" w:cs="宋体"/>
          <w:color w:val="auto"/>
          <w:sz w:val="24"/>
          <w:highlight w:val="none"/>
          <w:u w:val="single"/>
        </w:rPr>
        <w:t xml:space="preserve">            </w:t>
      </w:r>
    </w:p>
    <w:p w14:paraId="52CCF0A2">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联系人：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电话：</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传真：</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电子邮箱：</w:t>
      </w:r>
      <w:r>
        <w:rPr>
          <w:rFonts w:hint="eastAsia" w:ascii="宋体" w:hAnsi="宋体" w:cs="宋体"/>
          <w:color w:val="auto"/>
          <w:sz w:val="24"/>
          <w:highlight w:val="none"/>
          <w:u w:val="single"/>
        </w:rPr>
        <w:t xml:space="preserve">         </w:t>
      </w:r>
    </w:p>
    <w:p w14:paraId="4D4A4FF3">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投标人名称：</w:t>
      </w:r>
      <w:r>
        <w:rPr>
          <w:rFonts w:hint="eastAsia" w:ascii="宋体" w:hAnsi="宋体" w:cs="宋体"/>
          <w:color w:val="auto"/>
          <w:sz w:val="24"/>
          <w:highlight w:val="none"/>
          <w:u w:val="single"/>
        </w:rPr>
        <w:t xml:space="preserve">                </w:t>
      </w:r>
    </w:p>
    <w:p w14:paraId="08D6C196">
      <w:pPr>
        <w:snapToGrid w:val="0"/>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开户银行：</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银行账号：</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w:t>
      </w:r>
    </w:p>
    <w:p w14:paraId="2058C5EA">
      <w:pPr>
        <w:snapToGrid w:val="0"/>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                法定代表人或者委托代理人（签字或者电子签名）：_______ </w:t>
      </w:r>
    </w:p>
    <w:p w14:paraId="73614027">
      <w:pPr>
        <w:pStyle w:val="32"/>
        <w:rPr>
          <w:rFonts w:hint="eastAsia" w:hAnsi="宋体" w:cs="宋体"/>
          <w:color w:val="auto"/>
          <w:sz w:val="24"/>
          <w:szCs w:val="24"/>
          <w:highlight w:val="none"/>
        </w:rPr>
      </w:pPr>
      <w:r>
        <w:rPr>
          <w:rFonts w:hint="eastAsia" w:hAnsi="宋体" w:cs="宋体"/>
          <w:color w:val="auto"/>
          <w:sz w:val="24"/>
          <w:szCs w:val="24"/>
          <w:highlight w:val="none"/>
        </w:rPr>
        <w:t xml:space="preserve"> 投标人名称（电子签章）：                                   </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年</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月</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日</w:t>
      </w:r>
    </w:p>
    <w:p w14:paraId="3BF174B2">
      <w:pPr>
        <w:snapToGrid w:val="0"/>
        <w:spacing w:before="120" w:beforeLines="50" w:after="50"/>
        <w:jc w:val="left"/>
        <w:rPr>
          <w:rFonts w:hint="eastAsia" w:ascii="宋体" w:hAnsi="宋体" w:cs="宋体"/>
          <w:color w:val="auto"/>
          <w:highlight w:val="none"/>
        </w:rPr>
      </w:pPr>
      <w:r>
        <w:rPr>
          <w:rFonts w:hint="eastAsia" w:ascii="宋体" w:hAnsi="宋体" w:cs="宋体"/>
          <w:color w:val="auto"/>
          <w:highlight w:val="none"/>
          <w:u w:val="single"/>
        </w:rPr>
        <w:br w:type="page"/>
      </w:r>
      <w:r>
        <w:rPr>
          <w:rFonts w:hint="eastAsia" w:ascii="宋体" w:hAnsi="宋体" w:cs="宋体"/>
          <w:color w:val="auto"/>
          <w:szCs w:val="21"/>
          <w:highlight w:val="none"/>
        </w:rPr>
        <w:t xml:space="preserve"> </w:t>
      </w:r>
    </w:p>
    <w:p w14:paraId="4634B50D">
      <w:pPr>
        <w:snapToGrid w:val="0"/>
        <w:spacing w:before="120" w:beforeLines="50" w:after="50"/>
        <w:jc w:val="left"/>
        <w:rPr>
          <w:rFonts w:hint="eastAsia" w:ascii="宋体" w:hAnsi="宋体" w:cs="宋体"/>
          <w:b/>
          <w:color w:val="auto"/>
          <w:sz w:val="24"/>
          <w:szCs w:val="20"/>
          <w:highlight w:val="none"/>
        </w:rPr>
      </w:pPr>
      <w:r>
        <w:rPr>
          <w:rFonts w:hint="eastAsia" w:ascii="宋体" w:hAnsi="宋体" w:cs="宋体"/>
          <w:b/>
          <w:color w:val="auto"/>
          <w:sz w:val="24"/>
          <w:highlight w:val="none"/>
        </w:rPr>
        <w:t>4. 开标一览表</w:t>
      </w:r>
    </w:p>
    <w:p w14:paraId="662E06B9">
      <w:pPr>
        <w:snapToGrid w:val="0"/>
        <w:spacing w:before="50" w:after="50"/>
        <w:jc w:val="center"/>
        <w:rPr>
          <w:rFonts w:hint="eastAsia" w:ascii="宋体" w:hAnsi="宋体" w:cs="宋体"/>
          <w:b/>
          <w:color w:val="auto"/>
          <w:sz w:val="30"/>
          <w:highlight w:val="none"/>
        </w:rPr>
      </w:pPr>
      <w:r>
        <w:rPr>
          <w:rFonts w:hint="eastAsia" w:ascii="宋体" w:hAnsi="宋体" w:cs="宋体"/>
          <w:b/>
          <w:color w:val="auto"/>
          <w:sz w:val="30"/>
          <w:highlight w:val="none"/>
        </w:rPr>
        <w:t>开标一览表</w:t>
      </w:r>
    </w:p>
    <w:p w14:paraId="0FC47322">
      <w:pPr>
        <w:snapToGrid w:val="0"/>
        <w:spacing w:before="50" w:after="50"/>
        <w:jc w:val="center"/>
        <w:rPr>
          <w:rFonts w:hint="eastAsia" w:ascii="宋体" w:hAnsi="宋体" w:cs="宋体"/>
          <w:b/>
          <w:color w:val="auto"/>
          <w:sz w:val="30"/>
          <w:szCs w:val="20"/>
          <w:highlight w:val="none"/>
        </w:rPr>
      </w:pPr>
    </w:p>
    <w:p w14:paraId="4A266DC5">
      <w:pPr>
        <w:snapToGrid w:val="0"/>
        <w:spacing w:before="50" w:after="50" w:line="360" w:lineRule="auto"/>
        <w:rPr>
          <w:rFonts w:hint="eastAsia" w:ascii="宋体" w:hAnsi="宋体" w:cs="宋体"/>
          <w:color w:val="auto"/>
          <w:sz w:val="24"/>
          <w:highlight w:val="none"/>
          <w:u w:val="single"/>
        </w:rPr>
      </w:pPr>
      <w:r>
        <w:rPr>
          <w:rFonts w:hint="eastAsia" w:ascii="宋体" w:hAnsi="宋体" w:cs="宋体"/>
          <w:color w:val="auto"/>
          <w:sz w:val="24"/>
          <w:highlight w:val="none"/>
        </w:rPr>
        <w:t>项目名称：         项目编号：         分标：</w:t>
      </w:r>
    </w:p>
    <w:p w14:paraId="6A90586E">
      <w:pPr>
        <w:snapToGrid w:val="0"/>
        <w:spacing w:before="50" w:after="50"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投标人名称：                      </w:t>
      </w:r>
    </w:p>
    <w:tbl>
      <w:tblPr>
        <w:tblStyle w:val="62"/>
        <w:tblW w:w="9848"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2864"/>
        <w:gridCol w:w="2456"/>
        <w:gridCol w:w="1802"/>
        <w:gridCol w:w="1310"/>
        <w:gridCol w:w="888"/>
      </w:tblGrid>
      <w:tr w14:paraId="1F70B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6" w:hRule="atLeast"/>
          <w:jc w:val="right"/>
        </w:trPr>
        <w:tc>
          <w:tcPr>
            <w:tcW w:w="528" w:type="dxa"/>
            <w:tcBorders>
              <w:top w:val="single" w:color="auto" w:sz="4" w:space="0"/>
              <w:left w:val="single" w:color="auto" w:sz="4" w:space="0"/>
              <w:bottom w:val="single" w:color="auto" w:sz="4" w:space="0"/>
              <w:right w:val="single" w:color="auto" w:sz="4" w:space="0"/>
            </w:tcBorders>
            <w:vAlign w:val="center"/>
          </w:tcPr>
          <w:p w14:paraId="42FBF1E9">
            <w:pPr>
              <w:spacing w:line="440" w:lineRule="exact"/>
              <w:jc w:val="center"/>
              <w:rPr>
                <w:rFonts w:hint="eastAsia" w:ascii="宋体" w:hAnsi="宋体" w:cs="宋体"/>
                <w:color w:val="auto"/>
                <w:szCs w:val="21"/>
                <w:highlight w:val="none"/>
              </w:rPr>
            </w:pPr>
            <w:r>
              <w:rPr>
                <w:rFonts w:hint="eastAsia" w:ascii="宋体" w:hAnsi="宋体" w:cs="宋体"/>
                <w:color w:val="auto"/>
                <w:szCs w:val="21"/>
                <w:highlight w:val="none"/>
              </w:rPr>
              <w:t>序号</w:t>
            </w:r>
          </w:p>
        </w:tc>
        <w:tc>
          <w:tcPr>
            <w:tcW w:w="2864" w:type="dxa"/>
            <w:tcBorders>
              <w:top w:val="single" w:color="auto" w:sz="4" w:space="0"/>
              <w:left w:val="single" w:color="auto" w:sz="4" w:space="0"/>
              <w:bottom w:val="single" w:color="auto" w:sz="4" w:space="0"/>
              <w:right w:val="single" w:color="auto" w:sz="4" w:space="0"/>
            </w:tcBorders>
            <w:vAlign w:val="center"/>
          </w:tcPr>
          <w:p w14:paraId="00034505">
            <w:pPr>
              <w:spacing w:line="440" w:lineRule="exact"/>
              <w:jc w:val="center"/>
              <w:rPr>
                <w:rFonts w:hint="eastAsia" w:ascii="宋体" w:hAnsi="宋体" w:cs="宋体"/>
                <w:color w:val="auto"/>
                <w:szCs w:val="21"/>
                <w:highlight w:val="none"/>
              </w:rPr>
            </w:pPr>
            <w:r>
              <w:rPr>
                <w:rFonts w:hint="eastAsia" w:ascii="宋体" w:hAnsi="宋体" w:cs="宋体"/>
                <w:color w:val="auto"/>
                <w:szCs w:val="21"/>
                <w:highlight w:val="none"/>
              </w:rPr>
              <w:t>分标号及标的名称</w:t>
            </w:r>
          </w:p>
        </w:tc>
        <w:tc>
          <w:tcPr>
            <w:tcW w:w="2456" w:type="dxa"/>
            <w:tcBorders>
              <w:top w:val="single" w:color="auto" w:sz="4" w:space="0"/>
              <w:left w:val="single" w:color="auto" w:sz="4" w:space="0"/>
              <w:bottom w:val="single" w:color="auto" w:sz="4" w:space="0"/>
              <w:right w:val="single" w:color="auto" w:sz="4" w:space="0"/>
            </w:tcBorders>
            <w:vAlign w:val="center"/>
          </w:tcPr>
          <w:p w14:paraId="4E5F2DCA">
            <w:pPr>
              <w:jc w:val="center"/>
              <w:rPr>
                <w:rFonts w:hint="eastAsia" w:ascii="宋体" w:hAnsi="宋体" w:cs="宋体"/>
                <w:color w:val="auto"/>
                <w:highlight w:val="none"/>
              </w:rPr>
            </w:pPr>
            <w:r>
              <w:rPr>
                <w:rFonts w:hint="eastAsia" w:ascii="宋体" w:hAnsi="宋体" w:cs="宋体"/>
                <w:color w:val="auto"/>
                <w:szCs w:val="21"/>
                <w:highlight w:val="none"/>
                <w:lang w:val="en-US" w:eastAsia="zh-CN"/>
              </w:rPr>
              <w:t>采购</w:t>
            </w:r>
            <w:r>
              <w:rPr>
                <w:rFonts w:hint="eastAsia" w:ascii="宋体" w:hAnsi="宋体" w:cs="宋体"/>
                <w:color w:val="auto"/>
                <w:szCs w:val="21"/>
                <w:highlight w:val="none"/>
              </w:rPr>
              <w:t>需求、技术需求（检测项目）</w:t>
            </w:r>
          </w:p>
        </w:tc>
        <w:tc>
          <w:tcPr>
            <w:tcW w:w="1802" w:type="dxa"/>
            <w:tcBorders>
              <w:top w:val="single" w:color="auto" w:sz="4" w:space="0"/>
              <w:left w:val="single" w:color="auto" w:sz="4" w:space="0"/>
              <w:bottom w:val="single" w:color="auto" w:sz="4" w:space="0"/>
              <w:right w:val="single" w:color="auto" w:sz="4" w:space="0"/>
            </w:tcBorders>
            <w:vAlign w:val="center"/>
          </w:tcPr>
          <w:p w14:paraId="03A36CC6">
            <w:pPr>
              <w:spacing w:line="440" w:lineRule="exact"/>
              <w:jc w:val="center"/>
              <w:rPr>
                <w:rFonts w:hint="eastAsia" w:ascii="宋体" w:hAnsi="宋体" w:cs="宋体"/>
                <w:color w:val="auto"/>
                <w:szCs w:val="21"/>
                <w:highlight w:val="none"/>
              </w:rPr>
            </w:pPr>
            <w:r>
              <w:rPr>
                <w:rFonts w:hint="eastAsia" w:ascii="宋体" w:hAnsi="宋体" w:cs="宋体"/>
                <w:color w:val="auto"/>
                <w:szCs w:val="21"/>
                <w:highlight w:val="none"/>
              </w:rPr>
              <w:t>投标单价</w:t>
            </w:r>
          </w:p>
          <w:p w14:paraId="5898EFF2">
            <w:pPr>
              <w:spacing w:line="440" w:lineRule="exact"/>
              <w:jc w:val="center"/>
              <w:rPr>
                <w:rFonts w:hint="eastAsia" w:ascii="宋体" w:hAnsi="宋体" w:cs="宋体"/>
                <w:color w:val="auto"/>
                <w:szCs w:val="21"/>
                <w:highlight w:val="none"/>
              </w:rPr>
            </w:pPr>
            <w:r>
              <w:rPr>
                <w:rFonts w:hint="eastAsia" w:ascii="宋体" w:hAnsi="宋体" w:cs="宋体"/>
                <w:color w:val="auto"/>
                <w:szCs w:val="21"/>
                <w:highlight w:val="none"/>
              </w:rPr>
              <w:t>（元/个）</w:t>
            </w:r>
          </w:p>
        </w:tc>
        <w:tc>
          <w:tcPr>
            <w:tcW w:w="1310" w:type="dxa"/>
            <w:tcBorders>
              <w:top w:val="single" w:color="auto" w:sz="4" w:space="0"/>
              <w:left w:val="single" w:color="auto" w:sz="4" w:space="0"/>
              <w:bottom w:val="single" w:color="auto" w:sz="4" w:space="0"/>
              <w:right w:val="single" w:color="auto" w:sz="4" w:space="0"/>
            </w:tcBorders>
            <w:vAlign w:val="center"/>
          </w:tcPr>
          <w:p w14:paraId="3975F1FE">
            <w:pPr>
              <w:spacing w:line="440" w:lineRule="exact"/>
              <w:jc w:val="center"/>
              <w:rPr>
                <w:rFonts w:hint="eastAsia" w:ascii="宋体" w:hAnsi="宋体" w:cs="宋体"/>
                <w:color w:val="auto"/>
                <w:szCs w:val="21"/>
                <w:highlight w:val="none"/>
              </w:rPr>
            </w:pPr>
            <w:r>
              <w:rPr>
                <w:rFonts w:hint="eastAsia" w:ascii="宋体" w:hAnsi="宋体" w:cs="宋体"/>
                <w:color w:val="auto"/>
                <w:szCs w:val="21"/>
                <w:highlight w:val="none"/>
              </w:rPr>
              <w:t>服务期限</w:t>
            </w:r>
          </w:p>
        </w:tc>
        <w:tc>
          <w:tcPr>
            <w:tcW w:w="888" w:type="dxa"/>
            <w:tcBorders>
              <w:top w:val="single" w:color="auto" w:sz="4" w:space="0"/>
              <w:left w:val="single" w:color="auto" w:sz="4" w:space="0"/>
              <w:bottom w:val="single" w:color="auto" w:sz="4" w:space="0"/>
              <w:right w:val="single" w:color="auto" w:sz="4" w:space="0"/>
            </w:tcBorders>
            <w:vAlign w:val="center"/>
          </w:tcPr>
          <w:p w14:paraId="2DE76183">
            <w:pPr>
              <w:spacing w:line="440" w:lineRule="exact"/>
              <w:jc w:val="center"/>
              <w:rPr>
                <w:rFonts w:hint="eastAsia" w:ascii="宋体" w:hAnsi="宋体" w:cs="宋体"/>
                <w:color w:val="auto"/>
                <w:szCs w:val="21"/>
                <w:highlight w:val="none"/>
              </w:rPr>
            </w:pPr>
            <w:r>
              <w:rPr>
                <w:rFonts w:hint="eastAsia" w:ascii="宋体" w:hAnsi="宋体" w:cs="宋体"/>
                <w:color w:val="auto"/>
                <w:szCs w:val="21"/>
                <w:highlight w:val="none"/>
              </w:rPr>
              <w:t>备注</w:t>
            </w:r>
          </w:p>
        </w:tc>
      </w:tr>
      <w:tr w14:paraId="7A637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6" w:hRule="atLeast"/>
          <w:jc w:val="right"/>
        </w:trPr>
        <w:tc>
          <w:tcPr>
            <w:tcW w:w="528" w:type="dxa"/>
            <w:tcBorders>
              <w:top w:val="single" w:color="auto" w:sz="4" w:space="0"/>
              <w:left w:val="single" w:color="auto" w:sz="4" w:space="0"/>
              <w:bottom w:val="single" w:color="auto" w:sz="4" w:space="0"/>
              <w:right w:val="single" w:color="auto" w:sz="4" w:space="0"/>
            </w:tcBorders>
            <w:vAlign w:val="center"/>
          </w:tcPr>
          <w:p w14:paraId="63743670">
            <w:pPr>
              <w:spacing w:line="440" w:lineRule="exact"/>
              <w:jc w:val="center"/>
              <w:rPr>
                <w:rFonts w:hint="eastAsia" w:ascii="宋体" w:hAnsi="宋体" w:cs="宋体"/>
                <w:color w:val="auto"/>
                <w:szCs w:val="21"/>
                <w:highlight w:val="none"/>
              </w:rPr>
            </w:pPr>
            <w:r>
              <w:rPr>
                <w:rFonts w:hint="eastAsia" w:ascii="宋体" w:hAnsi="宋体" w:cs="宋体"/>
                <w:color w:val="auto"/>
                <w:szCs w:val="21"/>
                <w:highlight w:val="none"/>
              </w:rPr>
              <w:t>1</w:t>
            </w:r>
          </w:p>
        </w:tc>
        <w:tc>
          <w:tcPr>
            <w:tcW w:w="2864" w:type="dxa"/>
            <w:tcBorders>
              <w:top w:val="single" w:color="auto" w:sz="4" w:space="0"/>
              <w:left w:val="single" w:color="auto" w:sz="4" w:space="0"/>
              <w:bottom w:val="single" w:color="auto" w:sz="4" w:space="0"/>
              <w:right w:val="single" w:color="auto" w:sz="4" w:space="0"/>
            </w:tcBorders>
            <w:vAlign w:val="center"/>
          </w:tcPr>
          <w:p w14:paraId="59A51E9D">
            <w:pPr>
              <w:jc w:val="center"/>
              <w:rPr>
                <w:rFonts w:hint="eastAsia" w:ascii="宋体" w:hAnsi="宋体" w:cs="宋体"/>
                <w:color w:val="auto"/>
                <w:szCs w:val="21"/>
                <w:highlight w:val="none"/>
              </w:rPr>
            </w:pPr>
          </w:p>
        </w:tc>
        <w:tc>
          <w:tcPr>
            <w:tcW w:w="2456" w:type="dxa"/>
            <w:tcBorders>
              <w:top w:val="single" w:color="auto" w:sz="4" w:space="0"/>
              <w:left w:val="single" w:color="auto" w:sz="4" w:space="0"/>
              <w:bottom w:val="single" w:color="auto" w:sz="4" w:space="0"/>
              <w:right w:val="single" w:color="auto" w:sz="4" w:space="0"/>
            </w:tcBorders>
            <w:vAlign w:val="center"/>
          </w:tcPr>
          <w:p w14:paraId="380FE27D">
            <w:pPr>
              <w:spacing w:line="440" w:lineRule="exact"/>
              <w:rPr>
                <w:rFonts w:hint="eastAsia" w:ascii="宋体" w:hAnsi="宋体" w:cs="宋体"/>
                <w:color w:val="auto"/>
                <w:szCs w:val="21"/>
                <w:highlight w:val="none"/>
              </w:rPr>
            </w:pPr>
          </w:p>
        </w:tc>
        <w:tc>
          <w:tcPr>
            <w:tcW w:w="1802" w:type="dxa"/>
            <w:tcBorders>
              <w:top w:val="single" w:color="auto" w:sz="4" w:space="0"/>
              <w:left w:val="single" w:color="auto" w:sz="4" w:space="0"/>
              <w:bottom w:val="single" w:color="auto" w:sz="4" w:space="0"/>
              <w:right w:val="single" w:color="auto" w:sz="4" w:space="0"/>
            </w:tcBorders>
            <w:vAlign w:val="center"/>
          </w:tcPr>
          <w:p w14:paraId="37399BF5">
            <w:pPr>
              <w:spacing w:line="440" w:lineRule="exact"/>
              <w:jc w:val="center"/>
              <w:rPr>
                <w:rFonts w:hint="eastAsia" w:ascii="宋体" w:hAnsi="宋体" w:cs="宋体"/>
                <w:color w:val="auto"/>
                <w:szCs w:val="21"/>
                <w:highlight w:val="none"/>
              </w:rPr>
            </w:pPr>
          </w:p>
        </w:tc>
        <w:tc>
          <w:tcPr>
            <w:tcW w:w="1310" w:type="dxa"/>
            <w:tcBorders>
              <w:top w:val="single" w:color="auto" w:sz="4" w:space="0"/>
              <w:left w:val="single" w:color="auto" w:sz="4" w:space="0"/>
              <w:bottom w:val="single" w:color="auto" w:sz="4" w:space="0"/>
              <w:right w:val="single" w:color="auto" w:sz="4" w:space="0"/>
            </w:tcBorders>
            <w:vAlign w:val="center"/>
          </w:tcPr>
          <w:p w14:paraId="3AEEBDFC">
            <w:pPr>
              <w:spacing w:line="440" w:lineRule="exact"/>
              <w:jc w:val="center"/>
              <w:rPr>
                <w:rFonts w:hint="eastAsia" w:ascii="宋体" w:hAnsi="宋体" w:cs="宋体"/>
                <w:color w:val="auto"/>
                <w:szCs w:val="21"/>
                <w:highlight w:val="none"/>
              </w:rPr>
            </w:pPr>
          </w:p>
        </w:tc>
        <w:tc>
          <w:tcPr>
            <w:tcW w:w="888" w:type="dxa"/>
            <w:tcBorders>
              <w:top w:val="single" w:color="auto" w:sz="4" w:space="0"/>
              <w:left w:val="single" w:color="auto" w:sz="4" w:space="0"/>
              <w:bottom w:val="single" w:color="auto" w:sz="4" w:space="0"/>
              <w:right w:val="single" w:color="auto" w:sz="4" w:space="0"/>
            </w:tcBorders>
          </w:tcPr>
          <w:p w14:paraId="065E4D99">
            <w:pPr>
              <w:spacing w:line="440" w:lineRule="exact"/>
              <w:rPr>
                <w:rFonts w:hint="eastAsia" w:ascii="宋体" w:hAnsi="宋体" w:cs="宋体"/>
                <w:color w:val="auto"/>
                <w:szCs w:val="21"/>
                <w:highlight w:val="none"/>
              </w:rPr>
            </w:pPr>
          </w:p>
        </w:tc>
      </w:tr>
      <w:tr w14:paraId="08638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6" w:hRule="atLeast"/>
          <w:jc w:val="right"/>
        </w:trPr>
        <w:tc>
          <w:tcPr>
            <w:tcW w:w="528" w:type="dxa"/>
            <w:tcBorders>
              <w:top w:val="single" w:color="auto" w:sz="4" w:space="0"/>
              <w:left w:val="single" w:color="auto" w:sz="4" w:space="0"/>
              <w:bottom w:val="single" w:color="auto" w:sz="4" w:space="0"/>
              <w:right w:val="single" w:color="auto" w:sz="4" w:space="0"/>
            </w:tcBorders>
            <w:vAlign w:val="center"/>
          </w:tcPr>
          <w:p w14:paraId="6D46E1E3">
            <w:pPr>
              <w:spacing w:line="440" w:lineRule="exact"/>
              <w:jc w:val="center"/>
              <w:rPr>
                <w:rFonts w:hint="eastAsia" w:ascii="宋体" w:hAnsi="宋体" w:cs="宋体"/>
                <w:color w:val="auto"/>
                <w:szCs w:val="21"/>
                <w:highlight w:val="none"/>
              </w:rPr>
            </w:pPr>
            <w:r>
              <w:rPr>
                <w:rFonts w:hint="eastAsia" w:ascii="宋体" w:hAnsi="宋体" w:cs="宋体"/>
                <w:color w:val="auto"/>
                <w:szCs w:val="21"/>
                <w:highlight w:val="none"/>
              </w:rPr>
              <w:t>2</w:t>
            </w:r>
          </w:p>
        </w:tc>
        <w:tc>
          <w:tcPr>
            <w:tcW w:w="2864" w:type="dxa"/>
            <w:tcBorders>
              <w:top w:val="single" w:color="auto" w:sz="4" w:space="0"/>
              <w:left w:val="single" w:color="auto" w:sz="4" w:space="0"/>
              <w:bottom w:val="single" w:color="auto" w:sz="4" w:space="0"/>
              <w:right w:val="single" w:color="auto" w:sz="4" w:space="0"/>
            </w:tcBorders>
            <w:vAlign w:val="center"/>
          </w:tcPr>
          <w:p w14:paraId="5788B106">
            <w:pPr>
              <w:jc w:val="center"/>
              <w:rPr>
                <w:rFonts w:hint="eastAsia" w:ascii="宋体" w:hAnsi="宋体" w:cs="宋体"/>
                <w:color w:val="auto"/>
                <w:szCs w:val="21"/>
                <w:highlight w:val="none"/>
              </w:rPr>
            </w:pPr>
          </w:p>
        </w:tc>
        <w:tc>
          <w:tcPr>
            <w:tcW w:w="2456" w:type="dxa"/>
            <w:tcBorders>
              <w:top w:val="single" w:color="auto" w:sz="4" w:space="0"/>
              <w:left w:val="single" w:color="auto" w:sz="4" w:space="0"/>
              <w:bottom w:val="single" w:color="auto" w:sz="4" w:space="0"/>
              <w:right w:val="single" w:color="auto" w:sz="4" w:space="0"/>
            </w:tcBorders>
            <w:vAlign w:val="center"/>
          </w:tcPr>
          <w:p w14:paraId="2478F0F1">
            <w:pPr>
              <w:spacing w:line="440" w:lineRule="exact"/>
              <w:rPr>
                <w:rFonts w:hint="eastAsia" w:ascii="宋体" w:hAnsi="宋体" w:cs="宋体"/>
                <w:color w:val="auto"/>
                <w:szCs w:val="21"/>
                <w:highlight w:val="none"/>
              </w:rPr>
            </w:pPr>
          </w:p>
        </w:tc>
        <w:tc>
          <w:tcPr>
            <w:tcW w:w="1802" w:type="dxa"/>
            <w:tcBorders>
              <w:top w:val="single" w:color="auto" w:sz="4" w:space="0"/>
              <w:left w:val="single" w:color="auto" w:sz="4" w:space="0"/>
              <w:bottom w:val="single" w:color="auto" w:sz="4" w:space="0"/>
              <w:right w:val="single" w:color="auto" w:sz="4" w:space="0"/>
            </w:tcBorders>
            <w:vAlign w:val="center"/>
          </w:tcPr>
          <w:p w14:paraId="277AE87A">
            <w:pPr>
              <w:spacing w:line="440" w:lineRule="exact"/>
              <w:jc w:val="center"/>
              <w:rPr>
                <w:rFonts w:hint="eastAsia" w:ascii="宋体" w:hAnsi="宋体" w:cs="宋体"/>
                <w:color w:val="auto"/>
                <w:szCs w:val="21"/>
                <w:highlight w:val="none"/>
              </w:rPr>
            </w:pPr>
          </w:p>
        </w:tc>
        <w:tc>
          <w:tcPr>
            <w:tcW w:w="1310" w:type="dxa"/>
            <w:tcBorders>
              <w:top w:val="single" w:color="auto" w:sz="4" w:space="0"/>
              <w:left w:val="single" w:color="auto" w:sz="4" w:space="0"/>
              <w:bottom w:val="single" w:color="auto" w:sz="4" w:space="0"/>
              <w:right w:val="single" w:color="auto" w:sz="4" w:space="0"/>
            </w:tcBorders>
            <w:vAlign w:val="center"/>
          </w:tcPr>
          <w:p w14:paraId="0AE90AB5">
            <w:pPr>
              <w:spacing w:line="440" w:lineRule="exact"/>
              <w:jc w:val="center"/>
              <w:rPr>
                <w:rFonts w:hint="eastAsia" w:ascii="宋体" w:hAnsi="宋体" w:cs="宋体"/>
                <w:color w:val="auto"/>
                <w:szCs w:val="21"/>
                <w:highlight w:val="none"/>
              </w:rPr>
            </w:pPr>
          </w:p>
        </w:tc>
        <w:tc>
          <w:tcPr>
            <w:tcW w:w="888" w:type="dxa"/>
            <w:tcBorders>
              <w:top w:val="single" w:color="auto" w:sz="4" w:space="0"/>
              <w:left w:val="single" w:color="auto" w:sz="4" w:space="0"/>
              <w:bottom w:val="single" w:color="auto" w:sz="4" w:space="0"/>
              <w:right w:val="single" w:color="auto" w:sz="4" w:space="0"/>
            </w:tcBorders>
          </w:tcPr>
          <w:p w14:paraId="2154FDE2">
            <w:pPr>
              <w:spacing w:line="440" w:lineRule="exact"/>
              <w:rPr>
                <w:rFonts w:hint="eastAsia" w:ascii="宋体" w:hAnsi="宋体" w:cs="宋体"/>
                <w:color w:val="auto"/>
                <w:szCs w:val="21"/>
                <w:highlight w:val="none"/>
              </w:rPr>
            </w:pPr>
          </w:p>
        </w:tc>
      </w:tr>
      <w:tr w14:paraId="3ECEC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6" w:hRule="atLeast"/>
          <w:jc w:val="right"/>
        </w:trPr>
        <w:tc>
          <w:tcPr>
            <w:tcW w:w="528" w:type="dxa"/>
            <w:tcBorders>
              <w:top w:val="single" w:color="auto" w:sz="4" w:space="0"/>
              <w:left w:val="single" w:color="auto" w:sz="4" w:space="0"/>
              <w:bottom w:val="single" w:color="auto" w:sz="4" w:space="0"/>
              <w:right w:val="single" w:color="auto" w:sz="4" w:space="0"/>
            </w:tcBorders>
            <w:vAlign w:val="center"/>
          </w:tcPr>
          <w:p w14:paraId="447B8208">
            <w:pPr>
              <w:spacing w:line="440" w:lineRule="exact"/>
              <w:jc w:val="center"/>
              <w:rPr>
                <w:rFonts w:hint="eastAsia" w:ascii="宋体" w:hAnsi="宋体" w:cs="宋体"/>
                <w:color w:val="auto"/>
                <w:szCs w:val="21"/>
                <w:highlight w:val="none"/>
              </w:rPr>
            </w:pPr>
          </w:p>
        </w:tc>
        <w:tc>
          <w:tcPr>
            <w:tcW w:w="2864" w:type="dxa"/>
            <w:tcBorders>
              <w:top w:val="single" w:color="auto" w:sz="4" w:space="0"/>
              <w:left w:val="single" w:color="auto" w:sz="4" w:space="0"/>
              <w:bottom w:val="single" w:color="auto" w:sz="4" w:space="0"/>
              <w:right w:val="single" w:color="auto" w:sz="4" w:space="0"/>
            </w:tcBorders>
            <w:vAlign w:val="center"/>
          </w:tcPr>
          <w:p w14:paraId="4FD5ED39">
            <w:pPr>
              <w:jc w:val="center"/>
              <w:rPr>
                <w:rFonts w:hint="eastAsia" w:ascii="宋体" w:hAnsi="宋体" w:cs="宋体"/>
                <w:color w:val="auto"/>
                <w:szCs w:val="21"/>
                <w:highlight w:val="none"/>
              </w:rPr>
            </w:pPr>
            <w:r>
              <w:rPr>
                <w:rFonts w:hint="eastAsia" w:ascii="宋体" w:hAnsi="宋体" w:cs="宋体"/>
                <w:color w:val="auto"/>
                <w:szCs w:val="21"/>
                <w:highlight w:val="none"/>
              </w:rPr>
              <w:t>……</w:t>
            </w:r>
          </w:p>
        </w:tc>
        <w:tc>
          <w:tcPr>
            <w:tcW w:w="2456" w:type="dxa"/>
            <w:tcBorders>
              <w:top w:val="single" w:color="auto" w:sz="4" w:space="0"/>
              <w:left w:val="single" w:color="auto" w:sz="4" w:space="0"/>
              <w:bottom w:val="single" w:color="auto" w:sz="4" w:space="0"/>
              <w:right w:val="single" w:color="auto" w:sz="4" w:space="0"/>
            </w:tcBorders>
            <w:vAlign w:val="center"/>
          </w:tcPr>
          <w:p w14:paraId="1B8803E2">
            <w:pPr>
              <w:spacing w:line="440" w:lineRule="exact"/>
              <w:rPr>
                <w:rFonts w:hint="eastAsia" w:ascii="宋体" w:hAnsi="宋体" w:cs="宋体"/>
                <w:color w:val="auto"/>
                <w:szCs w:val="21"/>
                <w:highlight w:val="none"/>
              </w:rPr>
            </w:pPr>
          </w:p>
        </w:tc>
        <w:tc>
          <w:tcPr>
            <w:tcW w:w="1802" w:type="dxa"/>
            <w:tcBorders>
              <w:top w:val="single" w:color="auto" w:sz="4" w:space="0"/>
              <w:left w:val="single" w:color="auto" w:sz="4" w:space="0"/>
              <w:bottom w:val="single" w:color="auto" w:sz="4" w:space="0"/>
              <w:right w:val="single" w:color="auto" w:sz="4" w:space="0"/>
            </w:tcBorders>
            <w:vAlign w:val="center"/>
          </w:tcPr>
          <w:p w14:paraId="1383CA99">
            <w:pPr>
              <w:spacing w:line="440" w:lineRule="exact"/>
              <w:jc w:val="center"/>
              <w:rPr>
                <w:rFonts w:hint="eastAsia" w:ascii="宋体" w:hAnsi="宋体" w:cs="宋体"/>
                <w:color w:val="auto"/>
                <w:szCs w:val="21"/>
                <w:highlight w:val="none"/>
              </w:rPr>
            </w:pPr>
          </w:p>
        </w:tc>
        <w:tc>
          <w:tcPr>
            <w:tcW w:w="1310" w:type="dxa"/>
            <w:tcBorders>
              <w:top w:val="single" w:color="auto" w:sz="4" w:space="0"/>
              <w:left w:val="single" w:color="auto" w:sz="4" w:space="0"/>
              <w:bottom w:val="single" w:color="auto" w:sz="4" w:space="0"/>
              <w:right w:val="single" w:color="auto" w:sz="4" w:space="0"/>
            </w:tcBorders>
            <w:vAlign w:val="center"/>
          </w:tcPr>
          <w:p w14:paraId="1D7A4AC7">
            <w:pPr>
              <w:spacing w:line="440" w:lineRule="exact"/>
              <w:jc w:val="center"/>
              <w:rPr>
                <w:rFonts w:hint="eastAsia" w:ascii="宋体" w:hAnsi="宋体" w:cs="宋体"/>
                <w:color w:val="auto"/>
                <w:szCs w:val="21"/>
                <w:highlight w:val="none"/>
              </w:rPr>
            </w:pPr>
          </w:p>
        </w:tc>
        <w:tc>
          <w:tcPr>
            <w:tcW w:w="888" w:type="dxa"/>
            <w:tcBorders>
              <w:top w:val="single" w:color="auto" w:sz="4" w:space="0"/>
              <w:left w:val="single" w:color="auto" w:sz="4" w:space="0"/>
              <w:bottom w:val="single" w:color="auto" w:sz="4" w:space="0"/>
              <w:right w:val="single" w:color="auto" w:sz="4" w:space="0"/>
            </w:tcBorders>
          </w:tcPr>
          <w:p w14:paraId="5E1A6769">
            <w:pPr>
              <w:spacing w:line="440" w:lineRule="exact"/>
              <w:rPr>
                <w:rFonts w:hint="eastAsia" w:ascii="宋体" w:hAnsi="宋体" w:cs="宋体"/>
                <w:color w:val="auto"/>
                <w:szCs w:val="21"/>
                <w:highlight w:val="none"/>
              </w:rPr>
            </w:pPr>
          </w:p>
        </w:tc>
      </w:tr>
      <w:tr w14:paraId="7568D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7" w:hRule="atLeast"/>
          <w:jc w:val="right"/>
        </w:trPr>
        <w:tc>
          <w:tcPr>
            <w:tcW w:w="9848" w:type="dxa"/>
            <w:gridSpan w:val="6"/>
            <w:tcBorders>
              <w:top w:val="single" w:color="auto" w:sz="4" w:space="0"/>
              <w:left w:val="single" w:color="auto" w:sz="4" w:space="0"/>
              <w:bottom w:val="single" w:color="auto" w:sz="4" w:space="0"/>
              <w:right w:val="single" w:color="auto" w:sz="4" w:space="0"/>
            </w:tcBorders>
            <w:vAlign w:val="center"/>
          </w:tcPr>
          <w:p w14:paraId="00CC27C8">
            <w:pPr>
              <w:rPr>
                <w:rFonts w:hint="eastAsia" w:ascii="宋体" w:hAnsi="宋体" w:cs="宋体"/>
                <w:color w:val="auto"/>
                <w:szCs w:val="21"/>
                <w:highlight w:val="none"/>
              </w:rPr>
            </w:pPr>
            <w:r>
              <w:rPr>
                <w:rFonts w:hint="eastAsia" w:ascii="宋体" w:hAnsi="宋体" w:cs="宋体"/>
                <w:color w:val="auto"/>
                <w:szCs w:val="21"/>
                <w:highlight w:val="none"/>
              </w:rPr>
              <w:t>投标单价报价（大写）：人民币                            （¥        元/个）</w:t>
            </w:r>
          </w:p>
        </w:tc>
      </w:tr>
      <w:tr w14:paraId="141C7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7" w:hRule="atLeast"/>
          <w:jc w:val="right"/>
        </w:trPr>
        <w:tc>
          <w:tcPr>
            <w:tcW w:w="9848" w:type="dxa"/>
            <w:gridSpan w:val="6"/>
            <w:tcBorders>
              <w:top w:val="single" w:color="auto" w:sz="4" w:space="0"/>
              <w:left w:val="single" w:color="auto" w:sz="4" w:space="0"/>
              <w:bottom w:val="single" w:color="auto" w:sz="4" w:space="0"/>
              <w:right w:val="single" w:color="auto" w:sz="4" w:space="0"/>
            </w:tcBorders>
            <w:vAlign w:val="center"/>
          </w:tcPr>
          <w:p w14:paraId="7F69701F">
            <w:pPr>
              <w:rPr>
                <w:rFonts w:hint="eastAsia" w:ascii="宋体" w:hAnsi="宋体" w:cs="宋体"/>
                <w:color w:val="auto"/>
                <w:szCs w:val="21"/>
                <w:highlight w:val="none"/>
              </w:rPr>
            </w:pPr>
            <w:r>
              <w:rPr>
                <w:rFonts w:hint="eastAsia" w:ascii="宋体" w:hAnsi="宋体" w:cs="宋体"/>
                <w:color w:val="auto"/>
                <w:szCs w:val="21"/>
                <w:highlight w:val="none"/>
              </w:rPr>
              <w:t>验收标准：依据招标文件上的技术规格要求和国家有关质量标准进行。</w:t>
            </w:r>
          </w:p>
        </w:tc>
      </w:tr>
      <w:tr w14:paraId="58313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7" w:hRule="atLeast"/>
          <w:jc w:val="right"/>
        </w:trPr>
        <w:tc>
          <w:tcPr>
            <w:tcW w:w="9848" w:type="dxa"/>
            <w:gridSpan w:val="6"/>
            <w:tcBorders>
              <w:top w:val="single" w:color="auto" w:sz="4" w:space="0"/>
              <w:left w:val="single" w:color="auto" w:sz="4" w:space="0"/>
              <w:bottom w:val="single" w:color="auto" w:sz="4" w:space="0"/>
              <w:right w:val="single" w:color="auto" w:sz="4" w:space="0"/>
            </w:tcBorders>
            <w:vAlign w:val="center"/>
          </w:tcPr>
          <w:p w14:paraId="34F16E8A">
            <w:pPr>
              <w:rPr>
                <w:rFonts w:hint="eastAsia" w:ascii="宋体" w:hAnsi="宋体" w:cs="宋体"/>
                <w:color w:val="auto"/>
                <w:szCs w:val="21"/>
                <w:highlight w:val="none"/>
              </w:rPr>
            </w:pPr>
            <w:r>
              <w:rPr>
                <w:rFonts w:hint="eastAsia" w:ascii="宋体" w:hAnsi="宋体" w:cs="宋体"/>
                <w:color w:val="auto"/>
                <w:szCs w:val="21"/>
                <w:highlight w:val="none"/>
              </w:rPr>
              <w:t>优惠及其他：</w:t>
            </w:r>
          </w:p>
        </w:tc>
      </w:tr>
    </w:tbl>
    <w:p w14:paraId="69128B63">
      <w:pPr>
        <w:snapToGrid w:val="0"/>
        <w:spacing w:before="50" w:after="50" w:line="360" w:lineRule="auto"/>
        <w:rPr>
          <w:rFonts w:hint="eastAsia" w:ascii="宋体" w:hAnsi="宋体" w:cs="宋体"/>
          <w:color w:val="auto"/>
          <w:sz w:val="24"/>
          <w:highlight w:val="none"/>
        </w:rPr>
      </w:pPr>
    </w:p>
    <w:p w14:paraId="4DE7C441">
      <w:pPr>
        <w:snapToGrid w:val="0"/>
        <w:spacing w:before="50" w:after="50"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注: </w:t>
      </w:r>
    </w:p>
    <w:p w14:paraId="367F842A">
      <w:pPr>
        <w:snapToGrid w:val="0"/>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1.投标人的开标一览表必须加盖投标人电子签章并由法定代表人或者委托代理人签字或者电子签名，</w:t>
      </w:r>
      <w:r>
        <w:rPr>
          <w:rFonts w:hint="eastAsia" w:ascii="宋体" w:hAnsi="宋体" w:cs="宋体"/>
          <w:b/>
          <w:color w:val="auto"/>
          <w:sz w:val="24"/>
          <w:highlight w:val="none"/>
        </w:rPr>
        <w:t>否则其投标作无效标处理</w:t>
      </w:r>
      <w:r>
        <w:rPr>
          <w:rFonts w:hint="eastAsia" w:ascii="宋体" w:hAnsi="宋体" w:cs="宋体"/>
          <w:color w:val="auto"/>
          <w:sz w:val="24"/>
          <w:highlight w:val="none"/>
        </w:rPr>
        <w:t>。</w:t>
      </w:r>
    </w:p>
    <w:p w14:paraId="7E77AC8A">
      <w:pPr>
        <w:snapToGrid w:val="0"/>
        <w:spacing w:line="360" w:lineRule="auto"/>
        <w:ind w:firstLine="480" w:firstLineChars="200"/>
        <w:jc w:val="left"/>
        <w:rPr>
          <w:rFonts w:hint="eastAsia" w:ascii="宋体" w:hAnsi="宋体" w:cs="宋体"/>
          <w:b/>
          <w:color w:val="auto"/>
          <w:sz w:val="24"/>
          <w:highlight w:val="none"/>
        </w:rPr>
      </w:pPr>
      <w:r>
        <w:rPr>
          <w:rFonts w:hint="eastAsia" w:ascii="宋体" w:hAnsi="宋体" w:cs="宋体"/>
          <w:bCs/>
          <w:color w:val="auto"/>
          <w:sz w:val="24"/>
          <w:highlight w:val="none"/>
        </w:rPr>
        <w:t>2.</w:t>
      </w:r>
      <w:r>
        <w:rPr>
          <w:rFonts w:hint="eastAsia" w:ascii="宋体" w:hAnsi="宋体" w:cs="宋体"/>
          <w:color w:val="auto"/>
          <w:sz w:val="24"/>
          <w:highlight w:val="none"/>
        </w:rPr>
        <w:t>报价一经涂改，应在涂改处加盖投标人公章或者加盖电子签章或者由法定代表人或者委托代理人签字（或者电子签名）</w:t>
      </w:r>
      <w:r>
        <w:rPr>
          <w:rFonts w:hint="eastAsia" w:ascii="宋体" w:hAnsi="宋体" w:cs="宋体"/>
          <w:b/>
          <w:color w:val="auto"/>
          <w:sz w:val="24"/>
          <w:highlight w:val="none"/>
        </w:rPr>
        <w:t>，否则其投标作无效标处理。</w:t>
      </w:r>
    </w:p>
    <w:p w14:paraId="1FB8594F">
      <w:pPr>
        <w:snapToGrid w:val="0"/>
        <w:spacing w:line="360" w:lineRule="auto"/>
        <w:ind w:firstLine="480" w:firstLineChars="200"/>
        <w:rPr>
          <w:rFonts w:hint="eastAsia" w:ascii="宋体" w:hAnsi="宋体" w:cs="宋体"/>
          <w:b/>
          <w:color w:val="auto"/>
          <w:sz w:val="24"/>
          <w:highlight w:val="none"/>
        </w:rPr>
      </w:pPr>
      <w:r>
        <w:rPr>
          <w:rFonts w:hint="eastAsia" w:ascii="宋体" w:hAnsi="宋体" w:cs="宋体"/>
          <w:color w:val="auto"/>
          <w:sz w:val="24"/>
          <w:highlight w:val="none"/>
        </w:rPr>
        <w:t>3.如有多分标，按分标分别提供开标一览表，</w:t>
      </w:r>
      <w:r>
        <w:rPr>
          <w:rFonts w:hint="eastAsia" w:ascii="宋体" w:hAnsi="宋体" w:cs="宋体"/>
          <w:b/>
          <w:color w:val="auto"/>
          <w:sz w:val="24"/>
          <w:highlight w:val="none"/>
        </w:rPr>
        <w:t>否则投标无效。</w:t>
      </w:r>
    </w:p>
    <w:p w14:paraId="7BC37088">
      <w:pPr>
        <w:pStyle w:val="39"/>
        <w:rPr>
          <w:rFonts w:hint="eastAsia" w:ascii="宋体" w:hAnsi="宋体" w:cs="宋体"/>
          <w:color w:val="auto"/>
          <w:highlight w:val="none"/>
        </w:rPr>
      </w:pPr>
    </w:p>
    <w:p w14:paraId="5DD4765E">
      <w:pPr>
        <w:snapToGrid w:val="0"/>
        <w:spacing w:line="360" w:lineRule="auto"/>
        <w:ind w:left="-2" w:leftChars="-1" w:right="-817" w:rightChars="-389"/>
        <w:rPr>
          <w:rFonts w:hint="eastAsia" w:ascii="宋体" w:hAnsi="宋体" w:cs="宋体"/>
          <w:color w:val="auto"/>
          <w:sz w:val="24"/>
          <w:highlight w:val="none"/>
        </w:rPr>
      </w:pPr>
      <w:r>
        <w:rPr>
          <w:rFonts w:hint="eastAsia" w:ascii="宋体" w:hAnsi="宋体" w:cs="宋体"/>
          <w:color w:val="auto"/>
          <w:sz w:val="24"/>
          <w:highlight w:val="none"/>
        </w:rPr>
        <w:t xml:space="preserve">                           法定代表人或者委托代理人（签字或者电子签名）： </w:t>
      </w:r>
    </w:p>
    <w:p w14:paraId="10A4405C">
      <w:pPr>
        <w:snapToGrid w:val="0"/>
        <w:spacing w:line="360" w:lineRule="auto"/>
        <w:ind w:left="-3" w:leftChars="-15" w:right="-817" w:rightChars="-389" w:hanging="28" w:hangingChars="12"/>
        <w:rPr>
          <w:rFonts w:hint="eastAsia" w:ascii="宋体" w:hAnsi="宋体" w:cs="宋体"/>
          <w:color w:val="auto"/>
          <w:sz w:val="24"/>
          <w:highlight w:val="none"/>
        </w:rPr>
      </w:pPr>
      <w:r>
        <w:rPr>
          <w:rFonts w:hint="eastAsia" w:ascii="宋体" w:hAnsi="宋体" w:cs="宋体"/>
          <w:color w:val="auto"/>
          <w:sz w:val="24"/>
          <w:highlight w:val="none"/>
        </w:rPr>
        <w:t xml:space="preserve">                                  投标人名称（电子签章）：</w:t>
      </w:r>
    </w:p>
    <w:p w14:paraId="237871F2">
      <w:pPr>
        <w:snapToGrid w:val="0"/>
        <w:spacing w:line="360" w:lineRule="auto"/>
        <w:ind w:left="-3" w:leftChars="-15" w:right="-817" w:rightChars="-389" w:hanging="28" w:hangingChars="12"/>
        <w:rPr>
          <w:rFonts w:hint="eastAsia" w:ascii="宋体" w:hAnsi="宋体" w:cs="宋体"/>
          <w:color w:val="auto"/>
          <w:sz w:val="24"/>
          <w:highlight w:val="none"/>
        </w:rPr>
      </w:pPr>
      <w:r>
        <w:rPr>
          <w:rFonts w:hint="eastAsia" w:ascii="宋体" w:hAnsi="宋体" w:cs="宋体"/>
          <w:color w:val="auto"/>
          <w:sz w:val="24"/>
          <w:highlight w:val="none"/>
        </w:rPr>
        <w:t xml:space="preserve">                                  日期：    年   月   日</w:t>
      </w:r>
    </w:p>
    <w:p w14:paraId="0276804A">
      <w:pPr>
        <w:widowControl/>
        <w:jc w:val="left"/>
        <w:rPr>
          <w:rFonts w:hint="eastAsia" w:ascii="宋体" w:hAnsi="宋体" w:cs="宋体"/>
          <w:b/>
          <w:color w:val="auto"/>
          <w:highlight w:val="none"/>
        </w:rPr>
      </w:pPr>
      <w:r>
        <w:rPr>
          <w:rFonts w:hint="eastAsia" w:ascii="宋体" w:hAnsi="宋体" w:cs="宋体"/>
          <w:color w:val="auto"/>
          <w:highlight w:val="none"/>
        </w:rPr>
        <w:br w:type="page"/>
      </w:r>
    </w:p>
    <w:p w14:paraId="6E1CEB94">
      <w:pPr>
        <w:snapToGrid w:val="0"/>
        <w:spacing w:before="120" w:beforeLines="50" w:after="50"/>
        <w:jc w:val="left"/>
        <w:rPr>
          <w:rFonts w:hint="eastAsia" w:ascii="宋体" w:hAnsi="宋体" w:cs="宋体"/>
          <w:color w:val="auto"/>
          <w:highlight w:val="none"/>
        </w:rPr>
      </w:pPr>
      <w:r>
        <w:rPr>
          <w:rFonts w:hint="eastAsia" w:ascii="宋体" w:hAnsi="宋体" w:cs="宋体"/>
          <w:b/>
          <w:color w:val="auto"/>
          <w:sz w:val="24"/>
          <w:highlight w:val="none"/>
        </w:rPr>
        <w:t>5.中小企业声明函格式</w:t>
      </w:r>
    </w:p>
    <w:p w14:paraId="4B711CED">
      <w:pPr>
        <w:rPr>
          <w:rFonts w:hint="eastAsia" w:ascii="宋体" w:hAnsi="宋体" w:cs="宋体"/>
          <w:color w:val="auto"/>
          <w:highlight w:val="none"/>
        </w:rPr>
      </w:pPr>
    </w:p>
    <w:p w14:paraId="2F6A0ACC">
      <w:pPr>
        <w:jc w:val="center"/>
        <w:rPr>
          <w:rFonts w:hint="eastAsia" w:ascii="宋体" w:hAnsi="宋体" w:cs="宋体"/>
          <w:color w:val="auto"/>
          <w:sz w:val="44"/>
          <w:szCs w:val="44"/>
          <w:highlight w:val="none"/>
        </w:rPr>
      </w:pPr>
      <w:r>
        <w:rPr>
          <w:rFonts w:hint="eastAsia" w:ascii="宋体" w:hAnsi="宋体" w:cs="宋体"/>
          <w:color w:val="auto"/>
          <w:sz w:val="44"/>
          <w:szCs w:val="44"/>
          <w:highlight w:val="none"/>
        </w:rPr>
        <w:t>中小企业声明函（服务）</w:t>
      </w:r>
    </w:p>
    <w:p w14:paraId="104E43EC">
      <w:pPr>
        <w:spacing w:before="2" w:line="500" w:lineRule="exact"/>
        <w:rPr>
          <w:rFonts w:hint="eastAsia" w:ascii="宋体" w:hAnsi="宋体" w:cs="宋体"/>
          <w:b/>
          <w:bCs/>
          <w:color w:val="auto"/>
          <w:sz w:val="24"/>
          <w:highlight w:val="none"/>
        </w:rPr>
      </w:pPr>
    </w:p>
    <w:p w14:paraId="32D624AA">
      <w:pPr>
        <w:pStyle w:val="22"/>
        <w:spacing w:line="500" w:lineRule="exact"/>
        <w:ind w:right="142" w:firstLine="480" w:firstLineChars="200"/>
        <w:rPr>
          <w:rFonts w:hint="eastAsia" w:ascii="宋体" w:hAnsi="宋体" w:cs="宋体"/>
          <w:color w:val="auto"/>
          <w:highlight w:val="none"/>
        </w:rPr>
      </w:pPr>
      <w:r>
        <w:rPr>
          <w:rFonts w:hint="eastAsia" w:ascii="宋体" w:hAnsi="宋体" w:cs="宋体"/>
          <w:color w:val="auto"/>
          <w:highlight w:val="none"/>
        </w:rPr>
        <w:t>本公司郑重声明，根据《政府采购促进中小企业发展管理办法》（财库﹝2020﹞46号）的规定，本公司参加</w:t>
      </w:r>
      <w:r>
        <w:rPr>
          <w:rFonts w:hint="eastAsia" w:ascii="宋体" w:hAnsi="宋体" w:cs="宋体"/>
          <w:color w:val="auto"/>
          <w:highlight w:val="none"/>
          <w:u w:val="single"/>
        </w:rPr>
        <w:t>（单位名称）</w:t>
      </w:r>
      <w:r>
        <w:rPr>
          <w:rFonts w:hint="eastAsia" w:ascii="宋体" w:hAnsi="宋体" w:cs="宋体"/>
          <w:color w:val="auto"/>
          <w:highlight w:val="none"/>
        </w:rPr>
        <w:t>的</w:t>
      </w:r>
      <w:r>
        <w:rPr>
          <w:rFonts w:hint="eastAsia" w:ascii="宋体" w:hAnsi="宋体" w:cs="宋体"/>
          <w:color w:val="auto"/>
          <w:highlight w:val="none"/>
          <w:u w:val="single"/>
        </w:rPr>
        <w:t>（项目名称）</w:t>
      </w:r>
      <w:r>
        <w:rPr>
          <w:rFonts w:hint="eastAsia" w:ascii="宋体" w:hAnsi="宋体" w:cs="宋体"/>
          <w:color w:val="auto"/>
          <w:highlight w:val="none"/>
        </w:rPr>
        <w:t>采购活动，服务全部由符合政策要求的中小企业承接。相关企业（含签订分包意向协议的中小企业）的具体情况如下：</w:t>
      </w:r>
    </w:p>
    <w:p w14:paraId="4ABD3F91">
      <w:pPr>
        <w:tabs>
          <w:tab w:val="left" w:pos="1384"/>
          <w:tab w:val="left" w:pos="4562"/>
          <w:tab w:val="left" w:pos="6803"/>
        </w:tabs>
        <w:spacing w:before="13" w:line="500" w:lineRule="exact"/>
        <w:ind w:right="142" w:firstLine="686" w:firstLineChars="286"/>
        <w:rPr>
          <w:rFonts w:hint="eastAsia" w:ascii="宋体" w:hAnsi="宋体" w:cs="宋体"/>
          <w:color w:val="auto"/>
          <w:sz w:val="24"/>
          <w:highlight w:val="none"/>
        </w:rPr>
      </w:pPr>
      <w:r>
        <w:rPr>
          <w:rFonts w:hint="eastAsia" w:ascii="宋体" w:hAnsi="宋体" w:cs="宋体"/>
          <w:color w:val="auto"/>
          <w:sz w:val="24"/>
          <w:highlight w:val="none"/>
        </w:rPr>
        <w:t>1.</w:t>
      </w:r>
      <w:r>
        <w:rPr>
          <w:rFonts w:hint="eastAsia" w:ascii="宋体" w:hAnsi="宋体" w:cs="宋体"/>
          <w:color w:val="auto"/>
          <w:sz w:val="24"/>
          <w:highlight w:val="none"/>
          <w:u w:val="single"/>
        </w:rPr>
        <w:t>（标的名称）</w:t>
      </w:r>
      <w:r>
        <w:rPr>
          <w:rFonts w:hint="eastAsia" w:ascii="宋体" w:hAnsi="宋体" w:cs="宋体"/>
          <w:color w:val="auto"/>
          <w:sz w:val="24"/>
          <w:highlight w:val="none"/>
        </w:rPr>
        <w:t>，属于</w:t>
      </w:r>
      <w:r>
        <w:rPr>
          <w:rFonts w:hint="eastAsia" w:ascii="宋体" w:hAnsi="宋体" w:cs="宋体"/>
          <w:color w:val="auto"/>
          <w:sz w:val="24"/>
          <w:highlight w:val="none"/>
          <w:u w:val="single"/>
        </w:rPr>
        <w:t>（采购文件中明确的所属行业）</w:t>
      </w:r>
      <w:r>
        <w:rPr>
          <w:rFonts w:hint="eastAsia" w:ascii="宋体" w:hAnsi="宋体" w:cs="宋体"/>
          <w:color w:val="auto"/>
          <w:sz w:val="24"/>
          <w:highlight w:val="none"/>
        </w:rPr>
        <w:t>；承接企业为</w:t>
      </w:r>
      <w:r>
        <w:rPr>
          <w:rFonts w:hint="eastAsia" w:ascii="宋体" w:hAnsi="宋体" w:cs="宋体"/>
          <w:color w:val="auto"/>
          <w:sz w:val="24"/>
          <w:highlight w:val="none"/>
          <w:u w:val="single"/>
        </w:rPr>
        <w:t>（企业名称）</w:t>
      </w:r>
      <w:r>
        <w:rPr>
          <w:rFonts w:hint="eastAsia" w:ascii="宋体" w:hAnsi="宋体" w:cs="宋体"/>
          <w:color w:val="auto"/>
          <w:sz w:val="24"/>
          <w:highlight w:val="none"/>
        </w:rPr>
        <w:t>，从业人员人，营业收入为万元，资产总额为万元，属于</w:t>
      </w:r>
      <w:r>
        <w:rPr>
          <w:rFonts w:hint="eastAsia" w:ascii="宋体" w:hAnsi="宋体" w:cs="宋体"/>
          <w:color w:val="auto"/>
          <w:sz w:val="24"/>
          <w:highlight w:val="none"/>
          <w:u w:val="single"/>
        </w:rPr>
        <w:t>（中型企业、小型企业、微型企业）</w:t>
      </w:r>
      <w:r>
        <w:rPr>
          <w:rFonts w:hint="eastAsia" w:ascii="宋体" w:hAnsi="宋体" w:cs="宋体"/>
          <w:color w:val="auto"/>
          <w:sz w:val="24"/>
          <w:highlight w:val="none"/>
        </w:rPr>
        <w:t>；</w:t>
      </w:r>
    </w:p>
    <w:p w14:paraId="15378872">
      <w:pPr>
        <w:tabs>
          <w:tab w:val="left" w:pos="1065"/>
          <w:tab w:val="left" w:pos="4262"/>
          <w:tab w:val="left" w:pos="6477"/>
        </w:tabs>
        <w:spacing w:before="20" w:line="500" w:lineRule="exact"/>
        <w:ind w:right="84" w:firstLine="686" w:firstLineChars="286"/>
        <w:rPr>
          <w:rFonts w:hint="eastAsia" w:ascii="宋体" w:hAnsi="宋体" w:cs="宋体"/>
          <w:color w:val="auto"/>
          <w:sz w:val="24"/>
          <w:highlight w:val="none"/>
          <w:u w:val="single"/>
        </w:rPr>
      </w:pPr>
      <w:r>
        <w:rPr>
          <w:rFonts w:hint="eastAsia" w:ascii="宋体" w:hAnsi="宋体" w:cs="宋体"/>
          <w:color w:val="auto"/>
          <w:sz w:val="24"/>
          <w:highlight w:val="none"/>
        </w:rPr>
        <w:t>2.</w:t>
      </w:r>
      <w:r>
        <w:rPr>
          <w:rFonts w:hint="eastAsia" w:ascii="宋体" w:hAnsi="宋体" w:cs="宋体"/>
          <w:color w:val="auto"/>
          <w:sz w:val="24"/>
          <w:highlight w:val="none"/>
          <w:u w:val="single"/>
        </w:rPr>
        <w:t>（标的名称）</w:t>
      </w:r>
      <w:r>
        <w:rPr>
          <w:rFonts w:hint="eastAsia" w:ascii="宋体" w:hAnsi="宋体" w:cs="宋体"/>
          <w:color w:val="auto"/>
          <w:sz w:val="24"/>
          <w:highlight w:val="none"/>
        </w:rPr>
        <w:t>，属于</w:t>
      </w:r>
      <w:r>
        <w:rPr>
          <w:rFonts w:hint="eastAsia" w:ascii="宋体" w:hAnsi="宋体" w:cs="宋体"/>
          <w:color w:val="auto"/>
          <w:sz w:val="24"/>
          <w:highlight w:val="none"/>
          <w:u w:val="single"/>
        </w:rPr>
        <w:t>（采购文件中明确的所属行业）</w:t>
      </w:r>
      <w:r>
        <w:rPr>
          <w:rFonts w:hint="eastAsia" w:ascii="宋体" w:hAnsi="宋体" w:cs="宋体"/>
          <w:color w:val="auto"/>
          <w:sz w:val="24"/>
          <w:highlight w:val="none"/>
        </w:rPr>
        <w:t>；承接企业为</w:t>
      </w:r>
      <w:r>
        <w:rPr>
          <w:rFonts w:hint="eastAsia" w:ascii="宋体" w:hAnsi="宋体" w:cs="宋体"/>
          <w:color w:val="auto"/>
          <w:sz w:val="24"/>
          <w:highlight w:val="none"/>
          <w:u w:val="single"/>
        </w:rPr>
        <w:t>（企业名称）</w:t>
      </w:r>
      <w:r>
        <w:rPr>
          <w:rFonts w:hint="eastAsia" w:ascii="宋体" w:hAnsi="宋体" w:cs="宋体"/>
          <w:color w:val="auto"/>
          <w:sz w:val="24"/>
          <w:highlight w:val="none"/>
        </w:rPr>
        <w:t>，从业人员人，营业收入为万元，资产总额为万元，属于</w:t>
      </w:r>
      <w:r>
        <w:rPr>
          <w:rFonts w:hint="eastAsia" w:ascii="宋体" w:hAnsi="宋体" w:cs="宋体"/>
          <w:color w:val="auto"/>
          <w:sz w:val="24"/>
          <w:highlight w:val="none"/>
          <w:u w:val="single"/>
        </w:rPr>
        <w:t>（中型企业、小型企业、微型企业）</w:t>
      </w:r>
      <w:r>
        <w:rPr>
          <w:rFonts w:hint="eastAsia" w:ascii="宋体" w:hAnsi="宋体" w:cs="宋体"/>
          <w:color w:val="auto"/>
          <w:sz w:val="24"/>
          <w:highlight w:val="none"/>
        </w:rPr>
        <w:t>；</w:t>
      </w:r>
    </w:p>
    <w:p w14:paraId="02EB6172">
      <w:pPr>
        <w:pStyle w:val="22"/>
        <w:spacing w:before="34" w:line="500" w:lineRule="exact"/>
        <w:ind w:left="765" w:right="142" w:hanging="5"/>
        <w:rPr>
          <w:rFonts w:hint="eastAsia" w:ascii="宋体" w:hAnsi="宋体" w:cs="宋体"/>
          <w:color w:val="auto"/>
          <w:highlight w:val="none"/>
        </w:rPr>
      </w:pPr>
      <w:r>
        <w:rPr>
          <w:rFonts w:hint="eastAsia" w:ascii="宋体" w:hAnsi="宋体" w:cs="宋体"/>
          <w:color w:val="auto"/>
          <w:highlight w:val="none"/>
        </w:rPr>
        <w:t xml:space="preserve">…… </w:t>
      </w:r>
    </w:p>
    <w:p w14:paraId="30AB375C">
      <w:pPr>
        <w:pStyle w:val="22"/>
        <w:spacing w:before="34" w:line="500" w:lineRule="exact"/>
        <w:ind w:right="142" w:firstLine="480" w:firstLineChars="200"/>
        <w:rPr>
          <w:rFonts w:hint="eastAsia" w:ascii="宋体" w:hAnsi="宋体" w:cs="宋体"/>
          <w:color w:val="auto"/>
          <w:highlight w:val="none"/>
        </w:rPr>
      </w:pPr>
      <w:r>
        <w:rPr>
          <w:rFonts w:hint="eastAsia" w:ascii="宋体" w:hAnsi="宋体" w:cs="宋体"/>
          <w:color w:val="auto"/>
          <w:highlight w:val="none"/>
        </w:rPr>
        <w:t>以上企业，不属于大企业的分支机构，不存在控股股东为大企业的情形，也不存在与大企业的负责人为同一人的情形。</w:t>
      </w:r>
    </w:p>
    <w:p w14:paraId="5B523CD5">
      <w:pPr>
        <w:pStyle w:val="22"/>
        <w:spacing w:before="34" w:line="500" w:lineRule="exact"/>
        <w:ind w:right="142" w:firstLine="480" w:firstLineChars="200"/>
        <w:rPr>
          <w:rFonts w:hint="eastAsia" w:ascii="宋体" w:hAnsi="宋体" w:cs="宋体"/>
          <w:color w:val="auto"/>
          <w:highlight w:val="none"/>
        </w:rPr>
      </w:pPr>
      <w:r>
        <w:rPr>
          <w:rFonts w:hint="eastAsia" w:ascii="宋体" w:hAnsi="宋体" w:cs="宋体"/>
          <w:color w:val="auto"/>
          <w:highlight w:val="none"/>
        </w:rPr>
        <w:t>本企业对上述声明内容的真实性负责。如有虚假，将依法承担相应责任。</w:t>
      </w:r>
    </w:p>
    <w:p w14:paraId="185CA25E">
      <w:pPr>
        <w:pStyle w:val="22"/>
        <w:spacing w:before="56" w:line="500" w:lineRule="exact"/>
        <w:ind w:left="3960" w:right="1808"/>
        <w:rPr>
          <w:rFonts w:hint="eastAsia" w:ascii="宋体" w:hAnsi="宋体" w:cs="宋体"/>
          <w:color w:val="auto"/>
          <w:highlight w:val="none"/>
        </w:rPr>
      </w:pPr>
      <w:r>
        <w:rPr>
          <w:rFonts w:hint="eastAsia" w:ascii="宋体" w:hAnsi="宋体" w:cs="宋体"/>
          <w:color w:val="auto"/>
          <w:kern w:val="24"/>
          <w:highlight w:val="none"/>
        </w:rPr>
        <w:t>企业名称（电子签章）：</w:t>
      </w:r>
    </w:p>
    <w:p w14:paraId="47C41771">
      <w:pPr>
        <w:pStyle w:val="22"/>
        <w:spacing w:before="56" w:line="500" w:lineRule="exact"/>
        <w:ind w:left="3960" w:right="1808"/>
        <w:rPr>
          <w:rFonts w:hint="eastAsia" w:ascii="宋体" w:hAnsi="宋体" w:cs="宋体"/>
          <w:color w:val="auto"/>
          <w:highlight w:val="none"/>
        </w:rPr>
      </w:pPr>
      <w:r>
        <w:rPr>
          <w:rFonts w:hint="eastAsia" w:ascii="宋体" w:hAnsi="宋体" w:cs="宋体"/>
          <w:color w:val="auto"/>
          <w:highlight w:val="none"/>
        </w:rPr>
        <w:t>日 期：</w:t>
      </w:r>
    </w:p>
    <w:p w14:paraId="51922C4B">
      <w:pPr>
        <w:rPr>
          <w:rFonts w:hint="eastAsia" w:ascii="宋体" w:hAnsi="宋体" w:cs="宋体"/>
          <w:color w:val="auto"/>
          <w:sz w:val="24"/>
          <w:highlight w:val="none"/>
        </w:rPr>
      </w:pPr>
    </w:p>
    <w:p w14:paraId="508479CE">
      <w:pPr>
        <w:rPr>
          <w:rFonts w:hint="eastAsia" w:ascii="宋体" w:hAnsi="宋体" w:cs="宋体"/>
          <w:b/>
          <w:color w:val="auto"/>
          <w:sz w:val="24"/>
          <w:highlight w:val="none"/>
        </w:rPr>
      </w:pPr>
      <w:r>
        <w:rPr>
          <w:rFonts w:hint="eastAsia" w:ascii="宋体" w:hAnsi="宋体" w:cs="宋体"/>
          <w:color w:val="auto"/>
          <w:sz w:val="24"/>
          <w:highlight w:val="none"/>
        </w:rPr>
        <w:t>注：享受《政府采购促进中小企业发展管理办法》（财库〔2020〕46号）规定的中小企业扶持政策的，采购人、采购代理机构应当随中标结果公开中标供应商的《中小企业声明函》。从业人员、营业收入、资产总额填报上一年度数据，无上一年度数据的新成立企业可不填报。</w:t>
      </w:r>
      <w:r>
        <w:rPr>
          <w:rFonts w:hint="eastAsia" w:ascii="宋体" w:hAnsi="宋体" w:cs="宋体"/>
          <w:color w:val="auto"/>
          <w:highlight w:val="none"/>
        </w:rPr>
        <w:br w:type="page"/>
      </w:r>
      <w:r>
        <w:rPr>
          <w:rFonts w:hint="eastAsia" w:ascii="宋体" w:hAnsi="宋体" w:cs="宋体"/>
          <w:b/>
          <w:color w:val="auto"/>
          <w:sz w:val="24"/>
          <w:highlight w:val="none"/>
        </w:rPr>
        <w:t>6.残疾人福利性单位声明函格式</w:t>
      </w:r>
    </w:p>
    <w:p w14:paraId="7D350E69">
      <w:pPr>
        <w:spacing w:line="588" w:lineRule="exact"/>
        <w:jc w:val="center"/>
        <w:rPr>
          <w:rFonts w:hint="eastAsia" w:ascii="宋体" w:hAnsi="宋体" w:cs="宋体"/>
          <w:b/>
          <w:color w:val="auto"/>
          <w:spacing w:val="6"/>
          <w:sz w:val="32"/>
          <w:szCs w:val="32"/>
          <w:highlight w:val="none"/>
        </w:rPr>
      </w:pPr>
      <w:bookmarkStart w:id="141" w:name="OLE_LINK14"/>
      <w:bookmarkStart w:id="142" w:name="OLE_LINK13"/>
    </w:p>
    <w:p w14:paraId="5B2E43B7">
      <w:pPr>
        <w:spacing w:line="588" w:lineRule="exact"/>
        <w:jc w:val="center"/>
        <w:rPr>
          <w:rFonts w:hint="eastAsia" w:ascii="宋体" w:hAnsi="宋体" w:cs="宋体"/>
          <w:bCs/>
          <w:color w:val="auto"/>
          <w:spacing w:val="6"/>
          <w:sz w:val="44"/>
          <w:szCs w:val="44"/>
          <w:highlight w:val="none"/>
        </w:rPr>
      </w:pPr>
      <w:r>
        <w:rPr>
          <w:rFonts w:hint="eastAsia" w:ascii="宋体" w:hAnsi="宋体" w:cs="宋体"/>
          <w:bCs/>
          <w:color w:val="auto"/>
          <w:spacing w:val="6"/>
          <w:sz w:val="44"/>
          <w:szCs w:val="44"/>
          <w:highlight w:val="none"/>
        </w:rPr>
        <w:t>残疾人福利性单位声明函</w:t>
      </w:r>
    </w:p>
    <w:bookmarkEnd w:id="141"/>
    <w:bookmarkEnd w:id="142"/>
    <w:p w14:paraId="0643590A">
      <w:pPr>
        <w:spacing w:line="588" w:lineRule="exact"/>
        <w:rPr>
          <w:rFonts w:hint="eastAsia" w:ascii="宋体" w:hAnsi="宋体" w:cs="宋体"/>
          <w:b/>
          <w:color w:val="auto"/>
          <w:spacing w:val="6"/>
          <w:sz w:val="30"/>
          <w:szCs w:val="30"/>
          <w:highlight w:val="none"/>
        </w:rPr>
      </w:pPr>
    </w:p>
    <w:p w14:paraId="2C0418BC">
      <w:pPr>
        <w:spacing w:line="360" w:lineRule="auto"/>
        <w:ind w:firstLine="504" w:firstLineChars="200"/>
        <w:rPr>
          <w:rFonts w:hint="eastAsia" w:ascii="宋体" w:hAnsi="宋体" w:cs="宋体"/>
          <w:color w:val="auto"/>
          <w:spacing w:val="6"/>
          <w:sz w:val="24"/>
          <w:highlight w:val="none"/>
        </w:rPr>
      </w:pPr>
      <w:r>
        <w:rPr>
          <w:rFonts w:hint="eastAsia" w:ascii="宋体" w:hAnsi="宋体" w:cs="宋体"/>
          <w:color w:val="auto"/>
          <w:spacing w:val="6"/>
          <w:sz w:val="24"/>
          <w:highlight w:val="none"/>
        </w:rPr>
        <w:t>本单位郑重声明，根据《财政部 民政部 中国残疾人联合会关于促进残疾人就业政府采购政策的通知》（财库</w:t>
      </w:r>
      <w:r>
        <w:rPr>
          <w:rFonts w:hint="eastAsia" w:ascii="宋体" w:hAnsi="宋体" w:cs="宋体"/>
          <w:color w:val="auto"/>
          <w:sz w:val="24"/>
          <w:highlight w:val="none"/>
        </w:rPr>
        <w:t>〔2017〕 141</w:t>
      </w:r>
      <w:r>
        <w:rPr>
          <w:rFonts w:hint="eastAsia" w:ascii="宋体" w:hAnsi="宋体" w:cs="宋体"/>
          <w:color w:val="auto"/>
          <w:spacing w:val="6"/>
          <w:sz w:val="24"/>
          <w:highlight w:val="none"/>
        </w:rPr>
        <w:t>号）的规定，本单位为符合条件的残疾人福利性单位，且本单位参加______单位的______项目采购活动提供本单位制造的货物（由本单位承担工程/提供服务），或者提供其他残</w:t>
      </w:r>
      <w:r>
        <w:rPr>
          <w:rFonts w:hint="eastAsia" w:ascii="宋体" w:hAnsi="宋体" w:cs="宋体"/>
          <w:color w:val="auto"/>
          <w:spacing w:val="-6"/>
          <w:sz w:val="24"/>
          <w:highlight w:val="none"/>
        </w:rPr>
        <w:t>疾人福利性单位制造的货物（不包括使用非残疾人福利性单位注册商标的货物）。</w:t>
      </w:r>
    </w:p>
    <w:p w14:paraId="476ACDE4">
      <w:pPr>
        <w:spacing w:line="360" w:lineRule="auto"/>
        <w:ind w:firstLine="504" w:firstLineChars="200"/>
        <w:rPr>
          <w:rFonts w:hint="eastAsia" w:ascii="宋体" w:hAnsi="宋体" w:cs="宋体"/>
          <w:color w:val="auto"/>
          <w:spacing w:val="6"/>
          <w:sz w:val="24"/>
          <w:highlight w:val="none"/>
        </w:rPr>
      </w:pPr>
      <w:r>
        <w:rPr>
          <w:rFonts w:hint="eastAsia" w:ascii="宋体" w:hAnsi="宋体" w:cs="宋体"/>
          <w:color w:val="auto"/>
          <w:spacing w:val="6"/>
          <w:sz w:val="24"/>
          <w:highlight w:val="none"/>
        </w:rPr>
        <w:t>本单位对上述声明的真实性负责。如有虚假，将依法承担相应责任。</w:t>
      </w:r>
    </w:p>
    <w:p w14:paraId="3322A8FF">
      <w:pPr>
        <w:spacing w:line="360" w:lineRule="auto"/>
        <w:ind w:firstLine="504" w:firstLineChars="200"/>
        <w:rPr>
          <w:rFonts w:hint="eastAsia" w:ascii="宋体" w:hAnsi="宋体" w:cs="宋体"/>
          <w:color w:val="auto"/>
          <w:spacing w:val="6"/>
          <w:sz w:val="24"/>
          <w:highlight w:val="none"/>
        </w:rPr>
      </w:pPr>
    </w:p>
    <w:p w14:paraId="5E0C54F8">
      <w:pPr>
        <w:spacing w:line="360" w:lineRule="auto"/>
        <w:ind w:firstLine="504" w:firstLineChars="200"/>
        <w:rPr>
          <w:rFonts w:hint="eastAsia" w:ascii="宋体" w:hAnsi="宋体" w:cs="宋体"/>
          <w:color w:val="auto"/>
          <w:spacing w:val="6"/>
          <w:sz w:val="24"/>
          <w:highlight w:val="none"/>
        </w:rPr>
      </w:pPr>
    </w:p>
    <w:p w14:paraId="3E39BE05">
      <w:pPr>
        <w:tabs>
          <w:tab w:val="left" w:pos="4860"/>
        </w:tabs>
        <w:spacing w:line="360" w:lineRule="auto"/>
        <w:ind w:right="1560" w:firstLine="504" w:firstLineChars="200"/>
        <w:contextualSpacing/>
        <w:jc w:val="center"/>
        <w:rPr>
          <w:rFonts w:hint="eastAsia" w:ascii="宋体" w:hAnsi="宋体" w:cs="宋体"/>
          <w:color w:val="auto"/>
          <w:spacing w:val="6"/>
          <w:sz w:val="24"/>
          <w:highlight w:val="none"/>
        </w:rPr>
      </w:pPr>
      <w:r>
        <w:rPr>
          <w:rFonts w:hint="eastAsia" w:ascii="宋体" w:hAnsi="宋体" w:cs="宋体"/>
          <w:color w:val="auto"/>
          <w:spacing w:val="6"/>
          <w:sz w:val="24"/>
          <w:highlight w:val="none"/>
        </w:rPr>
        <w:t>单位名称（电子签章）：</w:t>
      </w:r>
    </w:p>
    <w:p w14:paraId="290FB419">
      <w:pPr>
        <w:tabs>
          <w:tab w:val="left" w:pos="4860"/>
        </w:tabs>
        <w:spacing w:line="360" w:lineRule="auto"/>
        <w:ind w:right="1560" w:firstLine="504" w:firstLineChars="200"/>
        <w:contextualSpacing/>
        <w:jc w:val="center"/>
        <w:rPr>
          <w:rFonts w:hint="eastAsia" w:ascii="宋体" w:hAnsi="宋体" w:cs="宋体"/>
          <w:color w:val="auto"/>
          <w:spacing w:val="6"/>
          <w:sz w:val="24"/>
          <w:highlight w:val="none"/>
        </w:rPr>
      </w:pPr>
      <w:r>
        <w:rPr>
          <w:rFonts w:hint="eastAsia" w:ascii="宋体" w:hAnsi="宋体" w:cs="宋体"/>
          <w:color w:val="auto"/>
          <w:spacing w:val="6"/>
          <w:sz w:val="24"/>
          <w:highlight w:val="none"/>
        </w:rPr>
        <w:t>日  期：</w:t>
      </w:r>
    </w:p>
    <w:p w14:paraId="2E5DADB8">
      <w:pPr>
        <w:spacing w:line="360" w:lineRule="auto"/>
        <w:rPr>
          <w:rFonts w:hint="eastAsia" w:ascii="宋体" w:hAnsi="宋体" w:cs="宋体"/>
          <w:color w:val="auto"/>
          <w:sz w:val="24"/>
          <w:highlight w:val="none"/>
        </w:rPr>
      </w:pPr>
    </w:p>
    <w:p w14:paraId="039D34C3">
      <w:pPr>
        <w:spacing w:line="360" w:lineRule="auto"/>
        <w:rPr>
          <w:rFonts w:hint="eastAsia" w:ascii="宋体" w:hAnsi="宋体" w:cs="宋体"/>
          <w:color w:val="auto"/>
          <w:sz w:val="24"/>
          <w:highlight w:val="none"/>
        </w:rPr>
      </w:pPr>
    </w:p>
    <w:p w14:paraId="12F52696">
      <w:pPr>
        <w:spacing w:line="360" w:lineRule="auto"/>
        <w:rPr>
          <w:rFonts w:hint="eastAsia" w:ascii="宋体" w:hAnsi="宋体" w:cs="宋体"/>
          <w:color w:val="auto"/>
          <w:sz w:val="24"/>
          <w:highlight w:val="none"/>
        </w:rPr>
      </w:pPr>
    </w:p>
    <w:p w14:paraId="427972D2">
      <w:pPr>
        <w:spacing w:line="360" w:lineRule="auto"/>
        <w:rPr>
          <w:rFonts w:hint="eastAsia" w:ascii="宋体" w:hAnsi="宋体" w:cs="宋体"/>
          <w:color w:val="auto"/>
          <w:sz w:val="24"/>
          <w:highlight w:val="none"/>
        </w:rPr>
      </w:pPr>
      <w:r>
        <w:rPr>
          <w:rFonts w:hint="eastAsia" w:ascii="宋体" w:hAnsi="宋体" w:cs="宋体"/>
          <w:color w:val="auto"/>
          <w:sz w:val="24"/>
          <w:highlight w:val="none"/>
        </w:rPr>
        <w:t>注：请根据自己的真实情况出具《残疾人福利性单位声明函》。依法享受中小企业优惠政策的，采购人或者采购代理机构在公告中标结果时，同时公告其《残疾人福利性单位声明函》，接受社会监督。</w:t>
      </w:r>
    </w:p>
    <w:p w14:paraId="1DE9B52E">
      <w:pPr>
        <w:pStyle w:val="44"/>
        <w:ind w:firstLine="422"/>
        <w:rPr>
          <w:rFonts w:hint="eastAsia" w:hAnsi="宋体" w:cs="宋体"/>
          <w:color w:val="auto"/>
          <w:highlight w:val="none"/>
        </w:rPr>
      </w:pPr>
    </w:p>
    <w:p w14:paraId="3EAB1088">
      <w:pPr>
        <w:rPr>
          <w:rFonts w:hint="eastAsia" w:ascii="宋体" w:hAnsi="宋体" w:cs="宋体"/>
          <w:b/>
          <w:color w:val="auto"/>
          <w:sz w:val="28"/>
          <w:szCs w:val="28"/>
          <w:highlight w:val="none"/>
        </w:rPr>
      </w:pPr>
      <w:r>
        <w:rPr>
          <w:rFonts w:hint="eastAsia" w:ascii="宋体" w:hAnsi="宋体" w:cs="宋体"/>
          <w:b/>
          <w:bCs/>
          <w:color w:val="auto"/>
          <w:sz w:val="24"/>
          <w:highlight w:val="none"/>
        </w:rPr>
        <w:br w:type="page"/>
      </w:r>
      <w:bookmarkStart w:id="143" w:name="_Toc19686837"/>
      <w:r>
        <w:rPr>
          <w:rFonts w:hint="eastAsia" w:ascii="宋体" w:hAnsi="宋体" w:cs="宋体"/>
          <w:b/>
          <w:color w:val="auto"/>
          <w:sz w:val="28"/>
          <w:szCs w:val="28"/>
          <w:highlight w:val="none"/>
        </w:rPr>
        <w:t>二、资格证明文件格式</w:t>
      </w:r>
      <w:bookmarkEnd w:id="139"/>
      <w:bookmarkEnd w:id="140"/>
      <w:bookmarkEnd w:id="143"/>
    </w:p>
    <w:p w14:paraId="53F2A9AB">
      <w:pPr>
        <w:numPr>
          <w:ilvl w:val="2"/>
          <w:numId w:val="28"/>
        </w:numPr>
        <w:snapToGrid w:val="0"/>
        <w:spacing w:before="120" w:beforeLines="50" w:after="50" w:line="360" w:lineRule="auto"/>
        <w:ind w:left="0" w:firstLine="0"/>
        <w:jc w:val="left"/>
        <w:rPr>
          <w:rFonts w:hint="eastAsia" w:ascii="宋体" w:hAnsi="宋体" w:cs="宋体"/>
          <w:b/>
          <w:color w:val="auto"/>
          <w:sz w:val="24"/>
          <w:highlight w:val="none"/>
        </w:rPr>
      </w:pPr>
      <w:r>
        <w:rPr>
          <w:rFonts w:hint="eastAsia" w:ascii="宋体" w:hAnsi="宋体" w:cs="宋体"/>
          <w:b/>
          <w:color w:val="auto"/>
          <w:sz w:val="24"/>
          <w:highlight w:val="none"/>
        </w:rPr>
        <w:t xml:space="preserve">资格证明文件封面格式： </w:t>
      </w:r>
    </w:p>
    <w:p w14:paraId="0F13DF36">
      <w:pPr>
        <w:snapToGrid w:val="0"/>
        <w:spacing w:before="120" w:beforeLines="50" w:after="50"/>
        <w:jc w:val="center"/>
        <w:rPr>
          <w:rFonts w:hint="eastAsia" w:ascii="宋体" w:hAnsi="宋体" w:cs="宋体"/>
          <w:bCs/>
          <w:color w:val="auto"/>
          <w:sz w:val="48"/>
          <w:szCs w:val="48"/>
          <w:highlight w:val="none"/>
        </w:rPr>
      </w:pPr>
      <w:r>
        <w:rPr>
          <w:rFonts w:hint="eastAsia" w:ascii="宋体" w:hAnsi="宋体" w:cs="宋体"/>
          <w:bCs/>
          <w:color w:val="auto"/>
          <w:sz w:val="48"/>
          <w:szCs w:val="48"/>
          <w:highlight w:val="none"/>
        </w:rPr>
        <w:t>电子投标文件</w:t>
      </w:r>
    </w:p>
    <w:p w14:paraId="268594BC">
      <w:pPr>
        <w:snapToGrid w:val="0"/>
        <w:spacing w:before="120" w:beforeLines="50" w:after="50"/>
        <w:rPr>
          <w:rFonts w:hint="eastAsia" w:ascii="宋体" w:hAnsi="宋体" w:cs="宋体"/>
          <w:color w:val="auto"/>
          <w:sz w:val="24"/>
          <w:szCs w:val="20"/>
          <w:highlight w:val="none"/>
        </w:rPr>
      </w:pPr>
    </w:p>
    <w:p w14:paraId="3566BEDE">
      <w:pPr>
        <w:snapToGrid w:val="0"/>
        <w:spacing w:before="120" w:beforeLines="50" w:after="50"/>
        <w:jc w:val="center"/>
        <w:rPr>
          <w:rFonts w:hint="eastAsia" w:ascii="宋体" w:hAnsi="宋体" w:cs="宋体"/>
          <w:b/>
          <w:color w:val="auto"/>
          <w:sz w:val="24"/>
          <w:szCs w:val="20"/>
          <w:highlight w:val="none"/>
        </w:rPr>
      </w:pPr>
      <w:r>
        <w:rPr>
          <w:rFonts w:hint="eastAsia" w:ascii="宋体" w:hAnsi="宋体" w:cs="宋体"/>
          <w:b/>
          <w:color w:val="auto"/>
          <w:sz w:val="32"/>
          <w:szCs w:val="32"/>
          <w:highlight w:val="none"/>
        </w:rPr>
        <w:t>资格证明文件</w:t>
      </w:r>
    </w:p>
    <w:p w14:paraId="7A3AB2AA">
      <w:pPr>
        <w:snapToGrid w:val="0"/>
        <w:spacing w:before="120" w:beforeLines="50" w:after="50"/>
        <w:rPr>
          <w:rFonts w:hint="eastAsia" w:ascii="宋体" w:hAnsi="宋体" w:cs="宋体"/>
          <w:bCs/>
          <w:color w:val="auto"/>
          <w:sz w:val="24"/>
          <w:szCs w:val="20"/>
          <w:highlight w:val="none"/>
        </w:rPr>
      </w:pPr>
    </w:p>
    <w:p w14:paraId="7EEA3D2A">
      <w:pPr>
        <w:snapToGrid w:val="0"/>
        <w:spacing w:before="120" w:beforeLines="50" w:after="50"/>
        <w:rPr>
          <w:rFonts w:hint="eastAsia" w:ascii="宋体" w:hAnsi="宋体" w:cs="宋体"/>
          <w:bCs/>
          <w:color w:val="auto"/>
          <w:sz w:val="24"/>
          <w:szCs w:val="20"/>
          <w:highlight w:val="none"/>
        </w:rPr>
      </w:pPr>
    </w:p>
    <w:p w14:paraId="67691E50">
      <w:pPr>
        <w:snapToGrid w:val="0"/>
        <w:spacing w:before="120" w:beforeLines="50" w:after="50"/>
        <w:rPr>
          <w:rFonts w:hint="eastAsia" w:ascii="宋体" w:hAnsi="宋体" w:cs="宋体"/>
          <w:bCs/>
          <w:color w:val="auto"/>
          <w:sz w:val="24"/>
          <w:szCs w:val="20"/>
          <w:highlight w:val="none"/>
        </w:rPr>
      </w:pPr>
    </w:p>
    <w:p w14:paraId="6722E236">
      <w:pPr>
        <w:snapToGrid w:val="0"/>
        <w:spacing w:before="120" w:beforeLines="50" w:after="50"/>
        <w:rPr>
          <w:rFonts w:hint="eastAsia" w:ascii="宋体" w:hAnsi="宋体" w:cs="宋体"/>
          <w:bCs/>
          <w:color w:val="auto"/>
          <w:sz w:val="24"/>
          <w:szCs w:val="20"/>
          <w:highlight w:val="none"/>
        </w:rPr>
      </w:pPr>
    </w:p>
    <w:p w14:paraId="47FD9061">
      <w:pPr>
        <w:snapToGrid w:val="0"/>
        <w:spacing w:before="120" w:beforeLines="50" w:after="50"/>
        <w:rPr>
          <w:rFonts w:hint="eastAsia" w:ascii="宋体" w:hAnsi="宋体" w:cs="宋体"/>
          <w:bCs/>
          <w:color w:val="auto"/>
          <w:sz w:val="24"/>
          <w:szCs w:val="20"/>
          <w:highlight w:val="none"/>
        </w:rPr>
      </w:pPr>
    </w:p>
    <w:p w14:paraId="39CEB11C">
      <w:pPr>
        <w:snapToGrid w:val="0"/>
        <w:spacing w:before="120" w:beforeLines="50" w:after="50"/>
        <w:rPr>
          <w:rFonts w:hint="eastAsia" w:ascii="宋体" w:hAnsi="宋体" w:cs="宋体"/>
          <w:bCs/>
          <w:color w:val="auto"/>
          <w:sz w:val="24"/>
          <w:szCs w:val="20"/>
          <w:highlight w:val="none"/>
        </w:rPr>
      </w:pPr>
    </w:p>
    <w:p w14:paraId="7AA60A66">
      <w:pPr>
        <w:snapToGrid w:val="0"/>
        <w:spacing w:before="120" w:beforeLines="50" w:after="50"/>
        <w:rPr>
          <w:rFonts w:hint="eastAsia" w:ascii="宋体" w:hAnsi="宋体" w:cs="宋体"/>
          <w:bCs/>
          <w:color w:val="auto"/>
          <w:sz w:val="24"/>
          <w:szCs w:val="20"/>
          <w:highlight w:val="none"/>
        </w:rPr>
      </w:pPr>
    </w:p>
    <w:p w14:paraId="58658723">
      <w:pPr>
        <w:snapToGrid w:val="0"/>
        <w:spacing w:before="120" w:beforeLines="50" w:after="50"/>
        <w:ind w:firstLine="540" w:firstLineChars="225"/>
        <w:rPr>
          <w:rFonts w:hint="eastAsia" w:ascii="宋体" w:hAnsi="宋体" w:cs="宋体"/>
          <w:bCs/>
          <w:color w:val="auto"/>
          <w:sz w:val="24"/>
          <w:highlight w:val="none"/>
        </w:rPr>
      </w:pPr>
      <w:r>
        <w:rPr>
          <w:rFonts w:hint="eastAsia" w:ascii="宋体" w:hAnsi="宋体" w:cs="宋体"/>
          <w:bCs/>
          <w:color w:val="auto"/>
          <w:sz w:val="24"/>
          <w:highlight w:val="none"/>
        </w:rPr>
        <w:t>项目名称：</w:t>
      </w:r>
    </w:p>
    <w:p w14:paraId="5D6A84E6">
      <w:pPr>
        <w:snapToGrid w:val="0"/>
        <w:spacing w:before="120" w:beforeLines="50" w:after="50"/>
        <w:ind w:firstLine="540" w:firstLineChars="225"/>
        <w:rPr>
          <w:rFonts w:hint="eastAsia" w:ascii="宋体" w:hAnsi="宋体" w:cs="宋体"/>
          <w:bCs/>
          <w:color w:val="auto"/>
          <w:sz w:val="24"/>
          <w:szCs w:val="20"/>
          <w:highlight w:val="none"/>
        </w:rPr>
      </w:pPr>
    </w:p>
    <w:p w14:paraId="5634C880">
      <w:pPr>
        <w:snapToGrid w:val="0"/>
        <w:spacing w:before="120" w:beforeLines="50" w:after="50"/>
        <w:ind w:firstLine="540" w:firstLineChars="225"/>
        <w:rPr>
          <w:rFonts w:hint="eastAsia" w:ascii="宋体" w:hAnsi="宋体" w:cs="宋体"/>
          <w:bCs/>
          <w:color w:val="auto"/>
          <w:sz w:val="24"/>
          <w:highlight w:val="none"/>
        </w:rPr>
      </w:pPr>
      <w:r>
        <w:rPr>
          <w:rFonts w:hint="eastAsia" w:ascii="宋体" w:hAnsi="宋体" w:cs="宋体"/>
          <w:bCs/>
          <w:color w:val="auto"/>
          <w:sz w:val="24"/>
          <w:highlight w:val="none"/>
        </w:rPr>
        <w:t>项目编号：</w:t>
      </w:r>
    </w:p>
    <w:p w14:paraId="7CE2B2EA">
      <w:pPr>
        <w:snapToGrid w:val="0"/>
        <w:spacing w:before="120" w:beforeLines="50" w:after="50"/>
        <w:ind w:firstLine="540" w:firstLineChars="225"/>
        <w:rPr>
          <w:rFonts w:hint="eastAsia" w:ascii="宋体" w:hAnsi="宋体" w:cs="宋体"/>
          <w:bCs/>
          <w:color w:val="auto"/>
          <w:sz w:val="24"/>
          <w:szCs w:val="20"/>
          <w:highlight w:val="none"/>
        </w:rPr>
      </w:pPr>
    </w:p>
    <w:p w14:paraId="42A84BEA">
      <w:pPr>
        <w:snapToGrid w:val="0"/>
        <w:spacing w:before="120" w:beforeLines="50" w:after="50"/>
        <w:ind w:firstLine="540" w:firstLineChars="225"/>
        <w:rPr>
          <w:rFonts w:hint="eastAsia" w:ascii="宋体" w:hAnsi="宋体" w:cs="宋体"/>
          <w:bCs/>
          <w:color w:val="auto"/>
          <w:sz w:val="24"/>
          <w:highlight w:val="none"/>
        </w:rPr>
      </w:pPr>
      <w:r>
        <w:rPr>
          <w:rFonts w:hint="eastAsia" w:ascii="宋体" w:hAnsi="宋体" w:cs="宋体"/>
          <w:bCs/>
          <w:color w:val="auto"/>
          <w:sz w:val="24"/>
          <w:highlight w:val="none"/>
        </w:rPr>
        <w:t>所投分标：</w:t>
      </w:r>
    </w:p>
    <w:p w14:paraId="645D1573">
      <w:pPr>
        <w:pStyle w:val="8"/>
        <w:snapToGrid w:val="0"/>
        <w:spacing w:before="50" w:after="50"/>
        <w:ind w:firstLine="540" w:firstLineChars="225"/>
        <w:rPr>
          <w:rFonts w:hint="eastAsia" w:ascii="宋体" w:hAnsi="宋体" w:cs="宋体"/>
          <w:bCs/>
          <w:color w:val="auto"/>
          <w:sz w:val="24"/>
          <w:szCs w:val="24"/>
          <w:highlight w:val="none"/>
        </w:rPr>
      </w:pPr>
    </w:p>
    <w:p w14:paraId="03E14B61">
      <w:pPr>
        <w:pStyle w:val="8"/>
        <w:snapToGrid w:val="0"/>
        <w:spacing w:before="50" w:after="50"/>
        <w:ind w:firstLine="540" w:firstLineChars="225"/>
        <w:rPr>
          <w:rFonts w:hint="eastAsia" w:ascii="宋体" w:hAnsi="宋体" w:cs="宋体"/>
          <w:bCs/>
          <w:color w:val="auto"/>
          <w:sz w:val="24"/>
          <w:szCs w:val="24"/>
          <w:highlight w:val="none"/>
        </w:rPr>
      </w:pPr>
      <w:r>
        <w:rPr>
          <w:rFonts w:hint="eastAsia" w:ascii="宋体" w:hAnsi="宋体" w:cs="宋体"/>
          <w:bCs/>
          <w:color w:val="auto"/>
          <w:sz w:val="24"/>
          <w:szCs w:val="24"/>
          <w:highlight w:val="none"/>
        </w:rPr>
        <w:t>投标人名称：</w:t>
      </w:r>
    </w:p>
    <w:p w14:paraId="17D24BE7">
      <w:pPr>
        <w:pStyle w:val="8"/>
        <w:snapToGrid w:val="0"/>
        <w:spacing w:before="50" w:after="50"/>
        <w:ind w:firstLine="540" w:firstLineChars="225"/>
        <w:rPr>
          <w:rFonts w:hint="eastAsia" w:ascii="宋体" w:hAnsi="宋体" w:cs="宋体"/>
          <w:bCs/>
          <w:color w:val="auto"/>
          <w:sz w:val="24"/>
          <w:szCs w:val="24"/>
          <w:highlight w:val="none"/>
        </w:rPr>
      </w:pPr>
    </w:p>
    <w:p w14:paraId="60331DF7">
      <w:pPr>
        <w:pStyle w:val="8"/>
        <w:snapToGrid w:val="0"/>
        <w:spacing w:before="50" w:after="50"/>
        <w:ind w:firstLine="960" w:firstLineChars="400"/>
        <w:rPr>
          <w:rFonts w:hint="eastAsia" w:ascii="宋体" w:hAnsi="宋体" w:cs="宋体"/>
          <w:bCs/>
          <w:color w:val="auto"/>
          <w:sz w:val="24"/>
          <w:szCs w:val="24"/>
          <w:highlight w:val="none"/>
        </w:rPr>
      </w:pPr>
    </w:p>
    <w:p w14:paraId="5E34CF48">
      <w:pPr>
        <w:snapToGrid w:val="0"/>
        <w:spacing w:before="120" w:beforeLines="50" w:after="50"/>
        <w:ind w:firstLine="645"/>
        <w:jc w:val="center"/>
        <w:rPr>
          <w:rFonts w:hint="eastAsia" w:ascii="宋体" w:hAnsi="宋体" w:cs="宋体"/>
          <w:color w:val="auto"/>
          <w:sz w:val="24"/>
          <w:highlight w:val="none"/>
        </w:rPr>
      </w:pPr>
      <w:r>
        <w:rPr>
          <w:rFonts w:hint="eastAsia" w:ascii="宋体" w:hAnsi="宋体" w:cs="宋体"/>
          <w:color w:val="auto"/>
          <w:sz w:val="24"/>
          <w:highlight w:val="none"/>
        </w:rPr>
        <w:t>年  月  日</w:t>
      </w:r>
    </w:p>
    <w:p w14:paraId="3929E732">
      <w:pPr>
        <w:snapToGrid w:val="0"/>
        <w:spacing w:before="120" w:beforeLines="50" w:after="50"/>
        <w:rPr>
          <w:rFonts w:hint="eastAsia" w:ascii="宋体" w:hAnsi="宋体" w:cs="宋体"/>
          <w:color w:val="auto"/>
          <w:sz w:val="24"/>
          <w:szCs w:val="20"/>
          <w:highlight w:val="none"/>
        </w:rPr>
      </w:pPr>
    </w:p>
    <w:p w14:paraId="2975738C">
      <w:pPr>
        <w:snapToGrid w:val="0"/>
        <w:spacing w:before="120" w:beforeLines="50" w:after="50"/>
        <w:rPr>
          <w:rFonts w:hint="eastAsia" w:ascii="宋体" w:hAnsi="宋体" w:cs="宋体"/>
          <w:color w:val="auto"/>
          <w:sz w:val="24"/>
          <w:szCs w:val="20"/>
          <w:highlight w:val="none"/>
        </w:rPr>
      </w:pPr>
    </w:p>
    <w:p w14:paraId="0AFEAE1B">
      <w:pPr>
        <w:numPr>
          <w:ilvl w:val="2"/>
          <w:numId w:val="28"/>
        </w:numPr>
        <w:snapToGrid w:val="0"/>
        <w:spacing w:before="120" w:beforeLines="50" w:after="50" w:line="360" w:lineRule="auto"/>
        <w:ind w:left="0" w:firstLine="0"/>
        <w:jc w:val="left"/>
        <w:rPr>
          <w:rFonts w:hint="eastAsia" w:ascii="宋体" w:hAnsi="宋体" w:cs="宋体"/>
          <w:color w:val="auto"/>
          <w:sz w:val="24"/>
          <w:szCs w:val="20"/>
          <w:highlight w:val="none"/>
        </w:rPr>
      </w:pPr>
      <w:r>
        <w:rPr>
          <w:rFonts w:hint="eastAsia" w:ascii="宋体" w:hAnsi="宋体" w:cs="宋体"/>
          <w:b/>
          <w:bCs/>
          <w:color w:val="auto"/>
          <w:sz w:val="24"/>
          <w:highlight w:val="none"/>
        </w:rPr>
        <w:br w:type="page"/>
      </w:r>
      <w:r>
        <w:rPr>
          <w:rFonts w:hint="eastAsia" w:ascii="宋体" w:hAnsi="宋体" w:cs="宋体"/>
          <w:b/>
          <w:bCs/>
          <w:color w:val="auto"/>
          <w:sz w:val="24"/>
          <w:highlight w:val="none"/>
        </w:rPr>
        <w:t>资格证明文件目录</w:t>
      </w:r>
    </w:p>
    <w:p w14:paraId="4A6C328D">
      <w:pPr>
        <w:snapToGri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根据招标文件规定及投标人提供的材料自行编写目录。</w:t>
      </w:r>
    </w:p>
    <w:p w14:paraId="6625E837">
      <w:pPr>
        <w:snapToGrid w:val="0"/>
        <w:spacing w:before="50" w:after="120" w:afterLines="50"/>
        <w:jc w:val="left"/>
        <w:rPr>
          <w:rFonts w:hint="eastAsia" w:ascii="宋体" w:hAnsi="宋体" w:cs="宋体"/>
          <w:color w:val="auto"/>
          <w:sz w:val="24"/>
          <w:highlight w:val="none"/>
        </w:rPr>
      </w:pPr>
    </w:p>
    <w:p w14:paraId="67B6E9D6">
      <w:pPr>
        <w:snapToGrid w:val="0"/>
        <w:spacing w:before="50" w:after="120" w:afterLines="50"/>
        <w:jc w:val="left"/>
        <w:rPr>
          <w:rFonts w:hint="eastAsia" w:ascii="宋体" w:hAnsi="宋体" w:cs="宋体"/>
          <w:color w:val="auto"/>
          <w:sz w:val="24"/>
          <w:highlight w:val="none"/>
        </w:rPr>
      </w:pPr>
    </w:p>
    <w:p w14:paraId="15227F5B">
      <w:pPr>
        <w:snapToGrid w:val="0"/>
        <w:spacing w:before="120" w:beforeLines="50" w:after="50"/>
        <w:jc w:val="left"/>
        <w:rPr>
          <w:rFonts w:hint="eastAsia" w:ascii="宋体" w:hAnsi="宋体" w:cs="宋体"/>
          <w:b/>
          <w:color w:val="auto"/>
          <w:sz w:val="24"/>
          <w:highlight w:val="none"/>
        </w:rPr>
      </w:pPr>
      <w:r>
        <w:rPr>
          <w:rFonts w:hint="eastAsia" w:ascii="宋体" w:hAnsi="宋体" w:cs="宋体"/>
          <w:b/>
          <w:color w:val="auto"/>
          <w:sz w:val="24"/>
          <w:highlight w:val="none"/>
        </w:rPr>
        <w:br w:type="page"/>
      </w:r>
      <w:r>
        <w:rPr>
          <w:rFonts w:hint="eastAsia" w:ascii="宋体" w:hAnsi="宋体" w:cs="宋体"/>
          <w:b/>
          <w:color w:val="auto"/>
          <w:sz w:val="24"/>
          <w:highlight w:val="none"/>
        </w:rPr>
        <w:t>3.</w:t>
      </w:r>
      <w:r>
        <w:rPr>
          <w:rFonts w:hint="eastAsia" w:ascii="宋体" w:hAnsi="宋体" w:cs="宋体"/>
          <w:b/>
          <w:color w:val="auto"/>
          <w:sz w:val="28"/>
          <w:szCs w:val="28"/>
          <w:highlight w:val="none"/>
        </w:rPr>
        <w:t>投标人直接控股股东信息表</w:t>
      </w:r>
    </w:p>
    <w:p w14:paraId="50D9A0A7">
      <w:pPr>
        <w:snapToGrid w:val="0"/>
        <w:spacing w:before="50" w:after="120" w:afterLines="50"/>
        <w:jc w:val="center"/>
        <w:rPr>
          <w:rFonts w:hint="eastAsia" w:ascii="宋体" w:hAnsi="宋体" w:cs="宋体"/>
          <w:b/>
          <w:color w:val="auto"/>
          <w:sz w:val="28"/>
          <w:szCs w:val="28"/>
          <w:highlight w:val="none"/>
        </w:rPr>
      </w:pPr>
    </w:p>
    <w:p w14:paraId="73346BB6">
      <w:pPr>
        <w:snapToGrid w:val="0"/>
        <w:spacing w:before="50" w:after="120" w:afterLines="50" w:line="360" w:lineRule="auto"/>
        <w:jc w:val="center"/>
        <w:rPr>
          <w:rFonts w:hint="eastAsia" w:ascii="宋体" w:hAnsi="宋体" w:cs="宋体"/>
          <w:b/>
          <w:color w:val="auto"/>
          <w:sz w:val="32"/>
          <w:szCs w:val="32"/>
          <w:highlight w:val="none"/>
        </w:rPr>
      </w:pPr>
      <w:r>
        <w:rPr>
          <w:rFonts w:hint="eastAsia" w:ascii="宋体" w:hAnsi="宋体" w:cs="宋体"/>
          <w:b/>
          <w:color w:val="auto"/>
          <w:sz w:val="32"/>
          <w:szCs w:val="32"/>
          <w:highlight w:val="none"/>
        </w:rPr>
        <w:t>投标人直接控股股东信息表</w:t>
      </w:r>
    </w:p>
    <w:tbl>
      <w:tblPr>
        <w:tblStyle w:val="62"/>
        <w:tblW w:w="9476" w:type="dxa"/>
        <w:tblInd w:w="0" w:type="dxa"/>
        <w:shd w:val="clear" w:color="auto" w:fill="FBFBFB"/>
        <w:tblLayout w:type="fixed"/>
        <w:tblCellMar>
          <w:top w:w="0" w:type="dxa"/>
          <w:left w:w="0" w:type="dxa"/>
          <w:bottom w:w="0" w:type="dxa"/>
          <w:right w:w="0" w:type="dxa"/>
        </w:tblCellMar>
      </w:tblPr>
      <w:tblGrid>
        <w:gridCol w:w="828"/>
        <w:gridCol w:w="2269"/>
        <w:gridCol w:w="1239"/>
        <w:gridCol w:w="3722"/>
        <w:gridCol w:w="1418"/>
      </w:tblGrid>
      <w:tr w14:paraId="60E913E4">
        <w:tblPrEx>
          <w:shd w:val="clear" w:color="auto" w:fill="FBFBFB"/>
          <w:tblCellMar>
            <w:top w:w="0" w:type="dxa"/>
            <w:left w:w="0" w:type="dxa"/>
            <w:bottom w:w="0" w:type="dxa"/>
            <w:right w:w="0" w:type="dxa"/>
          </w:tblCellMar>
        </w:tblPrEx>
        <w:trPr>
          <w:tblHeader/>
        </w:trPr>
        <w:tc>
          <w:tcPr>
            <w:tcW w:w="828"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14:paraId="44F30F31">
            <w:pPr>
              <w:spacing w:line="360" w:lineRule="auto"/>
              <w:jc w:val="center"/>
              <w:rPr>
                <w:rFonts w:hint="eastAsia" w:ascii="宋体" w:hAnsi="宋体" w:cs="宋体"/>
                <w:b/>
                <w:bCs/>
                <w:color w:val="auto"/>
                <w:kern w:val="0"/>
                <w:sz w:val="24"/>
                <w:highlight w:val="none"/>
              </w:rPr>
            </w:pPr>
            <w:r>
              <w:rPr>
                <w:rFonts w:hint="eastAsia" w:ascii="宋体" w:hAnsi="宋体" w:cs="宋体"/>
                <w:b/>
                <w:bCs/>
                <w:color w:val="auto"/>
                <w:kern w:val="0"/>
                <w:sz w:val="24"/>
                <w:highlight w:val="none"/>
              </w:rPr>
              <w:t>序号</w:t>
            </w:r>
          </w:p>
        </w:tc>
        <w:tc>
          <w:tcPr>
            <w:tcW w:w="2269"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14:paraId="4047E9C4">
            <w:pPr>
              <w:spacing w:line="360" w:lineRule="auto"/>
              <w:jc w:val="center"/>
              <w:rPr>
                <w:rFonts w:hint="eastAsia" w:ascii="宋体" w:hAnsi="宋体" w:cs="宋体"/>
                <w:b/>
                <w:bCs/>
                <w:color w:val="auto"/>
                <w:kern w:val="0"/>
                <w:sz w:val="24"/>
                <w:highlight w:val="none"/>
              </w:rPr>
            </w:pPr>
            <w:r>
              <w:rPr>
                <w:rFonts w:hint="eastAsia" w:ascii="宋体" w:hAnsi="宋体" w:cs="宋体"/>
                <w:b/>
                <w:bCs/>
                <w:color w:val="auto"/>
                <w:kern w:val="0"/>
                <w:sz w:val="24"/>
                <w:highlight w:val="none"/>
              </w:rPr>
              <w:t>直接控股股东名称</w:t>
            </w:r>
          </w:p>
        </w:tc>
        <w:tc>
          <w:tcPr>
            <w:tcW w:w="1239"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14:paraId="69AD04A2">
            <w:pPr>
              <w:spacing w:line="360" w:lineRule="auto"/>
              <w:jc w:val="center"/>
              <w:rPr>
                <w:rFonts w:hint="eastAsia" w:ascii="宋体" w:hAnsi="宋体" w:cs="宋体"/>
                <w:b/>
                <w:bCs/>
                <w:color w:val="auto"/>
                <w:kern w:val="0"/>
                <w:sz w:val="24"/>
                <w:highlight w:val="none"/>
              </w:rPr>
            </w:pPr>
            <w:r>
              <w:rPr>
                <w:rFonts w:hint="eastAsia" w:ascii="宋体" w:hAnsi="宋体" w:cs="宋体"/>
                <w:b/>
                <w:bCs/>
                <w:color w:val="auto"/>
                <w:kern w:val="0"/>
                <w:sz w:val="24"/>
                <w:highlight w:val="none"/>
              </w:rPr>
              <w:t>出资比例(%)</w:t>
            </w:r>
          </w:p>
        </w:tc>
        <w:tc>
          <w:tcPr>
            <w:tcW w:w="3722"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14:paraId="31F2E9EA">
            <w:pPr>
              <w:spacing w:line="360" w:lineRule="auto"/>
              <w:jc w:val="center"/>
              <w:rPr>
                <w:rFonts w:hint="eastAsia" w:ascii="宋体" w:hAnsi="宋体" w:cs="宋体"/>
                <w:b/>
                <w:bCs/>
                <w:color w:val="auto"/>
                <w:kern w:val="0"/>
                <w:sz w:val="24"/>
                <w:highlight w:val="none"/>
              </w:rPr>
            </w:pPr>
            <w:r>
              <w:rPr>
                <w:rFonts w:hint="eastAsia" w:ascii="宋体" w:hAnsi="宋体" w:cs="宋体"/>
                <w:b/>
                <w:bCs/>
                <w:color w:val="auto"/>
                <w:kern w:val="0"/>
                <w:sz w:val="24"/>
                <w:highlight w:val="none"/>
              </w:rPr>
              <w:t>身份证号码或者统一社会信用代码</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14:paraId="64B56763">
            <w:pPr>
              <w:spacing w:line="360" w:lineRule="auto"/>
              <w:jc w:val="center"/>
              <w:rPr>
                <w:rFonts w:hint="eastAsia" w:ascii="宋体" w:hAnsi="宋体" w:cs="宋体"/>
                <w:b/>
                <w:bCs/>
                <w:color w:val="auto"/>
                <w:kern w:val="0"/>
                <w:sz w:val="24"/>
                <w:highlight w:val="none"/>
              </w:rPr>
            </w:pPr>
            <w:r>
              <w:rPr>
                <w:rFonts w:hint="eastAsia" w:ascii="宋体" w:hAnsi="宋体" w:cs="宋体"/>
                <w:b/>
                <w:bCs/>
                <w:color w:val="auto"/>
                <w:kern w:val="0"/>
                <w:sz w:val="24"/>
                <w:highlight w:val="none"/>
              </w:rPr>
              <w:t>备注</w:t>
            </w:r>
          </w:p>
        </w:tc>
      </w:tr>
      <w:tr w14:paraId="5E0539CB">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14:paraId="40D16DC7">
            <w:pPr>
              <w:spacing w:line="360" w:lineRule="auto"/>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1</w:t>
            </w:r>
          </w:p>
        </w:tc>
        <w:tc>
          <w:tcPr>
            <w:tcW w:w="2269"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14:paraId="0276020F">
            <w:pPr>
              <w:spacing w:line="360" w:lineRule="auto"/>
              <w:jc w:val="center"/>
              <w:rPr>
                <w:rFonts w:hint="eastAsia" w:ascii="宋体" w:hAnsi="宋体" w:cs="宋体"/>
                <w:color w:val="auto"/>
                <w:kern w:val="0"/>
                <w:sz w:val="24"/>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14:paraId="4A3727BC">
            <w:pPr>
              <w:spacing w:line="360" w:lineRule="auto"/>
              <w:jc w:val="center"/>
              <w:rPr>
                <w:rFonts w:hint="eastAsia" w:ascii="宋体" w:hAnsi="宋体" w:cs="宋体"/>
                <w:color w:val="auto"/>
                <w:kern w:val="0"/>
                <w:sz w:val="24"/>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14:paraId="61933C29">
            <w:pPr>
              <w:spacing w:line="360" w:lineRule="auto"/>
              <w:jc w:val="center"/>
              <w:rPr>
                <w:rFonts w:hint="eastAsia" w:ascii="宋体" w:hAnsi="宋体" w:cs="宋体"/>
                <w:color w:val="auto"/>
                <w:kern w:val="0"/>
                <w:sz w:val="24"/>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14:paraId="2AE8D7A9">
            <w:pPr>
              <w:spacing w:line="360" w:lineRule="auto"/>
              <w:jc w:val="center"/>
              <w:rPr>
                <w:rFonts w:hint="eastAsia" w:ascii="宋体" w:hAnsi="宋体" w:cs="宋体"/>
                <w:color w:val="auto"/>
                <w:kern w:val="0"/>
                <w:sz w:val="24"/>
                <w:highlight w:val="none"/>
              </w:rPr>
            </w:pPr>
          </w:p>
        </w:tc>
      </w:tr>
      <w:tr w14:paraId="2DF7213B">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14:paraId="2B8E0561">
            <w:pPr>
              <w:spacing w:line="360" w:lineRule="auto"/>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2</w:t>
            </w:r>
          </w:p>
        </w:tc>
        <w:tc>
          <w:tcPr>
            <w:tcW w:w="2269"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14:paraId="0C5B27A1">
            <w:pPr>
              <w:spacing w:line="360" w:lineRule="auto"/>
              <w:jc w:val="center"/>
              <w:rPr>
                <w:rFonts w:hint="eastAsia" w:ascii="宋体" w:hAnsi="宋体" w:cs="宋体"/>
                <w:color w:val="auto"/>
                <w:kern w:val="0"/>
                <w:sz w:val="24"/>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14:paraId="4653AD48">
            <w:pPr>
              <w:spacing w:line="360" w:lineRule="auto"/>
              <w:jc w:val="center"/>
              <w:rPr>
                <w:rFonts w:hint="eastAsia" w:ascii="宋体" w:hAnsi="宋体" w:cs="宋体"/>
                <w:color w:val="auto"/>
                <w:kern w:val="0"/>
                <w:sz w:val="24"/>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14:paraId="756060C7">
            <w:pPr>
              <w:spacing w:line="360" w:lineRule="auto"/>
              <w:jc w:val="center"/>
              <w:rPr>
                <w:rFonts w:hint="eastAsia" w:ascii="宋体" w:hAnsi="宋体" w:cs="宋体"/>
                <w:color w:val="auto"/>
                <w:kern w:val="0"/>
                <w:sz w:val="24"/>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14:paraId="44436DA1">
            <w:pPr>
              <w:spacing w:line="360" w:lineRule="auto"/>
              <w:jc w:val="center"/>
              <w:rPr>
                <w:rFonts w:hint="eastAsia" w:ascii="宋体" w:hAnsi="宋体" w:cs="宋体"/>
                <w:color w:val="auto"/>
                <w:kern w:val="0"/>
                <w:sz w:val="24"/>
                <w:highlight w:val="none"/>
              </w:rPr>
            </w:pPr>
          </w:p>
        </w:tc>
      </w:tr>
      <w:tr w14:paraId="09D80F49">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14:paraId="0BF02B3D">
            <w:pPr>
              <w:spacing w:line="360" w:lineRule="auto"/>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3</w:t>
            </w:r>
          </w:p>
        </w:tc>
        <w:tc>
          <w:tcPr>
            <w:tcW w:w="2269"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14:paraId="4D652060">
            <w:pPr>
              <w:spacing w:line="360" w:lineRule="auto"/>
              <w:jc w:val="center"/>
              <w:rPr>
                <w:rFonts w:hint="eastAsia" w:ascii="宋体" w:hAnsi="宋体" w:cs="宋体"/>
                <w:color w:val="auto"/>
                <w:kern w:val="0"/>
                <w:sz w:val="24"/>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14:paraId="0F664580">
            <w:pPr>
              <w:spacing w:line="360" w:lineRule="auto"/>
              <w:jc w:val="center"/>
              <w:rPr>
                <w:rFonts w:hint="eastAsia" w:ascii="宋体" w:hAnsi="宋体" w:cs="宋体"/>
                <w:color w:val="auto"/>
                <w:kern w:val="0"/>
                <w:sz w:val="24"/>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14:paraId="5EA868C5">
            <w:pPr>
              <w:spacing w:line="360" w:lineRule="auto"/>
              <w:jc w:val="center"/>
              <w:rPr>
                <w:rFonts w:hint="eastAsia" w:ascii="宋体" w:hAnsi="宋体" w:cs="宋体"/>
                <w:color w:val="auto"/>
                <w:kern w:val="0"/>
                <w:sz w:val="24"/>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14:paraId="726DD811">
            <w:pPr>
              <w:spacing w:line="360" w:lineRule="auto"/>
              <w:jc w:val="center"/>
              <w:rPr>
                <w:rFonts w:hint="eastAsia" w:ascii="宋体" w:hAnsi="宋体" w:cs="宋体"/>
                <w:color w:val="auto"/>
                <w:kern w:val="0"/>
                <w:sz w:val="24"/>
                <w:highlight w:val="none"/>
              </w:rPr>
            </w:pPr>
          </w:p>
        </w:tc>
      </w:tr>
      <w:tr w14:paraId="0A12FF7B">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14:paraId="7AE56669">
            <w:pPr>
              <w:spacing w:line="360" w:lineRule="auto"/>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w:t>
            </w:r>
          </w:p>
        </w:tc>
        <w:tc>
          <w:tcPr>
            <w:tcW w:w="2269"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14:paraId="6077323A">
            <w:pPr>
              <w:spacing w:line="360" w:lineRule="auto"/>
              <w:jc w:val="center"/>
              <w:rPr>
                <w:rFonts w:hint="eastAsia" w:ascii="宋体" w:hAnsi="宋体" w:cs="宋体"/>
                <w:color w:val="auto"/>
                <w:kern w:val="0"/>
                <w:sz w:val="24"/>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14:paraId="59206350">
            <w:pPr>
              <w:spacing w:line="360" w:lineRule="auto"/>
              <w:jc w:val="center"/>
              <w:rPr>
                <w:rFonts w:hint="eastAsia" w:ascii="宋体" w:hAnsi="宋体" w:cs="宋体"/>
                <w:color w:val="auto"/>
                <w:kern w:val="0"/>
                <w:sz w:val="24"/>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14:paraId="3A27433D">
            <w:pPr>
              <w:spacing w:line="360" w:lineRule="auto"/>
              <w:jc w:val="center"/>
              <w:rPr>
                <w:rFonts w:hint="eastAsia" w:ascii="宋体" w:hAnsi="宋体" w:cs="宋体"/>
                <w:color w:val="auto"/>
                <w:kern w:val="0"/>
                <w:sz w:val="24"/>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14:paraId="214FE13E">
            <w:pPr>
              <w:spacing w:line="360" w:lineRule="auto"/>
              <w:jc w:val="center"/>
              <w:rPr>
                <w:rFonts w:hint="eastAsia" w:ascii="宋体" w:hAnsi="宋体" w:cs="宋体"/>
                <w:color w:val="auto"/>
                <w:kern w:val="0"/>
                <w:sz w:val="24"/>
                <w:highlight w:val="none"/>
              </w:rPr>
            </w:pPr>
          </w:p>
        </w:tc>
      </w:tr>
    </w:tbl>
    <w:p w14:paraId="6C7820C2">
      <w:pPr>
        <w:snapToGrid w:val="0"/>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注：</w:t>
      </w:r>
    </w:p>
    <w:p w14:paraId="08ADB8E1">
      <w:pPr>
        <w:snapToGrid w:val="0"/>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700B897A">
      <w:pPr>
        <w:snapToGrid w:val="0"/>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2.本表所指的控股关系仅限于直接控股关系，不包括间接的控股关系。公司实际控制人与公司之间的关系不属于本表所指的直接控股关系。</w:t>
      </w:r>
    </w:p>
    <w:p w14:paraId="7EB128E9">
      <w:pPr>
        <w:snapToGrid w:val="0"/>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3.供应商不存在直接控股股东的，则在“</w:t>
      </w:r>
      <w:r>
        <w:rPr>
          <w:rFonts w:hint="eastAsia" w:ascii="宋体" w:hAnsi="宋体" w:cs="宋体"/>
          <w:b/>
          <w:bCs/>
          <w:color w:val="auto"/>
          <w:kern w:val="0"/>
          <w:sz w:val="24"/>
          <w:highlight w:val="none"/>
        </w:rPr>
        <w:t>直接控股股东名称</w:t>
      </w:r>
      <w:r>
        <w:rPr>
          <w:rFonts w:hint="eastAsia" w:ascii="宋体" w:hAnsi="宋体" w:cs="宋体"/>
          <w:color w:val="auto"/>
          <w:sz w:val="24"/>
          <w:highlight w:val="none"/>
        </w:rPr>
        <w:t>”中填“无”。</w:t>
      </w:r>
    </w:p>
    <w:p w14:paraId="34138A55">
      <w:pPr>
        <w:snapToGrid w:val="0"/>
        <w:spacing w:line="360" w:lineRule="auto"/>
        <w:jc w:val="left"/>
        <w:rPr>
          <w:rFonts w:hint="eastAsia" w:ascii="宋体" w:hAnsi="宋体" w:cs="宋体"/>
          <w:color w:val="auto"/>
          <w:sz w:val="24"/>
          <w:highlight w:val="none"/>
        </w:rPr>
      </w:pPr>
    </w:p>
    <w:p w14:paraId="7969D9FA">
      <w:pPr>
        <w:snapToGrid w:val="0"/>
        <w:spacing w:line="360" w:lineRule="auto"/>
        <w:jc w:val="left"/>
        <w:rPr>
          <w:rFonts w:hint="eastAsia" w:ascii="宋体" w:hAnsi="宋体" w:cs="宋体"/>
          <w:color w:val="auto"/>
          <w:sz w:val="24"/>
          <w:highlight w:val="none"/>
        </w:rPr>
      </w:pPr>
    </w:p>
    <w:p w14:paraId="28B8D88B">
      <w:pPr>
        <w:snapToGrid w:val="0"/>
        <w:spacing w:line="360" w:lineRule="auto"/>
        <w:jc w:val="left"/>
        <w:rPr>
          <w:rFonts w:hint="eastAsia" w:ascii="宋体" w:hAnsi="宋体" w:cs="宋体"/>
          <w:color w:val="auto"/>
          <w:sz w:val="24"/>
          <w:highlight w:val="none"/>
        </w:rPr>
      </w:pPr>
    </w:p>
    <w:p w14:paraId="0455C568">
      <w:pPr>
        <w:snapToGrid w:val="0"/>
        <w:spacing w:line="360" w:lineRule="auto"/>
        <w:ind w:left="-2" w:leftChars="-1" w:right="-817" w:rightChars="-389"/>
        <w:rPr>
          <w:rFonts w:hint="eastAsia" w:ascii="宋体" w:hAnsi="宋体" w:cs="宋体"/>
          <w:color w:val="auto"/>
          <w:sz w:val="24"/>
          <w:highlight w:val="none"/>
        </w:rPr>
      </w:pPr>
      <w:r>
        <w:rPr>
          <w:rFonts w:hint="eastAsia" w:ascii="宋体" w:hAnsi="宋体" w:cs="宋体"/>
          <w:color w:val="auto"/>
          <w:sz w:val="24"/>
          <w:highlight w:val="none"/>
        </w:rPr>
        <w:t xml:space="preserve">             法定代表人或者委托代理人（签字或者电子签名）：</w:t>
      </w:r>
    </w:p>
    <w:p w14:paraId="490E77A9">
      <w:pPr>
        <w:snapToGrid w:val="0"/>
        <w:spacing w:line="360" w:lineRule="auto"/>
        <w:ind w:left="-3" w:leftChars="-15" w:right="-817" w:rightChars="-389" w:hanging="28" w:hangingChars="12"/>
        <w:rPr>
          <w:rFonts w:hint="eastAsia" w:ascii="宋体" w:hAnsi="宋体" w:cs="宋体"/>
          <w:color w:val="auto"/>
          <w:sz w:val="24"/>
          <w:highlight w:val="none"/>
        </w:rPr>
      </w:pPr>
      <w:r>
        <w:rPr>
          <w:rFonts w:hint="eastAsia" w:ascii="宋体" w:hAnsi="宋体" w:cs="宋体"/>
          <w:color w:val="auto"/>
          <w:sz w:val="24"/>
          <w:highlight w:val="none"/>
        </w:rPr>
        <w:t xml:space="preserve">                                    投标人名称（电子签章）：</w:t>
      </w:r>
    </w:p>
    <w:p w14:paraId="2EC78F3B">
      <w:pPr>
        <w:snapToGrid w:val="0"/>
        <w:spacing w:line="360" w:lineRule="auto"/>
        <w:jc w:val="left"/>
        <w:rPr>
          <w:rFonts w:hint="eastAsia" w:ascii="宋体" w:hAnsi="宋体" w:cs="宋体"/>
          <w:color w:val="auto"/>
          <w:szCs w:val="21"/>
          <w:highlight w:val="none"/>
        </w:rPr>
      </w:pPr>
      <w:r>
        <w:rPr>
          <w:rFonts w:hint="eastAsia" w:ascii="宋体" w:hAnsi="宋体" w:cs="宋体"/>
          <w:color w:val="auto"/>
          <w:sz w:val="24"/>
          <w:highlight w:val="none"/>
        </w:rPr>
        <w:t xml:space="preserve">                                    日期：    年   月   日</w:t>
      </w:r>
    </w:p>
    <w:p w14:paraId="035E04BE">
      <w:pPr>
        <w:snapToGrid w:val="0"/>
        <w:jc w:val="center"/>
        <w:rPr>
          <w:rFonts w:hint="eastAsia" w:ascii="宋体" w:hAnsi="宋体" w:cs="宋体"/>
          <w:b/>
          <w:color w:val="auto"/>
          <w:sz w:val="28"/>
          <w:szCs w:val="28"/>
          <w:highlight w:val="none"/>
        </w:rPr>
      </w:pPr>
    </w:p>
    <w:p w14:paraId="7164ECE7">
      <w:pPr>
        <w:snapToGrid w:val="0"/>
        <w:spacing w:line="360" w:lineRule="auto"/>
        <w:jc w:val="left"/>
        <w:rPr>
          <w:rFonts w:hint="eastAsia" w:ascii="宋体" w:hAnsi="宋体" w:cs="宋体"/>
          <w:b/>
          <w:color w:val="auto"/>
          <w:sz w:val="32"/>
          <w:szCs w:val="32"/>
          <w:highlight w:val="none"/>
        </w:rPr>
      </w:pPr>
      <w:r>
        <w:rPr>
          <w:rFonts w:hint="eastAsia" w:ascii="宋体" w:hAnsi="宋体" w:cs="宋体"/>
          <w:b/>
          <w:color w:val="auto"/>
          <w:sz w:val="32"/>
          <w:szCs w:val="32"/>
          <w:highlight w:val="none"/>
        </w:rPr>
        <w:br w:type="page"/>
      </w:r>
      <w:r>
        <w:rPr>
          <w:rFonts w:hint="eastAsia" w:ascii="宋体" w:hAnsi="宋体" w:cs="宋体"/>
          <w:b/>
          <w:color w:val="auto"/>
          <w:sz w:val="24"/>
          <w:highlight w:val="none"/>
        </w:rPr>
        <w:t>4.</w:t>
      </w:r>
      <w:r>
        <w:rPr>
          <w:rFonts w:hint="eastAsia" w:ascii="宋体" w:hAnsi="宋体" w:cs="宋体"/>
          <w:color w:val="auto"/>
          <w:highlight w:val="none"/>
        </w:rPr>
        <w:t xml:space="preserve"> </w:t>
      </w:r>
      <w:r>
        <w:rPr>
          <w:rFonts w:hint="eastAsia" w:ascii="宋体" w:hAnsi="宋体" w:cs="宋体"/>
          <w:b/>
          <w:color w:val="auto"/>
          <w:sz w:val="28"/>
          <w:szCs w:val="28"/>
          <w:highlight w:val="none"/>
        </w:rPr>
        <w:t>投标人直接管理关系信息表</w:t>
      </w:r>
    </w:p>
    <w:p w14:paraId="248E6661">
      <w:pPr>
        <w:snapToGrid w:val="0"/>
        <w:spacing w:line="360" w:lineRule="auto"/>
        <w:jc w:val="center"/>
        <w:rPr>
          <w:rFonts w:hint="eastAsia" w:ascii="宋体" w:hAnsi="宋体" w:cs="宋体"/>
          <w:color w:val="auto"/>
          <w:sz w:val="32"/>
          <w:szCs w:val="32"/>
          <w:highlight w:val="none"/>
        </w:rPr>
      </w:pPr>
      <w:r>
        <w:rPr>
          <w:rFonts w:hint="eastAsia" w:ascii="宋体" w:hAnsi="宋体" w:cs="宋体"/>
          <w:b/>
          <w:color w:val="auto"/>
          <w:sz w:val="32"/>
          <w:szCs w:val="32"/>
          <w:highlight w:val="none"/>
        </w:rPr>
        <w:t>投标人直接管理关系信息表</w:t>
      </w:r>
    </w:p>
    <w:tbl>
      <w:tblPr>
        <w:tblStyle w:val="62"/>
        <w:tblW w:w="8570" w:type="dxa"/>
        <w:tblInd w:w="0" w:type="dxa"/>
        <w:tblLayout w:type="fixed"/>
        <w:tblCellMar>
          <w:top w:w="0" w:type="dxa"/>
          <w:left w:w="0" w:type="dxa"/>
          <w:bottom w:w="0" w:type="dxa"/>
          <w:right w:w="0" w:type="dxa"/>
        </w:tblCellMar>
      </w:tblPr>
      <w:tblGrid>
        <w:gridCol w:w="1005"/>
        <w:gridCol w:w="2659"/>
        <w:gridCol w:w="3306"/>
        <w:gridCol w:w="1600"/>
      </w:tblGrid>
      <w:tr w14:paraId="2DED05C1">
        <w:tblPrEx>
          <w:tblCellMar>
            <w:top w:w="0" w:type="dxa"/>
            <w:left w:w="0" w:type="dxa"/>
            <w:bottom w:w="0" w:type="dxa"/>
            <w:right w:w="0" w:type="dxa"/>
          </w:tblCellMar>
        </w:tblPrEx>
        <w:trPr>
          <w:tblHeader/>
        </w:trPr>
        <w:tc>
          <w:tcPr>
            <w:tcW w:w="1005"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14:paraId="711B5CAB">
            <w:pPr>
              <w:spacing w:line="360" w:lineRule="auto"/>
              <w:jc w:val="center"/>
              <w:rPr>
                <w:rFonts w:hint="eastAsia" w:ascii="宋体" w:hAnsi="宋体" w:cs="宋体"/>
                <w:b/>
                <w:bCs/>
                <w:color w:val="auto"/>
                <w:kern w:val="0"/>
                <w:sz w:val="24"/>
                <w:highlight w:val="none"/>
              </w:rPr>
            </w:pPr>
            <w:r>
              <w:rPr>
                <w:rFonts w:hint="eastAsia" w:ascii="宋体" w:hAnsi="宋体" w:cs="宋体"/>
                <w:b/>
                <w:bCs/>
                <w:color w:val="auto"/>
                <w:kern w:val="0"/>
                <w:sz w:val="24"/>
                <w:highlight w:val="none"/>
              </w:rPr>
              <w:t>序号</w:t>
            </w:r>
          </w:p>
        </w:tc>
        <w:tc>
          <w:tcPr>
            <w:tcW w:w="2659"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14:paraId="5C583F07">
            <w:pPr>
              <w:spacing w:line="360" w:lineRule="auto"/>
              <w:jc w:val="center"/>
              <w:rPr>
                <w:rFonts w:hint="eastAsia" w:ascii="宋体" w:hAnsi="宋体" w:cs="宋体"/>
                <w:b/>
                <w:bCs/>
                <w:color w:val="auto"/>
                <w:kern w:val="0"/>
                <w:sz w:val="24"/>
                <w:highlight w:val="none"/>
              </w:rPr>
            </w:pPr>
            <w:r>
              <w:rPr>
                <w:rFonts w:hint="eastAsia" w:ascii="宋体" w:hAnsi="宋体" w:cs="宋体"/>
                <w:b/>
                <w:bCs/>
                <w:color w:val="auto"/>
                <w:kern w:val="0"/>
                <w:sz w:val="24"/>
                <w:highlight w:val="none"/>
              </w:rPr>
              <w:t>直接管理关系单位名称</w:t>
            </w:r>
          </w:p>
        </w:tc>
        <w:tc>
          <w:tcPr>
            <w:tcW w:w="3306"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14:paraId="47B5D1CE">
            <w:pPr>
              <w:spacing w:line="360" w:lineRule="auto"/>
              <w:jc w:val="center"/>
              <w:rPr>
                <w:rFonts w:hint="eastAsia" w:ascii="宋体" w:hAnsi="宋体" w:cs="宋体"/>
                <w:b/>
                <w:bCs/>
                <w:color w:val="auto"/>
                <w:kern w:val="0"/>
                <w:sz w:val="24"/>
                <w:highlight w:val="none"/>
              </w:rPr>
            </w:pPr>
            <w:r>
              <w:rPr>
                <w:rFonts w:hint="eastAsia" w:ascii="宋体" w:hAnsi="宋体" w:cs="宋体"/>
                <w:b/>
                <w:bCs/>
                <w:color w:val="auto"/>
                <w:kern w:val="0"/>
                <w:sz w:val="24"/>
                <w:highlight w:val="none"/>
              </w:rPr>
              <w:t>统一社会信用代码</w:t>
            </w:r>
          </w:p>
        </w:tc>
        <w:tc>
          <w:tcPr>
            <w:tcW w:w="1600"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14:paraId="2BAC3C41">
            <w:pPr>
              <w:spacing w:line="360" w:lineRule="auto"/>
              <w:jc w:val="center"/>
              <w:rPr>
                <w:rFonts w:hint="eastAsia" w:ascii="宋体" w:hAnsi="宋体" w:cs="宋体"/>
                <w:b/>
                <w:bCs/>
                <w:color w:val="auto"/>
                <w:kern w:val="0"/>
                <w:sz w:val="24"/>
                <w:highlight w:val="none"/>
              </w:rPr>
            </w:pPr>
            <w:r>
              <w:rPr>
                <w:rFonts w:hint="eastAsia" w:ascii="宋体" w:hAnsi="宋体" w:cs="宋体"/>
                <w:b/>
                <w:bCs/>
                <w:color w:val="auto"/>
                <w:kern w:val="0"/>
                <w:sz w:val="24"/>
                <w:highlight w:val="none"/>
              </w:rPr>
              <w:t>备注</w:t>
            </w:r>
          </w:p>
        </w:tc>
      </w:tr>
      <w:tr w14:paraId="68B3D81E">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14:paraId="31FB7A3D">
            <w:pPr>
              <w:spacing w:line="360" w:lineRule="auto"/>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1</w:t>
            </w:r>
          </w:p>
        </w:tc>
        <w:tc>
          <w:tcPr>
            <w:tcW w:w="2659"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14:paraId="57F6A18C">
            <w:pPr>
              <w:spacing w:line="360" w:lineRule="auto"/>
              <w:jc w:val="center"/>
              <w:rPr>
                <w:rFonts w:hint="eastAsia" w:ascii="宋体" w:hAnsi="宋体" w:cs="宋体"/>
                <w:color w:val="auto"/>
                <w:kern w:val="0"/>
                <w:sz w:val="24"/>
                <w:highlight w:val="none"/>
              </w:rPr>
            </w:pPr>
          </w:p>
        </w:tc>
        <w:tc>
          <w:tcPr>
            <w:tcW w:w="3306"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14:paraId="1D392B85">
            <w:pPr>
              <w:spacing w:line="360" w:lineRule="auto"/>
              <w:jc w:val="center"/>
              <w:rPr>
                <w:rFonts w:hint="eastAsia" w:ascii="宋体" w:hAnsi="宋体" w:cs="宋体"/>
                <w:color w:val="auto"/>
                <w:kern w:val="0"/>
                <w:sz w:val="24"/>
                <w:highlight w:val="none"/>
              </w:rPr>
            </w:pPr>
          </w:p>
        </w:tc>
        <w:tc>
          <w:tcPr>
            <w:tcW w:w="1600"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14:paraId="660704FC">
            <w:pPr>
              <w:spacing w:line="360" w:lineRule="auto"/>
              <w:jc w:val="center"/>
              <w:rPr>
                <w:rFonts w:hint="eastAsia" w:ascii="宋体" w:hAnsi="宋体" w:cs="宋体"/>
                <w:color w:val="auto"/>
                <w:kern w:val="0"/>
                <w:sz w:val="24"/>
                <w:highlight w:val="none"/>
              </w:rPr>
            </w:pPr>
          </w:p>
        </w:tc>
      </w:tr>
      <w:tr w14:paraId="46E7C34F">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14:paraId="75109981">
            <w:pPr>
              <w:spacing w:line="360" w:lineRule="auto"/>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2</w:t>
            </w:r>
          </w:p>
        </w:tc>
        <w:tc>
          <w:tcPr>
            <w:tcW w:w="2659"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14:paraId="594C265C">
            <w:pPr>
              <w:spacing w:line="360" w:lineRule="auto"/>
              <w:jc w:val="center"/>
              <w:rPr>
                <w:rFonts w:hint="eastAsia" w:ascii="宋体" w:hAnsi="宋体" w:cs="宋体"/>
                <w:color w:val="auto"/>
                <w:kern w:val="0"/>
                <w:sz w:val="24"/>
                <w:highlight w:val="none"/>
              </w:rPr>
            </w:pPr>
          </w:p>
        </w:tc>
        <w:tc>
          <w:tcPr>
            <w:tcW w:w="3306"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14:paraId="36BBE3F6">
            <w:pPr>
              <w:spacing w:line="360" w:lineRule="auto"/>
              <w:jc w:val="center"/>
              <w:rPr>
                <w:rFonts w:hint="eastAsia" w:ascii="宋体" w:hAnsi="宋体" w:cs="宋体"/>
                <w:color w:val="auto"/>
                <w:kern w:val="0"/>
                <w:sz w:val="24"/>
                <w:highlight w:val="none"/>
              </w:rPr>
            </w:pPr>
          </w:p>
        </w:tc>
        <w:tc>
          <w:tcPr>
            <w:tcW w:w="1600"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14:paraId="0D9D645C">
            <w:pPr>
              <w:spacing w:line="360" w:lineRule="auto"/>
              <w:jc w:val="center"/>
              <w:rPr>
                <w:rFonts w:hint="eastAsia" w:ascii="宋体" w:hAnsi="宋体" w:cs="宋体"/>
                <w:color w:val="auto"/>
                <w:kern w:val="0"/>
                <w:sz w:val="24"/>
                <w:highlight w:val="none"/>
              </w:rPr>
            </w:pPr>
          </w:p>
        </w:tc>
      </w:tr>
      <w:tr w14:paraId="4A839D56">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14:paraId="67DED543">
            <w:pPr>
              <w:spacing w:line="360" w:lineRule="auto"/>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3</w:t>
            </w:r>
          </w:p>
        </w:tc>
        <w:tc>
          <w:tcPr>
            <w:tcW w:w="2659"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14:paraId="5F9A01CD">
            <w:pPr>
              <w:spacing w:line="360" w:lineRule="auto"/>
              <w:jc w:val="center"/>
              <w:rPr>
                <w:rFonts w:hint="eastAsia" w:ascii="宋体" w:hAnsi="宋体" w:cs="宋体"/>
                <w:color w:val="auto"/>
                <w:kern w:val="0"/>
                <w:sz w:val="24"/>
                <w:highlight w:val="none"/>
              </w:rPr>
            </w:pPr>
          </w:p>
        </w:tc>
        <w:tc>
          <w:tcPr>
            <w:tcW w:w="3306"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14:paraId="66CBB447">
            <w:pPr>
              <w:spacing w:line="360" w:lineRule="auto"/>
              <w:jc w:val="center"/>
              <w:rPr>
                <w:rFonts w:hint="eastAsia" w:ascii="宋体" w:hAnsi="宋体" w:cs="宋体"/>
                <w:color w:val="auto"/>
                <w:kern w:val="0"/>
                <w:sz w:val="24"/>
                <w:highlight w:val="none"/>
              </w:rPr>
            </w:pPr>
          </w:p>
        </w:tc>
        <w:tc>
          <w:tcPr>
            <w:tcW w:w="1600"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14:paraId="1A1C237D">
            <w:pPr>
              <w:spacing w:line="360" w:lineRule="auto"/>
              <w:jc w:val="center"/>
              <w:rPr>
                <w:rFonts w:hint="eastAsia" w:ascii="宋体" w:hAnsi="宋体" w:cs="宋体"/>
                <w:color w:val="auto"/>
                <w:kern w:val="0"/>
                <w:sz w:val="24"/>
                <w:highlight w:val="none"/>
              </w:rPr>
            </w:pPr>
          </w:p>
        </w:tc>
      </w:tr>
      <w:tr w14:paraId="7527DEE6">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14:paraId="15B3E966">
            <w:pPr>
              <w:spacing w:line="360" w:lineRule="auto"/>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w:t>
            </w:r>
          </w:p>
        </w:tc>
        <w:tc>
          <w:tcPr>
            <w:tcW w:w="2659"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14:paraId="57B96964">
            <w:pPr>
              <w:spacing w:line="360" w:lineRule="auto"/>
              <w:jc w:val="center"/>
              <w:rPr>
                <w:rFonts w:hint="eastAsia" w:ascii="宋体" w:hAnsi="宋体" w:cs="宋体"/>
                <w:color w:val="auto"/>
                <w:kern w:val="0"/>
                <w:sz w:val="24"/>
                <w:highlight w:val="none"/>
              </w:rPr>
            </w:pPr>
          </w:p>
        </w:tc>
        <w:tc>
          <w:tcPr>
            <w:tcW w:w="3306"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14:paraId="67E6B83B">
            <w:pPr>
              <w:spacing w:line="360" w:lineRule="auto"/>
              <w:jc w:val="center"/>
              <w:rPr>
                <w:rFonts w:hint="eastAsia" w:ascii="宋体" w:hAnsi="宋体" w:cs="宋体"/>
                <w:color w:val="auto"/>
                <w:kern w:val="0"/>
                <w:sz w:val="24"/>
                <w:highlight w:val="none"/>
              </w:rPr>
            </w:pPr>
          </w:p>
        </w:tc>
        <w:tc>
          <w:tcPr>
            <w:tcW w:w="1600" w:type="dxa"/>
            <w:tcBorders>
              <w:top w:val="single" w:color="auto" w:sz="4" w:space="0"/>
              <w:left w:val="single" w:color="auto" w:sz="4" w:space="0"/>
              <w:bottom w:val="single" w:color="auto" w:sz="4" w:space="0"/>
              <w:right w:val="single" w:color="auto" w:sz="4" w:space="0"/>
            </w:tcBorders>
            <w:shd w:val="clear" w:color="auto" w:fill="auto"/>
            <w:tcMar>
              <w:top w:w="120" w:type="dxa"/>
              <w:left w:w="120" w:type="dxa"/>
              <w:bottom w:w="120" w:type="dxa"/>
              <w:right w:w="120" w:type="dxa"/>
            </w:tcMar>
            <w:vAlign w:val="center"/>
          </w:tcPr>
          <w:p w14:paraId="2AA3E285">
            <w:pPr>
              <w:spacing w:line="360" w:lineRule="auto"/>
              <w:jc w:val="center"/>
              <w:rPr>
                <w:rFonts w:hint="eastAsia" w:ascii="宋体" w:hAnsi="宋体" w:cs="宋体"/>
                <w:color w:val="auto"/>
                <w:kern w:val="0"/>
                <w:sz w:val="24"/>
                <w:highlight w:val="none"/>
              </w:rPr>
            </w:pPr>
          </w:p>
        </w:tc>
      </w:tr>
    </w:tbl>
    <w:p w14:paraId="092C5C3B">
      <w:pPr>
        <w:snapToGrid w:val="0"/>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注：</w:t>
      </w:r>
    </w:p>
    <w:p w14:paraId="2DC8ABA3">
      <w:pPr>
        <w:snapToGrid w:val="0"/>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1.管理关系：是指不具有出资持股关系的其他单位之间存在的管理与被管理关系，如一些上下级关系的事业单位和团体组织。</w:t>
      </w:r>
    </w:p>
    <w:p w14:paraId="304FC48A">
      <w:pPr>
        <w:snapToGrid w:val="0"/>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spacing w:val="-6"/>
          <w:sz w:val="24"/>
          <w:highlight w:val="none"/>
        </w:rPr>
        <w:t>本表所指的管理关系仅限于直接管理关系，不包括间接的管理关系。</w:t>
      </w:r>
    </w:p>
    <w:p w14:paraId="51CD3080">
      <w:pPr>
        <w:snapToGrid w:val="0"/>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3.供应商不存在直接管理关系的，则在“</w:t>
      </w:r>
      <w:r>
        <w:rPr>
          <w:rFonts w:hint="eastAsia" w:ascii="宋体" w:hAnsi="宋体" w:cs="宋体"/>
          <w:b/>
          <w:bCs/>
          <w:color w:val="auto"/>
          <w:kern w:val="0"/>
          <w:sz w:val="24"/>
          <w:highlight w:val="none"/>
        </w:rPr>
        <w:t>直接管理关系单位名称</w:t>
      </w:r>
      <w:r>
        <w:rPr>
          <w:rFonts w:hint="eastAsia" w:ascii="宋体" w:hAnsi="宋体" w:cs="宋体"/>
          <w:color w:val="auto"/>
          <w:sz w:val="24"/>
          <w:highlight w:val="none"/>
        </w:rPr>
        <w:t>”中填“无”。</w:t>
      </w:r>
    </w:p>
    <w:p w14:paraId="15543027">
      <w:pPr>
        <w:snapToGrid w:val="0"/>
        <w:spacing w:line="360" w:lineRule="auto"/>
        <w:jc w:val="left"/>
        <w:rPr>
          <w:rFonts w:hint="eastAsia" w:ascii="宋体" w:hAnsi="宋体" w:cs="宋体"/>
          <w:color w:val="auto"/>
          <w:sz w:val="24"/>
          <w:highlight w:val="none"/>
        </w:rPr>
      </w:pPr>
    </w:p>
    <w:p w14:paraId="501CC11D">
      <w:pPr>
        <w:snapToGrid w:val="0"/>
        <w:spacing w:line="360" w:lineRule="auto"/>
        <w:jc w:val="left"/>
        <w:rPr>
          <w:rFonts w:hint="eastAsia" w:ascii="宋体" w:hAnsi="宋体" w:cs="宋体"/>
          <w:color w:val="auto"/>
          <w:sz w:val="24"/>
          <w:highlight w:val="none"/>
        </w:rPr>
      </w:pPr>
    </w:p>
    <w:p w14:paraId="2B9EB06F">
      <w:pPr>
        <w:snapToGrid w:val="0"/>
        <w:spacing w:line="360" w:lineRule="auto"/>
        <w:jc w:val="left"/>
        <w:rPr>
          <w:rFonts w:hint="eastAsia" w:ascii="宋体" w:hAnsi="宋体" w:cs="宋体"/>
          <w:color w:val="auto"/>
          <w:sz w:val="24"/>
          <w:highlight w:val="none"/>
        </w:rPr>
      </w:pPr>
    </w:p>
    <w:p w14:paraId="24530C51">
      <w:pPr>
        <w:snapToGrid w:val="0"/>
        <w:spacing w:line="360" w:lineRule="auto"/>
        <w:jc w:val="left"/>
        <w:rPr>
          <w:rFonts w:hint="eastAsia" w:ascii="宋体" w:hAnsi="宋体" w:cs="宋体"/>
          <w:color w:val="auto"/>
          <w:sz w:val="24"/>
          <w:highlight w:val="none"/>
        </w:rPr>
      </w:pPr>
    </w:p>
    <w:p w14:paraId="4205DE78">
      <w:pPr>
        <w:snapToGrid w:val="0"/>
        <w:spacing w:line="360" w:lineRule="auto"/>
        <w:ind w:left="-2" w:leftChars="-1" w:right="-817" w:rightChars="-389"/>
        <w:rPr>
          <w:rFonts w:hint="eastAsia" w:ascii="宋体" w:hAnsi="宋体" w:cs="宋体"/>
          <w:color w:val="auto"/>
          <w:sz w:val="24"/>
          <w:highlight w:val="none"/>
        </w:rPr>
      </w:pPr>
      <w:r>
        <w:rPr>
          <w:rFonts w:hint="eastAsia" w:ascii="宋体" w:hAnsi="宋体" w:cs="宋体"/>
          <w:color w:val="auto"/>
          <w:sz w:val="24"/>
          <w:highlight w:val="none"/>
        </w:rPr>
        <w:t xml:space="preserve">            法定代表人或者委托代理人（签字或者电子签名）：</w:t>
      </w:r>
    </w:p>
    <w:p w14:paraId="1460F578">
      <w:pPr>
        <w:snapToGrid w:val="0"/>
        <w:spacing w:line="360" w:lineRule="auto"/>
        <w:ind w:left="-3" w:leftChars="-15" w:right="-817" w:rightChars="-389" w:hanging="28" w:hangingChars="12"/>
        <w:rPr>
          <w:rFonts w:hint="eastAsia" w:ascii="宋体" w:hAnsi="宋体" w:cs="宋体"/>
          <w:color w:val="auto"/>
          <w:sz w:val="24"/>
          <w:highlight w:val="none"/>
        </w:rPr>
      </w:pPr>
      <w:r>
        <w:rPr>
          <w:rFonts w:hint="eastAsia" w:ascii="宋体" w:hAnsi="宋体" w:cs="宋体"/>
          <w:color w:val="auto"/>
          <w:sz w:val="24"/>
          <w:highlight w:val="none"/>
        </w:rPr>
        <w:t xml:space="preserve">                                  投标人名称（电子签章）：</w:t>
      </w:r>
    </w:p>
    <w:p w14:paraId="49EA3B6D">
      <w:pPr>
        <w:snapToGrid w:val="0"/>
        <w:spacing w:line="360" w:lineRule="auto"/>
        <w:ind w:right="480" w:firstLine="240" w:firstLineChars="100"/>
        <w:jc w:val="left"/>
        <w:rPr>
          <w:rFonts w:hint="eastAsia" w:ascii="宋体" w:hAnsi="宋体" w:cs="宋体"/>
          <w:color w:val="auto"/>
          <w:szCs w:val="21"/>
          <w:highlight w:val="none"/>
        </w:rPr>
      </w:pPr>
      <w:r>
        <w:rPr>
          <w:rFonts w:hint="eastAsia" w:ascii="宋体" w:hAnsi="宋体" w:cs="宋体"/>
          <w:color w:val="auto"/>
          <w:sz w:val="24"/>
          <w:highlight w:val="none"/>
        </w:rPr>
        <w:t xml:space="preserve">                                日期：    年   月   日</w:t>
      </w:r>
    </w:p>
    <w:p w14:paraId="5B266997">
      <w:pPr>
        <w:snapToGrid w:val="0"/>
        <w:spacing w:before="120" w:beforeLines="50" w:after="50"/>
        <w:jc w:val="left"/>
        <w:rPr>
          <w:rFonts w:hint="eastAsia" w:ascii="宋体" w:hAnsi="宋体" w:cs="宋体"/>
          <w:color w:val="auto"/>
          <w:sz w:val="24"/>
          <w:highlight w:val="none"/>
        </w:rPr>
      </w:pPr>
    </w:p>
    <w:p w14:paraId="39539FC6">
      <w:pPr>
        <w:snapToGrid w:val="0"/>
        <w:spacing w:before="50" w:after="120" w:afterLines="50"/>
        <w:jc w:val="left"/>
        <w:rPr>
          <w:rFonts w:hint="eastAsia" w:ascii="宋体" w:hAnsi="宋体" w:cs="宋体"/>
          <w:color w:val="auto"/>
          <w:szCs w:val="21"/>
          <w:highlight w:val="none"/>
        </w:rPr>
      </w:pPr>
    </w:p>
    <w:p w14:paraId="6C5A5719">
      <w:pPr>
        <w:snapToGrid w:val="0"/>
        <w:spacing w:before="120" w:beforeLines="50" w:after="50"/>
        <w:jc w:val="left"/>
        <w:rPr>
          <w:rFonts w:hint="eastAsia" w:ascii="宋体" w:hAnsi="宋体" w:cs="宋体"/>
          <w:b/>
          <w:color w:val="auto"/>
          <w:sz w:val="24"/>
          <w:szCs w:val="20"/>
          <w:highlight w:val="none"/>
        </w:rPr>
      </w:pPr>
    </w:p>
    <w:p w14:paraId="788EEEDB">
      <w:pPr>
        <w:snapToGrid w:val="0"/>
        <w:spacing w:before="120" w:beforeLines="50" w:after="50"/>
        <w:ind w:left="142"/>
        <w:jc w:val="left"/>
        <w:rPr>
          <w:rFonts w:hint="eastAsia" w:ascii="宋体" w:hAnsi="宋体" w:cs="宋体"/>
          <w:b/>
          <w:color w:val="auto"/>
          <w:sz w:val="24"/>
          <w:highlight w:val="none"/>
        </w:rPr>
      </w:pPr>
    </w:p>
    <w:p w14:paraId="2F5A2668">
      <w:pPr>
        <w:snapToGrid w:val="0"/>
        <w:spacing w:before="120" w:beforeLines="50" w:after="50"/>
        <w:ind w:left="142"/>
        <w:jc w:val="left"/>
        <w:rPr>
          <w:rFonts w:hint="eastAsia" w:ascii="宋体" w:hAnsi="宋体" w:cs="宋体"/>
          <w:b/>
          <w:color w:val="auto"/>
          <w:sz w:val="24"/>
          <w:highlight w:val="none"/>
        </w:rPr>
      </w:pPr>
    </w:p>
    <w:p w14:paraId="451991D0">
      <w:pPr>
        <w:snapToGrid w:val="0"/>
        <w:spacing w:before="120" w:beforeLines="50" w:after="50"/>
        <w:ind w:left="142"/>
        <w:jc w:val="left"/>
        <w:rPr>
          <w:rFonts w:hint="eastAsia" w:ascii="宋体" w:hAnsi="宋体" w:cs="宋体"/>
          <w:b/>
          <w:color w:val="auto"/>
          <w:sz w:val="24"/>
          <w:highlight w:val="none"/>
        </w:rPr>
      </w:pPr>
    </w:p>
    <w:p w14:paraId="09DDDEB6">
      <w:pPr>
        <w:snapToGrid w:val="0"/>
        <w:spacing w:before="120" w:beforeLines="50" w:after="50"/>
        <w:ind w:left="142"/>
        <w:jc w:val="left"/>
        <w:rPr>
          <w:rFonts w:hint="eastAsia" w:ascii="宋体" w:hAnsi="宋体" w:cs="宋体"/>
          <w:b/>
          <w:color w:val="auto"/>
          <w:sz w:val="24"/>
          <w:highlight w:val="none"/>
        </w:rPr>
      </w:pPr>
    </w:p>
    <w:p w14:paraId="02B58061">
      <w:pPr>
        <w:pStyle w:val="44"/>
        <w:ind w:firstLine="422"/>
        <w:rPr>
          <w:rFonts w:hint="eastAsia" w:hAnsi="宋体" w:cs="宋体"/>
          <w:color w:val="auto"/>
          <w:highlight w:val="none"/>
        </w:rPr>
      </w:pPr>
    </w:p>
    <w:p w14:paraId="34E7A658">
      <w:pPr>
        <w:rPr>
          <w:rFonts w:hint="eastAsia" w:ascii="宋体" w:hAnsi="宋体" w:cs="宋体"/>
          <w:b/>
          <w:color w:val="auto"/>
          <w:sz w:val="24"/>
          <w:highlight w:val="none"/>
        </w:rPr>
      </w:pPr>
      <w:r>
        <w:rPr>
          <w:rFonts w:hint="eastAsia" w:ascii="宋体" w:hAnsi="宋体" w:cs="宋体"/>
          <w:b/>
          <w:color w:val="auto"/>
          <w:sz w:val="24"/>
          <w:highlight w:val="none"/>
        </w:rPr>
        <w:br w:type="page"/>
      </w:r>
    </w:p>
    <w:p w14:paraId="343D6C68">
      <w:pPr>
        <w:snapToGrid w:val="0"/>
        <w:spacing w:before="120" w:beforeLines="50" w:after="50"/>
        <w:ind w:left="142"/>
        <w:jc w:val="left"/>
        <w:rPr>
          <w:rFonts w:hint="eastAsia" w:ascii="宋体" w:hAnsi="宋体" w:cs="宋体"/>
          <w:b/>
          <w:color w:val="auto"/>
          <w:sz w:val="24"/>
          <w:szCs w:val="20"/>
          <w:highlight w:val="none"/>
        </w:rPr>
      </w:pPr>
      <w:r>
        <w:rPr>
          <w:rFonts w:hint="eastAsia" w:ascii="宋体" w:hAnsi="宋体" w:cs="宋体"/>
          <w:b/>
          <w:color w:val="auto"/>
          <w:sz w:val="24"/>
          <w:highlight w:val="none"/>
        </w:rPr>
        <w:t>5.投标声明</w:t>
      </w:r>
    </w:p>
    <w:p w14:paraId="003F1FF8">
      <w:pPr>
        <w:snapToGrid w:val="0"/>
        <w:spacing w:before="50" w:after="120" w:afterLines="50"/>
        <w:jc w:val="left"/>
        <w:rPr>
          <w:rFonts w:hint="eastAsia" w:ascii="宋体" w:hAnsi="宋体" w:cs="宋体"/>
          <w:color w:val="auto"/>
          <w:highlight w:val="none"/>
        </w:rPr>
      </w:pPr>
    </w:p>
    <w:p w14:paraId="7D8F5049">
      <w:pPr>
        <w:snapToGrid w:val="0"/>
        <w:spacing w:before="50" w:after="120" w:afterLines="50"/>
        <w:jc w:val="center"/>
        <w:rPr>
          <w:rFonts w:hint="eastAsia" w:ascii="宋体" w:hAnsi="宋体" w:cs="宋体"/>
          <w:b/>
          <w:color w:val="auto"/>
          <w:sz w:val="32"/>
          <w:szCs w:val="32"/>
          <w:highlight w:val="none"/>
        </w:rPr>
      </w:pPr>
      <w:r>
        <w:rPr>
          <w:rFonts w:hint="eastAsia" w:ascii="宋体" w:hAnsi="宋体" w:cs="宋体"/>
          <w:b/>
          <w:color w:val="auto"/>
          <w:sz w:val="32"/>
          <w:szCs w:val="32"/>
          <w:highlight w:val="none"/>
        </w:rPr>
        <w:t>投标声明</w:t>
      </w:r>
    </w:p>
    <w:p w14:paraId="1E0B646B">
      <w:pPr>
        <w:spacing w:line="400" w:lineRule="exact"/>
        <w:jc w:val="left"/>
        <w:rPr>
          <w:rFonts w:hint="eastAsia" w:ascii="宋体" w:hAnsi="宋体" w:cs="宋体"/>
          <w:color w:val="auto"/>
          <w:sz w:val="24"/>
          <w:highlight w:val="none"/>
        </w:rPr>
      </w:pPr>
      <w:r>
        <w:rPr>
          <w:rFonts w:hint="eastAsia" w:ascii="宋体" w:hAnsi="宋体" w:cs="宋体"/>
          <w:color w:val="auto"/>
          <w:sz w:val="24"/>
          <w:highlight w:val="none"/>
        </w:rPr>
        <w:t>（采购人名称）：</w:t>
      </w:r>
    </w:p>
    <w:p w14:paraId="6FE72518">
      <w:pPr>
        <w:spacing w:line="400" w:lineRule="exact"/>
        <w:ind w:firstLine="523" w:firstLineChars="218"/>
        <w:jc w:val="left"/>
        <w:rPr>
          <w:rFonts w:hint="eastAsia" w:ascii="宋体" w:hAnsi="宋体" w:cs="宋体"/>
          <w:color w:val="auto"/>
          <w:sz w:val="24"/>
          <w:highlight w:val="none"/>
        </w:rPr>
      </w:pPr>
      <w:r>
        <w:rPr>
          <w:rFonts w:hint="eastAsia" w:ascii="宋体" w:hAnsi="宋体" w:cs="宋体"/>
          <w:color w:val="auto"/>
          <w:sz w:val="24"/>
          <w:highlight w:val="none"/>
        </w:rPr>
        <w:t>我方参加贵单位组织</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项目（项目编号：</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）的政府采购活动。我方在此郑重声明：</w:t>
      </w:r>
    </w:p>
    <w:p w14:paraId="71B165B8">
      <w:pPr>
        <w:spacing w:line="400" w:lineRule="exact"/>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我方参加本项目的政府采购活动前三年内在经营活动中没有重大违法记录（重大违法记录是指供应商因违法经营受到刑事处罚或者责令停产停业、吊销许可证或者执照、较大数额罚款等行政处罚），未被列入失信被执行人、重大税收违法失信主体、政府采购严重违法失信行为记录名单，完全符合《中华人民共和国政府采购法》第二十二条规定的供应商资格条件，我方对此声明负全部法律责任。</w:t>
      </w:r>
    </w:p>
    <w:p w14:paraId="381C6D6C">
      <w:pPr>
        <w:spacing w:line="400" w:lineRule="exact"/>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2.我方不是为本次采购项目提供整体设计、规范编制或者项目管理、监理、检测等服务的供应商。</w:t>
      </w:r>
    </w:p>
    <w:p w14:paraId="3A452207">
      <w:pPr>
        <w:spacing w:line="400" w:lineRule="exact"/>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3. 我方承诺符合《中华人民共和国政府采购法》第二十二条规定：</w:t>
      </w:r>
    </w:p>
    <w:p w14:paraId="38AB4098">
      <w:pPr>
        <w:spacing w:line="400" w:lineRule="exact"/>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（一）具有独立承担民事责任的能力；</w:t>
      </w:r>
    </w:p>
    <w:p w14:paraId="5232E387">
      <w:pPr>
        <w:spacing w:line="400" w:lineRule="exact"/>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（二）具有良好的商业信誉和健全的财务会计制度；</w:t>
      </w:r>
    </w:p>
    <w:p w14:paraId="1BF0BADF">
      <w:pPr>
        <w:spacing w:line="400" w:lineRule="exact"/>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（三）具有履行合同所必需的设备和专业技术能力；</w:t>
      </w:r>
    </w:p>
    <w:p w14:paraId="77FDEFE4">
      <w:pPr>
        <w:spacing w:line="400" w:lineRule="exact"/>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（四）有依法缴纳税收和社会保障资金的良好记录；</w:t>
      </w:r>
    </w:p>
    <w:p w14:paraId="5E10758C">
      <w:pPr>
        <w:spacing w:line="400" w:lineRule="exact"/>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（五）参加政府采购活动前三年内，在经营活动中没有重大违法记录；</w:t>
      </w:r>
    </w:p>
    <w:p w14:paraId="1DBFDBF7">
      <w:pPr>
        <w:spacing w:line="400" w:lineRule="exact"/>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（六）法律、行政法规规定的其他条件。</w:t>
      </w:r>
    </w:p>
    <w:p w14:paraId="22C3AB78">
      <w:pPr>
        <w:spacing w:line="400" w:lineRule="exact"/>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4.以上事项如有虚假或者隐瞒，我方愿意承担一切后果，并不再寻求任何旨在减轻或者免除法律责任的辩解。</w:t>
      </w:r>
    </w:p>
    <w:p w14:paraId="7312C474">
      <w:pPr>
        <w:spacing w:line="400" w:lineRule="exact"/>
        <w:ind w:firstLine="468"/>
        <w:jc w:val="left"/>
        <w:rPr>
          <w:rFonts w:hint="eastAsia" w:ascii="宋体" w:hAnsi="宋体" w:cs="宋体"/>
          <w:color w:val="auto"/>
          <w:sz w:val="24"/>
          <w:highlight w:val="none"/>
        </w:rPr>
      </w:pPr>
      <w:r>
        <w:rPr>
          <w:rFonts w:hint="eastAsia" w:ascii="宋体" w:hAnsi="宋体" w:cs="宋体"/>
          <w:color w:val="auto"/>
          <w:sz w:val="24"/>
          <w:highlight w:val="none"/>
        </w:rPr>
        <w:t>特此承诺。</w:t>
      </w:r>
    </w:p>
    <w:p w14:paraId="233C43AF">
      <w:pPr>
        <w:spacing w:line="400" w:lineRule="exact"/>
        <w:ind w:firstLine="468"/>
        <w:jc w:val="left"/>
        <w:rPr>
          <w:rFonts w:hint="eastAsia" w:ascii="宋体" w:hAnsi="宋体" w:cs="宋体"/>
          <w:color w:val="auto"/>
          <w:sz w:val="24"/>
          <w:highlight w:val="none"/>
        </w:rPr>
      </w:pPr>
    </w:p>
    <w:p w14:paraId="5EECEB67">
      <w:pPr>
        <w:snapToGrid w:val="0"/>
        <w:spacing w:before="50" w:after="50"/>
        <w:ind w:firstLine="1063" w:firstLineChars="441"/>
        <w:rPr>
          <w:rFonts w:hint="eastAsia" w:ascii="宋体" w:hAnsi="宋体" w:cs="宋体"/>
          <w:color w:val="auto"/>
          <w:spacing w:val="20"/>
          <w:sz w:val="24"/>
          <w:highlight w:val="none"/>
          <w:u w:val="single"/>
        </w:rPr>
      </w:pPr>
      <w:r>
        <w:rPr>
          <w:rFonts w:hint="eastAsia" w:ascii="宋体" w:hAnsi="宋体" w:cs="宋体"/>
          <w:b/>
          <w:color w:val="auto"/>
          <w:sz w:val="24"/>
          <w:highlight w:val="none"/>
        </w:rPr>
        <w:t xml:space="preserve"> </w:t>
      </w:r>
      <w:r>
        <w:rPr>
          <w:rFonts w:hint="eastAsia" w:ascii="宋体" w:hAnsi="宋体" w:cs="宋体"/>
          <w:color w:val="auto"/>
          <w:sz w:val="24"/>
          <w:highlight w:val="none"/>
        </w:rPr>
        <w:t>法定代表人或者委托代理人</w:t>
      </w:r>
      <w:r>
        <w:rPr>
          <w:rFonts w:hint="eastAsia" w:ascii="宋体" w:hAnsi="宋体" w:cs="宋体"/>
          <w:color w:val="auto"/>
          <w:spacing w:val="20"/>
          <w:sz w:val="24"/>
          <w:highlight w:val="none"/>
        </w:rPr>
        <w:t>（签字或者电子签名）：</w:t>
      </w:r>
      <w:r>
        <w:rPr>
          <w:rFonts w:hint="eastAsia" w:ascii="宋体" w:hAnsi="宋体" w:cs="宋体"/>
          <w:color w:val="auto"/>
          <w:spacing w:val="20"/>
          <w:sz w:val="24"/>
          <w:highlight w:val="none"/>
          <w:u w:val="single"/>
        </w:rPr>
        <w:t xml:space="preserve">        </w:t>
      </w:r>
    </w:p>
    <w:p w14:paraId="0D279CF2">
      <w:pPr>
        <w:spacing w:line="400" w:lineRule="exact"/>
        <w:jc w:val="left"/>
        <w:rPr>
          <w:rFonts w:hint="eastAsia" w:ascii="宋体" w:hAnsi="宋体" w:cs="宋体"/>
          <w:color w:val="auto"/>
          <w:sz w:val="24"/>
          <w:highlight w:val="none"/>
        </w:rPr>
      </w:pPr>
    </w:p>
    <w:p w14:paraId="7A438F13">
      <w:pPr>
        <w:spacing w:line="400" w:lineRule="exact"/>
        <w:jc w:val="left"/>
        <w:rPr>
          <w:rFonts w:hint="eastAsia" w:ascii="宋体" w:hAnsi="宋体" w:cs="宋体"/>
          <w:color w:val="auto"/>
          <w:sz w:val="24"/>
          <w:highlight w:val="none"/>
          <w:u w:val="single"/>
        </w:rPr>
      </w:pPr>
      <w:r>
        <w:rPr>
          <w:rFonts w:hint="eastAsia" w:ascii="宋体" w:hAnsi="宋体" w:cs="宋体"/>
          <w:color w:val="auto"/>
          <w:sz w:val="24"/>
          <w:highlight w:val="none"/>
        </w:rPr>
        <w:t xml:space="preserve">                             投标人名称（电子签章）：</w:t>
      </w:r>
      <w:r>
        <w:rPr>
          <w:rFonts w:hint="eastAsia" w:ascii="宋体" w:hAnsi="宋体" w:cs="宋体"/>
          <w:color w:val="auto"/>
          <w:sz w:val="24"/>
          <w:highlight w:val="none"/>
          <w:u w:val="single"/>
        </w:rPr>
        <w:t xml:space="preserve">                 </w:t>
      </w:r>
    </w:p>
    <w:p w14:paraId="7DB339FB">
      <w:pPr>
        <w:pStyle w:val="39"/>
        <w:rPr>
          <w:rFonts w:hint="eastAsia" w:ascii="宋体" w:hAnsi="宋体" w:cs="宋体"/>
          <w:color w:val="auto"/>
          <w:highlight w:val="none"/>
        </w:rPr>
      </w:pPr>
    </w:p>
    <w:p w14:paraId="368859B3">
      <w:pPr>
        <w:spacing w:line="400" w:lineRule="exact"/>
        <w:jc w:val="left"/>
        <w:rPr>
          <w:rFonts w:hint="eastAsia" w:ascii="宋体" w:hAnsi="宋体" w:cs="宋体"/>
          <w:color w:val="auto"/>
          <w:highlight w:val="none"/>
        </w:rPr>
      </w:pPr>
      <w:r>
        <w:rPr>
          <w:rFonts w:hint="eastAsia" w:ascii="宋体" w:hAnsi="宋体" w:cs="宋体"/>
          <w:color w:val="auto"/>
          <w:sz w:val="24"/>
          <w:highlight w:val="none"/>
        </w:rPr>
        <w:t xml:space="preserve">                                                  年    月    日</w:t>
      </w:r>
    </w:p>
    <w:p w14:paraId="060338BE">
      <w:pPr>
        <w:snapToGrid w:val="0"/>
        <w:spacing w:before="120" w:beforeLines="50" w:after="50"/>
        <w:jc w:val="left"/>
        <w:rPr>
          <w:rFonts w:hint="eastAsia" w:ascii="宋体" w:hAnsi="宋体" w:cs="宋体"/>
          <w:color w:val="auto"/>
          <w:sz w:val="24"/>
          <w:highlight w:val="none"/>
        </w:rPr>
      </w:pPr>
    </w:p>
    <w:p w14:paraId="25937993">
      <w:pPr>
        <w:spacing w:line="400" w:lineRule="exact"/>
        <w:contextualSpacing/>
        <w:jc w:val="left"/>
        <w:rPr>
          <w:rFonts w:hint="eastAsia" w:ascii="宋体" w:hAnsi="宋体" w:cs="宋体"/>
          <w:color w:val="auto"/>
          <w:sz w:val="24"/>
          <w:highlight w:val="none"/>
        </w:rPr>
      </w:pPr>
    </w:p>
    <w:p w14:paraId="57B5D7E7">
      <w:pPr>
        <w:pStyle w:val="44"/>
        <w:ind w:firstLine="422"/>
        <w:rPr>
          <w:rFonts w:hint="eastAsia" w:hAnsi="宋体" w:cs="宋体"/>
          <w:color w:val="auto"/>
          <w:highlight w:val="none"/>
        </w:rPr>
      </w:pPr>
    </w:p>
    <w:p w14:paraId="6BC2F8AD">
      <w:pPr>
        <w:rPr>
          <w:rFonts w:hint="eastAsia" w:ascii="宋体" w:hAnsi="宋体" w:cs="宋体"/>
          <w:color w:val="auto"/>
          <w:highlight w:val="none"/>
        </w:rPr>
      </w:pPr>
    </w:p>
    <w:p w14:paraId="1922C253">
      <w:pPr>
        <w:spacing w:line="400" w:lineRule="exact"/>
        <w:contextualSpacing/>
        <w:jc w:val="left"/>
        <w:rPr>
          <w:rFonts w:hint="eastAsia" w:ascii="宋体" w:hAnsi="宋体" w:cs="宋体"/>
          <w:color w:val="auto"/>
          <w:sz w:val="24"/>
          <w:highlight w:val="none"/>
        </w:rPr>
      </w:pPr>
    </w:p>
    <w:p w14:paraId="3DC2FEDB">
      <w:pPr>
        <w:spacing w:line="400" w:lineRule="exact"/>
        <w:contextualSpacing/>
        <w:jc w:val="left"/>
        <w:rPr>
          <w:rFonts w:hint="eastAsia" w:ascii="宋体" w:hAnsi="宋体" w:cs="宋体"/>
          <w:color w:val="auto"/>
          <w:sz w:val="24"/>
          <w:highlight w:val="none"/>
        </w:rPr>
      </w:pPr>
    </w:p>
    <w:p w14:paraId="5DF860F1">
      <w:pPr>
        <w:rPr>
          <w:rFonts w:hint="eastAsia" w:ascii="宋体" w:hAnsi="宋体" w:cs="宋体"/>
          <w:b/>
          <w:color w:val="auto"/>
          <w:sz w:val="28"/>
          <w:szCs w:val="28"/>
          <w:highlight w:val="none"/>
        </w:rPr>
      </w:pPr>
      <w:bookmarkStart w:id="144" w:name="_Toc19686838"/>
      <w:r>
        <w:rPr>
          <w:rFonts w:hint="eastAsia" w:ascii="宋体" w:hAnsi="宋体" w:cs="宋体"/>
          <w:b/>
          <w:color w:val="auto"/>
          <w:sz w:val="28"/>
          <w:szCs w:val="28"/>
          <w:highlight w:val="none"/>
        </w:rPr>
        <w:br w:type="page"/>
      </w:r>
    </w:p>
    <w:p w14:paraId="441F63E3">
      <w:pPr>
        <w:rPr>
          <w:rFonts w:hint="eastAsia" w:ascii="宋体" w:hAnsi="宋体" w:cs="宋体"/>
          <w:b/>
          <w:color w:val="auto"/>
          <w:sz w:val="28"/>
          <w:szCs w:val="28"/>
          <w:highlight w:val="none"/>
        </w:rPr>
      </w:pPr>
      <w:r>
        <w:rPr>
          <w:rFonts w:hint="eastAsia" w:ascii="宋体" w:hAnsi="宋体" w:cs="宋体"/>
          <w:b/>
          <w:color w:val="auto"/>
          <w:sz w:val="28"/>
          <w:szCs w:val="28"/>
          <w:highlight w:val="none"/>
        </w:rPr>
        <w:t>三、商务技术文件格式</w:t>
      </w:r>
      <w:bookmarkEnd w:id="144"/>
    </w:p>
    <w:p w14:paraId="5F0E3C42">
      <w:pPr>
        <w:snapToGrid w:val="0"/>
        <w:spacing w:before="120" w:beforeLines="50" w:after="50" w:line="360" w:lineRule="auto"/>
        <w:jc w:val="left"/>
        <w:rPr>
          <w:rFonts w:hint="eastAsia" w:ascii="宋体" w:hAnsi="宋体" w:cs="宋体"/>
          <w:b/>
          <w:color w:val="auto"/>
          <w:sz w:val="24"/>
          <w:highlight w:val="none"/>
        </w:rPr>
      </w:pPr>
      <w:r>
        <w:rPr>
          <w:rFonts w:hint="eastAsia" w:ascii="宋体" w:hAnsi="宋体" w:cs="宋体"/>
          <w:b/>
          <w:color w:val="auto"/>
          <w:sz w:val="24"/>
          <w:highlight w:val="none"/>
        </w:rPr>
        <w:t xml:space="preserve">1.商务技术文件封面格式： </w:t>
      </w:r>
    </w:p>
    <w:p w14:paraId="6B69E0BE">
      <w:pPr>
        <w:snapToGrid w:val="0"/>
        <w:spacing w:before="120" w:beforeLines="50" w:after="50"/>
        <w:jc w:val="center"/>
        <w:rPr>
          <w:rFonts w:hint="eastAsia" w:ascii="宋体" w:hAnsi="宋体" w:cs="宋体"/>
          <w:color w:val="auto"/>
          <w:sz w:val="24"/>
          <w:highlight w:val="none"/>
        </w:rPr>
      </w:pPr>
      <w:r>
        <w:rPr>
          <w:rFonts w:hint="eastAsia" w:ascii="宋体" w:hAnsi="宋体" w:cs="宋体"/>
          <w:bCs/>
          <w:color w:val="auto"/>
          <w:sz w:val="48"/>
          <w:szCs w:val="48"/>
          <w:highlight w:val="none"/>
        </w:rPr>
        <w:t>电子投标文件</w:t>
      </w:r>
    </w:p>
    <w:p w14:paraId="1AA6ACB7">
      <w:pPr>
        <w:snapToGrid w:val="0"/>
        <w:spacing w:before="120" w:beforeLines="50" w:after="50"/>
        <w:rPr>
          <w:rFonts w:hint="eastAsia" w:ascii="宋体" w:hAnsi="宋体" w:cs="宋体"/>
          <w:color w:val="auto"/>
          <w:sz w:val="24"/>
          <w:szCs w:val="20"/>
          <w:highlight w:val="none"/>
        </w:rPr>
      </w:pPr>
    </w:p>
    <w:p w14:paraId="33CE2699">
      <w:pPr>
        <w:snapToGrid w:val="0"/>
        <w:spacing w:before="120" w:beforeLines="50" w:after="50"/>
        <w:jc w:val="center"/>
        <w:rPr>
          <w:rFonts w:hint="eastAsia" w:ascii="宋体" w:hAnsi="宋体" w:cs="宋体"/>
          <w:b/>
          <w:color w:val="auto"/>
          <w:sz w:val="24"/>
          <w:szCs w:val="20"/>
          <w:highlight w:val="none"/>
        </w:rPr>
      </w:pPr>
      <w:r>
        <w:rPr>
          <w:rFonts w:hint="eastAsia" w:ascii="宋体" w:hAnsi="宋体" w:cs="宋体"/>
          <w:b/>
          <w:color w:val="auto"/>
          <w:sz w:val="32"/>
          <w:szCs w:val="32"/>
          <w:highlight w:val="none"/>
        </w:rPr>
        <w:t>商务技术文件</w:t>
      </w:r>
    </w:p>
    <w:p w14:paraId="568B51AC">
      <w:pPr>
        <w:snapToGrid w:val="0"/>
        <w:spacing w:before="120" w:beforeLines="50" w:after="50"/>
        <w:rPr>
          <w:rFonts w:hint="eastAsia" w:ascii="宋体" w:hAnsi="宋体" w:cs="宋体"/>
          <w:bCs/>
          <w:color w:val="auto"/>
          <w:sz w:val="24"/>
          <w:szCs w:val="20"/>
          <w:highlight w:val="none"/>
        </w:rPr>
      </w:pPr>
    </w:p>
    <w:p w14:paraId="159866C0">
      <w:pPr>
        <w:snapToGrid w:val="0"/>
        <w:spacing w:before="120" w:beforeLines="50" w:after="50"/>
        <w:ind w:firstLine="540" w:firstLineChars="225"/>
        <w:rPr>
          <w:rFonts w:hint="eastAsia" w:ascii="宋体" w:hAnsi="宋体" w:cs="宋体"/>
          <w:bCs/>
          <w:color w:val="auto"/>
          <w:sz w:val="24"/>
          <w:highlight w:val="none"/>
        </w:rPr>
      </w:pPr>
      <w:r>
        <w:rPr>
          <w:rFonts w:hint="eastAsia" w:ascii="宋体" w:hAnsi="宋体" w:cs="宋体"/>
          <w:bCs/>
          <w:color w:val="auto"/>
          <w:sz w:val="24"/>
          <w:highlight w:val="none"/>
        </w:rPr>
        <w:t>项目名称：</w:t>
      </w:r>
    </w:p>
    <w:p w14:paraId="7AC40132">
      <w:pPr>
        <w:snapToGrid w:val="0"/>
        <w:spacing w:before="120" w:beforeLines="50" w:after="50"/>
        <w:ind w:firstLine="540" w:firstLineChars="225"/>
        <w:rPr>
          <w:rFonts w:hint="eastAsia" w:ascii="宋体" w:hAnsi="宋体" w:cs="宋体"/>
          <w:bCs/>
          <w:color w:val="auto"/>
          <w:sz w:val="24"/>
          <w:szCs w:val="20"/>
          <w:highlight w:val="none"/>
        </w:rPr>
      </w:pPr>
    </w:p>
    <w:p w14:paraId="6C416274">
      <w:pPr>
        <w:snapToGrid w:val="0"/>
        <w:spacing w:before="120" w:beforeLines="50" w:after="50"/>
        <w:ind w:firstLine="540" w:firstLineChars="225"/>
        <w:rPr>
          <w:rFonts w:hint="eastAsia" w:ascii="宋体" w:hAnsi="宋体" w:cs="宋体"/>
          <w:bCs/>
          <w:color w:val="auto"/>
          <w:sz w:val="24"/>
          <w:highlight w:val="none"/>
        </w:rPr>
      </w:pPr>
      <w:r>
        <w:rPr>
          <w:rFonts w:hint="eastAsia" w:ascii="宋体" w:hAnsi="宋体" w:cs="宋体"/>
          <w:bCs/>
          <w:color w:val="auto"/>
          <w:sz w:val="24"/>
          <w:highlight w:val="none"/>
        </w:rPr>
        <w:t>项目编号：</w:t>
      </w:r>
    </w:p>
    <w:p w14:paraId="6C3AC641">
      <w:pPr>
        <w:snapToGrid w:val="0"/>
        <w:spacing w:before="120" w:beforeLines="50" w:after="50"/>
        <w:ind w:firstLine="540" w:firstLineChars="225"/>
        <w:rPr>
          <w:rFonts w:hint="eastAsia" w:ascii="宋体" w:hAnsi="宋体" w:cs="宋体"/>
          <w:bCs/>
          <w:color w:val="auto"/>
          <w:sz w:val="24"/>
          <w:szCs w:val="20"/>
          <w:highlight w:val="none"/>
        </w:rPr>
      </w:pPr>
    </w:p>
    <w:p w14:paraId="3FEA2EC1">
      <w:pPr>
        <w:snapToGrid w:val="0"/>
        <w:spacing w:before="120" w:beforeLines="50" w:after="50"/>
        <w:ind w:firstLine="540" w:firstLineChars="225"/>
        <w:rPr>
          <w:rFonts w:hint="eastAsia" w:ascii="宋体" w:hAnsi="宋体" w:cs="宋体"/>
          <w:bCs/>
          <w:color w:val="auto"/>
          <w:sz w:val="24"/>
          <w:highlight w:val="none"/>
        </w:rPr>
      </w:pPr>
      <w:r>
        <w:rPr>
          <w:rFonts w:hint="eastAsia" w:ascii="宋体" w:hAnsi="宋体" w:cs="宋体"/>
          <w:bCs/>
          <w:color w:val="auto"/>
          <w:sz w:val="24"/>
          <w:highlight w:val="none"/>
        </w:rPr>
        <w:t>所投分标：</w:t>
      </w:r>
    </w:p>
    <w:p w14:paraId="0E107211">
      <w:pPr>
        <w:snapToGrid w:val="0"/>
        <w:spacing w:before="120" w:beforeLines="50" w:after="50"/>
        <w:ind w:firstLine="540" w:firstLineChars="225"/>
        <w:rPr>
          <w:rFonts w:hint="eastAsia" w:ascii="宋体" w:hAnsi="宋体" w:cs="宋体"/>
          <w:bCs/>
          <w:color w:val="auto"/>
          <w:sz w:val="24"/>
          <w:szCs w:val="20"/>
          <w:highlight w:val="none"/>
        </w:rPr>
      </w:pPr>
    </w:p>
    <w:p w14:paraId="2EA71EC4">
      <w:pPr>
        <w:pStyle w:val="8"/>
        <w:snapToGrid w:val="0"/>
        <w:spacing w:before="50" w:after="50"/>
        <w:ind w:firstLine="540" w:firstLineChars="225"/>
        <w:rPr>
          <w:rFonts w:hint="eastAsia" w:ascii="宋体" w:hAnsi="宋体" w:cs="宋体"/>
          <w:bCs/>
          <w:color w:val="auto"/>
          <w:sz w:val="24"/>
          <w:szCs w:val="24"/>
          <w:highlight w:val="none"/>
        </w:rPr>
      </w:pPr>
      <w:r>
        <w:rPr>
          <w:rFonts w:hint="eastAsia" w:ascii="宋体" w:hAnsi="宋体" w:cs="宋体"/>
          <w:bCs/>
          <w:color w:val="auto"/>
          <w:sz w:val="24"/>
          <w:szCs w:val="24"/>
          <w:highlight w:val="none"/>
        </w:rPr>
        <w:t>投标人名称：</w:t>
      </w:r>
    </w:p>
    <w:p w14:paraId="0314F811">
      <w:pPr>
        <w:pStyle w:val="8"/>
        <w:snapToGrid w:val="0"/>
        <w:spacing w:before="50" w:after="50"/>
        <w:ind w:firstLine="540" w:firstLineChars="225"/>
        <w:rPr>
          <w:rFonts w:hint="eastAsia" w:ascii="宋体" w:hAnsi="宋体" w:cs="宋体"/>
          <w:bCs/>
          <w:color w:val="auto"/>
          <w:sz w:val="24"/>
          <w:szCs w:val="24"/>
          <w:highlight w:val="none"/>
        </w:rPr>
      </w:pPr>
    </w:p>
    <w:p w14:paraId="3A99F571">
      <w:pPr>
        <w:pStyle w:val="8"/>
        <w:snapToGrid w:val="0"/>
        <w:spacing w:before="50" w:after="50"/>
        <w:ind w:firstLine="540" w:firstLineChars="225"/>
        <w:rPr>
          <w:rFonts w:hint="eastAsia" w:ascii="宋体" w:hAnsi="宋体" w:cs="宋体"/>
          <w:bCs/>
          <w:color w:val="auto"/>
          <w:sz w:val="24"/>
          <w:szCs w:val="24"/>
          <w:highlight w:val="none"/>
        </w:rPr>
      </w:pPr>
      <w:r>
        <w:rPr>
          <w:rFonts w:hint="eastAsia" w:ascii="宋体" w:hAnsi="宋体" w:cs="宋体"/>
          <w:bCs/>
          <w:color w:val="auto"/>
          <w:sz w:val="24"/>
          <w:szCs w:val="24"/>
          <w:highlight w:val="none"/>
        </w:rPr>
        <w:t>投标人地址：</w:t>
      </w:r>
    </w:p>
    <w:p w14:paraId="3B623BBA">
      <w:pPr>
        <w:pStyle w:val="8"/>
        <w:snapToGrid w:val="0"/>
        <w:spacing w:before="50" w:after="50"/>
        <w:ind w:firstLine="960" w:firstLineChars="400"/>
        <w:rPr>
          <w:rFonts w:hint="eastAsia" w:ascii="宋体" w:hAnsi="宋体" w:cs="宋体"/>
          <w:bCs/>
          <w:color w:val="auto"/>
          <w:sz w:val="24"/>
          <w:szCs w:val="24"/>
          <w:highlight w:val="none"/>
        </w:rPr>
      </w:pPr>
    </w:p>
    <w:p w14:paraId="2FEFD11B">
      <w:pPr>
        <w:snapToGrid w:val="0"/>
        <w:spacing w:before="120" w:beforeLines="50" w:after="50"/>
        <w:ind w:firstLine="645"/>
        <w:rPr>
          <w:rFonts w:hint="eastAsia" w:ascii="宋体" w:hAnsi="宋体" w:cs="宋体"/>
          <w:color w:val="auto"/>
          <w:sz w:val="24"/>
          <w:highlight w:val="none"/>
        </w:rPr>
      </w:pPr>
      <w:r>
        <w:rPr>
          <w:rFonts w:hint="eastAsia" w:ascii="宋体" w:hAnsi="宋体" w:cs="宋体"/>
          <w:color w:val="auto"/>
          <w:sz w:val="24"/>
          <w:highlight w:val="none"/>
        </w:rPr>
        <w:t xml:space="preserve">                        年  月  日</w:t>
      </w:r>
    </w:p>
    <w:p w14:paraId="71E84B9C">
      <w:pPr>
        <w:snapToGrid w:val="0"/>
        <w:spacing w:before="120" w:beforeLines="50" w:after="50"/>
        <w:rPr>
          <w:rFonts w:hint="eastAsia" w:ascii="宋体" w:hAnsi="宋体" w:cs="宋体"/>
          <w:color w:val="auto"/>
          <w:sz w:val="24"/>
          <w:szCs w:val="20"/>
          <w:highlight w:val="none"/>
        </w:rPr>
      </w:pPr>
    </w:p>
    <w:p w14:paraId="2DDB7011">
      <w:pPr>
        <w:snapToGrid w:val="0"/>
        <w:spacing w:line="360" w:lineRule="auto"/>
        <w:jc w:val="left"/>
        <w:rPr>
          <w:rFonts w:hint="eastAsia" w:ascii="宋体" w:hAnsi="宋体" w:cs="宋体"/>
          <w:b/>
          <w:bCs/>
          <w:color w:val="auto"/>
          <w:sz w:val="28"/>
          <w:szCs w:val="28"/>
          <w:highlight w:val="none"/>
        </w:rPr>
      </w:pPr>
      <w:r>
        <w:rPr>
          <w:rFonts w:hint="eastAsia" w:ascii="宋体" w:hAnsi="宋体" w:cs="宋体"/>
          <w:color w:val="auto"/>
          <w:sz w:val="24"/>
          <w:szCs w:val="20"/>
          <w:highlight w:val="none"/>
        </w:rPr>
        <w:br w:type="page"/>
      </w:r>
      <w:r>
        <w:rPr>
          <w:rFonts w:hint="eastAsia" w:ascii="宋体" w:hAnsi="宋体" w:cs="宋体"/>
          <w:b/>
          <w:bCs/>
          <w:color w:val="auto"/>
          <w:sz w:val="28"/>
          <w:szCs w:val="28"/>
          <w:highlight w:val="none"/>
        </w:rPr>
        <w:t>2.商务技术文件目录</w:t>
      </w:r>
    </w:p>
    <w:p w14:paraId="73CA23D1">
      <w:pPr>
        <w:snapToGrid w:val="0"/>
        <w:spacing w:before="50" w:after="120" w:afterLines="50" w:line="360" w:lineRule="auto"/>
        <w:jc w:val="left"/>
        <w:rPr>
          <w:rFonts w:hint="eastAsia" w:ascii="宋体" w:hAnsi="宋体" w:cs="宋体"/>
          <w:b/>
          <w:bCs/>
          <w:color w:val="auto"/>
          <w:sz w:val="24"/>
          <w:highlight w:val="none"/>
        </w:rPr>
      </w:pPr>
      <w:r>
        <w:rPr>
          <w:rFonts w:hint="eastAsia" w:ascii="宋体" w:hAnsi="宋体" w:cs="宋体"/>
          <w:color w:val="auto"/>
          <w:szCs w:val="21"/>
          <w:highlight w:val="none"/>
        </w:rPr>
        <w:t>根据招标文件规定及投标人提供的材料自行编写目录。</w:t>
      </w:r>
    </w:p>
    <w:p w14:paraId="39EB6D00">
      <w:pPr>
        <w:snapToGrid w:val="0"/>
        <w:spacing w:before="50" w:after="120" w:afterLines="50"/>
        <w:jc w:val="left"/>
        <w:rPr>
          <w:rFonts w:hint="eastAsia" w:ascii="宋体" w:hAnsi="宋体" w:cs="宋体"/>
          <w:color w:val="auto"/>
          <w:highlight w:val="none"/>
        </w:rPr>
      </w:pPr>
    </w:p>
    <w:p w14:paraId="1611C248">
      <w:pPr>
        <w:snapToGrid w:val="0"/>
        <w:spacing w:before="120" w:beforeLines="50" w:after="50"/>
        <w:jc w:val="left"/>
        <w:rPr>
          <w:rFonts w:hint="eastAsia" w:ascii="宋体" w:hAnsi="宋体" w:cs="宋体"/>
          <w:b/>
          <w:color w:val="auto"/>
          <w:sz w:val="24"/>
          <w:highlight w:val="none"/>
        </w:rPr>
      </w:pPr>
      <w:r>
        <w:rPr>
          <w:rFonts w:hint="eastAsia" w:ascii="宋体" w:hAnsi="宋体" w:cs="宋体"/>
          <w:b/>
          <w:color w:val="auto"/>
          <w:sz w:val="24"/>
          <w:highlight w:val="none"/>
        </w:rPr>
        <w:br w:type="page"/>
      </w:r>
      <w:r>
        <w:rPr>
          <w:rFonts w:hint="eastAsia" w:ascii="宋体" w:hAnsi="宋体" w:cs="宋体"/>
          <w:b/>
          <w:color w:val="auto"/>
          <w:sz w:val="24"/>
          <w:highlight w:val="none"/>
        </w:rPr>
        <w:t>3.投标人参加本项目无围标串标行为的承诺</w:t>
      </w:r>
    </w:p>
    <w:p w14:paraId="77C1DC3E">
      <w:pPr>
        <w:snapToGrid w:val="0"/>
        <w:spacing w:before="120" w:beforeLines="50" w:after="50"/>
        <w:jc w:val="left"/>
        <w:rPr>
          <w:rFonts w:hint="eastAsia" w:ascii="宋体" w:hAnsi="宋体" w:cs="宋体"/>
          <w:b/>
          <w:color w:val="auto"/>
          <w:sz w:val="24"/>
          <w:highlight w:val="none"/>
        </w:rPr>
      </w:pPr>
    </w:p>
    <w:p w14:paraId="79114F3D">
      <w:pPr>
        <w:snapToGrid w:val="0"/>
        <w:spacing w:before="120" w:beforeLines="50" w:after="50"/>
        <w:ind w:left="420"/>
        <w:jc w:val="center"/>
        <w:rPr>
          <w:rFonts w:hint="eastAsia" w:ascii="宋体" w:hAnsi="宋体" w:cs="宋体"/>
          <w:b/>
          <w:color w:val="auto"/>
          <w:spacing w:val="-17"/>
          <w:sz w:val="32"/>
          <w:szCs w:val="32"/>
          <w:highlight w:val="none"/>
        </w:rPr>
      </w:pPr>
      <w:r>
        <w:rPr>
          <w:rFonts w:hint="eastAsia" w:ascii="宋体" w:hAnsi="宋体" w:cs="宋体"/>
          <w:bCs/>
          <w:color w:val="auto"/>
          <w:spacing w:val="-17"/>
          <w:sz w:val="44"/>
          <w:szCs w:val="44"/>
          <w:highlight w:val="none"/>
        </w:rPr>
        <w:t>投标人参加本项目无围标串标行为的承诺函</w:t>
      </w:r>
    </w:p>
    <w:p w14:paraId="29E77F86">
      <w:pPr>
        <w:snapToGrid w:val="0"/>
        <w:spacing w:before="120" w:beforeLines="50" w:after="50"/>
        <w:rPr>
          <w:rFonts w:hint="eastAsia" w:ascii="宋体" w:hAnsi="宋体" w:cs="宋体"/>
          <w:b/>
          <w:color w:val="auto"/>
          <w:sz w:val="24"/>
          <w:highlight w:val="none"/>
        </w:rPr>
      </w:pPr>
    </w:p>
    <w:p w14:paraId="1E4F8213">
      <w:pPr>
        <w:spacing w:line="400" w:lineRule="exact"/>
        <w:contextualSpacing/>
        <w:jc w:val="left"/>
        <w:rPr>
          <w:rFonts w:hint="eastAsia" w:ascii="宋体" w:hAnsi="宋体" w:cs="宋体"/>
          <w:b/>
          <w:color w:val="auto"/>
          <w:sz w:val="24"/>
          <w:highlight w:val="none"/>
        </w:rPr>
      </w:pPr>
      <w:r>
        <w:rPr>
          <w:rFonts w:hint="eastAsia" w:ascii="宋体" w:hAnsi="宋体" w:cs="宋体"/>
          <w:b/>
          <w:color w:val="auto"/>
          <w:sz w:val="24"/>
          <w:highlight w:val="none"/>
        </w:rPr>
        <w:t>一、我方承诺无下列相互串通投标的情形：</w:t>
      </w:r>
    </w:p>
    <w:p w14:paraId="38CF2573">
      <w:pPr>
        <w:spacing w:line="400" w:lineRule="exact"/>
        <w:ind w:firstLine="470" w:firstLineChars="196"/>
        <w:contextualSpacing/>
        <w:jc w:val="left"/>
        <w:rPr>
          <w:rFonts w:hint="eastAsia" w:ascii="宋体" w:hAnsi="宋体" w:cs="宋体"/>
          <w:color w:val="auto"/>
          <w:sz w:val="24"/>
          <w:highlight w:val="none"/>
        </w:rPr>
      </w:pPr>
      <w:r>
        <w:rPr>
          <w:rFonts w:hint="eastAsia" w:ascii="宋体" w:hAnsi="宋体" w:cs="宋体"/>
          <w:color w:val="auto"/>
          <w:sz w:val="24"/>
          <w:highlight w:val="none"/>
        </w:rPr>
        <w:t xml:space="preserve">1.不同投标人的投标文件由同一单位或者个人编制； </w:t>
      </w:r>
    </w:p>
    <w:p w14:paraId="061FC5C9">
      <w:pPr>
        <w:spacing w:line="400" w:lineRule="exact"/>
        <w:ind w:firstLine="470" w:firstLineChars="196"/>
        <w:contextualSpacing/>
        <w:jc w:val="left"/>
        <w:rPr>
          <w:rFonts w:hint="eastAsia" w:ascii="宋体" w:hAnsi="宋体" w:cs="宋体"/>
          <w:color w:val="auto"/>
          <w:sz w:val="24"/>
          <w:highlight w:val="none"/>
        </w:rPr>
      </w:pPr>
      <w:r>
        <w:rPr>
          <w:rFonts w:hint="eastAsia" w:ascii="宋体" w:hAnsi="宋体" w:cs="宋体"/>
          <w:color w:val="auto"/>
          <w:sz w:val="24"/>
          <w:highlight w:val="none"/>
        </w:rPr>
        <w:t>2.不同投标人委托同一单位或者个人办理投标事宜；</w:t>
      </w:r>
    </w:p>
    <w:p w14:paraId="2063FD70">
      <w:pPr>
        <w:spacing w:line="400" w:lineRule="exact"/>
        <w:ind w:firstLine="470" w:firstLineChars="196"/>
        <w:contextualSpacing/>
        <w:jc w:val="left"/>
        <w:rPr>
          <w:rFonts w:hint="eastAsia" w:ascii="宋体" w:hAnsi="宋体" w:cs="宋体"/>
          <w:color w:val="auto"/>
          <w:sz w:val="24"/>
          <w:highlight w:val="none"/>
        </w:rPr>
      </w:pPr>
      <w:r>
        <w:rPr>
          <w:rFonts w:hint="eastAsia" w:ascii="宋体" w:hAnsi="宋体" w:cs="宋体"/>
          <w:color w:val="auto"/>
          <w:sz w:val="24"/>
          <w:highlight w:val="none"/>
        </w:rPr>
        <w:t>3.不同的投标人的投标文件载明的项目管理员为同一个人；</w:t>
      </w:r>
    </w:p>
    <w:p w14:paraId="40305DDC">
      <w:pPr>
        <w:spacing w:line="400" w:lineRule="exact"/>
        <w:ind w:firstLine="470" w:firstLineChars="196"/>
        <w:contextualSpacing/>
        <w:jc w:val="left"/>
        <w:rPr>
          <w:rFonts w:hint="eastAsia" w:ascii="宋体" w:hAnsi="宋体" w:cs="宋体"/>
          <w:color w:val="auto"/>
          <w:sz w:val="24"/>
          <w:highlight w:val="none"/>
        </w:rPr>
      </w:pPr>
      <w:r>
        <w:rPr>
          <w:rFonts w:hint="eastAsia" w:ascii="宋体" w:hAnsi="宋体" w:cs="宋体"/>
          <w:color w:val="auto"/>
          <w:sz w:val="24"/>
          <w:highlight w:val="none"/>
        </w:rPr>
        <w:t>4.不同投标人的投标文件异常一致或者投标报价呈规律性差异；</w:t>
      </w:r>
    </w:p>
    <w:p w14:paraId="18FB903A">
      <w:pPr>
        <w:spacing w:line="400" w:lineRule="exact"/>
        <w:ind w:firstLine="470" w:firstLineChars="196"/>
        <w:contextualSpacing/>
        <w:jc w:val="left"/>
        <w:rPr>
          <w:rFonts w:hint="eastAsia" w:ascii="宋体" w:hAnsi="宋体" w:cs="宋体"/>
          <w:color w:val="auto"/>
          <w:sz w:val="24"/>
          <w:highlight w:val="none"/>
        </w:rPr>
      </w:pPr>
      <w:r>
        <w:rPr>
          <w:rFonts w:hint="eastAsia" w:ascii="宋体" w:hAnsi="宋体" w:cs="宋体"/>
          <w:color w:val="auto"/>
          <w:sz w:val="24"/>
          <w:highlight w:val="none"/>
        </w:rPr>
        <w:t>5.不同投标人的投标文件相互混装；</w:t>
      </w:r>
    </w:p>
    <w:p w14:paraId="329B95D8">
      <w:pPr>
        <w:spacing w:line="400" w:lineRule="exact"/>
        <w:ind w:firstLine="470" w:firstLineChars="196"/>
        <w:contextualSpacing/>
        <w:jc w:val="left"/>
        <w:rPr>
          <w:rFonts w:hint="eastAsia" w:ascii="宋体" w:hAnsi="宋体" w:cs="宋体"/>
          <w:color w:val="auto"/>
          <w:sz w:val="24"/>
          <w:highlight w:val="none"/>
        </w:rPr>
      </w:pPr>
      <w:r>
        <w:rPr>
          <w:rFonts w:hint="eastAsia" w:ascii="宋体" w:hAnsi="宋体" w:cs="宋体"/>
          <w:color w:val="auto"/>
          <w:sz w:val="24"/>
          <w:highlight w:val="none"/>
        </w:rPr>
        <w:t>6.不同投标人的投标保证金从同一单位或者个人账户转出。</w:t>
      </w:r>
    </w:p>
    <w:p w14:paraId="4FBEDF4A">
      <w:pPr>
        <w:spacing w:line="400" w:lineRule="exact"/>
        <w:contextualSpacing/>
        <w:jc w:val="left"/>
        <w:rPr>
          <w:rFonts w:hint="eastAsia" w:ascii="宋体" w:hAnsi="宋体" w:cs="宋体"/>
          <w:color w:val="auto"/>
          <w:sz w:val="24"/>
          <w:highlight w:val="none"/>
        </w:rPr>
      </w:pPr>
      <w:r>
        <w:rPr>
          <w:rFonts w:hint="eastAsia" w:ascii="宋体" w:hAnsi="宋体" w:cs="宋体"/>
          <w:b/>
          <w:color w:val="auto"/>
          <w:sz w:val="24"/>
          <w:highlight w:val="none"/>
        </w:rPr>
        <w:t>二、我方承诺无下列恶意串通的情形：</w:t>
      </w:r>
    </w:p>
    <w:p w14:paraId="556037A9">
      <w:pPr>
        <w:spacing w:line="400" w:lineRule="exact"/>
        <w:ind w:firstLine="470" w:firstLineChars="196"/>
        <w:contextualSpacing/>
        <w:jc w:val="left"/>
        <w:rPr>
          <w:rFonts w:hint="eastAsia" w:ascii="宋体" w:hAnsi="宋体" w:cs="宋体"/>
          <w:color w:val="auto"/>
          <w:sz w:val="24"/>
          <w:highlight w:val="none"/>
        </w:rPr>
      </w:pPr>
      <w:r>
        <w:rPr>
          <w:rFonts w:hint="eastAsia" w:ascii="宋体" w:hAnsi="宋体" w:cs="宋体"/>
          <w:color w:val="auto"/>
          <w:sz w:val="24"/>
          <w:highlight w:val="none"/>
        </w:rPr>
        <w:t>1.投标人直接或者间接从采购人或者采购代理机构处获得其他投标人的相关信息并修改其投标文件或者响应文件；</w:t>
      </w:r>
    </w:p>
    <w:p w14:paraId="533CC6CC">
      <w:pPr>
        <w:spacing w:line="400" w:lineRule="exact"/>
        <w:ind w:firstLine="470" w:firstLineChars="196"/>
        <w:contextualSpacing/>
        <w:jc w:val="left"/>
        <w:rPr>
          <w:rFonts w:hint="eastAsia" w:ascii="宋体" w:hAnsi="宋体" w:cs="宋体"/>
          <w:color w:val="auto"/>
          <w:sz w:val="24"/>
          <w:highlight w:val="none"/>
        </w:rPr>
      </w:pPr>
      <w:r>
        <w:rPr>
          <w:rFonts w:hint="eastAsia" w:ascii="宋体" w:hAnsi="宋体" w:cs="宋体"/>
          <w:color w:val="auto"/>
          <w:sz w:val="24"/>
          <w:highlight w:val="none"/>
        </w:rPr>
        <w:t>2.投标人按照采购人或者采购代理机构的授意撤换、修改投标文件或者响应文件；</w:t>
      </w:r>
    </w:p>
    <w:p w14:paraId="5CAFA695">
      <w:pPr>
        <w:spacing w:line="400" w:lineRule="exact"/>
        <w:ind w:firstLine="470" w:firstLineChars="196"/>
        <w:contextualSpacing/>
        <w:jc w:val="left"/>
        <w:rPr>
          <w:rFonts w:hint="eastAsia" w:ascii="宋体" w:hAnsi="宋体" w:cs="宋体"/>
          <w:color w:val="auto"/>
          <w:sz w:val="24"/>
          <w:highlight w:val="none"/>
        </w:rPr>
      </w:pPr>
      <w:r>
        <w:rPr>
          <w:rFonts w:hint="eastAsia" w:ascii="宋体" w:hAnsi="宋体" w:cs="宋体"/>
          <w:color w:val="auto"/>
          <w:sz w:val="24"/>
          <w:highlight w:val="none"/>
        </w:rPr>
        <w:t>3.投标人之间协商报价、技术方案等投标文件或者响应文件的实质性内容；</w:t>
      </w:r>
    </w:p>
    <w:p w14:paraId="5F00006E">
      <w:pPr>
        <w:spacing w:line="400" w:lineRule="exact"/>
        <w:ind w:firstLine="470" w:firstLineChars="196"/>
        <w:contextualSpacing/>
        <w:jc w:val="left"/>
        <w:rPr>
          <w:rFonts w:hint="eastAsia" w:ascii="宋体" w:hAnsi="宋体" w:cs="宋体"/>
          <w:color w:val="auto"/>
          <w:sz w:val="24"/>
          <w:highlight w:val="none"/>
        </w:rPr>
      </w:pPr>
      <w:r>
        <w:rPr>
          <w:rFonts w:hint="eastAsia" w:ascii="宋体" w:hAnsi="宋体" w:cs="宋体"/>
          <w:color w:val="auto"/>
          <w:sz w:val="24"/>
          <w:highlight w:val="none"/>
        </w:rPr>
        <w:t>4.属于同一集团、协会、商会等组织成员的投标人按照该组织要求协同参加政府采购活动；</w:t>
      </w:r>
    </w:p>
    <w:p w14:paraId="4459EE46">
      <w:pPr>
        <w:spacing w:line="400" w:lineRule="exact"/>
        <w:ind w:firstLine="470" w:firstLineChars="196"/>
        <w:contextualSpacing/>
        <w:jc w:val="left"/>
        <w:rPr>
          <w:rFonts w:hint="eastAsia" w:ascii="宋体" w:hAnsi="宋体" w:cs="宋体"/>
          <w:color w:val="auto"/>
          <w:sz w:val="24"/>
          <w:highlight w:val="none"/>
        </w:rPr>
      </w:pPr>
      <w:r>
        <w:rPr>
          <w:rFonts w:hint="eastAsia" w:ascii="宋体" w:hAnsi="宋体" w:cs="宋体"/>
          <w:color w:val="auto"/>
          <w:sz w:val="24"/>
          <w:highlight w:val="none"/>
        </w:rPr>
        <w:t>5.投标人之间事先约定一致抬高或者压低投标报价，或者在招标项目中事先约定轮流以高价位或者低价位中标，或者事先约定由某一特定投标人中标，然后再参加投标；</w:t>
      </w:r>
    </w:p>
    <w:p w14:paraId="4B2BA6B3">
      <w:pPr>
        <w:spacing w:line="400" w:lineRule="exact"/>
        <w:ind w:firstLine="470" w:firstLineChars="196"/>
        <w:contextualSpacing/>
        <w:jc w:val="left"/>
        <w:rPr>
          <w:rFonts w:hint="eastAsia" w:ascii="宋体" w:hAnsi="宋体" w:cs="宋体"/>
          <w:color w:val="auto"/>
          <w:sz w:val="24"/>
          <w:highlight w:val="none"/>
        </w:rPr>
      </w:pPr>
      <w:r>
        <w:rPr>
          <w:rFonts w:hint="eastAsia" w:ascii="宋体" w:hAnsi="宋体" w:cs="宋体"/>
          <w:color w:val="auto"/>
          <w:sz w:val="24"/>
          <w:highlight w:val="none"/>
        </w:rPr>
        <w:t>6.投标人之间商定部分投标人放弃参加政府采购活动或者放弃中标；</w:t>
      </w:r>
    </w:p>
    <w:p w14:paraId="252767A3">
      <w:pPr>
        <w:spacing w:line="400" w:lineRule="exact"/>
        <w:ind w:firstLine="470" w:firstLineChars="196"/>
        <w:contextualSpacing/>
        <w:jc w:val="left"/>
        <w:rPr>
          <w:rFonts w:hint="eastAsia" w:ascii="宋体" w:hAnsi="宋体" w:cs="宋体"/>
          <w:color w:val="auto"/>
          <w:sz w:val="24"/>
          <w:highlight w:val="none"/>
        </w:rPr>
      </w:pPr>
      <w:r>
        <w:rPr>
          <w:rFonts w:hint="eastAsia" w:ascii="宋体" w:hAnsi="宋体" w:cs="宋体"/>
          <w:color w:val="auto"/>
          <w:sz w:val="24"/>
          <w:highlight w:val="none"/>
        </w:rPr>
        <w:t>7.投标人与采购人或者采购代理机构之间、投标人相互之间，为谋求特定投标人中标或者排斥其他投标人的其他串通行为。</w:t>
      </w:r>
    </w:p>
    <w:p w14:paraId="1E2685C3">
      <w:pPr>
        <w:spacing w:line="400" w:lineRule="exact"/>
        <w:ind w:firstLine="472" w:firstLineChars="196"/>
        <w:contextualSpacing/>
        <w:jc w:val="left"/>
        <w:rPr>
          <w:rFonts w:hint="eastAsia" w:ascii="宋体" w:hAnsi="宋体" w:cs="宋体"/>
          <w:b/>
          <w:color w:val="auto"/>
          <w:sz w:val="24"/>
          <w:highlight w:val="none"/>
        </w:rPr>
      </w:pPr>
      <w:r>
        <w:rPr>
          <w:rFonts w:hint="eastAsia" w:ascii="宋体" w:hAnsi="宋体" w:cs="宋体"/>
          <w:b/>
          <w:color w:val="auto"/>
          <w:sz w:val="24"/>
          <w:highlight w:val="none"/>
        </w:rPr>
        <w:t>以上情形一经核查属实，我方愿意承担一切后果，并不再寻求任何旨在减轻或者免除法律责任的辩解。</w:t>
      </w:r>
    </w:p>
    <w:p w14:paraId="6D910BB9">
      <w:pPr>
        <w:pStyle w:val="32"/>
        <w:rPr>
          <w:rFonts w:hint="eastAsia" w:hAnsi="宋体" w:cs="宋体"/>
          <w:color w:val="auto"/>
          <w:highlight w:val="none"/>
        </w:rPr>
      </w:pPr>
    </w:p>
    <w:p w14:paraId="14FA56FB">
      <w:pPr>
        <w:pStyle w:val="32"/>
        <w:rPr>
          <w:rFonts w:hint="eastAsia" w:hAnsi="宋体" w:cs="宋体"/>
          <w:color w:val="auto"/>
          <w:highlight w:val="none"/>
        </w:rPr>
      </w:pPr>
      <w:r>
        <w:rPr>
          <w:rFonts w:hint="eastAsia" w:hAnsi="宋体" w:cs="宋体"/>
          <w:color w:val="auto"/>
          <w:highlight w:val="none"/>
        </w:rPr>
        <w:t>投标人名称（电子签章）</w:t>
      </w:r>
    </w:p>
    <w:p w14:paraId="2D1D1100">
      <w:pPr>
        <w:pStyle w:val="32"/>
        <w:rPr>
          <w:rFonts w:hint="eastAsia" w:hAnsi="宋体" w:cs="宋体"/>
          <w:color w:val="auto"/>
          <w:highlight w:val="none"/>
        </w:rPr>
      </w:pPr>
      <w:r>
        <w:rPr>
          <w:rFonts w:hint="eastAsia" w:hAnsi="宋体" w:cs="宋体"/>
          <w:color w:val="auto"/>
          <w:highlight w:val="none"/>
        </w:rPr>
        <w:t>年月日</w:t>
      </w:r>
    </w:p>
    <w:p w14:paraId="017FFD14">
      <w:pPr>
        <w:snapToGrid w:val="0"/>
        <w:spacing w:before="120" w:beforeLines="50" w:after="50"/>
        <w:ind w:firstLine="472" w:firstLineChars="196"/>
        <w:jc w:val="left"/>
        <w:rPr>
          <w:rFonts w:hint="eastAsia" w:ascii="宋体" w:hAnsi="宋体" w:cs="宋体"/>
          <w:b/>
          <w:color w:val="auto"/>
          <w:sz w:val="24"/>
          <w:szCs w:val="20"/>
          <w:highlight w:val="none"/>
        </w:rPr>
      </w:pPr>
      <w:r>
        <w:rPr>
          <w:rFonts w:hint="eastAsia" w:ascii="宋体" w:hAnsi="宋体" w:cs="宋体"/>
          <w:b/>
          <w:color w:val="auto"/>
          <w:sz w:val="24"/>
          <w:highlight w:val="none"/>
        </w:rPr>
        <w:br w:type="page"/>
      </w:r>
      <w:r>
        <w:rPr>
          <w:rFonts w:hint="eastAsia" w:ascii="宋体" w:hAnsi="宋体" w:cs="宋体"/>
          <w:b/>
          <w:color w:val="auto"/>
          <w:sz w:val="24"/>
          <w:highlight w:val="none"/>
        </w:rPr>
        <w:t>4.法定代表人身份证明</w:t>
      </w:r>
    </w:p>
    <w:p w14:paraId="2CC25500">
      <w:pPr>
        <w:spacing w:before="240" w:beforeLines="100" w:after="120" w:afterLines="50"/>
        <w:ind w:left="540"/>
        <w:jc w:val="center"/>
        <w:rPr>
          <w:rFonts w:hint="eastAsia" w:ascii="宋体" w:hAnsi="宋体" w:cs="宋体"/>
          <w:b/>
          <w:color w:val="auto"/>
          <w:sz w:val="32"/>
          <w:szCs w:val="32"/>
          <w:highlight w:val="none"/>
        </w:rPr>
      </w:pPr>
    </w:p>
    <w:p w14:paraId="5DB73475">
      <w:pPr>
        <w:spacing w:before="240" w:beforeLines="100" w:after="120" w:afterLines="50"/>
        <w:ind w:left="540"/>
        <w:jc w:val="center"/>
        <w:rPr>
          <w:rFonts w:hint="eastAsia" w:ascii="宋体" w:hAnsi="宋体" w:cs="宋体"/>
          <w:bCs/>
          <w:color w:val="auto"/>
          <w:sz w:val="44"/>
          <w:szCs w:val="44"/>
          <w:highlight w:val="none"/>
        </w:rPr>
      </w:pPr>
      <w:r>
        <w:rPr>
          <w:rFonts w:hint="eastAsia" w:ascii="宋体" w:hAnsi="宋体" w:cs="宋体"/>
          <w:bCs/>
          <w:color w:val="auto"/>
          <w:sz w:val="44"/>
          <w:szCs w:val="44"/>
          <w:highlight w:val="none"/>
        </w:rPr>
        <w:t>法定代表人身份证明</w:t>
      </w:r>
    </w:p>
    <w:p w14:paraId="34B62A1C">
      <w:pPr>
        <w:spacing w:line="500" w:lineRule="exact"/>
        <w:ind w:left="540"/>
        <w:rPr>
          <w:rFonts w:hint="eastAsia" w:ascii="宋体" w:hAnsi="宋体" w:cs="宋体"/>
          <w:color w:val="auto"/>
          <w:sz w:val="24"/>
          <w:highlight w:val="none"/>
        </w:rPr>
      </w:pPr>
      <w:r>
        <w:rPr>
          <w:rFonts w:hint="eastAsia" w:ascii="宋体" w:hAnsi="宋体" w:cs="宋体"/>
          <w:color w:val="auto"/>
          <w:sz w:val="24"/>
          <w:highlight w:val="none"/>
        </w:rPr>
        <w:t>投 标 人：</w:t>
      </w:r>
    </w:p>
    <w:p w14:paraId="34EF2648">
      <w:pPr>
        <w:spacing w:line="500" w:lineRule="exact"/>
        <w:ind w:left="540"/>
        <w:rPr>
          <w:rFonts w:hint="eastAsia" w:ascii="宋体" w:hAnsi="宋体" w:cs="宋体"/>
          <w:color w:val="auto"/>
          <w:sz w:val="24"/>
          <w:highlight w:val="none"/>
        </w:rPr>
      </w:pPr>
      <w:r>
        <w:rPr>
          <w:rFonts w:hint="eastAsia" w:ascii="宋体" w:hAnsi="宋体" w:cs="宋体"/>
          <w:color w:val="auto"/>
          <w:sz w:val="24"/>
          <w:highlight w:val="none"/>
        </w:rPr>
        <w:t>地    址：</w:t>
      </w:r>
    </w:p>
    <w:p w14:paraId="4C14D4BD">
      <w:pPr>
        <w:spacing w:line="500" w:lineRule="exact"/>
        <w:ind w:left="540"/>
        <w:rPr>
          <w:rFonts w:hint="eastAsia" w:ascii="宋体" w:hAnsi="宋体" w:cs="宋体"/>
          <w:color w:val="auto"/>
          <w:sz w:val="24"/>
          <w:highlight w:val="none"/>
        </w:rPr>
      </w:pPr>
      <w:r>
        <w:rPr>
          <w:rFonts w:hint="eastAsia" w:ascii="宋体" w:hAnsi="宋体" w:cs="宋体"/>
          <w:color w:val="auto"/>
          <w:sz w:val="24"/>
          <w:highlight w:val="none"/>
        </w:rPr>
        <w:t>姓    名：性      别：</w:t>
      </w:r>
    </w:p>
    <w:p w14:paraId="06265AB5">
      <w:pPr>
        <w:spacing w:line="500" w:lineRule="exact"/>
        <w:ind w:left="540"/>
        <w:rPr>
          <w:rFonts w:hint="eastAsia" w:ascii="宋体" w:hAnsi="宋体" w:cs="宋体"/>
          <w:color w:val="auto"/>
          <w:sz w:val="24"/>
          <w:highlight w:val="none"/>
          <w:u w:val="single"/>
        </w:rPr>
      </w:pPr>
      <w:r>
        <w:rPr>
          <w:rFonts w:hint="eastAsia" w:ascii="宋体" w:hAnsi="宋体" w:cs="宋体"/>
          <w:color w:val="auto"/>
          <w:sz w:val="24"/>
          <w:highlight w:val="none"/>
        </w:rPr>
        <w:t>年    龄：职      务：</w:t>
      </w:r>
    </w:p>
    <w:p w14:paraId="6768F42E">
      <w:pPr>
        <w:spacing w:line="500" w:lineRule="exact"/>
        <w:ind w:left="540"/>
        <w:rPr>
          <w:rFonts w:hint="eastAsia" w:ascii="宋体" w:hAnsi="宋体" w:cs="宋体"/>
          <w:color w:val="auto"/>
          <w:sz w:val="24"/>
          <w:highlight w:val="none"/>
        </w:rPr>
      </w:pPr>
      <w:r>
        <w:rPr>
          <w:rFonts w:hint="eastAsia" w:ascii="宋体" w:hAnsi="宋体" w:cs="宋体"/>
          <w:color w:val="auto"/>
          <w:sz w:val="24"/>
          <w:highlight w:val="none"/>
        </w:rPr>
        <w:t>身份证号码：</w:t>
      </w:r>
    </w:p>
    <w:p w14:paraId="7C4C5D78">
      <w:pPr>
        <w:spacing w:line="500" w:lineRule="exact"/>
        <w:ind w:left="540"/>
        <w:rPr>
          <w:rFonts w:hint="eastAsia" w:ascii="宋体" w:hAnsi="宋体" w:cs="宋体"/>
          <w:color w:val="auto"/>
          <w:sz w:val="24"/>
          <w:highlight w:val="none"/>
        </w:rPr>
      </w:pPr>
      <w:r>
        <w:rPr>
          <w:rFonts w:hint="eastAsia" w:ascii="宋体" w:hAnsi="宋体" w:cs="宋体"/>
          <w:color w:val="auto"/>
          <w:sz w:val="24"/>
          <w:highlight w:val="none"/>
        </w:rPr>
        <w:t>系</w:t>
      </w:r>
      <w:r>
        <w:rPr>
          <w:rFonts w:hint="eastAsia" w:ascii="宋体" w:hAnsi="宋体" w:cs="宋体"/>
          <w:color w:val="auto"/>
          <w:sz w:val="24"/>
          <w:highlight w:val="none"/>
          <w:u w:val="single"/>
        </w:rPr>
        <w:t xml:space="preserve">            （投标人名称）              </w:t>
      </w:r>
      <w:r>
        <w:rPr>
          <w:rFonts w:hint="eastAsia" w:ascii="宋体" w:hAnsi="宋体" w:cs="宋体"/>
          <w:color w:val="auto"/>
          <w:sz w:val="24"/>
          <w:highlight w:val="none"/>
        </w:rPr>
        <w:t>的法定代表人。</w:t>
      </w:r>
    </w:p>
    <w:p w14:paraId="1424CC3D">
      <w:pPr>
        <w:spacing w:line="500" w:lineRule="exact"/>
        <w:ind w:left="540"/>
        <w:rPr>
          <w:rFonts w:hint="eastAsia" w:ascii="宋体" w:hAnsi="宋体" w:cs="宋体"/>
          <w:color w:val="auto"/>
          <w:sz w:val="24"/>
          <w:highlight w:val="none"/>
        </w:rPr>
      </w:pPr>
      <w:r>
        <w:rPr>
          <w:rFonts w:hint="eastAsia" w:ascii="宋体" w:hAnsi="宋体" w:cs="宋体"/>
          <w:color w:val="auto"/>
          <w:sz w:val="24"/>
          <w:highlight w:val="none"/>
        </w:rPr>
        <w:t>特此证明。</w:t>
      </w:r>
    </w:p>
    <w:p w14:paraId="0BEBBFD2">
      <w:pPr>
        <w:spacing w:line="500" w:lineRule="exact"/>
        <w:ind w:left="540"/>
        <w:rPr>
          <w:rFonts w:hint="eastAsia" w:ascii="宋体" w:hAnsi="宋体" w:cs="宋体"/>
          <w:color w:val="auto"/>
          <w:sz w:val="24"/>
          <w:highlight w:val="none"/>
        </w:rPr>
      </w:pPr>
    </w:p>
    <w:p w14:paraId="6A11AD4C">
      <w:pPr>
        <w:spacing w:line="500" w:lineRule="exact"/>
        <w:ind w:left="540"/>
        <w:rPr>
          <w:rFonts w:hint="eastAsia" w:ascii="宋体" w:hAnsi="宋体" w:cs="宋体"/>
          <w:color w:val="auto"/>
          <w:sz w:val="24"/>
          <w:highlight w:val="none"/>
        </w:rPr>
      </w:pPr>
    </w:p>
    <w:p w14:paraId="2EB87249">
      <w:pPr>
        <w:spacing w:line="500" w:lineRule="exact"/>
        <w:ind w:left="540"/>
        <w:rPr>
          <w:rFonts w:hint="eastAsia" w:ascii="宋体" w:hAnsi="宋体" w:cs="宋体"/>
          <w:color w:val="auto"/>
          <w:sz w:val="24"/>
          <w:highlight w:val="none"/>
        </w:rPr>
      </w:pPr>
      <w:r>
        <w:rPr>
          <w:rFonts w:hint="eastAsia" w:ascii="宋体" w:hAnsi="宋体" w:cs="宋体"/>
          <w:color w:val="auto"/>
          <w:sz w:val="24"/>
          <w:highlight w:val="none"/>
        </w:rPr>
        <w:t>附件：法定代表人有效身份证正反面复印件</w:t>
      </w:r>
    </w:p>
    <w:p w14:paraId="29FA8474">
      <w:pPr>
        <w:spacing w:line="500" w:lineRule="exact"/>
        <w:ind w:left="540"/>
        <w:rPr>
          <w:rFonts w:hint="eastAsia" w:ascii="宋体" w:hAnsi="宋体" w:cs="宋体"/>
          <w:color w:val="auto"/>
          <w:sz w:val="24"/>
          <w:highlight w:val="none"/>
        </w:rPr>
      </w:pPr>
    </w:p>
    <w:p w14:paraId="26F64FDC">
      <w:pPr>
        <w:spacing w:line="500" w:lineRule="exact"/>
        <w:ind w:left="540"/>
        <w:jc w:val="right"/>
        <w:rPr>
          <w:rFonts w:hint="eastAsia" w:ascii="宋体" w:hAnsi="宋体" w:cs="宋体"/>
          <w:color w:val="auto"/>
          <w:sz w:val="24"/>
          <w:highlight w:val="none"/>
        </w:rPr>
      </w:pPr>
      <w:r>
        <w:rPr>
          <w:rFonts w:hint="eastAsia" w:ascii="宋体" w:hAnsi="宋体" w:cs="宋体"/>
          <w:color w:val="auto"/>
          <w:sz w:val="24"/>
          <w:highlight w:val="none"/>
        </w:rPr>
        <w:t>投标人名称（电子签章）</w:t>
      </w:r>
    </w:p>
    <w:p w14:paraId="58DB065A">
      <w:pPr>
        <w:snapToGrid w:val="0"/>
        <w:spacing w:before="120" w:beforeLines="50" w:after="50"/>
        <w:ind w:left="540"/>
        <w:jc w:val="right"/>
        <w:rPr>
          <w:rFonts w:hint="eastAsia" w:ascii="宋体" w:hAnsi="宋体" w:cs="宋体"/>
          <w:color w:val="auto"/>
          <w:sz w:val="24"/>
          <w:highlight w:val="none"/>
        </w:rPr>
      </w:pPr>
      <w:r>
        <w:rPr>
          <w:rFonts w:hint="eastAsia" w:ascii="宋体" w:hAnsi="宋体" w:cs="宋体"/>
          <w:color w:val="auto"/>
          <w:sz w:val="24"/>
          <w:highlight w:val="none"/>
        </w:rPr>
        <w:t>年 月 日</w:t>
      </w:r>
    </w:p>
    <w:p w14:paraId="49D55EAD">
      <w:pPr>
        <w:snapToGrid w:val="0"/>
        <w:spacing w:before="120" w:beforeLines="50" w:after="50"/>
        <w:jc w:val="center"/>
        <w:rPr>
          <w:rFonts w:hint="eastAsia" w:ascii="宋体" w:hAnsi="宋体" w:cs="宋体"/>
          <w:b/>
          <w:color w:val="auto"/>
          <w:sz w:val="24"/>
          <w:highlight w:val="none"/>
        </w:rPr>
      </w:pPr>
    </w:p>
    <w:p w14:paraId="3064E398">
      <w:pPr>
        <w:snapToGrid w:val="0"/>
        <w:spacing w:before="120" w:beforeLines="50" w:after="50"/>
        <w:jc w:val="left"/>
        <w:rPr>
          <w:rFonts w:hint="eastAsia" w:ascii="宋体" w:hAnsi="宋体" w:cs="宋体"/>
          <w:b/>
          <w:color w:val="auto"/>
          <w:sz w:val="24"/>
          <w:szCs w:val="20"/>
          <w:highlight w:val="none"/>
        </w:rPr>
      </w:pPr>
    </w:p>
    <w:p w14:paraId="55B6C170">
      <w:pPr>
        <w:snapToGrid w:val="0"/>
        <w:spacing w:before="120" w:beforeLines="50" w:after="50"/>
        <w:jc w:val="left"/>
        <w:rPr>
          <w:rFonts w:hint="eastAsia" w:ascii="宋体" w:hAnsi="宋体" w:cs="宋体"/>
          <w:b/>
          <w:color w:val="auto"/>
          <w:sz w:val="24"/>
          <w:szCs w:val="20"/>
          <w:highlight w:val="none"/>
        </w:rPr>
      </w:pPr>
      <w:r>
        <w:rPr>
          <w:rFonts w:hint="eastAsia" w:ascii="宋体" w:hAnsi="宋体" w:cs="宋体"/>
          <w:b/>
          <w:color w:val="auto"/>
          <w:sz w:val="24"/>
          <w:highlight w:val="none"/>
        </w:rPr>
        <w:br w:type="page"/>
      </w:r>
      <w:r>
        <w:rPr>
          <w:rFonts w:hint="eastAsia" w:ascii="宋体" w:hAnsi="宋体" w:cs="宋体"/>
          <w:b/>
          <w:color w:val="auto"/>
          <w:sz w:val="24"/>
          <w:highlight w:val="none"/>
        </w:rPr>
        <w:t>5.授权委托书格式</w:t>
      </w:r>
    </w:p>
    <w:p w14:paraId="4FB75797">
      <w:pPr>
        <w:snapToGrid w:val="0"/>
        <w:spacing w:before="120" w:beforeLines="50" w:after="50"/>
        <w:jc w:val="center"/>
        <w:rPr>
          <w:rFonts w:hint="eastAsia" w:ascii="宋体" w:hAnsi="宋体" w:cs="宋体"/>
          <w:b/>
          <w:color w:val="auto"/>
          <w:sz w:val="44"/>
          <w:szCs w:val="44"/>
          <w:highlight w:val="none"/>
        </w:rPr>
      </w:pPr>
    </w:p>
    <w:p w14:paraId="696BACA9">
      <w:pPr>
        <w:snapToGrid w:val="0"/>
        <w:spacing w:before="120" w:beforeLines="50" w:after="50"/>
        <w:jc w:val="center"/>
        <w:rPr>
          <w:rFonts w:hint="eastAsia" w:ascii="宋体" w:hAnsi="宋体" w:cs="宋体"/>
          <w:bCs/>
          <w:color w:val="auto"/>
          <w:sz w:val="44"/>
          <w:szCs w:val="44"/>
          <w:highlight w:val="none"/>
        </w:rPr>
      </w:pPr>
      <w:r>
        <w:rPr>
          <w:rFonts w:hint="eastAsia" w:ascii="宋体" w:hAnsi="宋体" w:cs="宋体"/>
          <w:bCs/>
          <w:color w:val="auto"/>
          <w:sz w:val="44"/>
          <w:szCs w:val="44"/>
          <w:highlight w:val="none"/>
        </w:rPr>
        <w:t>授权委托书</w:t>
      </w:r>
    </w:p>
    <w:p w14:paraId="1BE62636">
      <w:pPr>
        <w:snapToGrid w:val="0"/>
        <w:spacing w:before="120" w:beforeLines="50" w:after="50"/>
        <w:jc w:val="center"/>
        <w:rPr>
          <w:rFonts w:hint="eastAsia" w:ascii="宋体" w:hAnsi="宋体" w:cs="宋体"/>
          <w:b/>
          <w:color w:val="auto"/>
          <w:sz w:val="32"/>
          <w:szCs w:val="32"/>
          <w:highlight w:val="none"/>
        </w:rPr>
      </w:pPr>
      <w:r>
        <w:rPr>
          <w:rFonts w:hint="eastAsia" w:ascii="宋体" w:hAnsi="宋体" w:cs="宋体"/>
          <w:b/>
          <w:color w:val="auto"/>
          <w:sz w:val="32"/>
          <w:szCs w:val="32"/>
          <w:highlight w:val="none"/>
        </w:rPr>
        <w:t>（非联合体投标格式）</w:t>
      </w:r>
    </w:p>
    <w:p w14:paraId="57D2647A">
      <w:pPr>
        <w:snapToGrid w:val="0"/>
        <w:spacing w:before="120" w:beforeLines="50" w:after="50"/>
        <w:jc w:val="center"/>
        <w:rPr>
          <w:rFonts w:hint="eastAsia" w:ascii="宋体" w:hAnsi="宋体" w:cs="宋体"/>
          <w:b/>
          <w:color w:val="auto"/>
          <w:sz w:val="24"/>
          <w:highlight w:val="none"/>
        </w:rPr>
      </w:pPr>
      <w:r>
        <w:rPr>
          <w:rFonts w:hint="eastAsia" w:ascii="宋体" w:hAnsi="宋体" w:cs="宋体"/>
          <w:b/>
          <w:color w:val="auto"/>
          <w:sz w:val="32"/>
          <w:szCs w:val="32"/>
          <w:highlight w:val="none"/>
        </w:rPr>
        <w:t>（如有委托时）</w:t>
      </w:r>
    </w:p>
    <w:p w14:paraId="02703A9C">
      <w:pPr>
        <w:snapToGrid w:val="0"/>
        <w:spacing w:before="120" w:beforeLines="50" w:after="50"/>
        <w:jc w:val="center"/>
        <w:rPr>
          <w:rFonts w:hint="eastAsia" w:ascii="宋体" w:hAnsi="宋体" w:cs="宋体"/>
          <w:b/>
          <w:color w:val="auto"/>
          <w:sz w:val="24"/>
          <w:highlight w:val="none"/>
        </w:rPr>
      </w:pPr>
    </w:p>
    <w:p w14:paraId="7E069F86">
      <w:pPr>
        <w:spacing w:line="360" w:lineRule="auto"/>
        <w:rPr>
          <w:rFonts w:hint="eastAsia" w:ascii="宋体" w:hAnsi="宋体" w:cs="宋体"/>
          <w:b/>
          <w:bCs/>
          <w:color w:val="auto"/>
          <w:sz w:val="24"/>
          <w:highlight w:val="none"/>
        </w:rPr>
      </w:pPr>
      <w:r>
        <w:rPr>
          <w:rFonts w:hint="eastAsia" w:ascii="宋体" w:hAnsi="宋体" w:cs="宋体"/>
          <w:bCs/>
          <w:color w:val="auto"/>
          <w:sz w:val="24"/>
          <w:highlight w:val="none"/>
        </w:rPr>
        <w:t>致：</w:t>
      </w:r>
      <w:r>
        <w:rPr>
          <w:rFonts w:hint="eastAsia" w:ascii="宋体" w:hAnsi="宋体" w:cs="宋体"/>
          <w:color w:val="auto"/>
          <w:sz w:val="24"/>
          <w:highlight w:val="none"/>
          <w:u w:val="single"/>
        </w:rPr>
        <w:t>采购人名称</w:t>
      </w:r>
      <w:r>
        <w:rPr>
          <w:rFonts w:hint="eastAsia" w:ascii="宋体" w:hAnsi="宋体" w:cs="宋体"/>
          <w:color w:val="auto"/>
          <w:sz w:val="24"/>
          <w:highlight w:val="none"/>
        </w:rPr>
        <w:t>：</w:t>
      </w:r>
    </w:p>
    <w:p w14:paraId="23C7D1FB">
      <w:pPr>
        <w:spacing w:line="360" w:lineRule="auto"/>
        <w:ind w:firstLine="566" w:firstLineChars="236"/>
        <w:rPr>
          <w:rFonts w:hint="eastAsia" w:ascii="宋体" w:hAnsi="宋体" w:cs="宋体"/>
          <w:color w:val="auto"/>
          <w:sz w:val="24"/>
          <w:highlight w:val="none"/>
        </w:rPr>
      </w:pPr>
      <w:r>
        <w:rPr>
          <w:rFonts w:hint="eastAsia" w:ascii="宋体" w:hAnsi="宋体" w:cs="宋体"/>
          <w:color w:val="auto"/>
          <w:sz w:val="24"/>
          <w:highlight w:val="none"/>
        </w:rPr>
        <w:t>我</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（姓名）系</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（投标人名称）的法定代表人，现授权委托</w:t>
      </w:r>
      <w:r>
        <w:rPr>
          <w:rFonts w:hint="eastAsia" w:ascii="宋体" w:hAnsi="宋体" w:cs="宋体"/>
          <w:color w:val="auto"/>
          <w:sz w:val="24"/>
          <w:highlight w:val="none"/>
          <w:u w:val="single"/>
        </w:rPr>
        <w:t xml:space="preserve">              （姓名）</w:t>
      </w:r>
      <w:r>
        <w:rPr>
          <w:rFonts w:hint="eastAsia" w:ascii="宋体" w:hAnsi="宋体" w:cs="宋体"/>
          <w:color w:val="auto"/>
          <w:sz w:val="24"/>
          <w:highlight w:val="none"/>
        </w:rPr>
        <w:t>以我方的名义参加</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项目的投标活动，并代表我方全权办理针对上述项目的所有采购程序和环节的具体事务和签署相关文件。</w:t>
      </w:r>
    </w:p>
    <w:p w14:paraId="3CBEB560">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    我方对委托代理人的签字或者电子签名事项负全部责任。</w:t>
      </w:r>
    </w:p>
    <w:p w14:paraId="65DB88AC">
      <w:pPr>
        <w:spacing w:line="360" w:lineRule="auto"/>
        <w:ind w:firstLine="480"/>
        <w:rPr>
          <w:rFonts w:hint="eastAsia" w:ascii="宋体" w:hAnsi="宋体" w:cs="宋体"/>
          <w:color w:val="auto"/>
          <w:sz w:val="24"/>
          <w:highlight w:val="none"/>
        </w:rPr>
      </w:pPr>
      <w:r>
        <w:rPr>
          <w:rFonts w:hint="eastAsia" w:ascii="宋体" w:hAnsi="宋体" w:cs="宋体"/>
          <w:color w:val="auto"/>
          <w:sz w:val="24"/>
          <w:highlight w:val="none"/>
          <w:u w:val="single"/>
        </w:rPr>
        <w:t>本授权书自签署之日起生效，在撤销授权的书面通知以前，本授权书一直有效。委托代理人在授权书有效期内签署的所有文件不因授权的撤销而失效。</w:t>
      </w:r>
    </w:p>
    <w:p w14:paraId="5F90F1CE">
      <w:pPr>
        <w:spacing w:line="360" w:lineRule="auto"/>
        <w:ind w:firstLine="480"/>
        <w:rPr>
          <w:rFonts w:hint="eastAsia" w:ascii="宋体" w:hAnsi="宋体" w:cs="宋体"/>
          <w:color w:val="auto"/>
          <w:sz w:val="24"/>
          <w:highlight w:val="none"/>
        </w:rPr>
      </w:pPr>
      <w:r>
        <w:rPr>
          <w:rFonts w:hint="eastAsia" w:ascii="宋体" w:hAnsi="宋体" w:cs="宋体"/>
          <w:color w:val="auto"/>
          <w:sz w:val="24"/>
          <w:highlight w:val="none"/>
        </w:rPr>
        <w:t>委托代理人无转委托权，特此委托。</w:t>
      </w:r>
    </w:p>
    <w:p w14:paraId="14A188E6">
      <w:pPr>
        <w:spacing w:line="360" w:lineRule="auto"/>
        <w:ind w:firstLine="480"/>
        <w:rPr>
          <w:rFonts w:hint="eastAsia" w:ascii="宋体" w:hAnsi="宋体" w:cs="宋体"/>
          <w:color w:val="auto"/>
          <w:sz w:val="24"/>
          <w:highlight w:val="none"/>
        </w:rPr>
      </w:pPr>
      <w:r>
        <w:rPr>
          <w:rFonts w:hint="eastAsia" w:ascii="宋体" w:hAnsi="宋体" w:cs="宋体"/>
          <w:color w:val="auto"/>
          <w:sz w:val="24"/>
          <w:highlight w:val="none"/>
        </w:rPr>
        <w:t>附：法定代表人身份证明及委托代理人有效身份证正反面复印件</w:t>
      </w:r>
    </w:p>
    <w:p w14:paraId="4BAC4380">
      <w:pPr>
        <w:spacing w:line="360" w:lineRule="auto"/>
        <w:rPr>
          <w:rFonts w:hint="eastAsia" w:ascii="宋体" w:hAnsi="宋体" w:cs="宋体"/>
          <w:color w:val="auto"/>
          <w:sz w:val="24"/>
          <w:highlight w:val="none"/>
        </w:rPr>
      </w:pPr>
    </w:p>
    <w:p w14:paraId="27CE23C6">
      <w:pPr>
        <w:spacing w:line="440" w:lineRule="exact"/>
        <w:rPr>
          <w:rFonts w:hint="eastAsia" w:ascii="宋体" w:hAnsi="宋体" w:cs="宋体"/>
          <w:color w:val="auto"/>
          <w:sz w:val="24"/>
          <w:highlight w:val="none"/>
        </w:rPr>
      </w:pPr>
      <w:r>
        <w:rPr>
          <w:rFonts w:hint="eastAsia" w:ascii="宋体" w:hAnsi="宋体" w:cs="宋体"/>
          <w:color w:val="auto"/>
          <w:sz w:val="24"/>
          <w:highlight w:val="none"/>
        </w:rPr>
        <w:t>委托代理人（签字或者电子签名）：</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w:t>
      </w:r>
    </w:p>
    <w:p w14:paraId="1404D372">
      <w:pPr>
        <w:spacing w:line="440" w:lineRule="exact"/>
        <w:rPr>
          <w:rFonts w:hint="eastAsia" w:ascii="宋体" w:hAnsi="宋体" w:cs="宋体"/>
          <w:color w:val="auto"/>
          <w:sz w:val="24"/>
          <w:highlight w:val="none"/>
          <w:u w:val="single"/>
        </w:rPr>
      </w:pPr>
      <w:r>
        <w:rPr>
          <w:rFonts w:hint="eastAsia" w:ascii="宋体" w:hAnsi="宋体" w:cs="宋体"/>
          <w:color w:val="auto"/>
          <w:sz w:val="24"/>
          <w:highlight w:val="none"/>
        </w:rPr>
        <w:t>委托代理人身份证号码：</w:t>
      </w:r>
      <w:r>
        <w:rPr>
          <w:rFonts w:hint="eastAsia" w:ascii="宋体" w:hAnsi="宋体" w:cs="宋体"/>
          <w:color w:val="auto"/>
          <w:sz w:val="24"/>
          <w:highlight w:val="none"/>
          <w:u w:val="single"/>
        </w:rPr>
        <w:t xml:space="preserve">                             </w:t>
      </w:r>
    </w:p>
    <w:p w14:paraId="03BC1914">
      <w:pPr>
        <w:spacing w:line="440" w:lineRule="exact"/>
        <w:rPr>
          <w:rFonts w:hint="eastAsia" w:ascii="宋体" w:hAnsi="宋体" w:cs="宋体"/>
          <w:color w:val="auto"/>
          <w:sz w:val="24"/>
          <w:highlight w:val="none"/>
          <w:u w:val="single"/>
        </w:rPr>
      </w:pPr>
      <w:r>
        <w:rPr>
          <w:rFonts w:hint="eastAsia" w:ascii="宋体" w:hAnsi="宋体" w:cs="宋体"/>
          <w:color w:val="auto"/>
          <w:sz w:val="24"/>
          <w:highlight w:val="none"/>
        </w:rPr>
        <w:t>法定代表人（签字或者盖章或者电子签名）：</w:t>
      </w:r>
      <w:r>
        <w:rPr>
          <w:rFonts w:hint="eastAsia" w:ascii="宋体" w:hAnsi="宋体" w:cs="宋体"/>
          <w:color w:val="auto"/>
          <w:sz w:val="24"/>
          <w:highlight w:val="none"/>
          <w:u w:val="single"/>
        </w:rPr>
        <w:t xml:space="preserve">              </w:t>
      </w:r>
    </w:p>
    <w:p w14:paraId="19061B0C">
      <w:pPr>
        <w:spacing w:line="440" w:lineRule="exact"/>
        <w:rPr>
          <w:rFonts w:hint="eastAsia" w:ascii="宋体" w:hAnsi="宋体" w:cs="宋体"/>
          <w:color w:val="auto"/>
          <w:sz w:val="24"/>
          <w:highlight w:val="none"/>
        </w:rPr>
      </w:pPr>
      <w:r>
        <w:rPr>
          <w:rFonts w:hint="eastAsia" w:ascii="宋体" w:hAnsi="宋体" w:cs="宋体"/>
          <w:color w:val="auto"/>
          <w:sz w:val="24"/>
          <w:highlight w:val="none"/>
        </w:rPr>
        <w:t xml:space="preserve"> </w:t>
      </w:r>
    </w:p>
    <w:p w14:paraId="2B4CEADB">
      <w:pPr>
        <w:spacing w:line="440" w:lineRule="exact"/>
        <w:jc w:val="center"/>
        <w:rPr>
          <w:rFonts w:hint="eastAsia" w:ascii="宋体" w:hAnsi="宋体" w:cs="宋体"/>
          <w:color w:val="auto"/>
          <w:sz w:val="24"/>
          <w:highlight w:val="none"/>
        </w:rPr>
      </w:pPr>
      <w:r>
        <w:rPr>
          <w:rFonts w:hint="eastAsia" w:ascii="宋体" w:hAnsi="宋体" w:cs="宋体"/>
          <w:color w:val="auto"/>
          <w:sz w:val="24"/>
          <w:highlight w:val="none"/>
        </w:rPr>
        <w:t xml:space="preserve">                                                投标人名称（电子签章）：</w:t>
      </w:r>
    </w:p>
    <w:p w14:paraId="7FBDF5AC">
      <w:pPr>
        <w:spacing w:line="440" w:lineRule="exact"/>
        <w:jc w:val="center"/>
        <w:rPr>
          <w:rFonts w:hint="eastAsia" w:ascii="宋体" w:hAnsi="宋体" w:cs="宋体"/>
          <w:color w:val="auto"/>
          <w:sz w:val="24"/>
          <w:highlight w:val="none"/>
        </w:rPr>
      </w:pPr>
      <w:r>
        <w:rPr>
          <w:rFonts w:hint="eastAsia" w:ascii="宋体" w:hAnsi="宋体" w:cs="宋体"/>
          <w:color w:val="auto"/>
          <w:sz w:val="24"/>
          <w:highlight w:val="none"/>
        </w:rPr>
        <w:t xml:space="preserve">                                              年    月    日</w:t>
      </w:r>
    </w:p>
    <w:p w14:paraId="3BFA9C20">
      <w:pPr>
        <w:spacing w:line="440" w:lineRule="exact"/>
        <w:rPr>
          <w:rFonts w:hint="eastAsia" w:ascii="宋体" w:hAnsi="宋体" w:cs="宋体"/>
          <w:color w:val="auto"/>
          <w:sz w:val="24"/>
          <w:highlight w:val="none"/>
        </w:rPr>
      </w:pPr>
      <w:r>
        <w:rPr>
          <w:rFonts w:hint="eastAsia" w:ascii="宋体" w:hAnsi="宋体" w:cs="宋体"/>
          <w:color w:val="auto"/>
          <w:sz w:val="24"/>
          <w:highlight w:val="none"/>
        </w:rPr>
        <w:t>注：1.</w:t>
      </w:r>
      <w:bookmarkStart w:id="145" w:name="_Hlk65851555"/>
      <w:bookmarkStart w:id="146" w:name="_Hlk65851620"/>
      <w:r>
        <w:rPr>
          <w:rFonts w:hint="eastAsia" w:ascii="宋体" w:hAnsi="宋体" w:cs="宋体"/>
          <w:color w:val="auto"/>
          <w:sz w:val="24"/>
          <w:highlight w:val="none"/>
        </w:rPr>
        <w:t>法定代表人必须在授权委托书上签字或者盖章或者电子签名，</w:t>
      </w:r>
      <w:bookmarkEnd w:id="145"/>
      <w:r>
        <w:rPr>
          <w:rFonts w:hint="eastAsia" w:ascii="宋体" w:hAnsi="宋体" w:cs="宋体"/>
          <w:color w:val="auto"/>
          <w:sz w:val="24"/>
          <w:highlight w:val="none"/>
        </w:rPr>
        <w:t>委托代理人必须在授权委托书上签字或者电子签名，</w:t>
      </w:r>
      <w:r>
        <w:rPr>
          <w:rFonts w:hint="eastAsia" w:ascii="宋体" w:hAnsi="宋体" w:cs="宋体"/>
          <w:b/>
          <w:bCs/>
          <w:color w:val="auto"/>
          <w:sz w:val="24"/>
          <w:highlight w:val="none"/>
        </w:rPr>
        <w:t>否则按无效投标处理</w:t>
      </w:r>
      <w:r>
        <w:rPr>
          <w:rFonts w:hint="eastAsia" w:ascii="宋体" w:hAnsi="宋体" w:cs="宋体"/>
          <w:color w:val="auto"/>
          <w:sz w:val="24"/>
          <w:highlight w:val="none"/>
        </w:rPr>
        <w:t>；</w:t>
      </w:r>
      <w:bookmarkEnd w:id="146"/>
    </w:p>
    <w:p w14:paraId="4E3EB383">
      <w:pPr>
        <w:spacing w:line="440" w:lineRule="exact"/>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2.法人、其他组织投标时“我方”是指“我单位”，自然人投标时“我方”是指“本人”。</w:t>
      </w:r>
    </w:p>
    <w:p w14:paraId="79E6BEB4">
      <w:pPr>
        <w:snapToGrid w:val="0"/>
        <w:spacing w:before="120" w:beforeLines="50" w:after="50"/>
        <w:ind w:firstLine="566" w:firstLineChars="236"/>
        <w:jc w:val="center"/>
        <w:rPr>
          <w:rFonts w:hint="eastAsia" w:ascii="宋体" w:hAnsi="宋体" w:cs="宋体"/>
          <w:color w:val="auto"/>
          <w:sz w:val="24"/>
          <w:highlight w:val="none"/>
        </w:rPr>
      </w:pPr>
      <w:r>
        <w:rPr>
          <w:rFonts w:hint="eastAsia" w:ascii="宋体" w:hAnsi="宋体" w:cs="宋体"/>
          <w:color w:val="auto"/>
          <w:sz w:val="24"/>
          <w:highlight w:val="none"/>
        </w:rPr>
        <w:br w:type="page"/>
      </w:r>
    </w:p>
    <w:p w14:paraId="638760D0">
      <w:pPr>
        <w:snapToGrid w:val="0"/>
        <w:spacing w:before="120" w:beforeLines="50" w:after="50"/>
        <w:jc w:val="left"/>
        <w:rPr>
          <w:rFonts w:hint="eastAsia" w:ascii="宋体" w:hAnsi="宋体" w:cs="宋体"/>
          <w:color w:val="auto"/>
          <w:sz w:val="24"/>
          <w:highlight w:val="none"/>
        </w:rPr>
      </w:pPr>
    </w:p>
    <w:p w14:paraId="7B99AE15">
      <w:pPr>
        <w:rPr>
          <w:rFonts w:hint="eastAsia" w:ascii="宋体" w:hAnsi="宋体" w:cs="宋体"/>
          <w:b/>
          <w:color w:val="auto"/>
          <w:sz w:val="24"/>
          <w:szCs w:val="20"/>
          <w:highlight w:val="none"/>
        </w:rPr>
      </w:pPr>
      <w:r>
        <w:rPr>
          <w:rFonts w:hint="eastAsia" w:ascii="宋体" w:hAnsi="宋体" w:cs="宋体"/>
          <w:b/>
          <w:color w:val="auto"/>
          <w:sz w:val="24"/>
          <w:highlight w:val="none"/>
        </w:rPr>
        <w:t>6.商务要求偏离表格式</w:t>
      </w:r>
    </w:p>
    <w:p w14:paraId="351A1A8D">
      <w:pPr>
        <w:snapToGrid w:val="0"/>
        <w:spacing w:before="50"/>
        <w:jc w:val="left"/>
        <w:rPr>
          <w:rFonts w:hint="eastAsia" w:ascii="宋体" w:hAnsi="宋体" w:cs="宋体"/>
          <w:color w:val="auto"/>
          <w:sz w:val="24"/>
          <w:highlight w:val="none"/>
        </w:rPr>
      </w:pPr>
    </w:p>
    <w:p w14:paraId="6FDCC0CB">
      <w:pPr>
        <w:pStyle w:val="32"/>
        <w:rPr>
          <w:rFonts w:hint="eastAsia" w:hAnsi="宋体" w:cs="宋体"/>
          <w:color w:val="auto"/>
          <w:highlight w:val="none"/>
        </w:rPr>
      </w:pPr>
      <w:r>
        <w:rPr>
          <w:rFonts w:hint="eastAsia" w:hAnsi="宋体" w:cs="宋体"/>
          <w:color w:val="auto"/>
          <w:highlight w:val="none"/>
        </w:rPr>
        <w:t>所投分标：</w:t>
      </w:r>
      <w:r>
        <w:rPr>
          <w:rFonts w:hint="eastAsia" w:hAnsi="宋体" w:cs="宋体"/>
          <w:color w:val="auto"/>
          <w:highlight w:val="none"/>
          <w:u w:val="single"/>
        </w:rPr>
        <w:t xml:space="preserve">     </w:t>
      </w:r>
      <w:r>
        <w:rPr>
          <w:rFonts w:hint="eastAsia" w:hAnsi="宋体" w:cs="宋体"/>
          <w:color w:val="auto"/>
          <w:highlight w:val="none"/>
        </w:rPr>
        <w:t>分标</w:t>
      </w:r>
    </w:p>
    <w:p w14:paraId="7F1625A8">
      <w:pPr>
        <w:snapToGrid w:val="0"/>
        <w:spacing w:before="50"/>
        <w:jc w:val="left"/>
        <w:rPr>
          <w:rFonts w:hint="eastAsia" w:ascii="宋体" w:hAnsi="宋体" w:cs="宋体"/>
          <w:color w:val="auto"/>
          <w:sz w:val="24"/>
          <w:highlight w:val="none"/>
          <w:u w:val="single"/>
        </w:rPr>
      </w:pPr>
    </w:p>
    <w:tbl>
      <w:tblPr>
        <w:tblStyle w:val="62"/>
        <w:tblW w:w="8641" w:type="dxa"/>
        <w:tblInd w:w="-119"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10"/>
        <w:gridCol w:w="2828"/>
        <w:gridCol w:w="2268"/>
        <w:gridCol w:w="2035"/>
      </w:tblGrid>
      <w:tr w14:paraId="5471A46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1510" w:type="dxa"/>
            <w:tcBorders>
              <w:top w:val="single" w:color="auto" w:sz="4" w:space="0"/>
              <w:left w:val="single" w:color="auto" w:sz="4" w:space="0"/>
              <w:bottom w:val="single" w:color="auto" w:sz="4" w:space="0"/>
              <w:right w:val="single" w:color="auto" w:sz="4" w:space="0"/>
            </w:tcBorders>
          </w:tcPr>
          <w:p w14:paraId="0CFA3246">
            <w:pPr>
              <w:snapToGrid w:val="0"/>
              <w:spacing w:before="120" w:beforeLines="50"/>
              <w:jc w:val="center"/>
              <w:rPr>
                <w:rFonts w:hint="eastAsia" w:ascii="宋体" w:hAnsi="宋体" w:cs="宋体"/>
                <w:color w:val="auto"/>
                <w:sz w:val="24"/>
                <w:highlight w:val="none"/>
              </w:rPr>
            </w:pPr>
            <w:r>
              <w:rPr>
                <w:rFonts w:hint="eastAsia" w:ascii="宋体" w:hAnsi="宋体" w:cs="宋体"/>
                <w:color w:val="auto"/>
                <w:sz w:val="24"/>
                <w:highlight w:val="none"/>
              </w:rPr>
              <w:t>项目</w:t>
            </w:r>
          </w:p>
        </w:tc>
        <w:tc>
          <w:tcPr>
            <w:tcW w:w="2828" w:type="dxa"/>
            <w:tcBorders>
              <w:top w:val="single" w:color="auto" w:sz="4" w:space="0"/>
              <w:left w:val="single" w:color="auto" w:sz="4" w:space="0"/>
              <w:bottom w:val="single" w:color="auto" w:sz="4" w:space="0"/>
              <w:right w:val="single" w:color="auto" w:sz="4" w:space="0"/>
            </w:tcBorders>
          </w:tcPr>
          <w:p w14:paraId="1F2C9A64">
            <w:pPr>
              <w:snapToGrid w:val="0"/>
              <w:spacing w:before="120" w:beforeLines="50"/>
              <w:jc w:val="center"/>
              <w:rPr>
                <w:rFonts w:hint="eastAsia" w:ascii="宋体" w:hAnsi="宋体" w:cs="宋体"/>
                <w:color w:val="auto"/>
                <w:sz w:val="24"/>
                <w:highlight w:val="none"/>
              </w:rPr>
            </w:pPr>
            <w:r>
              <w:rPr>
                <w:rFonts w:hint="eastAsia" w:ascii="宋体" w:hAnsi="宋体" w:cs="宋体"/>
                <w:color w:val="auto"/>
                <w:sz w:val="24"/>
                <w:highlight w:val="none"/>
              </w:rPr>
              <w:t>招标文件商务要求</w:t>
            </w:r>
          </w:p>
        </w:tc>
        <w:tc>
          <w:tcPr>
            <w:tcW w:w="2268" w:type="dxa"/>
            <w:tcBorders>
              <w:top w:val="single" w:color="auto" w:sz="4" w:space="0"/>
              <w:left w:val="single" w:color="auto" w:sz="4" w:space="0"/>
              <w:bottom w:val="single" w:color="auto" w:sz="4" w:space="0"/>
              <w:right w:val="single" w:color="auto" w:sz="4" w:space="0"/>
            </w:tcBorders>
          </w:tcPr>
          <w:p w14:paraId="16D498A5">
            <w:pPr>
              <w:snapToGrid w:val="0"/>
              <w:spacing w:before="120" w:beforeLines="50"/>
              <w:jc w:val="center"/>
              <w:rPr>
                <w:rFonts w:hint="eastAsia" w:ascii="宋体" w:hAnsi="宋体" w:cs="宋体"/>
                <w:color w:val="auto"/>
                <w:sz w:val="24"/>
                <w:highlight w:val="none"/>
              </w:rPr>
            </w:pPr>
            <w:r>
              <w:rPr>
                <w:rFonts w:hint="eastAsia" w:ascii="宋体" w:hAnsi="宋体" w:cs="宋体"/>
                <w:color w:val="auto"/>
                <w:sz w:val="24"/>
                <w:highlight w:val="none"/>
              </w:rPr>
              <w:t>投标人的承诺</w:t>
            </w:r>
          </w:p>
        </w:tc>
        <w:tc>
          <w:tcPr>
            <w:tcW w:w="2035" w:type="dxa"/>
            <w:tcBorders>
              <w:top w:val="single" w:color="auto" w:sz="4" w:space="0"/>
              <w:left w:val="single" w:color="auto" w:sz="4" w:space="0"/>
              <w:bottom w:val="single" w:color="auto" w:sz="4" w:space="0"/>
              <w:right w:val="single" w:color="auto" w:sz="4" w:space="0"/>
            </w:tcBorders>
          </w:tcPr>
          <w:p w14:paraId="1FF52B6A">
            <w:pPr>
              <w:snapToGrid w:val="0"/>
              <w:spacing w:before="120" w:beforeLines="50"/>
              <w:jc w:val="center"/>
              <w:rPr>
                <w:rFonts w:hint="eastAsia" w:ascii="宋体" w:hAnsi="宋体" w:cs="宋体"/>
                <w:color w:val="auto"/>
                <w:sz w:val="24"/>
                <w:highlight w:val="none"/>
              </w:rPr>
            </w:pPr>
            <w:r>
              <w:rPr>
                <w:rFonts w:hint="eastAsia" w:ascii="宋体" w:hAnsi="宋体" w:cs="宋体"/>
                <w:color w:val="auto"/>
                <w:sz w:val="24"/>
                <w:highlight w:val="none"/>
              </w:rPr>
              <w:t>偏离说明</w:t>
            </w:r>
          </w:p>
        </w:tc>
      </w:tr>
      <w:tr w14:paraId="5C87DE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9" w:hRule="atLeast"/>
        </w:trPr>
        <w:tc>
          <w:tcPr>
            <w:tcW w:w="1510" w:type="dxa"/>
            <w:tcBorders>
              <w:top w:val="single" w:color="auto" w:sz="4" w:space="0"/>
              <w:left w:val="single" w:color="auto" w:sz="4" w:space="0"/>
              <w:bottom w:val="single" w:color="auto" w:sz="4" w:space="0"/>
              <w:right w:val="single" w:color="auto" w:sz="4" w:space="0"/>
            </w:tcBorders>
            <w:vAlign w:val="center"/>
          </w:tcPr>
          <w:p w14:paraId="0C956B80">
            <w:pPr>
              <w:jc w:val="center"/>
              <w:rPr>
                <w:rFonts w:hint="eastAsia" w:ascii="宋体" w:hAnsi="宋体" w:cs="宋体"/>
                <w:color w:val="auto"/>
                <w:sz w:val="24"/>
                <w:highlight w:val="none"/>
              </w:rPr>
            </w:pPr>
            <w:r>
              <w:rPr>
                <w:rFonts w:hint="eastAsia" w:ascii="宋体" w:hAnsi="宋体" w:cs="宋体"/>
                <w:color w:val="auto"/>
                <w:sz w:val="24"/>
                <w:highlight w:val="none"/>
              </w:rPr>
              <w:t>服务期限</w:t>
            </w:r>
          </w:p>
        </w:tc>
        <w:tc>
          <w:tcPr>
            <w:tcW w:w="2828" w:type="dxa"/>
            <w:tcBorders>
              <w:top w:val="single" w:color="auto" w:sz="4" w:space="0"/>
              <w:left w:val="single" w:color="auto" w:sz="4" w:space="0"/>
              <w:bottom w:val="single" w:color="auto" w:sz="4" w:space="0"/>
              <w:right w:val="single" w:color="auto" w:sz="4" w:space="0"/>
            </w:tcBorders>
            <w:vAlign w:val="center"/>
          </w:tcPr>
          <w:p w14:paraId="2C6D5DEE">
            <w:pPr>
              <w:jc w:val="left"/>
              <w:rPr>
                <w:rFonts w:hint="eastAsia" w:ascii="宋体" w:hAnsi="宋体" w:cs="宋体"/>
                <w:color w:val="auto"/>
                <w:sz w:val="24"/>
                <w:highlight w:val="none"/>
              </w:rPr>
            </w:pPr>
          </w:p>
        </w:tc>
        <w:tc>
          <w:tcPr>
            <w:tcW w:w="2268" w:type="dxa"/>
            <w:tcBorders>
              <w:top w:val="single" w:color="auto" w:sz="4" w:space="0"/>
              <w:left w:val="single" w:color="auto" w:sz="4" w:space="0"/>
              <w:bottom w:val="single" w:color="auto" w:sz="4" w:space="0"/>
              <w:right w:val="single" w:color="auto" w:sz="4" w:space="0"/>
            </w:tcBorders>
          </w:tcPr>
          <w:p w14:paraId="2D7BCA7E">
            <w:pPr>
              <w:snapToGrid w:val="0"/>
              <w:spacing w:before="120" w:beforeLines="50"/>
              <w:jc w:val="center"/>
              <w:rPr>
                <w:rFonts w:hint="eastAsia" w:ascii="宋体" w:hAnsi="宋体" w:cs="宋体"/>
                <w:color w:val="auto"/>
                <w:sz w:val="24"/>
                <w:highlight w:val="none"/>
              </w:rPr>
            </w:pPr>
          </w:p>
        </w:tc>
        <w:tc>
          <w:tcPr>
            <w:tcW w:w="2035" w:type="dxa"/>
            <w:tcBorders>
              <w:top w:val="single" w:color="auto" w:sz="4" w:space="0"/>
              <w:left w:val="single" w:color="auto" w:sz="4" w:space="0"/>
              <w:bottom w:val="single" w:color="auto" w:sz="4" w:space="0"/>
              <w:right w:val="single" w:color="auto" w:sz="4" w:space="0"/>
            </w:tcBorders>
          </w:tcPr>
          <w:p w14:paraId="2C97D962">
            <w:pPr>
              <w:snapToGrid w:val="0"/>
              <w:spacing w:before="120" w:beforeLines="50"/>
              <w:jc w:val="center"/>
              <w:rPr>
                <w:rFonts w:hint="eastAsia" w:ascii="宋体" w:hAnsi="宋体" w:cs="宋体"/>
                <w:color w:val="auto"/>
                <w:sz w:val="24"/>
                <w:highlight w:val="none"/>
              </w:rPr>
            </w:pPr>
          </w:p>
        </w:tc>
      </w:tr>
      <w:tr w14:paraId="5384F47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38" w:hRule="atLeast"/>
        </w:trPr>
        <w:tc>
          <w:tcPr>
            <w:tcW w:w="1510" w:type="dxa"/>
            <w:tcBorders>
              <w:top w:val="single" w:color="auto" w:sz="4" w:space="0"/>
              <w:left w:val="single" w:color="auto" w:sz="4" w:space="0"/>
              <w:bottom w:val="single" w:color="auto" w:sz="4" w:space="0"/>
              <w:right w:val="single" w:color="auto" w:sz="4" w:space="0"/>
            </w:tcBorders>
            <w:vAlign w:val="center"/>
          </w:tcPr>
          <w:p w14:paraId="724F75F0">
            <w:pPr>
              <w:jc w:val="center"/>
              <w:rPr>
                <w:rFonts w:hint="eastAsia" w:ascii="宋体" w:hAnsi="宋体" w:cs="宋体"/>
                <w:color w:val="auto"/>
                <w:sz w:val="24"/>
                <w:highlight w:val="none"/>
              </w:rPr>
            </w:pPr>
            <w:r>
              <w:rPr>
                <w:rFonts w:hint="eastAsia" w:ascii="宋体" w:hAnsi="宋体" w:cs="宋体"/>
                <w:color w:val="auto"/>
                <w:sz w:val="24"/>
                <w:highlight w:val="none"/>
              </w:rPr>
              <w:t>…</w:t>
            </w:r>
          </w:p>
        </w:tc>
        <w:tc>
          <w:tcPr>
            <w:tcW w:w="2828" w:type="dxa"/>
            <w:tcBorders>
              <w:top w:val="single" w:color="auto" w:sz="4" w:space="0"/>
              <w:left w:val="single" w:color="auto" w:sz="4" w:space="0"/>
              <w:bottom w:val="single" w:color="auto" w:sz="4" w:space="0"/>
              <w:right w:val="single" w:color="auto" w:sz="4" w:space="0"/>
            </w:tcBorders>
            <w:vAlign w:val="center"/>
          </w:tcPr>
          <w:p w14:paraId="19CC6E44">
            <w:pPr>
              <w:jc w:val="left"/>
              <w:rPr>
                <w:rFonts w:hint="eastAsia" w:ascii="宋体" w:hAnsi="宋体" w:cs="宋体"/>
                <w:color w:val="auto"/>
                <w:sz w:val="24"/>
                <w:highlight w:val="none"/>
              </w:rPr>
            </w:pPr>
          </w:p>
        </w:tc>
        <w:tc>
          <w:tcPr>
            <w:tcW w:w="2268" w:type="dxa"/>
            <w:tcBorders>
              <w:top w:val="single" w:color="auto" w:sz="4" w:space="0"/>
              <w:left w:val="single" w:color="auto" w:sz="4" w:space="0"/>
              <w:bottom w:val="single" w:color="auto" w:sz="4" w:space="0"/>
              <w:right w:val="single" w:color="auto" w:sz="4" w:space="0"/>
            </w:tcBorders>
          </w:tcPr>
          <w:p w14:paraId="3FBAB410">
            <w:pPr>
              <w:snapToGrid w:val="0"/>
              <w:spacing w:before="120" w:beforeLines="50"/>
              <w:ind w:left="43"/>
              <w:jc w:val="center"/>
              <w:rPr>
                <w:rFonts w:hint="eastAsia" w:ascii="宋体" w:hAnsi="宋体" w:cs="宋体"/>
                <w:color w:val="auto"/>
                <w:sz w:val="24"/>
                <w:highlight w:val="none"/>
              </w:rPr>
            </w:pPr>
          </w:p>
        </w:tc>
        <w:tc>
          <w:tcPr>
            <w:tcW w:w="2035" w:type="dxa"/>
            <w:tcBorders>
              <w:top w:val="single" w:color="auto" w:sz="4" w:space="0"/>
              <w:left w:val="single" w:color="auto" w:sz="4" w:space="0"/>
              <w:bottom w:val="single" w:color="auto" w:sz="4" w:space="0"/>
              <w:right w:val="single" w:color="auto" w:sz="4" w:space="0"/>
            </w:tcBorders>
          </w:tcPr>
          <w:p w14:paraId="484E130C">
            <w:pPr>
              <w:snapToGrid w:val="0"/>
              <w:spacing w:before="120" w:beforeLines="50"/>
              <w:ind w:left="43"/>
              <w:jc w:val="center"/>
              <w:rPr>
                <w:rFonts w:hint="eastAsia" w:ascii="宋体" w:hAnsi="宋体" w:cs="宋体"/>
                <w:color w:val="auto"/>
                <w:sz w:val="24"/>
                <w:highlight w:val="none"/>
              </w:rPr>
            </w:pPr>
          </w:p>
        </w:tc>
      </w:tr>
      <w:tr w14:paraId="2ED390B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10" w:type="dxa"/>
            <w:tcBorders>
              <w:top w:val="single" w:color="auto" w:sz="4" w:space="0"/>
              <w:left w:val="single" w:color="auto" w:sz="4" w:space="0"/>
              <w:bottom w:val="single" w:color="auto" w:sz="4" w:space="0"/>
              <w:right w:val="single" w:color="auto" w:sz="4" w:space="0"/>
            </w:tcBorders>
          </w:tcPr>
          <w:p w14:paraId="7150BA6B">
            <w:pPr>
              <w:snapToGrid w:val="0"/>
              <w:spacing w:before="120" w:beforeLines="50"/>
              <w:jc w:val="center"/>
              <w:rPr>
                <w:rFonts w:hint="eastAsia" w:ascii="宋体" w:hAnsi="宋体" w:cs="宋体"/>
                <w:color w:val="auto"/>
                <w:sz w:val="24"/>
                <w:highlight w:val="none"/>
              </w:rPr>
            </w:pPr>
            <w:r>
              <w:rPr>
                <w:rFonts w:hint="eastAsia" w:ascii="宋体" w:hAnsi="宋体" w:cs="宋体"/>
                <w:color w:val="auto"/>
                <w:sz w:val="24"/>
                <w:highlight w:val="none"/>
              </w:rPr>
              <w:t>…</w:t>
            </w:r>
          </w:p>
        </w:tc>
        <w:tc>
          <w:tcPr>
            <w:tcW w:w="2828" w:type="dxa"/>
            <w:tcBorders>
              <w:top w:val="single" w:color="auto" w:sz="4" w:space="0"/>
              <w:left w:val="single" w:color="auto" w:sz="4" w:space="0"/>
              <w:bottom w:val="single" w:color="auto" w:sz="4" w:space="0"/>
              <w:right w:val="single" w:color="auto" w:sz="4" w:space="0"/>
            </w:tcBorders>
          </w:tcPr>
          <w:p w14:paraId="2A456D92">
            <w:pPr>
              <w:snapToGrid w:val="0"/>
              <w:spacing w:before="120" w:beforeLines="50"/>
              <w:jc w:val="center"/>
              <w:rPr>
                <w:rFonts w:hint="eastAsia" w:ascii="宋体" w:hAnsi="宋体" w:cs="宋体"/>
                <w:color w:val="auto"/>
                <w:sz w:val="24"/>
                <w:highlight w:val="none"/>
              </w:rPr>
            </w:pPr>
          </w:p>
        </w:tc>
        <w:tc>
          <w:tcPr>
            <w:tcW w:w="2268" w:type="dxa"/>
            <w:tcBorders>
              <w:top w:val="single" w:color="auto" w:sz="4" w:space="0"/>
              <w:left w:val="single" w:color="auto" w:sz="4" w:space="0"/>
              <w:bottom w:val="single" w:color="auto" w:sz="4" w:space="0"/>
              <w:right w:val="single" w:color="auto" w:sz="4" w:space="0"/>
            </w:tcBorders>
          </w:tcPr>
          <w:p w14:paraId="225402AA">
            <w:pPr>
              <w:snapToGrid w:val="0"/>
              <w:spacing w:before="120" w:beforeLines="50"/>
              <w:jc w:val="center"/>
              <w:rPr>
                <w:rFonts w:hint="eastAsia" w:ascii="宋体" w:hAnsi="宋体" w:cs="宋体"/>
                <w:color w:val="auto"/>
                <w:sz w:val="24"/>
                <w:highlight w:val="none"/>
              </w:rPr>
            </w:pPr>
          </w:p>
        </w:tc>
        <w:tc>
          <w:tcPr>
            <w:tcW w:w="2035" w:type="dxa"/>
            <w:tcBorders>
              <w:top w:val="single" w:color="auto" w:sz="4" w:space="0"/>
              <w:left w:val="single" w:color="auto" w:sz="4" w:space="0"/>
              <w:bottom w:val="single" w:color="auto" w:sz="4" w:space="0"/>
              <w:right w:val="single" w:color="auto" w:sz="4" w:space="0"/>
            </w:tcBorders>
          </w:tcPr>
          <w:p w14:paraId="21BA70AE">
            <w:pPr>
              <w:snapToGrid w:val="0"/>
              <w:spacing w:before="120" w:beforeLines="50"/>
              <w:jc w:val="center"/>
              <w:rPr>
                <w:rFonts w:hint="eastAsia" w:ascii="宋体" w:hAnsi="宋体" w:cs="宋体"/>
                <w:color w:val="auto"/>
                <w:sz w:val="24"/>
                <w:highlight w:val="none"/>
              </w:rPr>
            </w:pPr>
          </w:p>
        </w:tc>
      </w:tr>
    </w:tbl>
    <w:p w14:paraId="5B7CF9F9">
      <w:pPr>
        <w:pStyle w:val="21"/>
        <w:rPr>
          <w:rFonts w:hint="eastAsia" w:ascii="宋体" w:hAnsi="宋体" w:cs="宋体"/>
          <w:color w:val="auto"/>
          <w:highlight w:val="none"/>
        </w:rPr>
      </w:pPr>
      <w:r>
        <w:rPr>
          <w:rFonts w:hint="eastAsia" w:ascii="宋体" w:hAnsi="宋体" w:cs="宋体"/>
          <w:color w:val="auto"/>
          <w:highlight w:val="none"/>
        </w:rPr>
        <w:t>注：</w:t>
      </w:r>
    </w:p>
    <w:p w14:paraId="1388FC94">
      <w:pPr>
        <w:pStyle w:val="25"/>
        <w:spacing w:line="520" w:lineRule="exact"/>
        <w:ind w:firstLine="0" w:firstLineChars="0"/>
        <w:rPr>
          <w:rFonts w:hint="eastAsia" w:ascii="宋体" w:hAnsi="宋体" w:eastAsia="宋体" w:cs="宋体"/>
          <w:color w:val="auto"/>
          <w:szCs w:val="32"/>
          <w:highlight w:val="none"/>
        </w:rPr>
      </w:pPr>
      <w:r>
        <w:rPr>
          <w:rFonts w:hint="eastAsia" w:ascii="宋体" w:hAnsi="宋体" w:eastAsia="宋体" w:cs="宋体"/>
          <w:color w:val="auto"/>
          <w:sz w:val="24"/>
          <w:szCs w:val="24"/>
          <w:highlight w:val="none"/>
        </w:rPr>
        <w:t>1. 说明：应对照招标文件“第二章 采购需求”中的商务要求逐条作明确的投标响应，并作出偏离说明。</w:t>
      </w:r>
    </w:p>
    <w:p w14:paraId="7B930E5E">
      <w:pPr>
        <w:pStyle w:val="21"/>
        <w:rPr>
          <w:rFonts w:hint="eastAsia" w:ascii="宋体" w:hAnsi="宋体" w:cs="宋体"/>
          <w:b w:val="0"/>
          <w:bCs w:val="0"/>
          <w:color w:val="auto"/>
          <w:highlight w:val="none"/>
        </w:rPr>
      </w:pPr>
      <w:r>
        <w:rPr>
          <w:rFonts w:hint="eastAsia" w:ascii="宋体" w:hAnsi="宋体" w:cs="宋体"/>
          <w:b w:val="0"/>
          <w:bCs w:val="0"/>
          <w:color w:val="auto"/>
          <w:highlight w:val="none"/>
        </w:rPr>
        <w:t>2.投标人应根据自身的承诺，对照招标文件要求在“偏离说明”中注明“</w:t>
      </w:r>
      <w:r>
        <w:rPr>
          <w:rFonts w:hint="eastAsia" w:ascii="宋体" w:hAnsi="宋体" w:cs="宋体"/>
          <w:color w:val="auto"/>
          <w:highlight w:val="none"/>
        </w:rPr>
        <w:t>正偏离</w:t>
      </w:r>
      <w:r>
        <w:rPr>
          <w:rFonts w:hint="eastAsia" w:ascii="宋体" w:hAnsi="宋体" w:cs="宋体"/>
          <w:b w:val="0"/>
          <w:bCs w:val="0"/>
          <w:color w:val="auto"/>
          <w:highlight w:val="none"/>
        </w:rPr>
        <w:t>”、“</w:t>
      </w:r>
      <w:r>
        <w:rPr>
          <w:rFonts w:hint="eastAsia" w:ascii="宋体" w:hAnsi="宋体" w:cs="宋体"/>
          <w:color w:val="auto"/>
          <w:highlight w:val="none"/>
        </w:rPr>
        <w:t>负偏离</w:t>
      </w:r>
      <w:r>
        <w:rPr>
          <w:rFonts w:hint="eastAsia" w:ascii="宋体" w:hAnsi="宋体" w:cs="宋体"/>
          <w:b w:val="0"/>
          <w:bCs w:val="0"/>
          <w:color w:val="auto"/>
          <w:highlight w:val="none"/>
        </w:rPr>
        <w:t>”或者“</w:t>
      </w:r>
      <w:r>
        <w:rPr>
          <w:rFonts w:hint="eastAsia" w:ascii="宋体" w:hAnsi="宋体" w:cs="宋体"/>
          <w:color w:val="auto"/>
          <w:highlight w:val="none"/>
        </w:rPr>
        <w:t>无偏离</w:t>
      </w:r>
      <w:r>
        <w:rPr>
          <w:rFonts w:hint="eastAsia" w:ascii="宋体" w:hAnsi="宋体" w:cs="宋体"/>
          <w:b w:val="0"/>
          <w:bCs w:val="0"/>
          <w:color w:val="auto"/>
          <w:highlight w:val="none"/>
        </w:rPr>
        <w:t>”。既不属于“</w:t>
      </w:r>
      <w:r>
        <w:rPr>
          <w:rFonts w:hint="eastAsia" w:ascii="宋体" w:hAnsi="宋体" w:cs="宋体"/>
          <w:color w:val="auto"/>
          <w:highlight w:val="none"/>
        </w:rPr>
        <w:t>正偏离</w:t>
      </w:r>
      <w:r>
        <w:rPr>
          <w:rFonts w:hint="eastAsia" w:ascii="宋体" w:hAnsi="宋体" w:cs="宋体"/>
          <w:b w:val="0"/>
          <w:bCs w:val="0"/>
          <w:color w:val="auto"/>
          <w:highlight w:val="none"/>
        </w:rPr>
        <w:t>”也不属于“</w:t>
      </w:r>
      <w:r>
        <w:rPr>
          <w:rFonts w:hint="eastAsia" w:ascii="宋体" w:hAnsi="宋体" w:cs="宋体"/>
          <w:color w:val="auto"/>
          <w:highlight w:val="none"/>
        </w:rPr>
        <w:t>负偏离</w:t>
      </w:r>
      <w:r>
        <w:rPr>
          <w:rFonts w:hint="eastAsia" w:ascii="宋体" w:hAnsi="宋体" w:cs="宋体"/>
          <w:b w:val="0"/>
          <w:bCs w:val="0"/>
          <w:color w:val="auto"/>
          <w:highlight w:val="none"/>
        </w:rPr>
        <w:t>”即为“</w:t>
      </w:r>
      <w:r>
        <w:rPr>
          <w:rFonts w:hint="eastAsia" w:ascii="宋体" w:hAnsi="宋体" w:cs="宋体"/>
          <w:color w:val="auto"/>
          <w:highlight w:val="none"/>
        </w:rPr>
        <w:t>无偏离</w:t>
      </w:r>
      <w:r>
        <w:rPr>
          <w:rFonts w:hint="eastAsia" w:ascii="宋体" w:hAnsi="宋体" w:cs="宋体"/>
          <w:b w:val="0"/>
          <w:bCs w:val="0"/>
          <w:color w:val="auto"/>
          <w:highlight w:val="none"/>
        </w:rPr>
        <w:t>”。</w:t>
      </w:r>
    </w:p>
    <w:p w14:paraId="4F16EF8E">
      <w:pPr>
        <w:snapToGrid w:val="0"/>
        <w:spacing w:before="50" w:after="50"/>
        <w:rPr>
          <w:rFonts w:hint="eastAsia" w:ascii="宋体" w:hAnsi="宋体" w:cs="宋体"/>
          <w:color w:val="auto"/>
          <w:sz w:val="24"/>
          <w:highlight w:val="none"/>
        </w:rPr>
      </w:pPr>
    </w:p>
    <w:p w14:paraId="463DE376">
      <w:pPr>
        <w:snapToGrid w:val="0"/>
        <w:spacing w:before="50" w:after="50"/>
        <w:rPr>
          <w:rFonts w:hint="eastAsia" w:ascii="宋体" w:hAnsi="宋体" w:cs="宋体"/>
          <w:color w:val="auto"/>
          <w:sz w:val="24"/>
          <w:highlight w:val="none"/>
        </w:rPr>
      </w:pPr>
    </w:p>
    <w:p w14:paraId="0D6F4B24">
      <w:pPr>
        <w:snapToGrid w:val="0"/>
        <w:spacing w:before="50" w:after="50"/>
        <w:rPr>
          <w:rFonts w:hint="eastAsia" w:ascii="宋体" w:hAnsi="宋体" w:cs="宋体"/>
          <w:color w:val="auto"/>
          <w:spacing w:val="20"/>
          <w:sz w:val="24"/>
          <w:highlight w:val="none"/>
          <w:u w:val="single"/>
        </w:rPr>
      </w:pPr>
      <w:r>
        <w:rPr>
          <w:rFonts w:hint="eastAsia" w:ascii="宋体" w:hAnsi="宋体" w:cs="宋体"/>
          <w:color w:val="auto"/>
          <w:sz w:val="24"/>
          <w:highlight w:val="none"/>
        </w:rPr>
        <w:t>法定代表人或者委托代理人</w:t>
      </w:r>
      <w:r>
        <w:rPr>
          <w:rFonts w:hint="eastAsia" w:ascii="宋体" w:hAnsi="宋体" w:cs="宋体"/>
          <w:color w:val="auto"/>
          <w:spacing w:val="20"/>
          <w:sz w:val="24"/>
          <w:highlight w:val="none"/>
        </w:rPr>
        <w:t>（签字或者电子签名）：</w:t>
      </w:r>
    </w:p>
    <w:p w14:paraId="74B75B3F">
      <w:pPr>
        <w:snapToGrid w:val="0"/>
        <w:spacing w:before="120" w:beforeLines="50"/>
        <w:rPr>
          <w:rFonts w:hint="eastAsia" w:ascii="宋体" w:hAnsi="宋体" w:cs="宋体"/>
          <w:color w:val="auto"/>
          <w:spacing w:val="20"/>
          <w:sz w:val="24"/>
          <w:highlight w:val="none"/>
        </w:rPr>
      </w:pPr>
      <w:r>
        <w:rPr>
          <w:rFonts w:hint="eastAsia" w:ascii="宋体" w:hAnsi="宋体" w:cs="宋体"/>
          <w:color w:val="auto"/>
          <w:spacing w:val="20"/>
          <w:sz w:val="24"/>
          <w:highlight w:val="none"/>
        </w:rPr>
        <w:t>投标人名称（电子签章）：</w:t>
      </w:r>
    </w:p>
    <w:p w14:paraId="486AB367">
      <w:pPr>
        <w:snapToGrid w:val="0"/>
        <w:spacing w:before="120" w:beforeLines="50"/>
        <w:rPr>
          <w:rFonts w:hint="eastAsia" w:ascii="宋体" w:hAnsi="宋体" w:cs="宋体"/>
          <w:color w:val="auto"/>
          <w:sz w:val="24"/>
          <w:szCs w:val="20"/>
          <w:highlight w:val="none"/>
        </w:rPr>
      </w:pPr>
      <w:r>
        <w:rPr>
          <w:rFonts w:hint="eastAsia" w:ascii="宋体" w:hAnsi="宋体" w:cs="宋体"/>
          <w:color w:val="auto"/>
          <w:spacing w:val="20"/>
          <w:sz w:val="24"/>
          <w:highlight w:val="none"/>
        </w:rPr>
        <w:t xml:space="preserve">日  期：    </w:t>
      </w:r>
      <w:r>
        <w:rPr>
          <w:rFonts w:hint="eastAsia" w:ascii="宋体" w:hAnsi="宋体" w:cs="宋体"/>
          <w:color w:val="auto"/>
          <w:sz w:val="24"/>
          <w:highlight w:val="none"/>
        </w:rPr>
        <w:t>年    月    日</w:t>
      </w:r>
    </w:p>
    <w:p w14:paraId="0300E79C">
      <w:pPr>
        <w:snapToGrid w:val="0"/>
        <w:spacing w:before="120" w:beforeLines="50"/>
        <w:rPr>
          <w:rFonts w:hint="eastAsia" w:ascii="宋体" w:hAnsi="宋体" w:cs="宋体"/>
          <w:color w:val="auto"/>
          <w:sz w:val="24"/>
          <w:szCs w:val="20"/>
          <w:highlight w:val="none"/>
        </w:rPr>
      </w:pPr>
    </w:p>
    <w:p w14:paraId="63A975A7">
      <w:pPr>
        <w:snapToGrid w:val="0"/>
        <w:spacing w:before="120" w:beforeLines="50" w:after="50"/>
        <w:jc w:val="left"/>
        <w:rPr>
          <w:rFonts w:hint="eastAsia" w:ascii="宋体" w:hAnsi="宋体" w:cs="宋体"/>
          <w:color w:val="auto"/>
          <w:sz w:val="24"/>
          <w:szCs w:val="20"/>
          <w:highlight w:val="none"/>
        </w:rPr>
        <w:sectPr>
          <w:footerReference r:id="rId12" w:type="first"/>
          <w:headerReference r:id="rId9" w:type="default"/>
          <w:footerReference r:id="rId10" w:type="default"/>
          <w:footerReference r:id="rId11" w:type="even"/>
          <w:pgSz w:w="11906" w:h="16838"/>
          <w:pgMar w:top="1134" w:right="1134" w:bottom="1134" w:left="1134" w:header="851" w:footer="992" w:gutter="0"/>
          <w:cols w:space="0" w:num="1"/>
          <w:docGrid w:linePitch="312" w:charSpace="0"/>
        </w:sectPr>
      </w:pPr>
    </w:p>
    <w:p w14:paraId="725961C5">
      <w:pPr>
        <w:snapToGrid w:val="0"/>
        <w:spacing w:before="120" w:beforeLines="50" w:after="50"/>
        <w:jc w:val="left"/>
        <w:rPr>
          <w:rFonts w:hint="eastAsia" w:ascii="宋体" w:hAnsi="宋体" w:cs="宋体"/>
          <w:b/>
          <w:color w:val="auto"/>
          <w:sz w:val="24"/>
          <w:highlight w:val="none"/>
        </w:rPr>
      </w:pPr>
      <w:r>
        <w:rPr>
          <w:rFonts w:hint="eastAsia" w:ascii="宋体" w:hAnsi="宋体" w:cs="宋体"/>
          <w:b/>
          <w:color w:val="auto"/>
          <w:sz w:val="24"/>
          <w:highlight w:val="none"/>
        </w:rPr>
        <w:t>7.投标人业绩证明材料</w:t>
      </w:r>
    </w:p>
    <w:p w14:paraId="1103CAFA">
      <w:pPr>
        <w:pStyle w:val="46"/>
        <w:snapToGrid w:val="0"/>
        <w:ind w:left="480" w:hanging="480"/>
        <w:rPr>
          <w:rFonts w:hint="eastAsia" w:ascii="宋体" w:hAnsi="宋体" w:cs="宋体"/>
          <w:color w:val="auto"/>
          <w:sz w:val="24"/>
          <w:highlight w:val="none"/>
        </w:rPr>
      </w:pPr>
    </w:p>
    <w:p w14:paraId="5A80FA07">
      <w:pPr>
        <w:pStyle w:val="46"/>
        <w:snapToGrid w:val="0"/>
        <w:ind w:left="480" w:hanging="480"/>
        <w:rPr>
          <w:rFonts w:hint="eastAsia" w:ascii="宋体" w:hAnsi="宋体" w:cs="宋体"/>
          <w:color w:val="auto"/>
          <w:sz w:val="24"/>
          <w:highlight w:val="none"/>
        </w:rPr>
      </w:pPr>
      <w:r>
        <w:rPr>
          <w:rFonts w:hint="eastAsia" w:ascii="宋体" w:hAnsi="宋体" w:cs="宋体"/>
          <w:color w:val="auto"/>
          <w:sz w:val="24"/>
          <w:highlight w:val="none"/>
        </w:rPr>
        <w:t xml:space="preserve">投标人业绩情况一览表格式： </w:t>
      </w:r>
    </w:p>
    <w:tbl>
      <w:tblPr>
        <w:tblStyle w:val="62"/>
        <w:tblW w:w="8528"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133"/>
        <w:gridCol w:w="1770"/>
        <w:gridCol w:w="1770"/>
        <w:gridCol w:w="2855"/>
      </w:tblGrid>
      <w:tr w14:paraId="253377C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7" w:hRule="atLeast"/>
        </w:trPr>
        <w:tc>
          <w:tcPr>
            <w:tcW w:w="2133" w:type="dxa"/>
            <w:vMerge w:val="restart"/>
            <w:tcBorders>
              <w:top w:val="single" w:color="auto" w:sz="4" w:space="0"/>
              <w:left w:val="single" w:color="auto" w:sz="4" w:space="0"/>
              <w:bottom w:val="single" w:color="auto" w:sz="4" w:space="0"/>
              <w:right w:val="single" w:color="auto" w:sz="4" w:space="0"/>
            </w:tcBorders>
            <w:vAlign w:val="center"/>
          </w:tcPr>
          <w:p w14:paraId="3599913B">
            <w:pPr>
              <w:snapToGrid w:val="0"/>
              <w:spacing w:line="240" w:lineRule="exact"/>
              <w:jc w:val="center"/>
              <w:rPr>
                <w:rFonts w:hint="eastAsia" w:ascii="宋体" w:hAnsi="宋体" w:cs="宋体"/>
                <w:color w:val="auto"/>
                <w:sz w:val="24"/>
                <w:highlight w:val="none"/>
              </w:rPr>
            </w:pPr>
            <w:r>
              <w:rPr>
                <w:rFonts w:hint="eastAsia" w:ascii="宋体" w:hAnsi="宋体" w:cs="宋体"/>
                <w:color w:val="auto"/>
                <w:sz w:val="24"/>
                <w:highlight w:val="none"/>
              </w:rPr>
              <w:t>采购人名称</w:t>
            </w:r>
          </w:p>
        </w:tc>
        <w:tc>
          <w:tcPr>
            <w:tcW w:w="1770" w:type="dxa"/>
            <w:vMerge w:val="restart"/>
            <w:tcBorders>
              <w:top w:val="single" w:color="auto" w:sz="4" w:space="0"/>
              <w:left w:val="single" w:color="auto" w:sz="4" w:space="0"/>
              <w:bottom w:val="single" w:color="auto" w:sz="4" w:space="0"/>
              <w:right w:val="single" w:color="auto" w:sz="4" w:space="0"/>
            </w:tcBorders>
            <w:vAlign w:val="center"/>
          </w:tcPr>
          <w:p w14:paraId="7B7929AE">
            <w:pPr>
              <w:snapToGrid w:val="0"/>
              <w:spacing w:line="240" w:lineRule="exact"/>
              <w:jc w:val="center"/>
              <w:rPr>
                <w:rFonts w:hint="eastAsia" w:ascii="宋体" w:hAnsi="宋体" w:cs="宋体"/>
                <w:color w:val="auto"/>
                <w:sz w:val="24"/>
                <w:highlight w:val="none"/>
              </w:rPr>
            </w:pPr>
            <w:r>
              <w:rPr>
                <w:rFonts w:hint="eastAsia" w:ascii="宋体" w:hAnsi="宋体" w:cs="宋体"/>
                <w:color w:val="auto"/>
                <w:sz w:val="24"/>
                <w:highlight w:val="none"/>
              </w:rPr>
              <w:t>项目名称</w:t>
            </w:r>
          </w:p>
        </w:tc>
        <w:tc>
          <w:tcPr>
            <w:tcW w:w="1770" w:type="dxa"/>
            <w:vMerge w:val="restart"/>
            <w:tcBorders>
              <w:top w:val="single" w:color="auto" w:sz="4" w:space="0"/>
              <w:left w:val="single" w:color="auto" w:sz="4" w:space="0"/>
              <w:bottom w:val="single" w:color="auto" w:sz="4" w:space="0"/>
              <w:right w:val="single" w:color="auto" w:sz="4" w:space="0"/>
            </w:tcBorders>
            <w:vAlign w:val="center"/>
          </w:tcPr>
          <w:p w14:paraId="3D2B1CC5">
            <w:pPr>
              <w:snapToGrid w:val="0"/>
              <w:spacing w:line="240" w:lineRule="exact"/>
              <w:jc w:val="center"/>
              <w:rPr>
                <w:rFonts w:hint="eastAsia" w:ascii="宋体" w:hAnsi="宋体" w:cs="宋体"/>
                <w:color w:val="auto"/>
                <w:sz w:val="24"/>
                <w:highlight w:val="none"/>
              </w:rPr>
            </w:pPr>
            <w:r>
              <w:rPr>
                <w:rFonts w:hint="eastAsia" w:ascii="宋体" w:hAnsi="宋体" w:cs="宋体"/>
                <w:color w:val="auto"/>
                <w:sz w:val="24"/>
                <w:highlight w:val="none"/>
              </w:rPr>
              <w:t>合同金额</w:t>
            </w:r>
          </w:p>
          <w:p w14:paraId="13D46D04">
            <w:pPr>
              <w:snapToGrid w:val="0"/>
              <w:spacing w:line="240" w:lineRule="exact"/>
              <w:jc w:val="center"/>
              <w:rPr>
                <w:rFonts w:hint="eastAsia" w:ascii="宋体" w:hAnsi="宋体" w:cs="宋体"/>
                <w:color w:val="auto"/>
                <w:sz w:val="24"/>
                <w:highlight w:val="none"/>
              </w:rPr>
            </w:pPr>
            <w:r>
              <w:rPr>
                <w:rFonts w:hint="eastAsia" w:ascii="宋体" w:hAnsi="宋体" w:cs="宋体"/>
                <w:color w:val="auto"/>
                <w:sz w:val="24"/>
                <w:highlight w:val="none"/>
              </w:rPr>
              <w:t>（万元）</w:t>
            </w:r>
          </w:p>
        </w:tc>
        <w:tc>
          <w:tcPr>
            <w:tcW w:w="2855" w:type="dxa"/>
            <w:vMerge w:val="restart"/>
            <w:tcBorders>
              <w:top w:val="single" w:color="auto" w:sz="4" w:space="0"/>
              <w:left w:val="single" w:color="auto" w:sz="4" w:space="0"/>
              <w:bottom w:val="single" w:color="auto" w:sz="4" w:space="0"/>
              <w:right w:val="single" w:color="auto" w:sz="4" w:space="0"/>
            </w:tcBorders>
            <w:vAlign w:val="center"/>
          </w:tcPr>
          <w:p w14:paraId="4F5EE884">
            <w:pPr>
              <w:snapToGrid w:val="0"/>
              <w:spacing w:line="240" w:lineRule="exact"/>
              <w:jc w:val="center"/>
              <w:rPr>
                <w:rFonts w:hint="eastAsia" w:ascii="宋体" w:hAnsi="宋体" w:cs="宋体"/>
                <w:color w:val="auto"/>
                <w:sz w:val="24"/>
                <w:highlight w:val="none"/>
              </w:rPr>
            </w:pPr>
            <w:r>
              <w:rPr>
                <w:rFonts w:hint="eastAsia" w:ascii="宋体" w:hAnsi="宋体" w:cs="宋体"/>
                <w:color w:val="auto"/>
                <w:sz w:val="24"/>
                <w:highlight w:val="none"/>
              </w:rPr>
              <w:t>采购人联系人及</w:t>
            </w:r>
          </w:p>
          <w:p w14:paraId="67D9F709">
            <w:pPr>
              <w:snapToGrid w:val="0"/>
              <w:spacing w:line="240" w:lineRule="exact"/>
              <w:jc w:val="center"/>
              <w:rPr>
                <w:rFonts w:hint="eastAsia" w:ascii="宋体" w:hAnsi="宋体" w:cs="宋体"/>
                <w:color w:val="auto"/>
                <w:sz w:val="24"/>
                <w:highlight w:val="none"/>
              </w:rPr>
            </w:pPr>
            <w:r>
              <w:rPr>
                <w:rFonts w:hint="eastAsia" w:ascii="宋体" w:hAnsi="宋体" w:cs="宋体"/>
                <w:color w:val="auto"/>
                <w:sz w:val="24"/>
                <w:highlight w:val="none"/>
              </w:rPr>
              <w:t>联系电话</w:t>
            </w:r>
          </w:p>
        </w:tc>
      </w:tr>
      <w:tr w14:paraId="2BC8C8A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5" w:hRule="atLeast"/>
        </w:trPr>
        <w:tc>
          <w:tcPr>
            <w:tcW w:w="2133" w:type="dxa"/>
            <w:vMerge w:val="continue"/>
            <w:tcBorders>
              <w:top w:val="single" w:color="auto" w:sz="4" w:space="0"/>
              <w:left w:val="single" w:color="auto" w:sz="4" w:space="0"/>
              <w:bottom w:val="single" w:color="auto" w:sz="4" w:space="0"/>
              <w:right w:val="single" w:color="auto" w:sz="4" w:space="0"/>
            </w:tcBorders>
            <w:vAlign w:val="center"/>
          </w:tcPr>
          <w:p w14:paraId="53448A56">
            <w:pPr>
              <w:jc w:val="left"/>
              <w:rPr>
                <w:rFonts w:hint="eastAsia" w:ascii="宋体" w:hAnsi="宋体" w:cs="宋体"/>
                <w:color w:val="auto"/>
                <w:sz w:val="24"/>
                <w:highlight w:val="none"/>
              </w:rPr>
            </w:pPr>
          </w:p>
        </w:tc>
        <w:tc>
          <w:tcPr>
            <w:tcW w:w="1770" w:type="dxa"/>
            <w:vMerge w:val="continue"/>
            <w:tcBorders>
              <w:top w:val="single" w:color="auto" w:sz="4" w:space="0"/>
              <w:left w:val="single" w:color="auto" w:sz="4" w:space="0"/>
              <w:bottom w:val="single" w:color="auto" w:sz="4" w:space="0"/>
              <w:right w:val="single" w:color="auto" w:sz="4" w:space="0"/>
            </w:tcBorders>
            <w:vAlign w:val="center"/>
          </w:tcPr>
          <w:p w14:paraId="6BE22D4E">
            <w:pPr>
              <w:jc w:val="left"/>
              <w:rPr>
                <w:rFonts w:hint="eastAsia" w:ascii="宋体" w:hAnsi="宋体" w:cs="宋体"/>
                <w:color w:val="auto"/>
                <w:sz w:val="24"/>
                <w:highlight w:val="none"/>
              </w:rPr>
            </w:pPr>
          </w:p>
        </w:tc>
        <w:tc>
          <w:tcPr>
            <w:tcW w:w="1770" w:type="dxa"/>
            <w:vMerge w:val="continue"/>
            <w:tcBorders>
              <w:top w:val="single" w:color="auto" w:sz="4" w:space="0"/>
              <w:left w:val="single" w:color="auto" w:sz="4" w:space="0"/>
              <w:bottom w:val="single" w:color="auto" w:sz="4" w:space="0"/>
              <w:right w:val="single" w:color="auto" w:sz="4" w:space="0"/>
            </w:tcBorders>
            <w:vAlign w:val="center"/>
          </w:tcPr>
          <w:p w14:paraId="0AA651EC">
            <w:pPr>
              <w:jc w:val="left"/>
              <w:rPr>
                <w:rFonts w:hint="eastAsia" w:ascii="宋体" w:hAnsi="宋体" w:cs="宋体"/>
                <w:color w:val="auto"/>
                <w:sz w:val="24"/>
                <w:highlight w:val="none"/>
              </w:rPr>
            </w:pPr>
          </w:p>
        </w:tc>
        <w:tc>
          <w:tcPr>
            <w:tcW w:w="2855" w:type="dxa"/>
            <w:vMerge w:val="continue"/>
            <w:tcBorders>
              <w:top w:val="single" w:color="auto" w:sz="4" w:space="0"/>
              <w:left w:val="single" w:color="auto" w:sz="4" w:space="0"/>
              <w:bottom w:val="single" w:color="auto" w:sz="4" w:space="0"/>
              <w:right w:val="single" w:color="auto" w:sz="4" w:space="0"/>
            </w:tcBorders>
            <w:vAlign w:val="center"/>
          </w:tcPr>
          <w:p w14:paraId="6916E3D9">
            <w:pPr>
              <w:jc w:val="left"/>
              <w:rPr>
                <w:rFonts w:hint="eastAsia" w:ascii="宋体" w:hAnsi="宋体" w:cs="宋体"/>
                <w:color w:val="auto"/>
                <w:sz w:val="24"/>
                <w:highlight w:val="none"/>
              </w:rPr>
            </w:pPr>
          </w:p>
        </w:tc>
      </w:tr>
      <w:tr w14:paraId="2FCEA06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9" w:hRule="atLeast"/>
        </w:trPr>
        <w:tc>
          <w:tcPr>
            <w:tcW w:w="2133" w:type="dxa"/>
            <w:tcBorders>
              <w:top w:val="single" w:color="auto" w:sz="4" w:space="0"/>
              <w:left w:val="single" w:color="auto" w:sz="4" w:space="0"/>
              <w:bottom w:val="single" w:color="auto" w:sz="4" w:space="0"/>
              <w:right w:val="single" w:color="auto" w:sz="4" w:space="0"/>
            </w:tcBorders>
          </w:tcPr>
          <w:p w14:paraId="3B3A24CA">
            <w:pPr>
              <w:snapToGrid w:val="0"/>
              <w:spacing w:line="240" w:lineRule="exact"/>
              <w:jc w:val="left"/>
              <w:rPr>
                <w:rFonts w:hint="eastAsia" w:ascii="宋体" w:hAnsi="宋体" w:cs="宋体"/>
                <w:color w:val="auto"/>
                <w:sz w:val="24"/>
                <w:highlight w:val="none"/>
              </w:rPr>
            </w:pPr>
          </w:p>
        </w:tc>
        <w:tc>
          <w:tcPr>
            <w:tcW w:w="1770" w:type="dxa"/>
            <w:tcBorders>
              <w:top w:val="single" w:color="auto" w:sz="4" w:space="0"/>
              <w:left w:val="single" w:color="auto" w:sz="4" w:space="0"/>
              <w:bottom w:val="single" w:color="auto" w:sz="4" w:space="0"/>
              <w:right w:val="single" w:color="auto" w:sz="4" w:space="0"/>
            </w:tcBorders>
          </w:tcPr>
          <w:p w14:paraId="218865B3">
            <w:pPr>
              <w:snapToGrid w:val="0"/>
              <w:spacing w:line="240" w:lineRule="exact"/>
              <w:jc w:val="left"/>
              <w:rPr>
                <w:rFonts w:hint="eastAsia" w:ascii="宋体" w:hAnsi="宋体" w:cs="宋体"/>
                <w:color w:val="auto"/>
                <w:sz w:val="24"/>
                <w:highlight w:val="none"/>
              </w:rPr>
            </w:pPr>
          </w:p>
        </w:tc>
        <w:tc>
          <w:tcPr>
            <w:tcW w:w="1770" w:type="dxa"/>
            <w:tcBorders>
              <w:top w:val="single" w:color="auto" w:sz="4" w:space="0"/>
              <w:left w:val="single" w:color="auto" w:sz="4" w:space="0"/>
              <w:bottom w:val="single" w:color="auto" w:sz="4" w:space="0"/>
              <w:right w:val="single" w:color="auto" w:sz="4" w:space="0"/>
            </w:tcBorders>
          </w:tcPr>
          <w:p w14:paraId="15ACE463">
            <w:pPr>
              <w:snapToGrid w:val="0"/>
              <w:spacing w:line="240" w:lineRule="exact"/>
              <w:jc w:val="left"/>
              <w:rPr>
                <w:rFonts w:hint="eastAsia" w:ascii="宋体" w:hAnsi="宋体" w:cs="宋体"/>
                <w:color w:val="auto"/>
                <w:sz w:val="24"/>
                <w:highlight w:val="none"/>
              </w:rPr>
            </w:pPr>
          </w:p>
        </w:tc>
        <w:tc>
          <w:tcPr>
            <w:tcW w:w="2855" w:type="dxa"/>
            <w:tcBorders>
              <w:top w:val="single" w:color="auto" w:sz="4" w:space="0"/>
              <w:left w:val="single" w:color="auto" w:sz="4" w:space="0"/>
              <w:bottom w:val="single" w:color="auto" w:sz="4" w:space="0"/>
              <w:right w:val="single" w:color="auto" w:sz="4" w:space="0"/>
            </w:tcBorders>
          </w:tcPr>
          <w:p w14:paraId="2861029B">
            <w:pPr>
              <w:snapToGrid w:val="0"/>
              <w:spacing w:line="240" w:lineRule="exact"/>
              <w:jc w:val="left"/>
              <w:rPr>
                <w:rFonts w:hint="eastAsia" w:ascii="宋体" w:hAnsi="宋体" w:cs="宋体"/>
                <w:color w:val="auto"/>
                <w:sz w:val="24"/>
                <w:highlight w:val="none"/>
              </w:rPr>
            </w:pPr>
          </w:p>
        </w:tc>
      </w:tr>
      <w:tr w14:paraId="528CD99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133" w:type="dxa"/>
            <w:tcBorders>
              <w:top w:val="single" w:color="auto" w:sz="4" w:space="0"/>
              <w:left w:val="single" w:color="auto" w:sz="4" w:space="0"/>
              <w:bottom w:val="single" w:color="auto" w:sz="4" w:space="0"/>
              <w:right w:val="single" w:color="auto" w:sz="4" w:space="0"/>
            </w:tcBorders>
          </w:tcPr>
          <w:p w14:paraId="3A2657A0">
            <w:pPr>
              <w:snapToGrid w:val="0"/>
              <w:spacing w:before="50" w:after="120" w:afterLines="50" w:line="400" w:lineRule="exact"/>
              <w:jc w:val="left"/>
              <w:rPr>
                <w:rFonts w:hint="eastAsia" w:ascii="宋体" w:hAnsi="宋体" w:cs="宋体"/>
                <w:color w:val="auto"/>
                <w:sz w:val="24"/>
                <w:highlight w:val="none"/>
              </w:rPr>
            </w:pPr>
          </w:p>
        </w:tc>
        <w:tc>
          <w:tcPr>
            <w:tcW w:w="1770" w:type="dxa"/>
            <w:tcBorders>
              <w:top w:val="single" w:color="auto" w:sz="4" w:space="0"/>
              <w:left w:val="single" w:color="auto" w:sz="4" w:space="0"/>
              <w:bottom w:val="single" w:color="auto" w:sz="4" w:space="0"/>
              <w:right w:val="single" w:color="auto" w:sz="4" w:space="0"/>
            </w:tcBorders>
          </w:tcPr>
          <w:p w14:paraId="1D3E7C2C">
            <w:pPr>
              <w:snapToGrid w:val="0"/>
              <w:spacing w:before="50" w:after="120" w:afterLines="50" w:line="400" w:lineRule="exact"/>
              <w:jc w:val="left"/>
              <w:rPr>
                <w:rFonts w:hint="eastAsia" w:ascii="宋体" w:hAnsi="宋体" w:cs="宋体"/>
                <w:color w:val="auto"/>
                <w:sz w:val="24"/>
                <w:highlight w:val="none"/>
              </w:rPr>
            </w:pPr>
          </w:p>
        </w:tc>
        <w:tc>
          <w:tcPr>
            <w:tcW w:w="1770" w:type="dxa"/>
            <w:tcBorders>
              <w:top w:val="single" w:color="auto" w:sz="4" w:space="0"/>
              <w:left w:val="single" w:color="auto" w:sz="4" w:space="0"/>
              <w:bottom w:val="single" w:color="auto" w:sz="4" w:space="0"/>
              <w:right w:val="single" w:color="auto" w:sz="4" w:space="0"/>
            </w:tcBorders>
          </w:tcPr>
          <w:p w14:paraId="668C1D4F">
            <w:pPr>
              <w:snapToGrid w:val="0"/>
              <w:spacing w:before="50" w:after="120" w:afterLines="50" w:line="400" w:lineRule="exact"/>
              <w:jc w:val="left"/>
              <w:rPr>
                <w:rFonts w:hint="eastAsia" w:ascii="宋体" w:hAnsi="宋体" w:cs="宋体"/>
                <w:color w:val="auto"/>
                <w:sz w:val="24"/>
                <w:highlight w:val="none"/>
              </w:rPr>
            </w:pPr>
          </w:p>
        </w:tc>
        <w:tc>
          <w:tcPr>
            <w:tcW w:w="2855" w:type="dxa"/>
            <w:tcBorders>
              <w:top w:val="single" w:color="auto" w:sz="4" w:space="0"/>
              <w:left w:val="single" w:color="auto" w:sz="4" w:space="0"/>
              <w:bottom w:val="single" w:color="auto" w:sz="4" w:space="0"/>
              <w:right w:val="single" w:color="auto" w:sz="4" w:space="0"/>
            </w:tcBorders>
          </w:tcPr>
          <w:p w14:paraId="11A64E8B">
            <w:pPr>
              <w:snapToGrid w:val="0"/>
              <w:spacing w:before="50" w:after="120" w:afterLines="50" w:line="400" w:lineRule="exact"/>
              <w:jc w:val="left"/>
              <w:rPr>
                <w:rFonts w:hint="eastAsia" w:ascii="宋体" w:hAnsi="宋体" w:cs="宋体"/>
                <w:color w:val="auto"/>
                <w:sz w:val="24"/>
                <w:highlight w:val="none"/>
              </w:rPr>
            </w:pPr>
          </w:p>
        </w:tc>
      </w:tr>
      <w:tr w14:paraId="7D87EE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0" w:hRule="atLeast"/>
        </w:trPr>
        <w:tc>
          <w:tcPr>
            <w:tcW w:w="2133" w:type="dxa"/>
            <w:tcBorders>
              <w:top w:val="single" w:color="auto" w:sz="4" w:space="0"/>
              <w:left w:val="single" w:color="auto" w:sz="4" w:space="0"/>
              <w:bottom w:val="single" w:color="auto" w:sz="4" w:space="0"/>
              <w:right w:val="single" w:color="auto" w:sz="4" w:space="0"/>
            </w:tcBorders>
          </w:tcPr>
          <w:p w14:paraId="6790BFBD">
            <w:pPr>
              <w:snapToGrid w:val="0"/>
              <w:spacing w:before="50" w:after="120" w:afterLines="50" w:line="400" w:lineRule="exact"/>
              <w:jc w:val="left"/>
              <w:rPr>
                <w:rFonts w:hint="eastAsia" w:ascii="宋体" w:hAnsi="宋体" w:cs="宋体"/>
                <w:color w:val="auto"/>
                <w:sz w:val="24"/>
                <w:highlight w:val="none"/>
              </w:rPr>
            </w:pPr>
          </w:p>
        </w:tc>
        <w:tc>
          <w:tcPr>
            <w:tcW w:w="1770" w:type="dxa"/>
            <w:tcBorders>
              <w:top w:val="single" w:color="auto" w:sz="4" w:space="0"/>
              <w:left w:val="single" w:color="auto" w:sz="4" w:space="0"/>
              <w:bottom w:val="single" w:color="auto" w:sz="4" w:space="0"/>
              <w:right w:val="single" w:color="auto" w:sz="4" w:space="0"/>
            </w:tcBorders>
          </w:tcPr>
          <w:p w14:paraId="2631D01D">
            <w:pPr>
              <w:snapToGrid w:val="0"/>
              <w:spacing w:before="50" w:after="120" w:afterLines="50" w:line="400" w:lineRule="exact"/>
              <w:jc w:val="left"/>
              <w:rPr>
                <w:rFonts w:hint="eastAsia" w:ascii="宋体" w:hAnsi="宋体" w:cs="宋体"/>
                <w:color w:val="auto"/>
                <w:sz w:val="24"/>
                <w:highlight w:val="none"/>
              </w:rPr>
            </w:pPr>
          </w:p>
        </w:tc>
        <w:tc>
          <w:tcPr>
            <w:tcW w:w="1770" w:type="dxa"/>
            <w:tcBorders>
              <w:top w:val="single" w:color="auto" w:sz="4" w:space="0"/>
              <w:left w:val="single" w:color="auto" w:sz="4" w:space="0"/>
              <w:bottom w:val="single" w:color="auto" w:sz="4" w:space="0"/>
              <w:right w:val="single" w:color="auto" w:sz="4" w:space="0"/>
            </w:tcBorders>
          </w:tcPr>
          <w:p w14:paraId="1EED30E3">
            <w:pPr>
              <w:snapToGrid w:val="0"/>
              <w:spacing w:before="50" w:after="120" w:afterLines="50" w:line="400" w:lineRule="exact"/>
              <w:jc w:val="left"/>
              <w:rPr>
                <w:rFonts w:hint="eastAsia" w:ascii="宋体" w:hAnsi="宋体" w:cs="宋体"/>
                <w:color w:val="auto"/>
                <w:sz w:val="24"/>
                <w:highlight w:val="none"/>
              </w:rPr>
            </w:pPr>
          </w:p>
        </w:tc>
        <w:tc>
          <w:tcPr>
            <w:tcW w:w="2855" w:type="dxa"/>
            <w:tcBorders>
              <w:top w:val="single" w:color="auto" w:sz="4" w:space="0"/>
              <w:left w:val="single" w:color="auto" w:sz="4" w:space="0"/>
              <w:bottom w:val="single" w:color="auto" w:sz="4" w:space="0"/>
              <w:right w:val="single" w:color="auto" w:sz="4" w:space="0"/>
            </w:tcBorders>
          </w:tcPr>
          <w:p w14:paraId="15323ECC">
            <w:pPr>
              <w:snapToGrid w:val="0"/>
              <w:spacing w:before="50" w:after="120" w:afterLines="50" w:line="400" w:lineRule="exact"/>
              <w:jc w:val="left"/>
              <w:rPr>
                <w:rFonts w:hint="eastAsia" w:ascii="宋体" w:hAnsi="宋体" w:cs="宋体"/>
                <w:color w:val="auto"/>
                <w:sz w:val="24"/>
                <w:highlight w:val="none"/>
              </w:rPr>
            </w:pPr>
          </w:p>
        </w:tc>
      </w:tr>
      <w:tr w14:paraId="5EB8D16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133" w:type="dxa"/>
            <w:tcBorders>
              <w:top w:val="single" w:color="auto" w:sz="4" w:space="0"/>
              <w:left w:val="single" w:color="auto" w:sz="4" w:space="0"/>
              <w:bottom w:val="single" w:color="auto" w:sz="4" w:space="0"/>
              <w:right w:val="single" w:color="auto" w:sz="4" w:space="0"/>
            </w:tcBorders>
          </w:tcPr>
          <w:p w14:paraId="64DFB333">
            <w:pPr>
              <w:snapToGrid w:val="0"/>
              <w:spacing w:before="50" w:after="120" w:afterLines="50" w:line="400" w:lineRule="exact"/>
              <w:jc w:val="left"/>
              <w:rPr>
                <w:rFonts w:hint="eastAsia" w:ascii="宋体" w:hAnsi="宋体" w:cs="宋体"/>
                <w:color w:val="auto"/>
                <w:sz w:val="24"/>
                <w:highlight w:val="none"/>
              </w:rPr>
            </w:pPr>
          </w:p>
        </w:tc>
        <w:tc>
          <w:tcPr>
            <w:tcW w:w="1770" w:type="dxa"/>
            <w:tcBorders>
              <w:top w:val="single" w:color="auto" w:sz="4" w:space="0"/>
              <w:left w:val="single" w:color="auto" w:sz="4" w:space="0"/>
              <w:bottom w:val="single" w:color="auto" w:sz="4" w:space="0"/>
              <w:right w:val="single" w:color="auto" w:sz="4" w:space="0"/>
            </w:tcBorders>
          </w:tcPr>
          <w:p w14:paraId="0595F8C4">
            <w:pPr>
              <w:snapToGrid w:val="0"/>
              <w:spacing w:before="50" w:after="120" w:afterLines="50" w:line="400" w:lineRule="exact"/>
              <w:jc w:val="left"/>
              <w:rPr>
                <w:rFonts w:hint="eastAsia" w:ascii="宋体" w:hAnsi="宋体" w:cs="宋体"/>
                <w:color w:val="auto"/>
                <w:sz w:val="24"/>
                <w:highlight w:val="none"/>
              </w:rPr>
            </w:pPr>
          </w:p>
        </w:tc>
        <w:tc>
          <w:tcPr>
            <w:tcW w:w="1770" w:type="dxa"/>
            <w:tcBorders>
              <w:top w:val="single" w:color="auto" w:sz="4" w:space="0"/>
              <w:left w:val="single" w:color="auto" w:sz="4" w:space="0"/>
              <w:bottom w:val="single" w:color="auto" w:sz="4" w:space="0"/>
              <w:right w:val="single" w:color="auto" w:sz="4" w:space="0"/>
            </w:tcBorders>
          </w:tcPr>
          <w:p w14:paraId="1B3045EB">
            <w:pPr>
              <w:snapToGrid w:val="0"/>
              <w:spacing w:before="50" w:after="120" w:afterLines="50" w:line="400" w:lineRule="exact"/>
              <w:jc w:val="left"/>
              <w:rPr>
                <w:rFonts w:hint="eastAsia" w:ascii="宋体" w:hAnsi="宋体" w:cs="宋体"/>
                <w:color w:val="auto"/>
                <w:sz w:val="24"/>
                <w:highlight w:val="none"/>
              </w:rPr>
            </w:pPr>
          </w:p>
        </w:tc>
        <w:tc>
          <w:tcPr>
            <w:tcW w:w="2855" w:type="dxa"/>
            <w:tcBorders>
              <w:top w:val="single" w:color="auto" w:sz="4" w:space="0"/>
              <w:left w:val="single" w:color="auto" w:sz="4" w:space="0"/>
              <w:bottom w:val="single" w:color="auto" w:sz="4" w:space="0"/>
              <w:right w:val="single" w:color="auto" w:sz="4" w:space="0"/>
            </w:tcBorders>
          </w:tcPr>
          <w:p w14:paraId="0DA5050A">
            <w:pPr>
              <w:snapToGrid w:val="0"/>
              <w:spacing w:before="50" w:after="120" w:afterLines="50" w:line="400" w:lineRule="exact"/>
              <w:jc w:val="left"/>
              <w:rPr>
                <w:rFonts w:hint="eastAsia" w:ascii="宋体" w:hAnsi="宋体" w:cs="宋体"/>
                <w:color w:val="auto"/>
                <w:sz w:val="24"/>
                <w:highlight w:val="none"/>
              </w:rPr>
            </w:pPr>
          </w:p>
        </w:tc>
      </w:tr>
      <w:tr w14:paraId="471020F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133" w:type="dxa"/>
            <w:tcBorders>
              <w:top w:val="single" w:color="auto" w:sz="4" w:space="0"/>
              <w:left w:val="single" w:color="auto" w:sz="4" w:space="0"/>
              <w:bottom w:val="single" w:color="auto" w:sz="4" w:space="0"/>
              <w:right w:val="single" w:color="auto" w:sz="4" w:space="0"/>
            </w:tcBorders>
          </w:tcPr>
          <w:p w14:paraId="0CC63151">
            <w:pPr>
              <w:snapToGrid w:val="0"/>
              <w:spacing w:before="50" w:after="120" w:afterLines="50" w:line="400" w:lineRule="exact"/>
              <w:jc w:val="left"/>
              <w:rPr>
                <w:rFonts w:hint="eastAsia" w:ascii="宋体" w:hAnsi="宋体" w:cs="宋体"/>
                <w:color w:val="auto"/>
                <w:sz w:val="24"/>
                <w:highlight w:val="none"/>
              </w:rPr>
            </w:pPr>
          </w:p>
        </w:tc>
        <w:tc>
          <w:tcPr>
            <w:tcW w:w="1770" w:type="dxa"/>
            <w:tcBorders>
              <w:top w:val="single" w:color="auto" w:sz="4" w:space="0"/>
              <w:left w:val="single" w:color="auto" w:sz="4" w:space="0"/>
              <w:bottom w:val="single" w:color="auto" w:sz="4" w:space="0"/>
              <w:right w:val="single" w:color="auto" w:sz="4" w:space="0"/>
            </w:tcBorders>
          </w:tcPr>
          <w:p w14:paraId="1B2D4C12">
            <w:pPr>
              <w:snapToGrid w:val="0"/>
              <w:spacing w:before="50" w:after="120" w:afterLines="50" w:line="400" w:lineRule="exact"/>
              <w:jc w:val="left"/>
              <w:rPr>
                <w:rFonts w:hint="eastAsia" w:ascii="宋体" w:hAnsi="宋体" w:cs="宋体"/>
                <w:color w:val="auto"/>
                <w:sz w:val="24"/>
                <w:highlight w:val="none"/>
              </w:rPr>
            </w:pPr>
          </w:p>
        </w:tc>
        <w:tc>
          <w:tcPr>
            <w:tcW w:w="1770" w:type="dxa"/>
            <w:tcBorders>
              <w:top w:val="single" w:color="auto" w:sz="4" w:space="0"/>
              <w:left w:val="single" w:color="auto" w:sz="4" w:space="0"/>
              <w:bottom w:val="single" w:color="auto" w:sz="4" w:space="0"/>
              <w:right w:val="single" w:color="auto" w:sz="4" w:space="0"/>
            </w:tcBorders>
          </w:tcPr>
          <w:p w14:paraId="64578600">
            <w:pPr>
              <w:snapToGrid w:val="0"/>
              <w:spacing w:before="50" w:after="120" w:afterLines="50" w:line="400" w:lineRule="exact"/>
              <w:jc w:val="left"/>
              <w:rPr>
                <w:rFonts w:hint="eastAsia" w:ascii="宋体" w:hAnsi="宋体" w:cs="宋体"/>
                <w:color w:val="auto"/>
                <w:sz w:val="24"/>
                <w:highlight w:val="none"/>
              </w:rPr>
            </w:pPr>
          </w:p>
        </w:tc>
        <w:tc>
          <w:tcPr>
            <w:tcW w:w="2855" w:type="dxa"/>
            <w:tcBorders>
              <w:top w:val="single" w:color="auto" w:sz="4" w:space="0"/>
              <w:left w:val="single" w:color="auto" w:sz="4" w:space="0"/>
              <w:bottom w:val="single" w:color="auto" w:sz="4" w:space="0"/>
              <w:right w:val="single" w:color="auto" w:sz="4" w:space="0"/>
            </w:tcBorders>
          </w:tcPr>
          <w:p w14:paraId="057C9316">
            <w:pPr>
              <w:snapToGrid w:val="0"/>
              <w:spacing w:before="50" w:after="120" w:afterLines="50" w:line="400" w:lineRule="exact"/>
              <w:jc w:val="left"/>
              <w:rPr>
                <w:rFonts w:hint="eastAsia" w:ascii="宋体" w:hAnsi="宋体" w:cs="宋体"/>
                <w:color w:val="auto"/>
                <w:sz w:val="24"/>
                <w:highlight w:val="none"/>
              </w:rPr>
            </w:pPr>
          </w:p>
        </w:tc>
      </w:tr>
    </w:tbl>
    <w:p w14:paraId="6CF3CE49">
      <w:pPr>
        <w:pStyle w:val="16"/>
        <w:spacing w:before="0" w:after="0" w:line="360" w:lineRule="auto"/>
        <w:contextualSpacing/>
        <w:rPr>
          <w:rFonts w:hint="eastAsia" w:ascii="宋体" w:hAnsi="宋体" w:eastAsia="宋体" w:cs="宋体"/>
          <w:color w:val="auto"/>
          <w:sz w:val="24"/>
          <w:szCs w:val="24"/>
          <w:highlight w:val="none"/>
        </w:rPr>
      </w:pPr>
    </w:p>
    <w:p w14:paraId="4A854FF1">
      <w:pPr>
        <w:pStyle w:val="16"/>
        <w:spacing w:before="0" w:after="0" w:line="360" w:lineRule="auto"/>
        <w:contextualSpacing/>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w:t>
      </w:r>
      <w:r>
        <w:rPr>
          <w:rFonts w:hint="eastAsia" w:ascii="宋体" w:hAnsi="宋体" w:eastAsia="宋体" w:cs="宋体"/>
          <w:color w:val="auto"/>
          <w:sz w:val="24"/>
          <w:highlight w:val="none"/>
        </w:rPr>
        <w:t>投标人根据评标标准具体要求附业绩证明材料。</w:t>
      </w:r>
    </w:p>
    <w:p w14:paraId="5F0CC2A0">
      <w:pPr>
        <w:pStyle w:val="16"/>
        <w:spacing w:before="0" w:after="0" w:line="360" w:lineRule="auto"/>
        <w:contextualSpacing/>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法定代表人或者委托代理人（签字或者电子签名）：</w:t>
      </w:r>
      <w:r>
        <w:rPr>
          <w:rFonts w:hint="eastAsia" w:ascii="宋体" w:hAnsi="宋体" w:eastAsia="宋体" w:cs="宋体"/>
          <w:color w:val="auto"/>
          <w:sz w:val="24"/>
          <w:szCs w:val="24"/>
          <w:highlight w:val="none"/>
          <w:u w:val="single"/>
        </w:rPr>
        <w:t>　　　　　</w:t>
      </w:r>
    </w:p>
    <w:p w14:paraId="13EF65A2">
      <w:pPr>
        <w:spacing w:line="360" w:lineRule="auto"/>
        <w:ind w:right="480"/>
        <w:contextualSpacing/>
        <w:jc w:val="left"/>
        <w:rPr>
          <w:rFonts w:hint="eastAsia" w:ascii="宋体" w:hAnsi="宋体" w:cs="宋体"/>
          <w:color w:val="auto"/>
          <w:sz w:val="24"/>
          <w:szCs w:val="20"/>
          <w:highlight w:val="none"/>
        </w:rPr>
      </w:pPr>
      <w:r>
        <w:rPr>
          <w:rFonts w:hint="eastAsia" w:ascii="宋体" w:hAnsi="宋体" w:cs="宋体"/>
          <w:color w:val="auto"/>
          <w:sz w:val="24"/>
          <w:highlight w:val="none"/>
        </w:rPr>
        <w:t xml:space="preserve">投标人名称（电子签章）：                                                                </w:t>
      </w:r>
      <w:r>
        <w:rPr>
          <w:rFonts w:hint="eastAsia" w:ascii="宋体" w:hAnsi="宋体" w:cs="宋体"/>
          <w:color w:val="auto"/>
          <w:spacing w:val="20"/>
          <w:sz w:val="24"/>
          <w:highlight w:val="none"/>
        </w:rPr>
        <w:t xml:space="preserve">日  期：   </w:t>
      </w:r>
      <w:r>
        <w:rPr>
          <w:rFonts w:hint="eastAsia" w:ascii="宋体" w:hAnsi="宋体" w:cs="宋体"/>
          <w:color w:val="auto"/>
          <w:sz w:val="24"/>
          <w:highlight w:val="none"/>
        </w:rPr>
        <w:t>年    月    日</w:t>
      </w:r>
    </w:p>
    <w:p w14:paraId="4F044238">
      <w:pPr>
        <w:snapToGrid w:val="0"/>
        <w:spacing w:before="50"/>
        <w:ind w:firstLine="480" w:firstLineChars="200"/>
        <w:jc w:val="left"/>
        <w:rPr>
          <w:rFonts w:hint="eastAsia" w:ascii="宋体" w:hAnsi="宋体" w:cs="宋体"/>
          <w:color w:val="auto"/>
          <w:sz w:val="24"/>
          <w:szCs w:val="20"/>
          <w:highlight w:val="none"/>
        </w:rPr>
      </w:pPr>
    </w:p>
    <w:p w14:paraId="0CDE0B83">
      <w:pPr>
        <w:snapToGrid w:val="0"/>
        <w:spacing w:before="50"/>
        <w:jc w:val="left"/>
        <w:rPr>
          <w:rFonts w:hint="eastAsia" w:ascii="宋体" w:hAnsi="宋体" w:cs="宋体"/>
          <w:color w:val="auto"/>
          <w:sz w:val="24"/>
          <w:highlight w:val="none"/>
        </w:rPr>
      </w:pPr>
    </w:p>
    <w:p w14:paraId="4C876D84">
      <w:pPr>
        <w:snapToGrid w:val="0"/>
        <w:spacing w:before="120" w:beforeLines="50"/>
        <w:rPr>
          <w:rFonts w:hint="eastAsia" w:ascii="宋体" w:hAnsi="宋体" w:cs="宋体"/>
          <w:color w:val="auto"/>
          <w:sz w:val="24"/>
          <w:szCs w:val="20"/>
          <w:highlight w:val="none"/>
        </w:rPr>
        <w:sectPr>
          <w:pgSz w:w="11906" w:h="16838"/>
          <w:pgMar w:top="1134" w:right="1134" w:bottom="1134" w:left="1134" w:header="851" w:footer="992" w:gutter="0"/>
          <w:cols w:space="720" w:num="1"/>
          <w:docGrid w:linePitch="312" w:charSpace="0"/>
        </w:sectPr>
      </w:pPr>
    </w:p>
    <w:p w14:paraId="2FA4636F">
      <w:pPr>
        <w:snapToGrid w:val="0"/>
        <w:spacing w:before="120" w:beforeLines="50" w:after="50"/>
        <w:jc w:val="left"/>
        <w:rPr>
          <w:rFonts w:hint="eastAsia" w:ascii="宋体" w:hAnsi="宋体" w:cs="宋体"/>
          <w:b/>
          <w:color w:val="auto"/>
          <w:sz w:val="24"/>
          <w:highlight w:val="none"/>
        </w:rPr>
      </w:pPr>
      <w:bookmarkStart w:id="147" w:name="_Toc19686839"/>
      <w:r>
        <w:rPr>
          <w:rFonts w:hint="eastAsia" w:ascii="宋体" w:hAnsi="宋体" w:cs="宋体"/>
          <w:b/>
          <w:color w:val="auto"/>
          <w:sz w:val="24"/>
          <w:highlight w:val="none"/>
        </w:rPr>
        <w:t>8.技术要求偏离表格式</w:t>
      </w:r>
    </w:p>
    <w:p w14:paraId="6E40F47C">
      <w:pPr>
        <w:snapToGrid w:val="0"/>
        <w:spacing w:before="120" w:beforeLines="50" w:after="50"/>
        <w:ind w:left="142"/>
        <w:jc w:val="left"/>
        <w:rPr>
          <w:rFonts w:hint="eastAsia" w:ascii="宋体" w:hAnsi="宋体" w:cs="宋体"/>
          <w:b/>
          <w:color w:val="auto"/>
          <w:sz w:val="24"/>
          <w:highlight w:val="none"/>
        </w:rPr>
      </w:pPr>
    </w:p>
    <w:p w14:paraId="53D023FA">
      <w:pPr>
        <w:snapToGrid w:val="0"/>
        <w:spacing w:before="120" w:beforeLines="50" w:after="50"/>
        <w:ind w:left="142"/>
        <w:jc w:val="center"/>
        <w:rPr>
          <w:rFonts w:hint="eastAsia" w:ascii="宋体" w:hAnsi="宋体" w:cs="宋体"/>
          <w:b/>
          <w:color w:val="auto"/>
          <w:sz w:val="32"/>
          <w:szCs w:val="32"/>
          <w:highlight w:val="none"/>
        </w:rPr>
      </w:pPr>
      <w:r>
        <w:rPr>
          <w:rFonts w:hint="eastAsia" w:ascii="宋体" w:hAnsi="宋体" w:cs="宋体"/>
          <w:b/>
          <w:color w:val="auto"/>
          <w:sz w:val="32"/>
          <w:szCs w:val="32"/>
          <w:highlight w:val="none"/>
        </w:rPr>
        <w:t>技术要求偏离表</w:t>
      </w:r>
    </w:p>
    <w:p w14:paraId="25495018">
      <w:pPr>
        <w:pStyle w:val="32"/>
        <w:rPr>
          <w:rFonts w:hint="eastAsia" w:hAnsi="宋体" w:cs="宋体"/>
          <w:color w:val="auto"/>
          <w:highlight w:val="none"/>
        </w:rPr>
      </w:pPr>
      <w:r>
        <w:rPr>
          <w:rFonts w:hint="eastAsia" w:hAnsi="宋体" w:cs="宋体"/>
          <w:color w:val="auto"/>
          <w:highlight w:val="none"/>
        </w:rPr>
        <w:t>所投分标：</w:t>
      </w:r>
      <w:r>
        <w:rPr>
          <w:rFonts w:hint="eastAsia" w:hAnsi="宋体" w:cs="宋体"/>
          <w:color w:val="auto"/>
          <w:highlight w:val="none"/>
          <w:u w:val="single"/>
        </w:rPr>
        <w:t xml:space="preserve">     </w:t>
      </w:r>
      <w:r>
        <w:rPr>
          <w:rFonts w:hint="eastAsia" w:hAnsi="宋体" w:cs="宋体"/>
          <w:color w:val="auto"/>
          <w:highlight w:val="none"/>
        </w:rPr>
        <w:t>分标</w:t>
      </w:r>
    </w:p>
    <w:tbl>
      <w:tblPr>
        <w:tblStyle w:val="62"/>
        <w:tblW w:w="89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2142"/>
        <w:gridCol w:w="1833"/>
        <w:gridCol w:w="2180"/>
        <w:gridCol w:w="1933"/>
      </w:tblGrid>
      <w:tr w14:paraId="5FFF5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52" w:type="dxa"/>
            <w:tcBorders>
              <w:top w:val="single" w:color="auto" w:sz="4" w:space="0"/>
              <w:left w:val="single" w:color="auto" w:sz="4" w:space="0"/>
              <w:bottom w:val="single" w:color="auto" w:sz="4" w:space="0"/>
              <w:right w:val="single" w:color="auto" w:sz="4" w:space="0"/>
            </w:tcBorders>
            <w:vAlign w:val="center"/>
          </w:tcPr>
          <w:p w14:paraId="510DA116">
            <w:pPr>
              <w:pStyle w:val="32"/>
              <w:rPr>
                <w:rFonts w:hint="eastAsia" w:hAnsi="宋体" w:cs="宋体"/>
                <w:color w:val="auto"/>
                <w:kern w:val="2"/>
                <w:highlight w:val="none"/>
              </w:rPr>
            </w:pPr>
            <w:r>
              <w:rPr>
                <w:rFonts w:hint="eastAsia" w:hAnsi="宋体" w:cs="宋体"/>
                <w:color w:val="auto"/>
                <w:kern w:val="2"/>
                <w:highlight w:val="none"/>
              </w:rPr>
              <w:t>项号</w:t>
            </w:r>
          </w:p>
        </w:tc>
        <w:tc>
          <w:tcPr>
            <w:tcW w:w="2142" w:type="dxa"/>
            <w:tcBorders>
              <w:top w:val="single" w:color="auto" w:sz="4" w:space="0"/>
              <w:left w:val="single" w:color="auto" w:sz="4" w:space="0"/>
              <w:bottom w:val="single" w:color="auto" w:sz="4" w:space="0"/>
              <w:right w:val="single" w:color="auto" w:sz="4" w:space="0"/>
            </w:tcBorders>
            <w:vAlign w:val="center"/>
          </w:tcPr>
          <w:p w14:paraId="012BB91D">
            <w:pPr>
              <w:pStyle w:val="32"/>
              <w:rPr>
                <w:rFonts w:hint="eastAsia" w:hAnsi="宋体" w:cs="宋体"/>
                <w:color w:val="auto"/>
                <w:kern w:val="2"/>
                <w:highlight w:val="none"/>
              </w:rPr>
            </w:pPr>
            <w:r>
              <w:rPr>
                <w:rFonts w:hint="eastAsia" w:hAnsi="宋体" w:cs="宋体"/>
                <w:color w:val="auto"/>
                <w:kern w:val="2"/>
                <w:highlight w:val="none"/>
              </w:rPr>
              <w:t>标的名称</w:t>
            </w:r>
          </w:p>
        </w:tc>
        <w:tc>
          <w:tcPr>
            <w:tcW w:w="1833" w:type="dxa"/>
            <w:tcBorders>
              <w:top w:val="single" w:color="auto" w:sz="4" w:space="0"/>
              <w:left w:val="single" w:color="auto" w:sz="4" w:space="0"/>
              <w:bottom w:val="single" w:color="auto" w:sz="4" w:space="0"/>
              <w:right w:val="single" w:color="auto" w:sz="4" w:space="0"/>
            </w:tcBorders>
            <w:vAlign w:val="center"/>
          </w:tcPr>
          <w:p w14:paraId="6190E590">
            <w:pPr>
              <w:pStyle w:val="32"/>
              <w:rPr>
                <w:rFonts w:hint="eastAsia" w:hAnsi="宋体" w:cs="宋体"/>
                <w:color w:val="auto"/>
                <w:kern w:val="2"/>
                <w:highlight w:val="none"/>
              </w:rPr>
            </w:pPr>
            <w:r>
              <w:rPr>
                <w:rFonts w:hint="eastAsia" w:hAnsi="宋体" w:cs="宋体"/>
                <w:color w:val="auto"/>
                <w:kern w:val="2"/>
                <w:highlight w:val="none"/>
              </w:rPr>
              <w:t>技术要求</w:t>
            </w:r>
          </w:p>
        </w:tc>
        <w:tc>
          <w:tcPr>
            <w:tcW w:w="2180" w:type="dxa"/>
            <w:tcBorders>
              <w:top w:val="single" w:color="auto" w:sz="4" w:space="0"/>
              <w:left w:val="single" w:color="auto" w:sz="4" w:space="0"/>
              <w:bottom w:val="single" w:color="auto" w:sz="4" w:space="0"/>
              <w:right w:val="single" w:color="auto" w:sz="4" w:space="0"/>
            </w:tcBorders>
            <w:vAlign w:val="center"/>
          </w:tcPr>
          <w:p w14:paraId="621927AC">
            <w:pPr>
              <w:pStyle w:val="32"/>
              <w:rPr>
                <w:rFonts w:hint="eastAsia" w:hAnsi="宋体" w:cs="宋体"/>
                <w:color w:val="auto"/>
                <w:kern w:val="2"/>
                <w:highlight w:val="none"/>
              </w:rPr>
            </w:pPr>
            <w:r>
              <w:rPr>
                <w:rFonts w:hint="eastAsia" w:hAnsi="宋体" w:cs="宋体"/>
                <w:color w:val="auto"/>
                <w:kern w:val="2"/>
                <w:highlight w:val="none"/>
              </w:rPr>
              <w:t>投标响应</w:t>
            </w:r>
          </w:p>
        </w:tc>
        <w:tc>
          <w:tcPr>
            <w:tcW w:w="1933" w:type="dxa"/>
            <w:tcBorders>
              <w:top w:val="single" w:color="auto" w:sz="4" w:space="0"/>
              <w:left w:val="single" w:color="auto" w:sz="4" w:space="0"/>
              <w:bottom w:val="single" w:color="auto" w:sz="4" w:space="0"/>
              <w:right w:val="single" w:color="auto" w:sz="4" w:space="0"/>
            </w:tcBorders>
            <w:vAlign w:val="center"/>
          </w:tcPr>
          <w:p w14:paraId="7B7C6156">
            <w:pPr>
              <w:pStyle w:val="32"/>
              <w:rPr>
                <w:rFonts w:hint="eastAsia" w:hAnsi="宋体" w:cs="宋体"/>
                <w:color w:val="auto"/>
                <w:kern w:val="2"/>
                <w:highlight w:val="none"/>
              </w:rPr>
            </w:pPr>
            <w:r>
              <w:rPr>
                <w:rFonts w:hint="eastAsia" w:hAnsi="宋体" w:cs="宋体"/>
                <w:color w:val="auto"/>
                <w:kern w:val="2"/>
                <w:highlight w:val="none"/>
              </w:rPr>
              <w:t>偏离说明</w:t>
            </w:r>
          </w:p>
        </w:tc>
      </w:tr>
      <w:tr w14:paraId="1D66B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tcBorders>
              <w:top w:val="single" w:color="auto" w:sz="4" w:space="0"/>
              <w:left w:val="single" w:color="auto" w:sz="4" w:space="0"/>
              <w:bottom w:val="single" w:color="auto" w:sz="4" w:space="0"/>
              <w:right w:val="single" w:color="auto" w:sz="4" w:space="0"/>
            </w:tcBorders>
          </w:tcPr>
          <w:p w14:paraId="14C98A80">
            <w:pPr>
              <w:pStyle w:val="32"/>
              <w:rPr>
                <w:rFonts w:hint="eastAsia" w:hAnsi="宋体" w:cs="宋体"/>
                <w:color w:val="auto"/>
                <w:kern w:val="2"/>
                <w:highlight w:val="none"/>
              </w:rPr>
            </w:pPr>
          </w:p>
        </w:tc>
        <w:tc>
          <w:tcPr>
            <w:tcW w:w="2142" w:type="dxa"/>
            <w:tcBorders>
              <w:top w:val="single" w:color="auto" w:sz="4" w:space="0"/>
              <w:left w:val="single" w:color="auto" w:sz="4" w:space="0"/>
              <w:bottom w:val="single" w:color="auto" w:sz="4" w:space="0"/>
              <w:right w:val="single" w:color="auto" w:sz="4" w:space="0"/>
            </w:tcBorders>
            <w:vAlign w:val="center"/>
          </w:tcPr>
          <w:p w14:paraId="1E221F7D">
            <w:pPr>
              <w:pStyle w:val="32"/>
              <w:rPr>
                <w:rFonts w:hint="eastAsia" w:hAnsi="宋体" w:cs="宋体"/>
                <w:color w:val="auto"/>
                <w:kern w:val="2"/>
                <w:highlight w:val="none"/>
              </w:rPr>
            </w:pPr>
          </w:p>
        </w:tc>
        <w:tc>
          <w:tcPr>
            <w:tcW w:w="1833" w:type="dxa"/>
            <w:tcBorders>
              <w:top w:val="single" w:color="auto" w:sz="4" w:space="0"/>
              <w:left w:val="single" w:color="auto" w:sz="4" w:space="0"/>
              <w:bottom w:val="single" w:color="auto" w:sz="4" w:space="0"/>
              <w:right w:val="single" w:color="auto" w:sz="4" w:space="0"/>
            </w:tcBorders>
            <w:vAlign w:val="center"/>
          </w:tcPr>
          <w:p w14:paraId="47BBE33A">
            <w:pPr>
              <w:pStyle w:val="32"/>
              <w:rPr>
                <w:rFonts w:hint="eastAsia" w:hAnsi="宋体" w:cs="宋体"/>
                <w:color w:val="auto"/>
                <w:kern w:val="2"/>
                <w:highlight w:val="none"/>
              </w:rPr>
            </w:pPr>
          </w:p>
        </w:tc>
        <w:tc>
          <w:tcPr>
            <w:tcW w:w="2180" w:type="dxa"/>
            <w:tcBorders>
              <w:top w:val="single" w:color="auto" w:sz="4" w:space="0"/>
              <w:left w:val="single" w:color="auto" w:sz="4" w:space="0"/>
              <w:bottom w:val="single" w:color="auto" w:sz="4" w:space="0"/>
              <w:right w:val="single" w:color="auto" w:sz="4" w:space="0"/>
            </w:tcBorders>
            <w:vAlign w:val="center"/>
          </w:tcPr>
          <w:p w14:paraId="56066235">
            <w:pPr>
              <w:pStyle w:val="32"/>
              <w:rPr>
                <w:rFonts w:hint="eastAsia" w:hAnsi="宋体" w:cs="宋体"/>
                <w:color w:val="auto"/>
                <w:kern w:val="2"/>
                <w:highlight w:val="none"/>
              </w:rPr>
            </w:pPr>
          </w:p>
        </w:tc>
        <w:tc>
          <w:tcPr>
            <w:tcW w:w="1933" w:type="dxa"/>
            <w:tcBorders>
              <w:top w:val="single" w:color="auto" w:sz="4" w:space="0"/>
              <w:left w:val="single" w:color="auto" w:sz="4" w:space="0"/>
              <w:bottom w:val="single" w:color="auto" w:sz="4" w:space="0"/>
              <w:right w:val="single" w:color="auto" w:sz="4" w:space="0"/>
            </w:tcBorders>
            <w:vAlign w:val="center"/>
          </w:tcPr>
          <w:p w14:paraId="6D8E3145">
            <w:pPr>
              <w:pStyle w:val="32"/>
              <w:rPr>
                <w:rFonts w:hint="eastAsia" w:hAnsi="宋体" w:cs="宋体"/>
                <w:color w:val="auto"/>
                <w:kern w:val="2"/>
                <w:highlight w:val="none"/>
              </w:rPr>
            </w:pPr>
          </w:p>
        </w:tc>
      </w:tr>
      <w:tr w14:paraId="7B1E3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tcBorders>
              <w:top w:val="single" w:color="auto" w:sz="4" w:space="0"/>
              <w:left w:val="single" w:color="auto" w:sz="4" w:space="0"/>
              <w:bottom w:val="single" w:color="auto" w:sz="4" w:space="0"/>
              <w:right w:val="single" w:color="auto" w:sz="4" w:space="0"/>
            </w:tcBorders>
          </w:tcPr>
          <w:p w14:paraId="52BAFB8F">
            <w:pPr>
              <w:pStyle w:val="32"/>
              <w:rPr>
                <w:rFonts w:hint="eastAsia" w:hAnsi="宋体" w:cs="宋体"/>
                <w:color w:val="auto"/>
                <w:kern w:val="2"/>
                <w:highlight w:val="none"/>
              </w:rPr>
            </w:pPr>
          </w:p>
        </w:tc>
        <w:tc>
          <w:tcPr>
            <w:tcW w:w="2142" w:type="dxa"/>
            <w:tcBorders>
              <w:top w:val="single" w:color="auto" w:sz="4" w:space="0"/>
              <w:left w:val="single" w:color="auto" w:sz="4" w:space="0"/>
              <w:bottom w:val="single" w:color="auto" w:sz="4" w:space="0"/>
              <w:right w:val="single" w:color="auto" w:sz="4" w:space="0"/>
            </w:tcBorders>
          </w:tcPr>
          <w:p w14:paraId="57DFB55D">
            <w:pPr>
              <w:pStyle w:val="32"/>
              <w:rPr>
                <w:rFonts w:hint="eastAsia" w:hAnsi="宋体" w:cs="宋体"/>
                <w:color w:val="auto"/>
                <w:kern w:val="2"/>
                <w:highlight w:val="none"/>
              </w:rPr>
            </w:pPr>
          </w:p>
        </w:tc>
        <w:tc>
          <w:tcPr>
            <w:tcW w:w="1833" w:type="dxa"/>
            <w:tcBorders>
              <w:top w:val="single" w:color="auto" w:sz="4" w:space="0"/>
              <w:left w:val="single" w:color="auto" w:sz="4" w:space="0"/>
              <w:bottom w:val="single" w:color="auto" w:sz="4" w:space="0"/>
              <w:right w:val="single" w:color="auto" w:sz="4" w:space="0"/>
            </w:tcBorders>
          </w:tcPr>
          <w:p w14:paraId="25473243">
            <w:pPr>
              <w:pStyle w:val="32"/>
              <w:rPr>
                <w:rFonts w:hint="eastAsia" w:hAnsi="宋体" w:cs="宋体"/>
                <w:color w:val="auto"/>
                <w:kern w:val="2"/>
                <w:highlight w:val="none"/>
              </w:rPr>
            </w:pPr>
          </w:p>
        </w:tc>
        <w:tc>
          <w:tcPr>
            <w:tcW w:w="2180" w:type="dxa"/>
            <w:tcBorders>
              <w:top w:val="single" w:color="auto" w:sz="4" w:space="0"/>
              <w:left w:val="single" w:color="auto" w:sz="4" w:space="0"/>
              <w:bottom w:val="single" w:color="auto" w:sz="4" w:space="0"/>
              <w:right w:val="single" w:color="auto" w:sz="4" w:space="0"/>
            </w:tcBorders>
          </w:tcPr>
          <w:p w14:paraId="0D600F5A">
            <w:pPr>
              <w:pStyle w:val="32"/>
              <w:rPr>
                <w:rFonts w:hint="eastAsia" w:hAnsi="宋体" w:cs="宋体"/>
                <w:color w:val="auto"/>
                <w:kern w:val="2"/>
                <w:highlight w:val="none"/>
              </w:rPr>
            </w:pPr>
          </w:p>
        </w:tc>
        <w:tc>
          <w:tcPr>
            <w:tcW w:w="1933" w:type="dxa"/>
            <w:tcBorders>
              <w:top w:val="single" w:color="auto" w:sz="4" w:space="0"/>
              <w:left w:val="single" w:color="auto" w:sz="4" w:space="0"/>
              <w:bottom w:val="single" w:color="auto" w:sz="4" w:space="0"/>
              <w:right w:val="single" w:color="auto" w:sz="4" w:space="0"/>
            </w:tcBorders>
          </w:tcPr>
          <w:p w14:paraId="2B6EC93D">
            <w:pPr>
              <w:pStyle w:val="32"/>
              <w:rPr>
                <w:rFonts w:hint="eastAsia" w:hAnsi="宋体" w:cs="宋体"/>
                <w:color w:val="auto"/>
                <w:kern w:val="2"/>
                <w:highlight w:val="none"/>
              </w:rPr>
            </w:pPr>
          </w:p>
        </w:tc>
      </w:tr>
      <w:tr w14:paraId="7AFDD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tcBorders>
              <w:top w:val="single" w:color="auto" w:sz="4" w:space="0"/>
              <w:left w:val="single" w:color="auto" w:sz="4" w:space="0"/>
              <w:bottom w:val="single" w:color="auto" w:sz="4" w:space="0"/>
              <w:right w:val="single" w:color="auto" w:sz="4" w:space="0"/>
            </w:tcBorders>
          </w:tcPr>
          <w:p w14:paraId="5A3D8A5A">
            <w:pPr>
              <w:pStyle w:val="32"/>
              <w:rPr>
                <w:rFonts w:hint="eastAsia" w:hAnsi="宋体" w:cs="宋体"/>
                <w:color w:val="auto"/>
                <w:kern w:val="2"/>
                <w:highlight w:val="none"/>
              </w:rPr>
            </w:pPr>
          </w:p>
        </w:tc>
        <w:tc>
          <w:tcPr>
            <w:tcW w:w="2142" w:type="dxa"/>
            <w:tcBorders>
              <w:top w:val="single" w:color="auto" w:sz="4" w:space="0"/>
              <w:left w:val="single" w:color="auto" w:sz="4" w:space="0"/>
              <w:bottom w:val="single" w:color="auto" w:sz="4" w:space="0"/>
              <w:right w:val="single" w:color="auto" w:sz="4" w:space="0"/>
            </w:tcBorders>
          </w:tcPr>
          <w:p w14:paraId="5FDACF1D">
            <w:pPr>
              <w:pStyle w:val="32"/>
              <w:rPr>
                <w:rFonts w:hint="eastAsia" w:hAnsi="宋体" w:cs="宋体"/>
                <w:color w:val="auto"/>
                <w:kern w:val="2"/>
                <w:highlight w:val="none"/>
              </w:rPr>
            </w:pPr>
          </w:p>
        </w:tc>
        <w:tc>
          <w:tcPr>
            <w:tcW w:w="1833" w:type="dxa"/>
            <w:tcBorders>
              <w:top w:val="single" w:color="auto" w:sz="4" w:space="0"/>
              <w:left w:val="single" w:color="auto" w:sz="4" w:space="0"/>
              <w:bottom w:val="single" w:color="auto" w:sz="4" w:space="0"/>
              <w:right w:val="single" w:color="auto" w:sz="4" w:space="0"/>
            </w:tcBorders>
          </w:tcPr>
          <w:p w14:paraId="4BDCF51D">
            <w:pPr>
              <w:pStyle w:val="32"/>
              <w:rPr>
                <w:rFonts w:hint="eastAsia" w:hAnsi="宋体" w:cs="宋体"/>
                <w:color w:val="auto"/>
                <w:kern w:val="2"/>
                <w:highlight w:val="none"/>
              </w:rPr>
            </w:pPr>
          </w:p>
        </w:tc>
        <w:tc>
          <w:tcPr>
            <w:tcW w:w="2180" w:type="dxa"/>
            <w:tcBorders>
              <w:top w:val="single" w:color="auto" w:sz="4" w:space="0"/>
              <w:left w:val="single" w:color="auto" w:sz="4" w:space="0"/>
              <w:bottom w:val="single" w:color="auto" w:sz="4" w:space="0"/>
              <w:right w:val="single" w:color="auto" w:sz="4" w:space="0"/>
            </w:tcBorders>
          </w:tcPr>
          <w:p w14:paraId="74A22320">
            <w:pPr>
              <w:pStyle w:val="32"/>
              <w:rPr>
                <w:rFonts w:hint="eastAsia" w:hAnsi="宋体" w:cs="宋体"/>
                <w:color w:val="auto"/>
                <w:kern w:val="2"/>
                <w:highlight w:val="none"/>
              </w:rPr>
            </w:pPr>
          </w:p>
        </w:tc>
        <w:tc>
          <w:tcPr>
            <w:tcW w:w="1933" w:type="dxa"/>
            <w:tcBorders>
              <w:top w:val="single" w:color="auto" w:sz="4" w:space="0"/>
              <w:left w:val="single" w:color="auto" w:sz="4" w:space="0"/>
              <w:bottom w:val="single" w:color="auto" w:sz="4" w:space="0"/>
              <w:right w:val="single" w:color="auto" w:sz="4" w:space="0"/>
            </w:tcBorders>
          </w:tcPr>
          <w:p w14:paraId="2C7CDD35">
            <w:pPr>
              <w:pStyle w:val="32"/>
              <w:rPr>
                <w:rFonts w:hint="eastAsia" w:hAnsi="宋体" w:cs="宋体"/>
                <w:color w:val="auto"/>
                <w:kern w:val="2"/>
                <w:highlight w:val="none"/>
              </w:rPr>
            </w:pPr>
          </w:p>
        </w:tc>
      </w:tr>
      <w:tr w14:paraId="3602C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tcBorders>
              <w:top w:val="single" w:color="auto" w:sz="4" w:space="0"/>
              <w:left w:val="single" w:color="auto" w:sz="4" w:space="0"/>
              <w:bottom w:val="single" w:color="auto" w:sz="4" w:space="0"/>
              <w:right w:val="single" w:color="auto" w:sz="4" w:space="0"/>
            </w:tcBorders>
          </w:tcPr>
          <w:p w14:paraId="4D4BDABD">
            <w:pPr>
              <w:pStyle w:val="32"/>
              <w:rPr>
                <w:rFonts w:hint="eastAsia" w:hAnsi="宋体" w:cs="宋体"/>
                <w:color w:val="auto"/>
                <w:kern w:val="2"/>
                <w:highlight w:val="none"/>
              </w:rPr>
            </w:pPr>
          </w:p>
        </w:tc>
        <w:tc>
          <w:tcPr>
            <w:tcW w:w="2142" w:type="dxa"/>
            <w:tcBorders>
              <w:top w:val="single" w:color="auto" w:sz="4" w:space="0"/>
              <w:left w:val="single" w:color="auto" w:sz="4" w:space="0"/>
              <w:bottom w:val="single" w:color="auto" w:sz="4" w:space="0"/>
              <w:right w:val="single" w:color="auto" w:sz="4" w:space="0"/>
            </w:tcBorders>
          </w:tcPr>
          <w:p w14:paraId="449DB496">
            <w:pPr>
              <w:pStyle w:val="32"/>
              <w:rPr>
                <w:rFonts w:hint="eastAsia" w:hAnsi="宋体" w:cs="宋体"/>
                <w:color w:val="auto"/>
                <w:kern w:val="2"/>
                <w:highlight w:val="none"/>
              </w:rPr>
            </w:pPr>
          </w:p>
        </w:tc>
        <w:tc>
          <w:tcPr>
            <w:tcW w:w="1833" w:type="dxa"/>
            <w:tcBorders>
              <w:top w:val="single" w:color="auto" w:sz="4" w:space="0"/>
              <w:left w:val="single" w:color="auto" w:sz="4" w:space="0"/>
              <w:bottom w:val="single" w:color="auto" w:sz="4" w:space="0"/>
              <w:right w:val="single" w:color="auto" w:sz="4" w:space="0"/>
            </w:tcBorders>
          </w:tcPr>
          <w:p w14:paraId="3497AC31">
            <w:pPr>
              <w:pStyle w:val="32"/>
              <w:rPr>
                <w:rFonts w:hint="eastAsia" w:hAnsi="宋体" w:cs="宋体"/>
                <w:color w:val="auto"/>
                <w:kern w:val="2"/>
                <w:highlight w:val="none"/>
              </w:rPr>
            </w:pPr>
          </w:p>
        </w:tc>
        <w:tc>
          <w:tcPr>
            <w:tcW w:w="2180" w:type="dxa"/>
            <w:tcBorders>
              <w:top w:val="single" w:color="auto" w:sz="4" w:space="0"/>
              <w:left w:val="single" w:color="auto" w:sz="4" w:space="0"/>
              <w:bottom w:val="single" w:color="auto" w:sz="4" w:space="0"/>
              <w:right w:val="single" w:color="auto" w:sz="4" w:space="0"/>
            </w:tcBorders>
          </w:tcPr>
          <w:p w14:paraId="08468446">
            <w:pPr>
              <w:pStyle w:val="32"/>
              <w:rPr>
                <w:rFonts w:hint="eastAsia" w:hAnsi="宋体" w:cs="宋体"/>
                <w:color w:val="auto"/>
                <w:kern w:val="2"/>
                <w:highlight w:val="none"/>
              </w:rPr>
            </w:pPr>
          </w:p>
        </w:tc>
        <w:tc>
          <w:tcPr>
            <w:tcW w:w="1933" w:type="dxa"/>
            <w:tcBorders>
              <w:top w:val="single" w:color="auto" w:sz="4" w:space="0"/>
              <w:left w:val="single" w:color="auto" w:sz="4" w:space="0"/>
              <w:bottom w:val="single" w:color="auto" w:sz="4" w:space="0"/>
              <w:right w:val="single" w:color="auto" w:sz="4" w:space="0"/>
            </w:tcBorders>
          </w:tcPr>
          <w:p w14:paraId="0CA9B247">
            <w:pPr>
              <w:pStyle w:val="32"/>
              <w:rPr>
                <w:rFonts w:hint="eastAsia" w:hAnsi="宋体" w:cs="宋体"/>
                <w:color w:val="auto"/>
                <w:kern w:val="2"/>
                <w:highlight w:val="none"/>
              </w:rPr>
            </w:pPr>
          </w:p>
        </w:tc>
      </w:tr>
      <w:tr w14:paraId="5EDAA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tcBorders>
              <w:top w:val="single" w:color="auto" w:sz="4" w:space="0"/>
              <w:left w:val="single" w:color="auto" w:sz="4" w:space="0"/>
              <w:bottom w:val="single" w:color="auto" w:sz="4" w:space="0"/>
              <w:right w:val="single" w:color="auto" w:sz="4" w:space="0"/>
            </w:tcBorders>
          </w:tcPr>
          <w:p w14:paraId="05149B4D">
            <w:pPr>
              <w:pStyle w:val="32"/>
              <w:rPr>
                <w:rFonts w:hint="eastAsia" w:hAnsi="宋体" w:cs="宋体"/>
                <w:color w:val="auto"/>
                <w:kern w:val="2"/>
                <w:highlight w:val="none"/>
              </w:rPr>
            </w:pPr>
          </w:p>
        </w:tc>
        <w:tc>
          <w:tcPr>
            <w:tcW w:w="2142" w:type="dxa"/>
            <w:tcBorders>
              <w:top w:val="single" w:color="auto" w:sz="4" w:space="0"/>
              <w:left w:val="single" w:color="auto" w:sz="4" w:space="0"/>
              <w:bottom w:val="single" w:color="auto" w:sz="4" w:space="0"/>
              <w:right w:val="single" w:color="auto" w:sz="4" w:space="0"/>
            </w:tcBorders>
          </w:tcPr>
          <w:p w14:paraId="6252E46C">
            <w:pPr>
              <w:pStyle w:val="32"/>
              <w:rPr>
                <w:rFonts w:hint="eastAsia" w:hAnsi="宋体" w:cs="宋体"/>
                <w:color w:val="auto"/>
                <w:kern w:val="2"/>
                <w:highlight w:val="none"/>
              </w:rPr>
            </w:pPr>
          </w:p>
        </w:tc>
        <w:tc>
          <w:tcPr>
            <w:tcW w:w="1833" w:type="dxa"/>
            <w:tcBorders>
              <w:top w:val="single" w:color="auto" w:sz="4" w:space="0"/>
              <w:left w:val="single" w:color="auto" w:sz="4" w:space="0"/>
              <w:bottom w:val="single" w:color="auto" w:sz="4" w:space="0"/>
              <w:right w:val="single" w:color="auto" w:sz="4" w:space="0"/>
            </w:tcBorders>
          </w:tcPr>
          <w:p w14:paraId="10E48F7F">
            <w:pPr>
              <w:pStyle w:val="32"/>
              <w:rPr>
                <w:rFonts w:hint="eastAsia" w:hAnsi="宋体" w:cs="宋体"/>
                <w:color w:val="auto"/>
                <w:kern w:val="2"/>
                <w:highlight w:val="none"/>
              </w:rPr>
            </w:pPr>
          </w:p>
        </w:tc>
        <w:tc>
          <w:tcPr>
            <w:tcW w:w="2180" w:type="dxa"/>
            <w:tcBorders>
              <w:top w:val="single" w:color="auto" w:sz="4" w:space="0"/>
              <w:left w:val="single" w:color="auto" w:sz="4" w:space="0"/>
              <w:bottom w:val="single" w:color="auto" w:sz="4" w:space="0"/>
              <w:right w:val="single" w:color="auto" w:sz="4" w:space="0"/>
            </w:tcBorders>
          </w:tcPr>
          <w:p w14:paraId="11452943">
            <w:pPr>
              <w:pStyle w:val="32"/>
              <w:rPr>
                <w:rFonts w:hint="eastAsia" w:hAnsi="宋体" w:cs="宋体"/>
                <w:color w:val="auto"/>
                <w:kern w:val="2"/>
                <w:highlight w:val="none"/>
              </w:rPr>
            </w:pPr>
          </w:p>
        </w:tc>
        <w:tc>
          <w:tcPr>
            <w:tcW w:w="1933" w:type="dxa"/>
            <w:tcBorders>
              <w:top w:val="single" w:color="auto" w:sz="4" w:space="0"/>
              <w:left w:val="single" w:color="auto" w:sz="4" w:space="0"/>
              <w:bottom w:val="single" w:color="auto" w:sz="4" w:space="0"/>
              <w:right w:val="single" w:color="auto" w:sz="4" w:space="0"/>
            </w:tcBorders>
          </w:tcPr>
          <w:p w14:paraId="0C7D6677">
            <w:pPr>
              <w:pStyle w:val="32"/>
              <w:rPr>
                <w:rFonts w:hint="eastAsia" w:hAnsi="宋体" w:cs="宋体"/>
                <w:color w:val="auto"/>
                <w:kern w:val="2"/>
                <w:highlight w:val="none"/>
              </w:rPr>
            </w:pPr>
          </w:p>
        </w:tc>
      </w:tr>
      <w:tr w14:paraId="1ED92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tcBorders>
              <w:top w:val="single" w:color="auto" w:sz="4" w:space="0"/>
              <w:left w:val="single" w:color="auto" w:sz="4" w:space="0"/>
              <w:bottom w:val="single" w:color="auto" w:sz="4" w:space="0"/>
              <w:right w:val="single" w:color="auto" w:sz="4" w:space="0"/>
            </w:tcBorders>
          </w:tcPr>
          <w:p w14:paraId="1A8E908F">
            <w:pPr>
              <w:pStyle w:val="32"/>
              <w:rPr>
                <w:rFonts w:hint="eastAsia" w:hAnsi="宋体" w:cs="宋体"/>
                <w:color w:val="auto"/>
                <w:kern w:val="2"/>
                <w:highlight w:val="none"/>
              </w:rPr>
            </w:pPr>
          </w:p>
        </w:tc>
        <w:tc>
          <w:tcPr>
            <w:tcW w:w="2142" w:type="dxa"/>
            <w:tcBorders>
              <w:top w:val="single" w:color="auto" w:sz="4" w:space="0"/>
              <w:left w:val="single" w:color="auto" w:sz="4" w:space="0"/>
              <w:bottom w:val="single" w:color="auto" w:sz="4" w:space="0"/>
              <w:right w:val="single" w:color="auto" w:sz="4" w:space="0"/>
            </w:tcBorders>
          </w:tcPr>
          <w:p w14:paraId="3AE0543D">
            <w:pPr>
              <w:pStyle w:val="32"/>
              <w:rPr>
                <w:rFonts w:hint="eastAsia" w:hAnsi="宋体" w:cs="宋体"/>
                <w:color w:val="auto"/>
                <w:kern w:val="2"/>
                <w:highlight w:val="none"/>
              </w:rPr>
            </w:pPr>
          </w:p>
        </w:tc>
        <w:tc>
          <w:tcPr>
            <w:tcW w:w="1833" w:type="dxa"/>
            <w:tcBorders>
              <w:top w:val="single" w:color="auto" w:sz="4" w:space="0"/>
              <w:left w:val="single" w:color="auto" w:sz="4" w:space="0"/>
              <w:bottom w:val="single" w:color="auto" w:sz="4" w:space="0"/>
              <w:right w:val="single" w:color="auto" w:sz="4" w:space="0"/>
            </w:tcBorders>
          </w:tcPr>
          <w:p w14:paraId="7942DBE2">
            <w:pPr>
              <w:pStyle w:val="32"/>
              <w:rPr>
                <w:rFonts w:hint="eastAsia" w:hAnsi="宋体" w:cs="宋体"/>
                <w:color w:val="auto"/>
                <w:kern w:val="2"/>
                <w:highlight w:val="none"/>
              </w:rPr>
            </w:pPr>
          </w:p>
        </w:tc>
        <w:tc>
          <w:tcPr>
            <w:tcW w:w="2180" w:type="dxa"/>
            <w:tcBorders>
              <w:top w:val="single" w:color="auto" w:sz="4" w:space="0"/>
              <w:left w:val="single" w:color="auto" w:sz="4" w:space="0"/>
              <w:bottom w:val="single" w:color="auto" w:sz="4" w:space="0"/>
              <w:right w:val="single" w:color="auto" w:sz="4" w:space="0"/>
            </w:tcBorders>
          </w:tcPr>
          <w:p w14:paraId="2FA51716">
            <w:pPr>
              <w:pStyle w:val="32"/>
              <w:rPr>
                <w:rFonts w:hint="eastAsia" w:hAnsi="宋体" w:cs="宋体"/>
                <w:color w:val="auto"/>
                <w:kern w:val="2"/>
                <w:highlight w:val="none"/>
              </w:rPr>
            </w:pPr>
          </w:p>
        </w:tc>
        <w:tc>
          <w:tcPr>
            <w:tcW w:w="1933" w:type="dxa"/>
            <w:tcBorders>
              <w:top w:val="single" w:color="auto" w:sz="4" w:space="0"/>
              <w:left w:val="single" w:color="auto" w:sz="4" w:space="0"/>
              <w:bottom w:val="single" w:color="auto" w:sz="4" w:space="0"/>
              <w:right w:val="single" w:color="auto" w:sz="4" w:space="0"/>
            </w:tcBorders>
          </w:tcPr>
          <w:p w14:paraId="7FA034B8">
            <w:pPr>
              <w:pStyle w:val="32"/>
              <w:rPr>
                <w:rFonts w:hint="eastAsia" w:hAnsi="宋体" w:cs="宋体"/>
                <w:color w:val="auto"/>
                <w:kern w:val="2"/>
                <w:highlight w:val="none"/>
              </w:rPr>
            </w:pPr>
          </w:p>
        </w:tc>
      </w:tr>
      <w:tr w14:paraId="1B185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tcBorders>
              <w:top w:val="single" w:color="auto" w:sz="4" w:space="0"/>
              <w:left w:val="single" w:color="auto" w:sz="4" w:space="0"/>
              <w:bottom w:val="single" w:color="auto" w:sz="4" w:space="0"/>
              <w:right w:val="single" w:color="auto" w:sz="4" w:space="0"/>
            </w:tcBorders>
          </w:tcPr>
          <w:p w14:paraId="47BAB10F">
            <w:pPr>
              <w:pStyle w:val="32"/>
              <w:rPr>
                <w:rFonts w:hint="eastAsia" w:hAnsi="宋体" w:cs="宋体"/>
                <w:color w:val="auto"/>
                <w:kern w:val="2"/>
                <w:highlight w:val="none"/>
              </w:rPr>
            </w:pPr>
          </w:p>
        </w:tc>
        <w:tc>
          <w:tcPr>
            <w:tcW w:w="2142" w:type="dxa"/>
            <w:tcBorders>
              <w:top w:val="single" w:color="auto" w:sz="4" w:space="0"/>
              <w:left w:val="single" w:color="auto" w:sz="4" w:space="0"/>
              <w:bottom w:val="single" w:color="auto" w:sz="4" w:space="0"/>
              <w:right w:val="single" w:color="auto" w:sz="4" w:space="0"/>
            </w:tcBorders>
          </w:tcPr>
          <w:p w14:paraId="5DEBFE71">
            <w:pPr>
              <w:pStyle w:val="32"/>
              <w:rPr>
                <w:rFonts w:hint="eastAsia" w:hAnsi="宋体" w:cs="宋体"/>
                <w:color w:val="auto"/>
                <w:kern w:val="2"/>
                <w:highlight w:val="none"/>
              </w:rPr>
            </w:pPr>
          </w:p>
        </w:tc>
        <w:tc>
          <w:tcPr>
            <w:tcW w:w="1833" w:type="dxa"/>
            <w:tcBorders>
              <w:top w:val="single" w:color="auto" w:sz="4" w:space="0"/>
              <w:left w:val="single" w:color="auto" w:sz="4" w:space="0"/>
              <w:bottom w:val="single" w:color="auto" w:sz="4" w:space="0"/>
              <w:right w:val="single" w:color="auto" w:sz="4" w:space="0"/>
            </w:tcBorders>
          </w:tcPr>
          <w:p w14:paraId="106A6959">
            <w:pPr>
              <w:pStyle w:val="32"/>
              <w:rPr>
                <w:rFonts w:hint="eastAsia" w:hAnsi="宋体" w:cs="宋体"/>
                <w:color w:val="auto"/>
                <w:kern w:val="2"/>
                <w:highlight w:val="none"/>
              </w:rPr>
            </w:pPr>
          </w:p>
        </w:tc>
        <w:tc>
          <w:tcPr>
            <w:tcW w:w="2180" w:type="dxa"/>
            <w:tcBorders>
              <w:top w:val="single" w:color="auto" w:sz="4" w:space="0"/>
              <w:left w:val="single" w:color="auto" w:sz="4" w:space="0"/>
              <w:bottom w:val="single" w:color="auto" w:sz="4" w:space="0"/>
              <w:right w:val="single" w:color="auto" w:sz="4" w:space="0"/>
            </w:tcBorders>
          </w:tcPr>
          <w:p w14:paraId="5DD62B61">
            <w:pPr>
              <w:pStyle w:val="32"/>
              <w:rPr>
                <w:rFonts w:hint="eastAsia" w:hAnsi="宋体" w:cs="宋体"/>
                <w:color w:val="auto"/>
                <w:kern w:val="2"/>
                <w:highlight w:val="none"/>
              </w:rPr>
            </w:pPr>
          </w:p>
        </w:tc>
        <w:tc>
          <w:tcPr>
            <w:tcW w:w="1933" w:type="dxa"/>
            <w:tcBorders>
              <w:top w:val="single" w:color="auto" w:sz="4" w:space="0"/>
              <w:left w:val="single" w:color="auto" w:sz="4" w:space="0"/>
              <w:bottom w:val="single" w:color="auto" w:sz="4" w:space="0"/>
              <w:right w:val="single" w:color="auto" w:sz="4" w:space="0"/>
            </w:tcBorders>
          </w:tcPr>
          <w:p w14:paraId="18443014">
            <w:pPr>
              <w:pStyle w:val="32"/>
              <w:rPr>
                <w:rFonts w:hint="eastAsia" w:hAnsi="宋体" w:cs="宋体"/>
                <w:color w:val="auto"/>
                <w:kern w:val="2"/>
                <w:highlight w:val="none"/>
              </w:rPr>
            </w:pPr>
          </w:p>
        </w:tc>
      </w:tr>
    </w:tbl>
    <w:p w14:paraId="23DDEEB4">
      <w:pPr>
        <w:pStyle w:val="21"/>
        <w:spacing w:line="360" w:lineRule="auto"/>
        <w:rPr>
          <w:rFonts w:hint="eastAsia" w:ascii="宋体" w:hAnsi="宋体" w:cs="宋体"/>
          <w:color w:val="auto"/>
          <w:highlight w:val="none"/>
        </w:rPr>
      </w:pPr>
      <w:r>
        <w:rPr>
          <w:rFonts w:hint="eastAsia" w:ascii="宋体" w:hAnsi="宋体" w:cs="宋体"/>
          <w:color w:val="auto"/>
          <w:highlight w:val="none"/>
        </w:rPr>
        <w:t>注：</w:t>
      </w:r>
    </w:p>
    <w:p w14:paraId="2362630A">
      <w:pPr>
        <w:pStyle w:val="25"/>
        <w:spacing w:line="360" w:lineRule="auto"/>
        <w:ind w:firstLine="0" w:firstLineChars="0"/>
        <w:rPr>
          <w:rFonts w:hint="eastAsia" w:ascii="宋体" w:hAnsi="宋体" w:eastAsia="宋体" w:cs="宋体"/>
          <w:color w:val="auto"/>
          <w:szCs w:val="32"/>
          <w:highlight w:val="none"/>
        </w:rPr>
      </w:pPr>
      <w:r>
        <w:rPr>
          <w:rFonts w:hint="eastAsia" w:ascii="宋体" w:hAnsi="宋体" w:eastAsia="宋体" w:cs="宋体"/>
          <w:color w:val="auto"/>
          <w:sz w:val="24"/>
          <w:szCs w:val="24"/>
          <w:highlight w:val="none"/>
        </w:rPr>
        <w:t>1. 说明：应对照招标文件“第二章 采购需求”中的采购需求、技术要求逐条作明确的投标响应，并作出偏离说明。</w:t>
      </w:r>
    </w:p>
    <w:p w14:paraId="4F88B982">
      <w:pPr>
        <w:pStyle w:val="21"/>
        <w:spacing w:line="360" w:lineRule="auto"/>
        <w:rPr>
          <w:rFonts w:hint="eastAsia" w:ascii="宋体" w:hAnsi="宋体" w:cs="宋体"/>
          <w:color w:val="auto"/>
          <w:highlight w:val="none"/>
        </w:rPr>
      </w:pPr>
      <w:r>
        <w:rPr>
          <w:rFonts w:hint="eastAsia" w:ascii="宋体" w:hAnsi="宋体" w:cs="宋体"/>
          <w:b w:val="0"/>
          <w:bCs w:val="0"/>
          <w:color w:val="auto"/>
          <w:highlight w:val="none"/>
        </w:rPr>
        <w:t>2.投标人应根据自身的承诺，对照招标文件要求，在“偏离说明”中注明“</w:t>
      </w:r>
      <w:r>
        <w:rPr>
          <w:rFonts w:hint="eastAsia" w:ascii="宋体" w:hAnsi="宋体" w:cs="宋体"/>
          <w:color w:val="auto"/>
          <w:highlight w:val="none"/>
        </w:rPr>
        <w:t>正偏离</w:t>
      </w:r>
      <w:r>
        <w:rPr>
          <w:rFonts w:hint="eastAsia" w:ascii="宋体" w:hAnsi="宋体" w:cs="宋体"/>
          <w:b w:val="0"/>
          <w:bCs w:val="0"/>
          <w:color w:val="auto"/>
          <w:highlight w:val="none"/>
        </w:rPr>
        <w:t>”、“</w:t>
      </w:r>
      <w:r>
        <w:rPr>
          <w:rFonts w:hint="eastAsia" w:ascii="宋体" w:hAnsi="宋体" w:cs="宋体"/>
          <w:color w:val="auto"/>
          <w:highlight w:val="none"/>
        </w:rPr>
        <w:t>负偏离</w:t>
      </w:r>
      <w:r>
        <w:rPr>
          <w:rFonts w:hint="eastAsia" w:ascii="宋体" w:hAnsi="宋体" w:cs="宋体"/>
          <w:b w:val="0"/>
          <w:bCs w:val="0"/>
          <w:color w:val="auto"/>
          <w:highlight w:val="none"/>
        </w:rPr>
        <w:t>”或者“</w:t>
      </w:r>
      <w:r>
        <w:rPr>
          <w:rFonts w:hint="eastAsia" w:ascii="宋体" w:hAnsi="宋体" w:cs="宋体"/>
          <w:color w:val="auto"/>
          <w:highlight w:val="none"/>
        </w:rPr>
        <w:t>无偏离</w:t>
      </w:r>
      <w:r>
        <w:rPr>
          <w:rFonts w:hint="eastAsia" w:ascii="宋体" w:hAnsi="宋体" w:cs="宋体"/>
          <w:b w:val="0"/>
          <w:bCs w:val="0"/>
          <w:color w:val="auto"/>
          <w:highlight w:val="none"/>
        </w:rPr>
        <w:t>”。既不属于“</w:t>
      </w:r>
      <w:r>
        <w:rPr>
          <w:rFonts w:hint="eastAsia" w:ascii="宋体" w:hAnsi="宋体" w:cs="宋体"/>
          <w:color w:val="auto"/>
          <w:highlight w:val="none"/>
        </w:rPr>
        <w:t>正偏离</w:t>
      </w:r>
      <w:r>
        <w:rPr>
          <w:rFonts w:hint="eastAsia" w:ascii="宋体" w:hAnsi="宋体" w:cs="宋体"/>
          <w:b w:val="0"/>
          <w:bCs w:val="0"/>
          <w:color w:val="auto"/>
          <w:highlight w:val="none"/>
        </w:rPr>
        <w:t>”也不属于“</w:t>
      </w:r>
      <w:r>
        <w:rPr>
          <w:rFonts w:hint="eastAsia" w:ascii="宋体" w:hAnsi="宋体" w:cs="宋体"/>
          <w:color w:val="auto"/>
          <w:highlight w:val="none"/>
        </w:rPr>
        <w:t>负偏离</w:t>
      </w:r>
      <w:r>
        <w:rPr>
          <w:rFonts w:hint="eastAsia" w:ascii="宋体" w:hAnsi="宋体" w:cs="宋体"/>
          <w:b w:val="0"/>
          <w:bCs w:val="0"/>
          <w:color w:val="auto"/>
          <w:highlight w:val="none"/>
        </w:rPr>
        <w:t>”即为“</w:t>
      </w:r>
      <w:r>
        <w:rPr>
          <w:rFonts w:hint="eastAsia" w:ascii="宋体" w:hAnsi="宋体" w:cs="宋体"/>
          <w:color w:val="auto"/>
          <w:highlight w:val="none"/>
        </w:rPr>
        <w:t>无偏离</w:t>
      </w:r>
      <w:r>
        <w:rPr>
          <w:rFonts w:hint="eastAsia" w:ascii="宋体" w:hAnsi="宋体" w:cs="宋体"/>
          <w:b w:val="0"/>
          <w:bCs w:val="0"/>
          <w:color w:val="auto"/>
          <w:highlight w:val="none"/>
        </w:rPr>
        <w:t>”。</w:t>
      </w:r>
    </w:p>
    <w:p w14:paraId="22032342">
      <w:pPr>
        <w:pStyle w:val="21"/>
        <w:spacing w:line="360" w:lineRule="auto"/>
        <w:rPr>
          <w:rFonts w:hint="eastAsia" w:ascii="宋体" w:hAnsi="宋体" w:cs="宋体"/>
          <w:color w:val="auto"/>
          <w:spacing w:val="20"/>
          <w:highlight w:val="none"/>
        </w:rPr>
      </w:pPr>
    </w:p>
    <w:p w14:paraId="260A134E">
      <w:pPr>
        <w:spacing w:line="360" w:lineRule="auto"/>
        <w:rPr>
          <w:rFonts w:hint="eastAsia" w:ascii="宋体" w:hAnsi="宋体" w:cs="宋体"/>
          <w:color w:val="auto"/>
          <w:spacing w:val="20"/>
          <w:sz w:val="24"/>
          <w:highlight w:val="none"/>
          <w:u w:val="single"/>
        </w:rPr>
      </w:pPr>
      <w:r>
        <w:rPr>
          <w:rFonts w:hint="eastAsia" w:ascii="宋体" w:hAnsi="宋体" w:cs="宋体"/>
          <w:color w:val="auto"/>
          <w:sz w:val="24"/>
          <w:highlight w:val="none"/>
        </w:rPr>
        <w:t>法定代表人或者委托代理人</w:t>
      </w:r>
      <w:r>
        <w:rPr>
          <w:rFonts w:hint="eastAsia" w:ascii="宋体" w:hAnsi="宋体" w:cs="宋体"/>
          <w:color w:val="auto"/>
          <w:spacing w:val="20"/>
          <w:sz w:val="24"/>
          <w:highlight w:val="none"/>
        </w:rPr>
        <w:t>（签字或者电子签名）：</w:t>
      </w:r>
      <w:r>
        <w:rPr>
          <w:rFonts w:hint="eastAsia" w:ascii="宋体" w:hAnsi="宋体" w:cs="宋体"/>
          <w:color w:val="auto"/>
          <w:spacing w:val="20"/>
          <w:sz w:val="24"/>
          <w:highlight w:val="none"/>
          <w:u w:val="single"/>
        </w:rPr>
        <w:t xml:space="preserve">        </w:t>
      </w:r>
    </w:p>
    <w:p w14:paraId="0AB1AF05">
      <w:pPr>
        <w:spacing w:line="360" w:lineRule="auto"/>
        <w:rPr>
          <w:rFonts w:hint="eastAsia" w:ascii="宋体" w:hAnsi="宋体" w:cs="宋体"/>
          <w:color w:val="auto"/>
          <w:spacing w:val="20"/>
          <w:sz w:val="24"/>
          <w:highlight w:val="none"/>
        </w:rPr>
      </w:pPr>
      <w:r>
        <w:rPr>
          <w:rFonts w:hint="eastAsia" w:ascii="宋体" w:hAnsi="宋体" w:cs="宋体"/>
          <w:color w:val="auto"/>
          <w:spacing w:val="20"/>
          <w:sz w:val="24"/>
          <w:highlight w:val="none"/>
        </w:rPr>
        <w:t>投标人名称（电子签章）：</w:t>
      </w:r>
      <w:r>
        <w:rPr>
          <w:rFonts w:hint="eastAsia" w:ascii="宋体" w:hAnsi="宋体" w:cs="宋体"/>
          <w:color w:val="auto"/>
          <w:spacing w:val="20"/>
          <w:sz w:val="24"/>
          <w:highlight w:val="none"/>
          <w:u w:val="single"/>
        </w:rPr>
        <w:t xml:space="preserve">            </w:t>
      </w:r>
      <w:r>
        <w:rPr>
          <w:rFonts w:hint="eastAsia" w:ascii="宋体" w:hAnsi="宋体" w:cs="宋体"/>
          <w:color w:val="auto"/>
          <w:spacing w:val="20"/>
          <w:sz w:val="24"/>
          <w:highlight w:val="none"/>
        </w:rPr>
        <w:t xml:space="preserve">              </w:t>
      </w:r>
    </w:p>
    <w:p w14:paraId="7A687E94">
      <w:pPr>
        <w:spacing w:line="360" w:lineRule="auto"/>
        <w:rPr>
          <w:rFonts w:hint="eastAsia" w:ascii="宋体" w:hAnsi="宋体" w:cs="宋体"/>
          <w:color w:val="auto"/>
          <w:sz w:val="24"/>
          <w:szCs w:val="20"/>
          <w:highlight w:val="none"/>
        </w:rPr>
      </w:pPr>
      <w:r>
        <w:rPr>
          <w:rFonts w:hint="eastAsia" w:ascii="宋体" w:hAnsi="宋体" w:cs="宋体"/>
          <w:color w:val="auto"/>
          <w:spacing w:val="20"/>
          <w:sz w:val="24"/>
          <w:highlight w:val="none"/>
        </w:rPr>
        <w:t xml:space="preserve">日  期：    </w:t>
      </w:r>
      <w:r>
        <w:rPr>
          <w:rFonts w:hint="eastAsia" w:ascii="宋体" w:hAnsi="宋体" w:cs="宋体"/>
          <w:color w:val="auto"/>
          <w:sz w:val="24"/>
          <w:highlight w:val="none"/>
        </w:rPr>
        <w:t>年    月    日</w:t>
      </w:r>
    </w:p>
    <w:p w14:paraId="318F76EC">
      <w:pPr>
        <w:spacing w:line="360" w:lineRule="auto"/>
        <w:rPr>
          <w:rFonts w:hint="eastAsia" w:ascii="宋体" w:hAnsi="宋体" w:cs="宋体"/>
          <w:color w:val="auto"/>
          <w:spacing w:val="20"/>
          <w:sz w:val="24"/>
          <w:highlight w:val="none"/>
          <w:u w:val="single"/>
        </w:rPr>
      </w:pPr>
    </w:p>
    <w:p w14:paraId="18587B81">
      <w:pPr>
        <w:spacing w:line="360" w:lineRule="auto"/>
        <w:rPr>
          <w:rFonts w:hint="eastAsia" w:ascii="宋体" w:hAnsi="宋体" w:cs="宋体"/>
          <w:color w:val="auto"/>
          <w:sz w:val="24"/>
          <w:szCs w:val="20"/>
          <w:highlight w:val="none"/>
        </w:rPr>
      </w:pPr>
    </w:p>
    <w:p w14:paraId="2F2E61BA">
      <w:pPr>
        <w:snapToGrid w:val="0"/>
        <w:spacing w:before="120" w:beforeLines="50" w:after="50"/>
        <w:ind w:left="142"/>
        <w:jc w:val="left"/>
        <w:rPr>
          <w:rFonts w:hint="eastAsia" w:ascii="宋体" w:hAnsi="宋体" w:cs="宋体"/>
          <w:b/>
          <w:color w:val="auto"/>
          <w:sz w:val="24"/>
          <w:highlight w:val="none"/>
        </w:rPr>
      </w:pPr>
      <w:r>
        <w:rPr>
          <w:rFonts w:hint="eastAsia" w:ascii="宋体" w:hAnsi="宋体" w:cs="宋体"/>
          <w:b/>
          <w:color w:val="auto"/>
          <w:sz w:val="24"/>
          <w:highlight w:val="none"/>
        </w:rPr>
        <w:br w:type="page"/>
      </w:r>
      <w:r>
        <w:rPr>
          <w:rFonts w:hint="eastAsia" w:ascii="宋体" w:hAnsi="宋体" w:cs="宋体"/>
          <w:b/>
          <w:color w:val="auto"/>
          <w:sz w:val="24"/>
          <w:highlight w:val="none"/>
        </w:rPr>
        <w:t>9.项目实施人员一览表格式</w:t>
      </w:r>
    </w:p>
    <w:p w14:paraId="35307B95">
      <w:pPr>
        <w:snapToGrid w:val="0"/>
        <w:spacing w:before="120" w:beforeLines="50" w:after="50"/>
        <w:ind w:left="142"/>
        <w:jc w:val="left"/>
        <w:rPr>
          <w:rFonts w:hint="eastAsia" w:ascii="宋体" w:hAnsi="宋体" w:cs="宋体"/>
          <w:b/>
          <w:color w:val="auto"/>
          <w:sz w:val="24"/>
          <w:highlight w:val="none"/>
        </w:rPr>
      </w:pPr>
    </w:p>
    <w:p w14:paraId="37E01D32">
      <w:pPr>
        <w:snapToGrid w:val="0"/>
        <w:spacing w:before="120" w:beforeLines="50" w:after="50"/>
        <w:ind w:left="142"/>
        <w:jc w:val="center"/>
        <w:rPr>
          <w:rFonts w:hint="eastAsia" w:ascii="宋体" w:hAnsi="宋体" w:cs="宋体"/>
          <w:b/>
          <w:color w:val="auto"/>
          <w:sz w:val="32"/>
          <w:szCs w:val="32"/>
          <w:highlight w:val="none"/>
        </w:rPr>
      </w:pPr>
      <w:r>
        <w:rPr>
          <w:rFonts w:hint="eastAsia" w:ascii="宋体" w:hAnsi="宋体" w:cs="宋体"/>
          <w:b/>
          <w:color w:val="auto"/>
          <w:sz w:val="32"/>
          <w:szCs w:val="32"/>
          <w:highlight w:val="none"/>
        </w:rPr>
        <w:t>项目实施人员一览表</w:t>
      </w:r>
    </w:p>
    <w:p w14:paraId="6BA63E52">
      <w:pPr>
        <w:pStyle w:val="32"/>
        <w:rPr>
          <w:rFonts w:hint="eastAsia" w:hAnsi="宋体" w:cs="宋体"/>
          <w:color w:val="auto"/>
          <w:highlight w:val="none"/>
        </w:rPr>
      </w:pPr>
      <w:r>
        <w:rPr>
          <w:rFonts w:hint="eastAsia" w:hAnsi="宋体" w:cs="宋体"/>
          <w:color w:val="auto"/>
          <w:highlight w:val="none"/>
        </w:rPr>
        <w:t>所投分标：</w:t>
      </w:r>
      <w:r>
        <w:rPr>
          <w:rFonts w:hint="eastAsia" w:hAnsi="宋体" w:cs="宋体"/>
          <w:color w:val="auto"/>
          <w:highlight w:val="none"/>
          <w:u w:val="single"/>
        </w:rPr>
        <w:t xml:space="preserve">     </w:t>
      </w:r>
      <w:r>
        <w:rPr>
          <w:rFonts w:hint="eastAsia" w:hAnsi="宋体" w:cs="宋体"/>
          <w:color w:val="auto"/>
          <w:highlight w:val="none"/>
        </w:rPr>
        <w:t>分标</w:t>
      </w:r>
    </w:p>
    <w:tbl>
      <w:tblPr>
        <w:tblStyle w:val="62"/>
        <w:tblW w:w="91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7"/>
        <w:gridCol w:w="796"/>
        <w:gridCol w:w="1911"/>
        <w:gridCol w:w="1595"/>
        <w:gridCol w:w="1907"/>
        <w:gridCol w:w="2070"/>
      </w:tblGrid>
      <w:tr w14:paraId="0C6C6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8" w:hRule="atLeast"/>
        </w:trPr>
        <w:tc>
          <w:tcPr>
            <w:tcW w:w="917" w:type="dxa"/>
            <w:tcBorders>
              <w:top w:val="single" w:color="auto" w:sz="4" w:space="0"/>
              <w:left w:val="single" w:color="auto" w:sz="4" w:space="0"/>
              <w:bottom w:val="single" w:color="auto" w:sz="4" w:space="0"/>
              <w:right w:val="single" w:color="auto" w:sz="4" w:space="0"/>
            </w:tcBorders>
            <w:vAlign w:val="center"/>
          </w:tcPr>
          <w:p w14:paraId="738A9AB8">
            <w:pPr>
              <w:snapToGrid w:val="0"/>
              <w:spacing w:before="50" w:after="120" w:afterLines="50"/>
              <w:jc w:val="center"/>
              <w:rPr>
                <w:rFonts w:hint="eastAsia" w:ascii="宋体" w:hAnsi="宋体" w:cs="宋体"/>
                <w:color w:val="auto"/>
                <w:sz w:val="24"/>
                <w:szCs w:val="20"/>
                <w:highlight w:val="none"/>
              </w:rPr>
            </w:pPr>
            <w:r>
              <w:rPr>
                <w:rFonts w:hint="eastAsia" w:ascii="宋体" w:hAnsi="宋体" w:cs="宋体"/>
                <w:color w:val="auto"/>
                <w:sz w:val="24"/>
                <w:szCs w:val="20"/>
                <w:highlight w:val="none"/>
              </w:rPr>
              <w:t>姓名</w:t>
            </w:r>
          </w:p>
        </w:tc>
        <w:tc>
          <w:tcPr>
            <w:tcW w:w="796" w:type="dxa"/>
            <w:tcBorders>
              <w:top w:val="single" w:color="auto" w:sz="4" w:space="0"/>
              <w:left w:val="single" w:color="auto" w:sz="4" w:space="0"/>
              <w:bottom w:val="single" w:color="auto" w:sz="4" w:space="0"/>
              <w:right w:val="single" w:color="auto" w:sz="4" w:space="0"/>
            </w:tcBorders>
            <w:vAlign w:val="center"/>
          </w:tcPr>
          <w:p w14:paraId="4014D0E1">
            <w:pPr>
              <w:snapToGrid w:val="0"/>
              <w:spacing w:before="50" w:after="120" w:afterLines="50"/>
              <w:jc w:val="center"/>
              <w:rPr>
                <w:rFonts w:hint="eastAsia" w:ascii="宋体" w:hAnsi="宋体" w:cs="宋体"/>
                <w:color w:val="auto"/>
                <w:sz w:val="24"/>
                <w:szCs w:val="20"/>
                <w:highlight w:val="none"/>
              </w:rPr>
            </w:pPr>
            <w:r>
              <w:rPr>
                <w:rFonts w:hint="eastAsia" w:ascii="宋体" w:hAnsi="宋体" w:cs="宋体"/>
                <w:color w:val="auto"/>
                <w:sz w:val="24"/>
                <w:szCs w:val="20"/>
                <w:highlight w:val="none"/>
              </w:rPr>
              <w:t>职务</w:t>
            </w:r>
          </w:p>
        </w:tc>
        <w:tc>
          <w:tcPr>
            <w:tcW w:w="1911" w:type="dxa"/>
            <w:tcBorders>
              <w:top w:val="single" w:color="auto" w:sz="4" w:space="0"/>
              <w:left w:val="single" w:color="auto" w:sz="4" w:space="0"/>
              <w:bottom w:val="single" w:color="auto" w:sz="4" w:space="0"/>
              <w:right w:val="single" w:color="auto" w:sz="4" w:space="0"/>
            </w:tcBorders>
            <w:vAlign w:val="center"/>
          </w:tcPr>
          <w:p w14:paraId="750E4970">
            <w:pPr>
              <w:snapToGrid w:val="0"/>
              <w:spacing w:before="50" w:after="120" w:afterLines="50"/>
              <w:jc w:val="center"/>
              <w:rPr>
                <w:rFonts w:hint="eastAsia" w:ascii="宋体" w:hAnsi="宋体" w:cs="宋体"/>
                <w:color w:val="auto"/>
                <w:sz w:val="24"/>
                <w:szCs w:val="20"/>
                <w:highlight w:val="none"/>
              </w:rPr>
            </w:pPr>
            <w:r>
              <w:rPr>
                <w:rFonts w:hint="eastAsia" w:ascii="宋体" w:hAnsi="宋体" w:cs="宋体"/>
                <w:color w:val="auto"/>
                <w:sz w:val="24"/>
                <w:szCs w:val="20"/>
                <w:highlight w:val="none"/>
              </w:rPr>
              <w:t>专业技术资格（职称）或者职业资格或者执业资格证或者其他证书</w:t>
            </w:r>
          </w:p>
        </w:tc>
        <w:tc>
          <w:tcPr>
            <w:tcW w:w="1595" w:type="dxa"/>
            <w:tcBorders>
              <w:top w:val="single" w:color="auto" w:sz="4" w:space="0"/>
              <w:left w:val="single" w:color="auto" w:sz="4" w:space="0"/>
              <w:bottom w:val="single" w:color="auto" w:sz="4" w:space="0"/>
              <w:right w:val="single" w:color="auto" w:sz="4" w:space="0"/>
            </w:tcBorders>
            <w:vAlign w:val="center"/>
          </w:tcPr>
          <w:p w14:paraId="023CB6D0">
            <w:pPr>
              <w:snapToGrid w:val="0"/>
              <w:spacing w:before="50" w:after="120" w:afterLines="50"/>
              <w:jc w:val="center"/>
              <w:rPr>
                <w:rFonts w:hint="eastAsia" w:ascii="宋体" w:hAnsi="宋体" w:cs="宋体"/>
                <w:color w:val="auto"/>
                <w:sz w:val="24"/>
                <w:szCs w:val="20"/>
                <w:highlight w:val="none"/>
              </w:rPr>
            </w:pPr>
            <w:r>
              <w:rPr>
                <w:rFonts w:hint="eastAsia" w:ascii="宋体" w:hAnsi="宋体" w:cs="宋体"/>
                <w:color w:val="auto"/>
                <w:sz w:val="24"/>
                <w:szCs w:val="20"/>
                <w:highlight w:val="none"/>
              </w:rPr>
              <w:t>证书编号</w:t>
            </w:r>
          </w:p>
        </w:tc>
        <w:tc>
          <w:tcPr>
            <w:tcW w:w="1907" w:type="dxa"/>
            <w:tcBorders>
              <w:top w:val="single" w:color="auto" w:sz="4" w:space="0"/>
              <w:left w:val="single" w:color="auto" w:sz="4" w:space="0"/>
              <w:bottom w:val="single" w:color="auto" w:sz="4" w:space="0"/>
              <w:right w:val="single" w:color="auto" w:sz="4" w:space="0"/>
            </w:tcBorders>
            <w:vAlign w:val="center"/>
          </w:tcPr>
          <w:p w14:paraId="3A408FE3">
            <w:pPr>
              <w:snapToGrid w:val="0"/>
              <w:spacing w:before="50" w:after="120" w:afterLines="50"/>
              <w:jc w:val="center"/>
              <w:rPr>
                <w:rFonts w:hint="eastAsia" w:ascii="宋体" w:hAnsi="宋体" w:cs="宋体"/>
                <w:color w:val="auto"/>
                <w:sz w:val="24"/>
                <w:szCs w:val="20"/>
                <w:highlight w:val="none"/>
              </w:rPr>
            </w:pPr>
            <w:r>
              <w:rPr>
                <w:rFonts w:hint="eastAsia" w:ascii="宋体" w:hAnsi="宋体" w:cs="宋体"/>
                <w:color w:val="auto"/>
                <w:sz w:val="24"/>
                <w:szCs w:val="20"/>
                <w:highlight w:val="none"/>
              </w:rPr>
              <w:t>参加本单位</w:t>
            </w:r>
          </w:p>
          <w:p w14:paraId="69392910">
            <w:pPr>
              <w:snapToGrid w:val="0"/>
              <w:spacing w:before="50" w:after="120" w:afterLines="50"/>
              <w:jc w:val="center"/>
              <w:rPr>
                <w:rFonts w:hint="eastAsia" w:ascii="宋体" w:hAnsi="宋体" w:cs="宋体"/>
                <w:color w:val="auto"/>
                <w:sz w:val="24"/>
                <w:szCs w:val="20"/>
                <w:highlight w:val="none"/>
              </w:rPr>
            </w:pPr>
            <w:r>
              <w:rPr>
                <w:rFonts w:hint="eastAsia" w:ascii="宋体" w:hAnsi="宋体" w:cs="宋体"/>
                <w:color w:val="auto"/>
                <w:sz w:val="24"/>
                <w:szCs w:val="20"/>
                <w:highlight w:val="none"/>
              </w:rPr>
              <w:t>工作时间</w:t>
            </w:r>
          </w:p>
        </w:tc>
        <w:tc>
          <w:tcPr>
            <w:tcW w:w="2070" w:type="dxa"/>
            <w:tcBorders>
              <w:top w:val="single" w:color="auto" w:sz="4" w:space="0"/>
              <w:left w:val="single" w:color="auto" w:sz="4" w:space="0"/>
              <w:bottom w:val="single" w:color="auto" w:sz="4" w:space="0"/>
              <w:right w:val="single" w:color="auto" w:sz="4" w:space="0"/>
            </w:tcBorders>
            <w:vAlign w:val="center"/>
          </w:tcPr>
          <w:p w14:paraId="260780CC">
            <w:pPr>
              <w:snapToGrid w:val="0"/>
              <w:spacing w:before="50" w:after="120" w:afterLines="50"/>
              <w:jc w:val="center"/>
              <w:rPr>
                <w:rFonts w:hint="eastAsia" w:ascii="宋体" w:hAnsi="宋体" w:cs="宋体"/>
                <w:color w:val="auto"/>
                <w:sz w:val="24"/>
                <w:szCs w:val="20"/>
                <w:highlight w:val="none"/>
              </w:rPr>
            </w:pPr>
            <w:r>
              <w:rPr>
                <w:rFonts w:hint="eastAsia" w:ascii="宋体" w:hAnsi="宋体" w:cs="宋体"/>
                <w:color w:val="auto"/>
                <w:sz w:val="24"/>
                <w:szCs w:val="20"/>
                <w:highlight w:val="none"/>
              </w:rPr>
              <w:t>劳动合同编号</w:t>
            </w:r>
          </w:p>
        </w:tc>
      </w:tr>
      <w:tr w14:paraId="78D76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917" w:type="dxa"/>
            <w:tcBorders>
              <w:top w:val="single" w:color="auto" w:sz="4" w:space="0"/>
              <w:left w:val="single" w:color="auto" w:sz="4" w:space="0"/>
              <w:bottom w:val="single" w:color="auto" w:sz="4" w:space="0"/>
              <w:right w:val="single" w:color="auto" w:sz="4" w:space="0"/>
            </w:tcBorders>
            <w:vAlign w:val="center"/>
          </w:tcPr>
          <w:p w14:paraId="4C9587B8">
            <w:pPr>
              <w:snapToGrid w:val="0"/>
              <w:spacing w:before="50" w:after="120" w:afterLines="50"/>
              <w:jc w:val="center"/>
              <w:rPr>
                <w:rFonts w:hint="eastAsia" w:ascii="宋体" w:hAnsi="宋体" w:cs="宋体"/>
                <w:color w:val="auto"/>
                <w:sz w:val="24"/>
                <w:szCs w:val="20"/>
                <w:highlight w:val="none"/>
              </w:rPr>
            </w:pPr>
          </w:p>
        </w:tc>
        <w:tc>
          <w:tcPr>
            <w:tcW w:w="796" w:type="dxa"/>
            <w:tcBorders>
              <w:top w:val="single" w:color="auto" w:sz="4" w:space="0"/>
              <w:left w:val="single" w:color="auto" w:sz="4" w:space="0"/>
              <w:bottom w:val="single" w:color="auto" w:sz="4" w:space="0"/>
              <w:right w:val="single" w:color="auto" w:sz="4" w:space="0"/>
            </w:tcBorders>
            <w:vAlign w:val="center"/>
          </w:tcPr>
          <w:p w14:paraId="33DD2E30">
            <w:pPr>
              <w:snapToGrid w:val="0"/>
              <w:spacing w:before="50" w:after="120" w:afterLines="50"/>
              <w:jc w:val="center"/>
              <w:rPr>
                <w:rFonts w:hint="eastAsia" w:ascii="宋体" w:hAnsi="宋体" w:cs="宋体"/>
                <w:color w:val="auto"/>
                <w:sz w:val="24"/>
                <w:szCs w:val="20"/>
                <w:highlight w:val="none"/>
              </w:rPr>
            </w:pPr>
          </w:p>
        </w:tc>
        <w:tc>
          <w:tcPr>
            <w:tcW w:w="1911" w:type="dxa"/>
            <w:tcBorders>
              <w:top w:val="single" w:color="auto" w:sz="4" w:space="0"/>
              <w:left w:val="single" w:color="auto" w:sz="4" w:space="0"/>
              <w:bottom w:val="single" w:color="auto" w:sz="4" w:space="0"/>
              <w:right w:val="single" w:color="auto" w:sz="4" w:space="0"/>
            </w:tcBorders>
            <w:vAlign w:val="center"/>
          </w:tcPr>
          <w:p w14:paraId="30360C2A">
            <w:pPr>
              <w:snapToGrid w:val="0"/>
              <w:spacing w:before="50" w:after="120" w:afterLines="50"/>
              <w:jc w:val="center"/>
              <w:rPr>
                <w:rFonts w:hint="eastAsia" w:ascii="宋体" w:hAnsi="宋体" w:cs="宋体"/>
                <w:color w:val="auto"/>
                <w:sz w:val="24"/>
                <w:szCs w:val="20"/>
                <w:highlight w:val="none"/>
              </w:rPr>
            </w:pPr>
          </w:p>
        </w:tc>
        <w:tc>
          <w:tcPr>
            <w:tcW w:w="1595" w:type="dxa"/>
            <w:tcBorders>
              <w:top w:val="single" w:color="auto" w:sz="4" w:space="0"/>
              <w:left w:val="single" w:color="auto" w:sz="4" w:space="0"/>
              <w:bottom w:val="single" w:color="auto" w:sz="4" w:space="0"/>
              <w:right w:val="single" w:color="auto" w:sz="4" w:space="0"/>
            </w:tcBorders>
            <w:vAlign w:val="center"/>
          </w:tcPr>
          <w:p w14:paraId="6F5A7CC0">
            <w:pPr>
              <w:snapToGrid w:val="0"/>
              <w:spacing w:before="50" w:after="120" w:afterLines="50"/>
              <w:jc w:val="center"/>
              <w:rPr>
                <w:rFonts w:hint="eastAsia" w:ascii="宋体" w:hAnsi="宋体" w:cs="宋体"/>
                <w:color w:val="auto"/>
                <w:sz w:val="24"/>
                <w:szCs w:val="20"/>
                <w:highlight w:val="none"/>
              </w:rPr>
            </w:pPr>
          </w:p>
        </w:tc>
        <w:tc>
          <w:tcPr>
            <w:tcW w:w="1907" w:type="dxa"/>
            <w:tcBorders>
              <w:top w:val="single" w:color="auto" w:sz="4" w:space="0"/>
              <w:left w:val="single" w:color="auto" w:sz="4" w:space="0"/>
              <w:bottom w:val="single" w:color="auto" w:sz="4" w:space="0"/>
              <w:right w:val="single" w:color="auto" w:sz="4" w:space="0"/>
            </w:tcBorders>
            <w:vAlign w:val="center"/>
          </w:tcPr>
          <w:p w14:paraId="7B5F9025">
            <w:pPr>
              <w:snapToGrid w:val="0"/>
              <w:spacing w:before="50" w:after="120" w:afterLines="50"/>
              <w:jc w:val="center"/>
              <w:rPr>
                <w:rFonts w:hint="eastAsia" w:ascii="宋体" w:hAnsi="宋体" w:cs="宋体"/>
                <w:color w:val="auto"/>
                <w:sz w:val="24"/>
                <w:szCs w:val="20"/>
                <w:highlight w:val="none"/>
              </w:rPr>
            </w:pPr>
          </w:p>
        </w:tc>
        <w:tc>
          <w:tcPr>
            <w:tcW w:w="2070" w:type="dxa"/>
            <w:tcBorders>
              <w:top w:val="single" w:color="auto" w:sz="4" w:space="0"/>
              <w:left w:val="single" w:color="auto" w:sz="4" w:space="0"/>
              <w:bottom w:val="single" w:color="auto" w:sz="4" w:space="0"/>
              <w:right w:val="single" w:color="auto" w:sz="4" w:space="0"/>
            </w:tcBorders>
            <w:vAlign w:val="center"/>
          </w:tcPr>
          <w:p w14:paraId="7FD25A95">
            <w:pPr>
              <w:snapToGrid w:val="0"/>
              <w:spacing w:before="50" w:after="120" w:afterLines="50"/>
              <w:jc w:val="center"/>
              <w:rPr>
                <w:rFonts w:hint="eastAsia" w:ascii="宋体" w:hAnsi="宋体" w:cs="宋体"/>
                <w:color w:val="auto"/>
                <w:sz w:val="24"/>
                <w:szCs w:val="20"/>
                <w:highlight w:val="none"/>
              </w:rPr>
            </w:pPr>
          </w:p>
        </w:tc>
      </w:tr>
      <w:tr w14:paraId="6AAED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917" w:type="dxa"/>
            <w:tcBorders>
              <w:top w:val="single" w:color="auto" w:sz="4" w:space="0"/>
              <w:left w:val="single" w:color="auto" w:sz="4" w:space="0"/>
              <w:bottom w:val="single" w:color="auto" w:sz="4" w:space="0"/>
              <w:right w:val="single" w:color="auto" w:sz="4" w:space="0"/>
            </w:tcBorders>
            <w:vAlign w:val="center"/>
          </w:tcPr>
          <w:p w14:paraId="6EB83063">
            <w:pPr>
              <w:snapToGrid w:val="0"/>
              <w:spacing w:before="50" w:after="120" w:afterLines="50"/>
              <w:jc w:val="center"/>
              <w:rPr>
                <w:rFonts w:hint="eastAsia" w:ascii="宋体" w:hAnsi="宋体" w:cs="宋体"/>
                <w:color w:val="auto"/>
                <w:sz w:val="24"/>
                <w:szCs w:val="20"/>
                <w:highlight w:val="none"/>
              </w:rPr>
            </w:pPr>
          </w:p>
        </w:tc>
        <w:tc>
          <w:tcPr>
            <w:tcW w:w="796" w:type="dxa"/>
            <w:tcBorders>
              <w:top w:val="single" w:color="auto" w:sz="4" w:space="0"/>
              <w:left w:val="single" w:color="auto" w:sz="4" w:space="0"/>
              <w:bottom w:val="single" w:color="auto" w:sz="4" w:space="0"/>
              <w:right w:val="single" w:color="auto" w:sz="4" w:space="0"/>
            </w:tcBorders>
            <w:vAlign w:val="center"/>
          </w:tcPr>
          <w:p w14:paraId="4FB8E538">
            <w:pPr>
              <w:snapToGrid w:val="0"/>
              <w:spacing w:before="50" w:after="120" w:afterLines="50"/>
              <w:jc w:val="center"/>
              <w:rPr>
                <w:rFonts w:hint="eastAsia" w:ascii="宋体" w:hAnsi="宋体" w:cs="宋体"/>
                <w:color w:val="auto"/>
                <w:sz w:val="24"/>
                <w:szCs w:val="20"/>
                <w:highlight w:val="none"/>
              </w:rPr>
            </w:pPr>
          </w:p>
        </w:tc>
        <w:tc>
          <w:tcPr>
            <w:tcW w:w="1911" w:type="dxa"/>
            <w:tcBorders>
              <w:top w:val="single" w:color="auto" w:sz="4" w:space="0"/>
              <w:left w:val="single" w:color="auto" w:sz="4" w:space="0"/>
              <w:bottom w:val="single" w:color="auto" w:sz="4" w:space="0"/>
              <w:right w:val="single" w:color="auto" w:sz="4" w:space="0"/>
            </w:tcBorders>
            <w:vAlign w:val="center"/>
          </w:tcPr>
          <w:p w14:paraId="2FBB761A">
            <w:pPr>
              <w:snapToGrid w:val="0"/>
              <w:spacing w:before="50" w:after="120" w:afterLines="50"/>
              <w:jc w:val="center"/>
              <w:rPr>
                <w:rFonts w:hint="eastAsia" w:ascii="宋体" w:hAnsi="宋体" w:cs="宋体"/>
                <w:color w:val="auto"/>
                <w:sz w:val="24"/>
                <w:szCs w:val="20"/>
                <w:highlight w:val="none"/>
              </w:rPr>
            </w:pPr>
          </w:p>
        </w:tc>
        <w:tc>
          <w:tcPr>
            <w:tcW w:w="1595" w:type="dxa"/>
            <w:tcBorders>
              <w:top w:val="single" w:color="auto" w:sz="4" w:space="0"/>
              <w:left w:val="single" w:color="auto" w:sz="4" w:space="0"/>
              <w:bottom w:val="single" w:color="auto" w:sz="4" w:space="0"/>
              <w:right w:val="single" w:color="auto" w:sz="4" w:space="0"/>
            </w:tcBorders>
            <w:vAlign w:val="center"/>
          </w:tcPr>
          <w:p w14:paraId="728D4211">
            <w:pPr>
              <w:snapToGrid w:val="0"/>
              <w:spacing w:before="50" w:after="120" w:afterLines="50"/>
              <w:jc w:val="center"/>
              <w:rPr>
                <w:rFonts w:hint="eastAsia" w:ascii="宋体" w:hAnsi="宋体" w:cs="宋体"/>
                <w:color w:val="auto"/>
                <w:sz w:val="24"/>
                <w:szCs w:val="20"/>
                <w:highlight w:val="none"/>
              </w:rPr>
            </w:pPr>
          </w:p>
        </w:tc>
        <w:tc>
          <w:tcPr>
            <w:tcW w:w="1907" w:type="dxa"/>
            <w:tcBorders>
              <w:top w:val="single" w:color="auto" w:sz="4" w:space="0"/>
              <w:left w:val="single" w:color="auto" w:sz="4" w:space="0"/>
              <w:bottom w:val="single" w:color="auto" w:sz="4" w:space="0"/>
              <w:right w:val="single" w:color="auto" w:sz="4" w:space="0"/>
            </w:tcBorders>
            <w:vAlign w:val="center"/>
          </w:tcPr>
          <w:p w14:paraId="7FB4627B">
            <w:pPr>
              <w:snapToGrid w:val="0"/>
              <w:spacing w:before="50" w:after="120" w:afterLines="50"/>
              <w:jc w:val="center"/>
              <w:rPr>
                <w:rFonts w:hint="eastAsia" w:ascii="宋体" w:hAnsi="宋体" w:cs="宋体"/>
                <w:color w:val="auto"/>
                <w:sz w:val="24"/>
                <w:szCs w:val="20"/>
                <w:highlight w:val="none"/>
              </w:rPr>
            </w:pPr>
          </w:p>
        </w:tc>
        <w:tc>
          <w:tcPr>
            <w:tcW w:w="2070" w:type="dxa"/>
            <w:tcBorders>
              <w:top w:val="single" w:color="auto" w:sz="4" w:space="0"/>
              <w:left w:val="single" w:color="auto" w:sz="4" w:space="0"/>
              <w:bottom w:val="single" w:color="auto" w:sz="4" w:space="0"/>
              <w:right w:val="single" w:color="auto" w:sz="4" w:space="0"/>
            </w:tcBorders>
            <w:vAlign w:val="center"/>
          </w:tcPr>
          <w:p w14:paraId="181ABA77">
            <w:pPr>
              <w:snapToGrid w:val="0"/>
              <w:spacing w:before="50" w:after="120" w:afterLines="50"/>
              <w:jc w:val="center"/>
              <w:rPr>
                <w:rFonts w:hint="eastAsia" w:ascii="宋体" w:hAnsi="宋体" w:cs="宋体"/>
                <w:color w:val="auto"/>
                <w:sz w:val="24"/>
                <w:szCs w:val="20"/>
                <w:highlight w:val="none"/>
              </w:rPr>
            </w:pPr>
          </w:p>
        </w:tc>
      </w:tr>
      <w:tr w14:paraId="7B065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917" w:type="dxa"/>
            <w:tcBorders>
              <w:top w:val="single" w:color="auto" w:sz="4" w:space="0"/>
              <w:left w:val="single" w:color="auto" w:sz="4" w:space="0"/>
              <w:bottom w:val="single" w:color="auto" w:sz="4" w:space="0"/>
              <w:right w:val="single" w:color="auto" w:sz="4" w:space="0"/>
            </w:tcBorders>
            <w:vAlign w:val="center"/>
          </w:tcPr>
          <w:p w14:paraId="34355FF7">
            <w:pPr>
              <w:snapToGrid w:val="0"/>
              <w:spacing w:before="50" w:after="120" w:afterLines="50"/>
              <w:jc w:val="center"/>
              <w:rPr>
                <w:rFonts w:hint="eastAsia" w:ascii="宋体" w:hAnsi="宋体" w:cs="宋体"/>
                <w:color w:val="auto"/>
                <w:sz w:val="24"/>
                <w:szCs w:val="20"/>
                <w:highlight w:val="none"/>
              </w:rPr>
            </w:pPr>
          </w:p>
        </w:tc>
        <w:tc>
          <w:tcPr>
            <w:tcW w:w="796" w:type="dxa"/>
            <w:tcBorders>
              <w:top w:val="single" w:color="auto" w:sz="4" w:space="0"/>
              <w:left w:val="single" w:color="auto" w:sz="4" w:space="0"/>
              <w:bottom w:val="single" w:color="auto" w:sz="4" w:space="0"/>
              <w:right w:val="single" w:color="auto" w:sz="4" w:space="0"/>
            </w:tcBorders>
            <w:vAlign w:val="center"/>
          </w:tcPr>
          <w:p w14:paraId="56CCBDD4">
            <w:pPr>
              <w:snapToGrid w:val="0"/>
              <w:spacing w:before="50" w:after="120" w:afterLines="50"/>
              <w:jc w:val="center"/>
              <w:rPr>
                <w:rFonts w:hint="eastAsia" w:ascii="宋体" w:hAnsi="宋体" w:cs="宋体"/>
                <w:color w:val="auto"/>
                <w:sz w:val="24"/>
                <w:szCs w:val="20"/>
                <w:highlight w:val="none"/>
              </w:rPr>
            </w:pPr>
          </w:p>
        </w:tc>
        <w:tc>
          <w:tcPr>
            <w:tcW w:w="1911" w:type="dxa"/>
            <w:tcBorders>
              <w:top w:val="single" w:color="auto" w:sz="4" w:space="0"/>
              <w:left w:val="single" w:color="auto" w:sz="4" w:space="0"/>
              <w:bottom w:val="single" w:color="auto" w:sz="4" w:space="0"/>
              <w:right w:val="single" w:color="auto" w:sz="4" w:space="0"/>
            </w:tcBorders>
            <w:vAlign w:val="center"/>
          </w:tcPr>
          <w:p w14:paraId="20DCDF48">
            <w:pPr>
              <w:snapToGrid w:val="0"/>
              <w:spacing w:before="50" w:after="120" w:afterLines="50"/>
              <w:jc w:val="center"/>
              <w:rPr>
                <w:rFonts w:hint="eastAsia" w:ascii="宋体" w:hAnsi="宋体" w:cs="宋体"/>
                <w:color w:val="auto"/>
                <w:sz w:val="24"/>
                <w:szCs w:val="20"/>
                <w:highlight w:val="none"/>
              </w:rPr>
            </w:pPr>
          </w:p>
        </w:tc>
        <w:tc>
          <w:tcPr>
            <w:tcW w:w="1595" w:type="dxa"/>
            <w:tcBorders>
              <w:top w:val="single" w:color="auto" w:sz="4" w:space="0"/>
              <w:left w:val="single" w:color="auto" w:sz="4" w:space="0"/>
              <w:bottom w:val="single" w:color="auto" w:sz="4" w:space="0"/>
              <w:right w:val="single" w:color="auto" w:sz="4" w:space="0"/>
            </w:tcBorders>
            <w:vAlign w:val="center"/>
          </w:tcPr>
          <w:p w14:paraId="75BBA4D0">
            <w:pPr>
              <w:snapToGrid w:val="0"/>
              <w:spacing w:before="50" w:after="120" w:afterLines="50"/>
              <w:jc w:val="center"/>
              <w:rPr>
                <w:rFonts w:hint="eastAsia" w:ascii="宋体" w:hAnsi="宋体" w:cs="宋体"/>
                <w:color w:val="auto"/>
                <w:sz w:val="24"/>
                <w:szCs w:val="20"/>
                <w:highlight w:val="none"/>
              </w:rPr>
            </w:pPr>
          </w:p>
        </w:tc>
        <w:tc>
          <w:tcPr>
            <w:tcW w:w="1907" w:type="dxa"/>
            <w:tcBorders>
              <w:top w:val="single" w:color="auto" w:sz="4" w:space="0"/>
              <w:left w:val="single" w:color="auto" w:sz="4" w:space="0"/>
              <w:bottom w:val="single" w:color="auto" w:sz="4" w:space="0"/>
              <w:right w:val="single" w:color="auto" w:sz="4" w:space="0"/>
            </w:tcBorders>
            <w:vAlign w:val="center"/>
          </w:tcPr>
          <w:p w14:paraId="420CF6C1">
            <w:pPr>
              <w:snapToGrid w:val="0"/>
              <w:spacing w:before="50" w:after="120" w:afterLines="50"/>
              <w:jc w:val="center"/>
              <w:rPr>
                <w:rFonts w:hint="eastAsia" w:ascii="宋体" w:hAnsi="宋体" w:cs="宋体"/>
                <w:color w:val="auto"/>
                <w:sz w:val="24"/>
                <w:szCs w:val="20"/>
                <w:highlight w:val="none"/>
              </w:rPr>
            </w:pPr>
          </w:p>
        </w:tc>
        <w:tc>
          <w:tcPr>
            <w:tcW w:w="2070" w:type="dxa"/>
            <w:tcBorders>
              <w:top w:val="single" w:color="auto" w:sz="4" w:space="0"/>
              <w:left w:val="single" w:color="auto" w:sz="4" w:space="0"/>
              <w:bottom w:val="single" w:color="auto" w:sz="4" w:space="0"/>
              <w:right w:val="single" w:color="auto" w:sz="4" w:space="0"/>
            </w:tcBorders>
            <w:vAlign w:val="center"/>
          </w:tcPr>
          <w:p w14:paraId="5FDAA50F">
            <w:pPr>
              <w:snapToGrid w:val="0"/>
              <w:spacing w:before="50" w:after="120" w:afterLines="50"/>
              <w:jc w:val="center"/>
              <w:rPr>
                <w:rFonts w:hint="eastAsia" w:ascii="宋体" w:hAnsi="宋体" w:cs="宋体"/>
                <w:color w:val="auto"/>
                <w:sz w:val="24"/>
                <w:szCs w:val="20"/>
                <w:highlight w:val="none"/>
              </w:rPr>
            </w:pPr>
          </w:p>
        </w:tc>
      </w:tr>
    </w:tbl>
    <w:p w14:paraId="5737AFA0">
      <w:pPr>
        <w:snapToGrid w:val="0"/>
        <w:spacing w:before="50" w:after="120" w:afterLines="50"/>
        <w:jc w:val="left"/>
        <w:rPr>
          <w:rFonts w:hint="eastAsia" w:ascii="宋体" w:hAnsi="宋体" w:cs="宋体"/>
          <w:color w:val="auto"/>
          <w:sz w:val="24"/>
          <w:szCs w:val="20"/>
          <w:highlight w:val="none"/>
        </w:rPr>
      </w:pPr>
    </w:p>
    <w:p w14:paraId="4CC77FD4">
      <w:pPr>
        <w:spacing w:line="360" w:lineRule="auto"/>
        <w:jc w:val="left"/>
        <w:rPr>
          <w:rFonts w:hint="eastAsia" w:ascii="宋体" w:hAnsi="宋体" w:cs="宋体"/>
          <w:color w:val="auto"/>
          <w:sz w:val="24"/>
          <w:szCs w:val="20"/>
          <w:highlight w:val="none"/>
        </w:rPr>
      </w:pPr>
      <w:r>
        <w:rPr>
          <w:rFonts w:hint="eastAsia" w:ascii="宋体" w:hAnsi="宋体" w:cs="宋体"/>
          <w:color w:val="auto"/>
          <w:sz w:val="24"/>
          <w:szCs w:val="20"/>
          <w:highlight w:val="none"/>
        </w:rPr>
        <w:t>注：</w:t>
      </w:r>
    </w:p>
    <w:p w14:paraId="305C384E">
      <w:pPr>
        <w:spacing w:line="360" w:lineRule="auto"/>
        <w:jc w:val="left"/>
        <w:rPr>
          <w:rFonts w:hint="eastAsia" w:ascii="宋体" w:hAnsi="宋体" w:cs="宋体"/>
          <w:color w:val="auto"/>
          <w:sz w:val="24"/>
          <w:szCs w:val="20"/>
          <w:highlight w:val="none"/>
        </w:rPr>
      </w:pPr>
      <w:r>
        <w:rPr>
          <w:rFonts w:hint="eastAsia" w:ascii="宋体" w:hAnsi="宋体" w:cs="宋体"/>
          <w:color w:val="auto"/>
          <w:sz w:val="24"/>
          <w:szCs w:val="20"/>
          <w:highlight w:val="none"/>
        </w:rPr>
        <w:t>1.在填写时，如本表格不适合投标单位的实际情况，可根据本表格式自行制表填写。</w:t>
      </w:r>
    </w:p>
    <w:p w14:paraId="205D7A86">
      <w:pPr>
        <w:spacing w:line="360" w:lineRule="auto"/>
        <w:jc w:val="left"/>
        <w:rPr>
          <w:rFonts w:hint="eastAsia" w:ascii="宋体" w:hAnsi="宋体" w:cs="宋体"/>
          <w:color w:val="auto"/>
          <w:sz w:val="24"/>
          <w:szCs w:val="20"/>
          <w:highlight w:val="none"/>
        </w:rPr>
      </w:pPr>
      <w:r>
        <w:rPr>
          <w:rFonts w:hint="eastAsia" w:ascii="宋体" w:hAnsi="宋体" w:cs="宋体"/>
          <w:color w:val="auto"/>
          <w:sz w:val="24"/>
          <w:szCs w:val="20"/>
          <w:highlight w:val="none"/>
        </w:rPr>
        <w:t>2.投标人应当附本表所列证书的复印件并加盖投标人电子签章。</w:t>
      </w:r>
    </w:p>
    <w:p w14:paraId="7DBFF29E">
      <w:pPr>
        <w:spacing w:line="360" w:lineRule="auto"/>
        <w:jc w:val="left"/>
        <w:rPr>
          <w:rFonts w:hint="eastAsia" w:ascii="宋体" w:hAnsi="宋体" w:cs="宋体"/>
          <w:color w:val="auto"/>
          <w:sz w:val="24"/>
          <w:szCs w:val="20"/>
          <w:highlight w:val="none"/>
        </w:rPr>
      </w:pPr>
    </w:p>
    <w:p w14:paraId="7DC50020">
      <w:pPr>
        <w:spacing w:line="360" w:lineRule="auto"/>
        <w:rPr>
          <w:rFonts w:hint="eastAsia" w:ascii="宋体" w:hAnsi="宋体" w:cs="宋体"/>
          <w:color w:val="auto"/>
          <w:spacing w:val="20"/>
          <w:sz w:val="24"/>
          <w:szCs w:val="20"/>
          <w:highlight w:val="none"/>
          <w:u w:val="single"/>
        </w:rPr>
      </w:pPr>
      <w:r>
        <w:rPr>
          <w:rFonts w:hint="eastAsia" w:ascii="宋体" w:hAnsi="宋体" w:cs="宋体"/>
          <w:color w:val="auto"/>
          <w:sz w:val="24"/>
          <w:highlight w:val="none"/>
        </w:rPr>
        <w:t>法定代表人或者委托代理人</w:t>
      </w:r>
      <w:r>
        <w:rPr>
          <w:rFonts w:hint="eastAsia" w:ascii="宋体" w:hAnsi="宋体" w:cs="宋体"/>
          <w:color w:val="auto"/>
          <w:spacing w:val="20"/>
          <w:sz w:val="24"/>
          <w:highlight w:val="none"/>
        </w:rPr>
        <w:t>（签字或者电子签名）：</w:t>
      </w:r>
      <w:r>
        <w:rPr>
          <w:rFonts w:hint="eastAsia" w:ascii="宋体" w:hAnsi="宋体" w:cs="宋体"/>
          <w:color w:val="auto"/>
          <w:spacing w:val="20"/>
          <w:sz w:val="24"/>
          <w:highlight w:val="none"/>
          <w:u w:val="single"/>
        </w:rPr>
        <w:t xml:space="preserve">        </w:t>
      </w:r>
    </w:p>
    <w:p w14:paraId="7B186DE1">
      <w:pPr>
        <w:spacing w:line="360" w:lineRule="auto"/>
        <w:jc w:val="left"/>
        <w:rPr>
          <w:rFonts w:hint="eastAsia" w:ascii="宋体" w:hAnsi="宋体" w:cs="宋体"/>
          <w:color w:val="auto"/>
          <w:spacing w:val="20"/>
          <w:sz w:val="24"/>
          <w:highlight w:val="none"/>
        </w:rPr>
      </w:pPr>
      <w:r>
        <w:rPr>
          <w:rFonts w:hint="eastAsia" w:ascii="宋体" w:hAnsi="宋体" w:cs="宋体"/>
          <w:color w:val="auto"/>
          <w:spacing w:val="20"/>
          <w:sz w:val="24"/>
          <w:highlight w:val="none"/>
        </w:rPr>
        <w:t>投标人名称（电子签章）：</w:t>
      </w:r>
      <w:r>
        <w:rPr>
          <w:rFonts w:hint="eastAsia" w:ascii="宋体" w:hAnsi="宋体" w:cs="宋体"/>
          <w:color w:val="auto"/>
          <w:spacing w:val="20"/>
          <w:sz w:val="24"/>
          <w:highlight w:val="none"/>
          <w:u w:val="single"/>
        </w:rPr>
        <w:t xml:space="preserve">            </w:t>
      </w:r>
      <w:r>
        <w:rPr>
          <w:rFonts w:hint="eastAsia" w:ascii="宋体" w:hAnsi="宋体" w:cs="宋体"/>
          <w:color w:val="auto"/>
          <w:spacing w:val="20"/>
          <w:sz w:val="24"/>
          <w:highlight w:val="none"/>
        </w:rPr>
        <w:t xml:space="preserve">              </w:t>
      </w:r>
    </w:p>
    <w:p w14:paraId="0E58D98D">
      <w:pPr>
        <w:spacing w:line="360" w:lineRule="auto"/>
        <w:jc w:val="left"/>
        <w:rPr>
          <w:rFonts w:hint="eastAsia" w:ascii="宋体" w:hAnsi="宋体" w:cs="宋体"/>
          <w:color w:val="auto"/>
          <w:sz w:val="24"/>
          <w:szCs w:val="20"/>
          <w:highlight w:val="none"/>
        </w:rPr>
      </w:pPr>
      <w:r>
        <w:rPr>
          <w:rFonts w:hint="eastAsia" w:ascii="宋体" w:hAnsi="宋体" w:cs="宋体"/>
          <w:color w:val="auto"/>
          <w:spacing w:val="20"/>
          <w:sz w:val="24"/>
          <w:highlight w:val="none"/>
        </w:rPr>
        <w:t xml:space="preserve">日 期：     </w:t>
      </w:r>
      <w:r>
        <w:rPr>
          <w:rFonts w:hint="eastAsia" w:ascii="宋体" w:hAnsi="宋体" w:cs="宋体"/>
          <w:color w:val="auto"/>
          <w:sz w:val="24"/>
          <w:highlight w:val="none"/>
        </w:rPr>
        <w:t>年    月    日</w:t>
      </w:r>
    </w:p>
    <w:p w14:paraId="1362330B">
      <w:pPr>
        <w:rPr>
          <w:rFonts w:hint="eastAsia" w:ascii="宋体" w:hAnsi="宋体" w:cs="宋体"/>
          <w:b/>
          <w:color w:val="auto"/>
          <w:sz w:val="28"/>
          <w:szCs w:val="28"/>
          <w:highlight w:val="none"/>
        </w:rPr>
      </w:pPr>
    </w:p>
    <w:p w14:paraId="17194F02">
      <w:pPr>
        <w:pStyle w:val="44"/>
        <w:ind w:firstLine="422"/>
        <w:rPr>
          <w:rFonts w:hint="eastAsia" w:hAnsi="宋体" w:cs="宋体"/>
          <w:color w:val="auto"/>
          <w:highlight w:val="none"/>
        </w:rPr>
      </w:pPr>
    </w:p>
    <w:p w14:paraId="44C7A45B">
      <w:pPr>
        <w:rPr>
          <w:rFonts w:hint="eastAsia" w:ascii="宋体" w:hAnsi="宋体" w:cs="宋体"/>
          <w:color w:val="auto"/>
          <w:highlight w:val="none"/>
        </w:rPr>
      </w:pPr>
    </w:p>
    <w:p w14:paraId="6E4B5720">
      <w:pPr>
        <w:pStyle w:val="44"/>
        <w:ind w:firstLine="422"/>
        <w:rPr>
          <w:rFonts w:hint="eastAsia" w:hAnsi="宋体" w:cs="宋体"/>
          <w:color w:val="auto"/>
          <w:highlight w:val="none"/>
        </w:rPr>
      </w:pPr>
    </w:p>
    <w:p w14:paraId="7EA17487">
      <w:pPr>
        <w:rPr>
          <w:rFonts w:hint="eastAsia" w:ascii="宋体" w:hAnsi="宋体" w:cs="宋体"/>
          <w:color w:val="auto"/>
          <w:highlight w:val="none"/>
        </w:rPr>
      </w:pPr>
    </w:p>
    <w:p w14:paraId="754427BB">
      <w:pPr>
        <w:pStyle w:val="44"/>
        <w:ind w:firstLine="422"/>
        <w:rPr>
          <w:rFonts w:hint="eastAsia" w:hAnsi="宋体" w:cs="宋体"/>
          <w:color w:val="auto"/>
          <w:highlight w:val="none"/>
        </w:rPr>
      </w:pPr>
    </w:p>
    <w:p w14:paraId="44E00028">
      <w:pPr>
        <w:rPr>
          <w:rFonts w:hint="eastAsia" w:ascii="宋体" w:hAnsi="宋体" w:cs="宋体"/>
          <w:b/>
          <w:color w:val="auto"/>
          <w:sz w:val="28"/>
          <w:szCs w:val="28"/>
          <w:highlight w:val="none"/>
        </w:rPr>
      </w:pPr>
    </w:p>
    <w:p w14:paraId="5A0FCD55">
      <w:pPr>
        <w:rPr>
          <w:rFonts w:hint="eastAsia" w:ascii="宋体" w:hAnsi="宋体" w:cs="宋体"/>
          <w:b/>
          <w:color w:val="auto"/>
          <w:sz w:val="28"/>
          <w:szCs w:val="28"/>
          <w:highlight w:val="none"/>
        </w:rPr>
      </w:pPr>
    </w:p>
    <w:bookmarkEnd w:id="147"/>
    <w:p w14:paraId="1483A08E">
      <w:pPr>
        <w:snapToGrid w:val="0"/>
        <w:spacing w:before="50" w:after="120" w:afterLines="50"/>
        <w:jc w:val="left"/>
        <w:rPr>
          <w:rFonts w:hint="eastAsia" w:ascii="宋体" w:hAnsi="宋体" w:cs="宋体"/>
          <w:color w:val="auto"/>
          <w:sz w:val="24"/>
          <w:szCs w:val="20"/>
          <w:highlight w:val="none"/>
        </w:rPr>
      </w:pPr>
    </w:p>
    <w:p w14:paraId="4293EEEC">
      <w:pPr>
        <w:rPr>
          <w:rFonts w:hint="eastAsia" w:ascii="宋体" w:hAnsi="宋体" w:cs="宋体"/>
          <w:b/>
          <w:color w:val="auto"/>
          <w:sz w:val="28"/>
          <w:szCs w:val="28"/>
          <w:highlight w:val="none"/>
        </w:rPr>
      </w:pPr>
      <w:r>
        <w:rPr>
          <w:rFonts w:hint="eastAsia" w:ascii="宋体" w:hAnsi="宋体" w:cs="宋体"/>
          <w:b/>
          <w:bCs/>
          <w:color w:val="auto"/>
          <w:sz w:val="24"/>
          <w:highlight w:val="none"/>
        </w:rPr>
        <w:br w:type="page"/>
      </w:r>
      <w:bookmarkStart w:id="148" w:name="_Toc19686840"/>
      <w:r>
        <w:rPr>
          <w:rFonts w:hint="eastAsia" w:ascii="宋体" w:hAnsi="宋体" w:cs="宋体"/>
          <w:b/>
          <w:bCs/>
          <w:color w:val="auto"/>
          <w:sz w:val="24"/>
          <w:highlight w:val="none"/>
        </w:rPr>
        <w:t>四</w:t>
      </w:r>
      <w:r>
        <w:rPr>
          <w:rFonts w:hint="eastAsia" w:ascii="宋体" w:hAnsi="宋体" w:cs="宋体"/>
          <w:b/>
          <w:color w:val="auto"/>
          <w:sz w:val="28"/>
          <w:szCs w:val="28"/>
          <w:highlight w:val="none"/>
        </w:rPr>
        <w:t>、其他文书、文件格式</w:t>
      </w:r>
      <w:bookmarkEnd w:id="148"/>
    </w:p>
    <w:p w14:paraId="6D0303E0">
      <w:pPr>
        <w:spacing w:before="120" w:beforeLines="50" w:after="120" w:afterLines="50" w:line="400" w:lineRule="exact"/>
        <w:jc w:val="center"/>
        <w:rPr>
          <w:rFonts w:hint="eastAsia" w:ascii="宋体" w:hAnsi="宋体" w:cs="宋体"/>
          <w:b/>
          <w:color w:val="auto"/>
          <w:sz w:val="24"/>
          <w:highlight w:val="none"/>
        </w:rPr>
      </w:pPr>
    </w:p>
    <w:p w14:paraId="7E86AA3C">
      <w:pPr>
        <w:spacing w:before="120" w:beforeLines="50" w:after="120" w:afterLines="50" w:line="400" w:lineRule="exact"/>
        <w:jc w:val="center"/>
        <w:rPr>
          <w:rFonts w:hint="eastAsia" w:ascii="宋体" w:hAnsi="宋体" w:cs="宋体"/>
          <w:b/>
          <w:color w:val="auto"/>
          <w:sz w:val="24"/>
          <w:highlight w:val="none"/>
        </w:rPr>
      </w:pPr>
      <w:r>
        <w:rPr>
          <w:rFonts w:hint="eastAsia" w:ascii="宋体" w:hAnsi="宋体" w:cs="宋体"/>
          <w:b/>
          <w:color w:val="auto"/>
          <w:sz w:val="24"/>
          <w:highlight w:val="none"/>
        </w:rPr>
        <w:t>知识产权合规性声明</w:t>
      </w:r>
    </w:p>
    <w:p w14:paraId="0FC83850">
      <w:pPr>
        <w:spacing w:before="120" w:beforeLines="50" w:after="120" w:afterLines="50" w:line="40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本企业自愿参与政府投资政府采购的__________________________项目，</w:t>
      </w:r>
    </w:p>
    <w:p w14:paraId="43FBD758">
      <w:pPr>
        <w:spacing w:before="120" w:beforeLines="50" w:after="120" w:afterLines="50" w:line="400" w:lineRule="exact"/>
        <w:rPr>
          <w:rFonts w:hint="eastAsia" w:ascii="宋体" w:hAnsi="宋体" w:cs="宋体"/>
          <w:color w:val="auto"/>
          <w:sz w:val="24"/>
          <w:highlight w:val="none"/>
        </w:rPr>
      </w:pPr>
      <w:r>
        <w:rPr>
          <w:rFonts w:hint="eastAsia" w:ascii="宋体" w:hAnsi="宋体" w:cs="宋体"/>
          <w:color w:val="auto"/>
          <w:sz w:val="24"/>
          <w:highlight w:val="none"/>
        </w:rPr>
        <w:t>在此郑重承诺：遵守中国知识产权法律、法规、规章、规范性文件及在中国适用的与知识产权有关的国际公约，所参与项目的知识产权明晰无争议，归属或技术来源正当合法。近三年在知识产权领域不存在违反法律、法规、规章及其他规范性文件的失信行为。所参与的项目不对其他单位及个人的知识产权构成侵权。如经核查确有违反上述承诺应遵守的行为，本企业将承担由此产生的全部责任。</w:t>
      </w:r>
    </w:p>
    <w:p w14:paraId="7FA84B41">
      <w:pPr>
        <w:spacing w:before="120" w:beforeLines="50" w:after="120" w:afterLines="50" w:line="400" w:lineRule="exact"/>
        <w:rPr>
          <w:rFonts w:hint="eastAsia" w:ascii="宋体" w:hAnsi="宋体" w:cs="宋体"/>
          <w:color w:val="auto"/>
          <w:sz w:val="24"/>
          <w:highlight w:val="none"/>
        </w:rPr>
      </w:pPr>
    </w:p>
    <w:p w14:paraId="7F469FEE">
      <w:pPr>
        <w:spacing w:before="120" w:beforeLines="50" w:after="120" w:afterLines="50" w:line="400" w:lineRule="exact"/>
        <w:rPr>
          <w:rFonts w:hint="eastAsia" w:ascii="宋体" w:hAnsi="宋体" w:cs="宋体"/>
          <w:color w:val="auto"/>
          <w:sz w:val="24"/>
          <w:highlight w:val="none"/>
        </w:rPr>
      </w:pPr>
    </w:p>
    <w:p w14:paraId="66C7F9A7">
      <w:pPr>
        <w:spacing w:before="120" w:beforeLines="50" w:after="120" w:afterLines="50" w:line="400" w:lineRule="exact"/>
        <w:rPr>
          <w:rFonts w:hint="eastAsia" w:ascii="宋体" w:hAnsi="宋体" w:cs="宋体"/>
          <w:color w:val="auto"/>
          <w:sz w:val="24"/>
          <w:highlight w:val="none"/>
        </w:rPr>
      </w:pPr>
      <w:r>
        <w:rPr>
          <w:rFonts w:hint="eastAsia" w:ascii="宋体" w:hAnsi="宋体" w:cs="宋体"/>
          <w:color w:val="auto"/>
          <w:sz w:val="24"/>
          <w:highlight w:val="none"/>
        </w:rPr>
        <w:t>投标人名称(电子签章)：</w:t>
      </w:r>
    </w:p>
    <w:p w14:paraId="2938C5EA">
      <w:pPr>
        <w:spacing w:before="120" w:beforeLines="50" w:after="120" w:afterLines="50" w:line="400" w:lineRule="exact"/>
        <w:rPr>
          <w:rFonts w:hint="eastAsia" w:ascii="宋体" w:hAnsi="宋体" w:cs="宋体"/>
          <w:color w:val="auto"/>
          <w:sz w:val="24"/>
          <w:highlight w:val="none"/>
        </w:rPr>
      </w:pPr>
      <w:r>
        <w:rPr>
          <w:rFonts w:hint="eastAsia" w:ascii="宋体" w:hAnsi="宋体" w:cs="宋体"/>
          <w:color w:val="auto"/>
          <w:sz w:val="24"/>
          <w:highlight w:val="none"/>
        </w:rPr>
        <w:t>日期： 年 月 日</w:t>
      </w:r>
    </w:p>
    <w:p w14:paraId="6D58A5F6">
      <w:pPr>
        <w:widowControl/>
        <w:jc w:val="left"/>
        <w:rPr>
          <w:rFonts w:hint="eastAsia" w:ascii="宋体" w:hAnsi="宋体" w:cs="宋体"/>
          <w:b/>
          <w:color w:val="auto"/>
          <w:sz w:val="24"/>
          <w:highlight w:val="none"/>
        </w:rPr>
      </w:pPr>
      <w:r>
        <w:rPr>
          <w:rFonts w:hint="eastAsia" w:ascii="宋体" w:hAnsi="宋体" w:cs="宋体"/>
          <w:b/>
          <w:color w:val="auto"/>
          <w:sz w:val="24"/>
          <w:highlight w:val="none"/>
        </w:rPr>
        <w:br w:type="page"/>
      </w:r>
    </w:p>
    <w:p w14:paraId="41D76B2F">
      <w:pPr>
        <w:spacing w:line="360" w:lineRule="auto"/>
        <w:jc w:val="left"/>
        <w:rPr>
          <w:rFonts w:hint="eastAsia" w:ascii="宋体" w:hAnsi="宋体" w:cs="宋体"/>
          <w:b/>
          <w:bCs/>
          <w:color w:val="auto"/>
          <w:sz w:val="32"/>
          <w:szCs w:val="32"/>
          <w:highlight w:val="none"/>
        </w:rPr>
      </w:pPr>
      <w:r>
        <w:rPr>
          <w:rFonts w:hint="eastAsia" w:ascii="宋体" w:hAnsi="宋体" w:cs="宋体"/>
          <w:b/>
          <w:color w:val="auto"/>
          <w:sz w:val="24"/>
          <w:highlight w:val="none"/>
        </w:rPr>
        <w:t>质疑函（格式）</w:t>
      </w:r>
    </w:p>
    <w:p w14:paraId="7057B945">
      <w:pPr>
        <w:jc w:val="center"/>
        <w:rPr>
          <w:rFonts w:hint="eastAsia" w:ascii="宋体" w:hAnsi="宋体" w:cs="宋体"/>
          <w:color w:val="auto"/>
          <w:sz w:val="44"/>
          <w:szCs w:val="44"/>
          <w:highlight w:val="none"/>
        </w:rPr>
      </w:pPr>
      <w:r>
        <w:rPr>
          <w:rFonts w:hint="eastAsia" w:ascii="宋体" w:hAnsi="宋体" w:cs="宋体"/>
          <w:color w:val="auto"/>
          <w:sz w:val="44"/>
          <w:szCs w:val="44"/>
          <w:highlight w:val="none"/>
        </w:rPr>
        <w:t>质疑函（格式）</w:t>
      </w:r>
    </w:p>
    <w:p w14:paraId="3D6A3956">
      <w:pPr>
        <w:pStyle w:val="32"/>
        <w:spacing w:before="0" w:after="0" w:line="288" w:lineRule="auto"/>
        <w:rPr>
          <w:rFonts w:hint="eastAsia" w:hAnsi="宋体" w:cs="宋体"/>
          <w:color w:val="auto"/>
          <w:w w:val="100"/>
          <w:highlight w:val="none"/>
        </w:rPr>
      </w:pPr>
      <w:r>
        <w:rPr>
          <w:rFonts w:hint="eastAsia" w:hAnsi="宋体" w:cs="宋体"/>
          <w:color w:val="auto"/>
          <w:w w:val="100"/>
          <w:highlight w:val="none"/>
        </w:rPr>
        <w:t>一、质疑供应商基本信息：</w:t>
      </w:r>
    </w:p>
    <w:p w14:paraId="7E222BF8">
      <w:pPr>
        <w:pStyle w:val="32"/>
        <w:spacing w:before="0" w:after="0" w:line="288" w:lineRule="auto"/>
        <w:rPr>
          <w:rFonts w:hint="eastAsia" w:hAnsi="宋体" w:cs="宋体"/>
          <w:color w:val="auto"/>
          <w:w w:val="100"/>
          <w:highlight w:val="none"/>
          <w:u w:val="single"/>
        </w:rPr>
      </w:pPr>
      <w:r>
        <w:rPr>
          <w:rFonts w:hint="eastAsia" w:hAnsi="宋体" w:cs="宋体"/>
          <w:color w:val="auto"/>
          <w:w w:val="100"/>
          <w:highlight w:val="none"/>
        </w:rPr>
        <w:t>质疑供应商：</w:t>
      </w:r>
    </w:p>
    <w:p w14:paraId="72D78558">
      <w:pPr>
        <w:pStyle w:val="32"/>
        <w:spacing w:before="0" w:after="0" w:line="288" w:lineRule="auto"/>
        <w:rPr>
          <w:rFonts w:hint="eastAsia" w:hAnsi="宋体" w:cs="宋体"/>
          <w:color w:val="auto"/>
          <w:w w:val="100"/>
          <w:highlight w:val="none"/>
        </w:rPr>
      </w:pPr>
      <w:r>
        <w:rPr>
          <w:rFonts w:hint="eastAsia" w:hAnsi="宋体" w:cs="宋体"/>
          <w:color w:val="auto"/>
          <w:w w:val="100"/>
          <w:highlight w:val="none"/>
        </w:rPr>
        <w:t>地址：邮编：</w:t>
      </w:r>
    </w:p>
    <w:p w14:paraId="5BC3BB29">
      <w:pPr>
        <w:pStyle w:val="32"/>
        <w:spacing w:before="0" w:after="0" w:line="288" w:lineRule="auto"/>
        <w:rPr>
          <w:rFonts w:hint="eastAsia" w:hAnsi="宋体" w:cs="宋体"/>
          <w:color w:val="auto"/>
          <w:w w:val="100"/>
          <w:highlight w:val="none"/>
        </w:rPr>
      </w:pPr>
      <w:r>
        <w:rPr>
          <w:rFonts w:hint="eastAsia" w:hAnsi="宋体" w:cs="宋体"/>
          <w:color w:val="auto"/>
          <w:w w:val="100"/>
          <w:highlight w:val="none"/>
        </w:rPr>
        <w:t>联系人：联系电话：</w:t>
      </w:r>
    </w:p>
    <w:p w14:paraId="52F07A0D">
      <w:pPr>
        <w:pStyle w:val="32"/>
        <w:spacing w:before="0" w:after="0" w:line="288" w:lineRule="auto"/>
        <w:rPr>
          <w:rFonts w:hint="eastAsia" w:hAnsi="宋体" w:cs="宋体"/>
          <w:color w:val="auto"/>
          <w:w w:val="100"/>
          <w:highlight w:val="none"/>
        </w:rPr>
      </w:pPr>
      <w:r>
        <w:rPr>
          <w:rFonts w:hint="eastAsia" w:hAnsi="宋体" w:cs="宋体"/>
          <w:color w:val="auto"/>
          <w:w w:val="100"/>
          <w:highlight w:val="none"/>
        </w:rPr>
        <w:t>授权代表：</w:t>
      </w:r>
    </w:p>
    <w:p w14:paraId="006C58BC">
      <w:pPr>
        <w:pStyle w:val="32"/>
        <w:spacing w:before="0" w:after="0" w:line="288" w:lineRule="auto"/>
        <w:rPr>
          <w:rFonts w:hint="eastAsia" w:hAnsi="宋体" w:cs="宋体"/>
          <w:color w:val="auto"/>
          <w:w w:val="100"/>
          <w:highlight w:val="none"/>
          <w:u w:val="single"/>
        </w:rPr>
      </w:pPr>
      <w:r>
        <w:rPr>
          <w:rFonts w:hint="eastAsia" w:hAnsi="宋体" w:cs="宋体"/>
          <w:color w:val="auto"/>
          <w:w w:val="100"/>
          <w:highlight w:val="none"/>
        </w:rPr>
        <w:t>联系电话：</w:t>
      </w:r>
    </w:p>
    <w:p w14:paraId="20326178">
      <w:pPr>
        <w:pStyle w:val="32"/>
        <w:spacing w:before="0" w:after="0" w:line="288" w:lineRule="auto"/>
        <w:rPr>
          <w:rFonts w:hint="eastAsia" w:hAnsi="宋体" w:cs="宋体"/>
          <w:color w:val="auto"/>
          <w:w w:val="100"/>
          <w:highlight w:val="none"/>
        </w:rPr>
      </w:pPr>
      <w:r>
        <w:rPr>
          <w:rFonts w:hint="eastAsia" w:hAnsi="宋体" w:cs="宋体"/>
          <w:color w:val="auto"/>
          <w:w w:val="100"/>
          <w:highlight w:val="none"/>
        </w:rPr>
        <w:t>地址：邮编：</w:t>
      </w:r>
    </w:p>
    <w:p w14:paraId="587A8913">
      <w:pPr>
        <w:pStyle w:val="32"/>
        <w:spacing w:before="0" w:after="0" w:line="288" w:lineRule="auto"/>
        <w:rPr>
          <w:rFonts w:hint="eastAsia" w:hAnsi="宋体" w:cs="宋体"/>
          <w:color w:val="auto"/>
          <w:w w:val="100"/>
          <w:highlight w:val="none"/>
        </w:rPr>
      </w:pPr>
      <w:r>
        <w:rPr>
          <w:rFonts w:hint="eastAsia" w:hAnsi="宋体" w:cs="宋体"/>
          <w:color w:val="auto"/>
          <w:w w:val="100"/>
          <w:highlight w:val="none"/>
        </w:rPr>
        <w:t>二、质疑项目基本情况：</w:t>
      </w:r>
    </w:p>
    <w:p w14:paraId="27C4B331">
      <w:pPr>
        <w:pStyle w:val="32"/>
        <w:spacing w:before="0" w:after="0" w:line="288" w:lineRule="auto"/>
        <w:rPr>
          <w:rFonts w:hint="eastAsia" w:hAnsi="宋体" w:cs="宋体"/>
          <w:color w:val="auto"/>
          <w:w w:val="100"/>
          <w:highlight w:val="none"/>
        </w:rPr>
      </w:pPr>
      <w:r>
        <w:rPr>
          <w:rFonts w:hint="eastAsia" w:hAnsi="宋体" w:cs="宋体"/>
          <w:bCs/>
          <w:color w:val="auto"/>
          <w:w w:val="100"/>
          <w:highlight w:val="none"/>
        </w:rPr>
        <w:t>质疑</w:t>
      </w:r>
      <w:r>
        <w:rPr>
          <w:rFonts w:hint="eastAsia" w:hAnsi="宋体" w:cs="宋体"/>
          <w:color w:val="auto"/>
          <w:w w:val="100"/>
          <w:highlight w:val="none"/>
        </w:rPr>
        <w:t>项目的名称：</w:t>
      </w:r>
    </w:p>
    <w:p w14:paraId="03533A04">
      <w:pPr>
        <w:pStyle w:val="32"/>
        <w:spacing w:before="0" w:after="0" w:line="288" w:lineRule="auto"/>
        <w:rPr>
          <w:rFonts w:hint="eastAsia" w:hAnsi="宋体" w:cs="宋体"/>
          <w:color w:val="auto"/>
          <w:w w:val="100"/>
          <w:highlight w:val="none"/>
        </w:rPr>
      </w:pPr>
      <w:r>
        <w:rPr>
          <w:rFonts w:hint="eastAsia" w:hAnsi="宋体" w:cs="宋体"/>
          <w:bCs/>
          <w:color w:val="auto"/>
          <w:w w:val="100"/>
          <w:highlight w:val="none"/>
        </w:rPr>
        <w:t>质疑</w:t>
      </w:r>
      <w:r>
        <w:rPr>
          <w:rFonts w:hint="eastAsia" w:hAnsi="宋体" w:cs="宋体"/>
          <w:color w:val="auto"/>
          <w:w w:val="100"/>
          <w:highlight w:val="none"/>
        </w:rPr>
        <w:t>项目的编号：</w:t>
      </w:r>
    </w:p>
    <w:p w14:paraId="1293A979">
      <w:pPr>
        <w:pStyle w:val="32"/>
        <w:spacing w:before="0" w:after="0" w:line="288" w:lineRule="auto"/>
        <w:rPr>
          <w:rFonts w:hint="eastAsia" w:hAnsi="宋体" w:cs="宋体"/>
          <w:color w:val="auto"/>
          <w:w w:val="100"/>
          <w:highlight w:val="none"/>
        </w:rPr>
      </w:pPr>
      <w:r>
        <w:rPr>
          <w:rFonts w:hint="eastAsia" w:hAnsi="宋体" w:cs="宋体"/>
          <w:color w:val="auto"/>
          <w:w w:val="100"/>
          <w:highlight w:val="none"/>
        </w:rPr>
        <w:t>采购人名称：</w:t>
      </w:r>
    </w:p>
    <w:p w14:paraId="6CFF1663">
      <w:pPr>
        <w:pStyle w:val="32"/>
        <w:spacing w:before="0" w:after="0" w:line="288" w:lineRule="auto"/>
        <w:rPr>
          <w:rFonts w:hint="eastAsia" w:hAnsi="宋体" w:cs="宋体"/>
          <w:color w:val="auto"/>
          <w:w w:val="100"/>
          <w:highlight w:val="none"/>
        </w:rPr>
      </w:pPr>
      <w:r>
        <w:rPr>
          <w:rFonts w:hint="eastAsia" w:hAnsi="宋体" w:cs="宋体"/>
          <w:color w:val="auto"/>
          <w:w w:val="100"/>
          <w:highlight w:val="none"/>
        </w:rPr>
        <w:t>质疑事项：</w:t>
      </w:r>
    </w:p>
    <w:p w14:paraId="12E6AEDD">
      <w:pPr>
        <w:pStyle w:val="32"/>
        <w:spacing w:before="0" w:after="0" w:line="288" w:lineRule="auto"/>
        <w:rPr>
          <w:rFonts w:hint="eastAsia" w:hAnsi="宋体" w:cs="宋体"/>
          <w:color w:val="auto"/>
          <w:w w:val="100"/>
          <w:highlight w:val="none"/>
        </w:rPr>
      </w:pPr>
      <w:r>
        <w:rPr>
          <w:rFonts w:hint="eastAsia" w:hAnsi="宋体" w:cs="宋体"/>
          <w:color w:val="auto"/>
          <w:w w:val="100"/>
          <w:highlight w:val="none"/>
        </w:rPr>
        <w:t>□采购文件   采购文件获取日期：</w:t>
      </w:r>
    </w:p>
    <w:p w14:paraId="61F79D58">
      <w:pPr>
        <w:pStyle w:val="32"/>
        <w:spacing w:before="0" w:after="0" w:line="288" w:lineRule="auto"/>
        <w:rPr>
          <w:rFonts w:hint="eastAsia" w:hAnsi="宋体" w:cs="宋体"/>
          <w:color w:val="auto"/>
          <w:w w:val="100"/>
          <w:highlight w:val="none"/>
        </w:rPr>
      </w:pPr>
      <w:r>
        <w:rPr>
          <w:rFonts w:hint="eastAsia" w:hAnsi="宋体" w:cs="宋体"/>
          <w:color w:val="auto"/>
          <w:w w:val="100"/>
          <w:highlight w:val="none"/>
        </w:rPr>
        <w:t xml:space="preserve">□采购过程   </w:t>
      </w:r>
    </w:p>
    <w:p w14:paraId="21AE068B">
      <w:pPr>
        <w:pStyle w:val="32"/>
        <w:spacing w:before="0" w:after="0" w:line="288" w:lineRule="auto"/>
        <w:rPr>
          <w:rFonts w:hint="eastAsia" w:hAnsi="宋体" w:cs="宋体"/>
          <w:bCs/>
          <w:color w:val="auto"/>
          <w:w w:val="100"/>
          <w:highlight w:val="none"/>
          <w:u w:val="single"/>
        </w:rPr>
      </w:pPr>
      <w:r>
        <w:rPr>
          <w:rFonts w:hint="eastAsia" w:hAnsi="宋体" w:cs="宋体"/>
          <w:color w:val="auto"/>
          <w:w w:val="100"/>
          <w:highlight w:val="none"/>
        </w:rPr>
        <w:t xml:space="preserve">□采购结果   </w:t>
      </w:r>
    </w:p>
    <w:p w14:paraId="1335950B">
      <w:pPr>
        <w:pStyle w:val="32"/>
        <w:spacing w:before="0" w:after="0" w:line="288" w:lineRule="auto"/>
        <w:rPr>
          <w:rFonts w:hint="eastAsia" w:hAnsi="宋体" w:cs="宋体"/>
          <w:color w:val="auto"/>
          <w:w w:val="100"/>
          <w:highlight w:val="none"/>
        </w:rPr>
      </w:pPr>
      <w:r>
        <w:rPr>
          <w:rFonts w:hint="eastAsia" w:hAnsi="宋体" w:cs="宋体"/>
          <w:color w:val="auto"/>
          <w:w w:val="100"/>
          <w:highlight w:val="none"/>
        </w:rPr>
        <w:t>三、质疑事项具体内容</w:t>
      </w:r>
    </w:p>
    <w:p w14:paraId="6C42F7CC">
      <w:pPr>
        <w:pStyle w:val="32"/>
        <w:spacing w:before="0" w:after="0" w:line="288" w:lineRule="auto"/>
        <w:rPr>
          <w:rFonts w:hint="eastAsia" w:hAnsi="宋体" w:cs="宋体"/>
          <w:color w:val="auto"/>
          <w:w w:val="100"/>
          <w:highlight w:val="none"/>
        </w:rPr>
      </w:pPr>
      <w:r>
        <w:rPr>
          <w:rFonts w:hint="eastAsia" w:hAnsi="宋体" w:cs="宋体"/>
          <w:color w:val="auto"/>
          <w:w w:val="100"/>
          <w:highlight w:val="none"/>
        </w:rPr>
        <w:t>质疑事项1：</w:t>
      </w:r>
    </w:p>
    <w:p w14:paraId="71AEE699">
      <w:pPr>
        <w:pStyle w:val="32"/>
        <w:spacing w:before="0" w:after="0" w:line="288" w:lineRule="auto"/>
        <w:rPr>
          <w:rFonts w:hint="eastAsia" w:hAnsi="宋体" w:cs="宋体"/>
          <w:color w:val="auto"/>
          <w:w w:val="100"/>
          <w:highlight w:val="none"/>
        </w:rPr>
      </w:pPr>
      <w:r>
        <w:rPr>
          <w:rFonts w:hint="eastAsia" w:hAnsi="宋体" w:cs="宋体"/>
          <w:color w:val="auto"/>
          <w:w w:val="100"/>
          <w:highlight w:val="none"/>
        </w:rPr>
        <w:t>事实依据：</w:t>
      </w:r>
    </w:p>
    <w:p w14:paraId="44D34668">
      <w:pPr>
        <w:pStyle w:val="32"/>
        <w:spacing w:before="0" w:after="0" w:line="288" w:lineRule="auto"/>
        <w:rPr>
          <w:rFonts w:hint="eastAsia" w:hAnsi="宋体" w:cs="宋体"/>
          <w:color w:val="auto"/>
          <w:w w:val="100"/>
          <w:highlight w:val="none"/>
        </w:rPr>
      </w:pPr>
      <w:r>
        <w:rPr>
          <w:rFonts w:hint="eastAsia" w:hAnsi="宋体" w:cs="宋体"/>
          <w:color w:val="auto"/>
          <w:w w:val="100"/>
          <w:highlight w:val="none"/>
        </w:rPr>
        <w:t>法律依据：</w:t>
      </w:r>
    </w:p>
    <w:p w14:paraId="0BA23F9A">
      <w:pPr>
        <w:pStyle w:val="32"/>
        <w:spacing w:before="0" w:after="0" w:line="288" w:lineRule="auto"/>
        <w:rPr>
          <w:rFonts w:hint="eastAsia" w:hAnsi="宋体" w:cs="宋体"/>
          <w:color w:val="auto"/>
          <w:w w:val="100"/>
          <w:highlight w:val="none"/>
        </w:rPr>
      </w:pPr>
      <w:r>
        <w:rPr>
          <w:rFonts w:hint="eastAsia" w:hAnsi="宋体" w:cs="宋体"/>
          <w:color w:val="auto"/>
          <w:w w:val="100"/>
          <w:highlight w:val="none"/>
        </w:rPr>
        <w:t>质疑事项2</w:t>
      </w:r>
    </w:p>
    <w:p w14:paraId="0F5FDFFF">
      <w:pPr>
        <w:pStyle w:val="32"/>
        <w:spacing w:before="0" w:after="0" w:line="288" w:lineRule="auto"/>
        <w:rPr>
          <w:rFonts w:hint="eastAsia" w:hAnsi="宋体" w:cs="宋体"/>
          <w:color w:val="auto"/>
          <w:w w:val="100"/>
          <w:highlight w:val="none"/>
        </w:rPr>
      </w:pPr>
      <w:r>
        <w:rPr>
          <w:rFonts w:hint="eastAsia" w:hAnsi="宋体" w:cs="宋体"/>
          <w:color w:val="auto"/>
          <w:w w:val="100"/>
          <w:highlight w:val="none"/>
        </w:rPr>
        <w:t>……</w:t>
      </w:r>
    </w:p>
    <w:p w14:paraId="19C49286">
      <w:pPr>
        <w:pStyle w:val="32"/>
        <w:spacing w:before="0" w:after="0" w:line="288" w:lineRule="auto"/>
        <w:rPr>
          <w:rFonts w:hint="eastAsia" w:hAnsi="宋体" w:cs="宋体"/>
          <w:color w:val="auto"/>
          <w:w w:val="100"/>
          <w:highlight w:val="none"/>
        </w:rPr>
      </w:pPr>
      <w:r>
        <w:rPr>
          <w:rFonts w:hint="eastAsia" w:hAnsi="宋体" w:cs="宋体"/>
          <w:color w:val="auto"/>
          <w:w w:val="100"/>
          <w:highlight w:val="none"/>
        </w:rPr>
        <w:t>四、与质疑事项相关的质疑请求：</w:t>
      </w:r>
    </w:p>
    <w:p w14:paraId="37AF6434">
      <w:pPr>
        <w:pStyle w:val="32"/>
        <w:spacing w:before="0" w:after="0" w:line="288" w:lineRule="auto"/>
        <w:rPr>
          <w:rFonts w:hint="eastAsia" w:hAnsi="宋体" w:cs="宋体"/>
          <w:color w:val="auto"/>
          <w:w w:val="100"/>
          <w:highlight w:val="none"/>
        </w:rPr>
      </w:pPr>
      <w:r>
        <w:rPr>
          <w:rFonts w:hint="eastAsia" w:hAnsi="宋体" w:cs="宋体"/>
          <w:color w:val="auto"/>
          <w:w w:val="100"/>
          <w:highlight w:val="none"/>
        </w:rPr>
        <w:t>请求：</w:t>
      </w:r>
    </w:p>
    <w:p w14:paraId="2DB45262">
      <w:pPr>
        <w:pStyle w:val="32"/>
        <w:spacing w:before="0" w:after="0" w:line="288" w:lineRule="auto"/>
        <w:rPr>
          <w:rFonts w:hint="eastAsia" w:hAnsi="宋体" w:cs="宋体"/>
          <w:color w:val="auto"/>
          <w:w w:val="100"/>
          <w:highlight w:val="none"/>
        </w:rPr>
      </w:pPr>
    </w:p>
    <w:p w14:paraId="355F5796">
      <w:pPr>
        <w:pStyle w:val="32"/>
        <w:spacing w:before="0" w:after="0" w:line="288" w:lineRule="auto"/>
        <w:rPr>
          <w:rFonts w:hint="eastAsia" w:hAnsi="宋体" w:cs="宋体"/>
          <w:color w:val="auto"/>
          <w:w w:val="100"/>
          <w:highlight w:val="none"/>
        </w:rPr>
      </w:pPr>
      <w:r>
        <w:rPr>
          <w:rFonts w:hint="eastAsia" w:hAnsi="宋体" w:cs="宋体"/>
          <w:color w:val="auto"/>
          <w:w w:val="100"/>
          <w:highlight w:val="none"/>
        </w:rPr>
        <w:t>签字（签章）：                                       公章：</w:t>
      </w:r>
    </w:p>
    <w:p w14:paraId="7E8C4DCE">
      <w:pPr>
        <w:pStyle w:val="32"/>
        <w:spacing w:before="0" w:after="0" w:line="288" w:lineRule="auto"/>
        <w:rPr>
          <w:rFonts w:hint="eastAsia" w:hAnsi="宋体" w:cs="宋体"/>
          <w:color w:val="auto"/>
          <w:w w:val="100"/>
          <w:highlight w:val="none"/>
        </w:rPr>
      </w:pPr>
    </w:p>
    <w:p w14:paraId="1D46025C">
      <w:pPr>
        <w:pStyle w:val="32"/>
        <w:spacing w:before="0" w:after="0" w:line="288" w:lineRule="auto"/>
        <w:rPr>
          <w:rFonts w:hint="eastAsia" w:hAnsi="宋体" w:cs="宋体"/>
          <w:color w:val="auto"/>
          <w:highlight w:val="none"/>
        </w:rPr>
      </w:pPr>
      <w:r>
        <w:rPr>
          <w:rFonts w:hint="eastAsia" w:hAnsi="宋体" w:cs="宋体"/>
          <w:color w:val="auto"/>
          <w:highlight w:val="none"/>
        </w:rPr>
        <w:t>日期：</w:t>
      </w:r>
    </w:p>
    <w:p w14:paraId="699E4EDD">
      <w:pPr>
        <w:pStyle w:val="32"/>
        <w:spacing w:before="0" w:after="0" w:line="288" w:lineRule="auto"/>
        <w:rPr>
          <w:rFonts w:hint="eastAsia" w:hAnsi="宋体" w:cs="宋体"/>
          <w:color w:val="auto"/>
          <w:highlight w:val="none"/>
        </w:rPr>
      </w:pPr>
    </w:p>
    <w:p w14:paraId="6AF55303">
      <w:pPr>
        <w:pStyle w:val="32"/>
        <w:spacing w:before="0" w:after="0" w:line="288" w:lineRule="auto"/>
        <w:rPr>
          <w:rFonts w:hint="eastAsia" w:hAnsi="宋体" w:cs="宋体"/>
          <w:color w:val="auto"/>
          <w:w w:val="100"/>
          <w:highlight w:val="none"/>
        </w:rPr>
      </w:pPr>
      <w:r>
        <w:rPr>
          <w:rFonts w:hint="eastAsia" w:hAnsi="宋体" w:cs="宋体"/>
          <w:color w:val="auto"/>
          <w:w w:val="100"/>
          <w:highlight w:val="none"/>
        </w:rPr>
        <w:t>说明：</w:t>
      </w:r>
    </w:p>
    <w:p w14:paraId="691AB0DF">
      <w:pPr>
        <w:pStyle w:val="32"/>
        <w:spacing w:before="0" w:after="0" w:line="288" w:lineRule="auto"/>
        <w:rPr>
          <w:rFonts w:hint="eastAsia" w:hAnsi="宋体" w:cs="宋体"/>
          <w:bCs/>
          <w:color w:val="auto"/>
          <w:w w:val="100"/>
          <w:highlight w:val="none"/>
        </w:rPr>
      </w:pPr>
      <w:r>
        <w:rPr>
          <w:rFonts w:hint="eastAsia" w:hAnsi="宋体" w:cs="宋体"/>
          <w:color w:val="auto"/>
          <w:w w:val="100"/>
          <w:highlight w:val="none"/>
        </w:rPr>
        <w:t>1.供应商提出质疑时，应提交质疑函和必要的证明材料</w:t>
      </w:r>
      <w:r>
        <w:rPr>
          <w:rFonts w:hint="eastAsia" w:hAnsi="宋体" w:cs="宋体"/>
          <w:bCs/>
          <w:color w:val="auto"/>
          <w:w w:val="100"/>
          <w:highlight w:val="none"/>
        </w:rPr>
        <w:t>。</w:t>
      </w:r>
    </w:p>
    <w:p w14:paraId="11BD0997">
      <w:pPr>
        <w:pStyle w:val="32"/>
        <w:spacing w:before="0" w:after="0" w:line="288" w:lineRule="auto"/>
        <w:rPr>
          <w:rFonts w:hint="eastAsia" w:hAnsi="宋体" w:cs="宋体"/>
          <w:color w:val="auto"/>
          <w:w w:val="100"/>
          <w:highlight w:val="none"/>
        </w:rPr>
      </w:pPr>
      <w:r>
        <w:rPr>
          <w:rFonts w:hint="eastAsia" w:hAnsi="宋体" w:cs="宋体"/>
          <w:color w:val="auto"/>
          <w:w w:val="100"/>
          <w:highlight w:val="none"/>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14:paraId="074303E8">
      <w:pPr>
        <w:pStyle w:val="32"/>
        <w:spacing w:before="0" w:after="0" w:line="288" w:lineRule="auto"/>
        <w:rPr>
          <w:rFonts w:hint="eastAsia" w:hAnsi="宋体" w:cs="宋体"/>
          <w:color w:val="auto"/>
          <w:w w:val="100"/>
          <w:highlight w:val="none"/>
        </w:rPr>
      </w:pPr>
      <w:r>
        <w:rPr>
          <w:rFonts w:hint="eastAsia" w:hAnsi="宋体" w:cs="宋体"/>
          <w:color w:val="auto"/>
          <w:w w:val="100"/>
          <w:highlight w:val="none"/>
        </w:rPr>
        <w:t>3.质疑函的质疑事项应具体、明确，并有必要的事实依据和法律依据。</w:t>
      </w:r>
    </w:p>
    <w:p w14:paraId="35EEF8D7">
      <w:pPr>
        <w:pStyle w:val="32"/>
        <w:spacing w:before="0" w:after="0" w:line="288" w:lineRule="auto"/>
        <w:rPr>
          <w:rFonts w:hint="eastAsia" w:hAnsi="宋体" w:cs="宋体"/>
          <w:color w:val="auto"/>
          <w:w w:val="100"/>
          <w:highlight w:val="none"/>
        </w:rPr>
      </w:pPr>
      <w:r>
        <w:rPr>
          <w:rFonts w:hint="eastAsia" w:hAnsi="宋体" w:cs="宋体"/>
          <w:color w:val="auto"/>
          <w:w w:val="100"/>
          <w:highlight w:val="none"/>
        </w:rPr>
        <w:t>4.质疑函的质疑请求应与质疑事项相关。</w:t>
      </w:r>
    </w:p>
    <w:p w14:paraId="5F3C5D2A">
      <w:pPr>
        <w:pStyle w:val="32"/>
        <w:spacing w:before="0" w:after="0" w:line="288" w:lineRule="auto"/>
        <w:rPr>
          <w:rFonts w:hint="eastAsia" w:hAnsi="宋体" w:cs="宋体"/>
          <w:color w:val="auto"/>
          <w:w w:val="100"/>
          <w:highlight w:val="none"/>
        </w:rPr>
      </w:pPr>
      <w:r>
        <w:rPr>
          <w:rFonts w:hint="eastAsia" w:hAnsi="宋体" w:cs="宋体"/>
          <w:color w:val="auto"/>
          <w:w w:val="100"/>
          <w:highlight w:val="none"/>
        </w:rPr>
        <w:t>5.质疑供应商为法人或者其他组织的，质疑函应由法定代表人、主要负责人，或者其授权代表签字或者盖章，并加盖公章。</w:t>
      </w:r>
    </w:p>
    <w:p w14:paraId="39346956">
      <w:pPr>
        <w:spacing w:line="460" w:lineRule="exact"/>
        <w:rPr>
          <w:rFonts w:hint="eastAsia" w:ascii="宋体" w:hAnsi="宋体" w:cs="宋体"/>
          <w:color w:val="auto"/>
          <w:sz w:val="44"/>
          <w:highlight w:val="none"/>
        </w:rPr>
      </w:pPr>
    </w:p>
    <w:p w14:paraId="68449A77">
      <w:pPr>
        <w:spacing w:line="360" w:lineRule="auto"/>
        <w:jc w:val="left"/>
        <w:rPr>
          <w:rFonts w:hint="eastAsia" w:ascii="宋体" w:hAnsi="宋体" w:cs="宋体"/>
          <w:b/>
          <w:color w:val="auto"/>
          <w:highlight w:val="none"/>
        </w:rPr>
      </w:pPr>
    </w:p>
    <w:sectPr>
      <w:footerReference r:id="rId16" w:type="first"/>
      <w:headerReference r:id="rId13" w:type="default"/>
      <w:footerReference r:id="rId14" w:type="default"/>
      <w:footerReference r:id="rId15" w:type="even"/>
      <w:pgSz w:w="11906" w:h="16838"/>
      <w:pgMar w:top="1134" w:right="1134" w:bottom="1134" w:left="1134"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Arial Unicode MS">
    <w:panose1 w:val="020B0604020202020204"/>
    <w:charset w:val="86"/>
    <w:family w:val="roman"/>
    <w:pitch w:val="default"/>
    <w:sig w:usb0="FFFFFFFF" w:usb1="E9FFFFFF" w:usb2="0000003F" w:usb3="00000000" w:csb0="603F01FF" w:csb1="FFFF0000"/>
  </w:font>
  <w:font w:name="Book Antiqua">
    <w:panose1 w:val="02040602050305030304"/>
    <w:charset w:val="00"/>
    <w:family w:val="roman"/>
    <w:pitch w:val="default"/>
    <w:sig w:usb0="00000287" w:usb1="00000000" w:usb2="00000000" w:usb3="00000000" w:csb0="2000009F" w:csb1="DFD70000"/>
  </w:font>
  <w:font w:name="Century">
    <w:panose1 w:val="02040604050505020304"/>
    <w:charset w:val="00"/>
    <w:family w:val="roman"/>
    <w:pitch w:val="default"/>
    <w:sig w:usb0="00000287" w:usb1="00000000" w:usb2="00000000" w:usb3="00000000" w:csb0="2000009F" w:csb1="DFD70000"/>
  </w:font>
  <w:font w:name="Tahoma">
    <w:panose1 w:val="020B0604030504040204"/>
    <w:charset w:val="00"/>
    <w:family w:val="swiss"/>
    <w:pitch w:val="default"/>
    <w:sig w:usb0="E1002EFF" w:usb1="C000605B" w:usb2="00000029" w:usb3="00000000" w:csb0="200101FF" w:csb1="20280000"/>
  </w:font>
  <w:font w:name="_x000B__x000C_">
    <w:altName w:val="宋体"/>
    <w:panose1 w:val="00000000000000000000"/>
    <w:charset w:val="00"/>
    <w:family w:val="roman"/>
    <w:pitch w:val="default"/>
    <w:sig w:usb0="00000000" w:usb1="00000000" w:usb2="00000000" w:usb3="00000000" w:csb0="00040001" w:csb1="00000000"/>
  </w:font>
  <w:font w:name="Microsoft YaHei UI">
    <w:panose1 w:val="020B0503020204020204"/>
    <w:charset w:val="86"/>
    <w:family w:val="swiss"/>
    <w:pitch w:val="default"/>
    <w:sig w:usb0="80000287" w:usb1="2ACF3C50" w:usb2="00000016" w:usb3="00000000" w:csb0="0004001F" w:csb1="00000000"/>
  </w:font>
  <w:font w:name="Wingdings 2">
    <w:panose1 w:val="05020102010507070707"/>
    <w:charset w:val="02"/>
    <w:family w:val="roman"/>
    <w:pitch w:val="default"/>
    <w:sig w:usb0="00000000" w:usb1="00000000" w:usb2="00000000" w:usb3="00000000" w:csb0="80000000" w:csb1="00000000"/>
    <w:embedRegular r:id="rId1" w:fontKey="{A7DB739A-E770-4172-A7DE-C1DC76588E2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E0948C">
    <w:pPr>
      <w:pStyle w:val="39"/>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D27A07">
    <w:pPr>
      <w:pStyle w:val="39"/>
      <w:ind w:right="360"/>
      <w:jc w:val="both"/>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57785" cy="131445"/>
              <wp:effectExtent l="0" t="0" r="0" b="0"/>
              <wp:wrapNone/>
              <wp:docPr id="4100" name="文本框 1030"/>
              <wp:cNvGraphicFramePr/>
              <a:graphic xmlns:a="http://schemas.openxmlformats.org/drawingml/2006/main">
                <a:graphicData uri="http://schemas.microsoft.com/office/word/2010/wordprocessingShape">
                  <wps:wsp>
                    <wps:cNvSpPr/>
                    <wps:spPr>
                      <a:xfrm>
                        <a:off x="0" y="0"/>
                        <a:ext cx="57785" cy="131445"/>
                      </a:xfrm>
                      <a:prstGeom prst="rect">
                        <a:avLst/>
                      </a:prstGeom>
                      <a:noFill/>
                      <a:ln>
                        <a:noFill/>
                      </a:ln>
                      <a:effectLst/>
                    </wps:spPr>
                    <wps:txbx>
                      <w:txbxContent>
                        <w:p w14:paraId="4ACAA716">
                          <w:pPr>
                            <w:pStyle w:val="39"/>
                          </w:pPr>
                          <w:r>
                            <w:fldChar w:fldCharType="begin"/>
                          </w:r>
                          <w:r>
                            <w:instrText xml:space="preserve"> PAGE  \* MERGEFORMAT </w:instrText>
                          </w:r>
                          <w:r>
                            <w:fldChar w:fldCharType="separate"/>
                          </w:r>
                          <w:r>
                            <w:t>76</w:t>
                          </w:r>
                          <w:r>
                            <w:fldChar w:fldCharType="end"/>
                          </w:r>
                        </w:p>
                      </w:txbxContent>
                    </wps:txbx>
                    <wps:bodyPr wrap="none" lIns="0" tIns="0" rIns="0" bIns="0">
                      <a:spAutoFit/>
                    </wps:bodyPr>
                  </wps:wsp>
                </a:graphicData>
              </a:graphic>
            </wp:anchor>
          </w:drawing>
        </mc:Choice>
        <mc:Fallback>
          <w:pict>
            <v:rect id="文本框 1030" o:spid="_x0000_s1026" o:spt="1" style="position:absolute;left:0pt;margin-top:0pt;height:10.35pt;width:4.55pt;mso-position-horizontal:center;mso-position-horizontal-relative:margin;mso-wrap-style:none;z-index:251661312;mso-width-relative:page;mso-height-relative:page;" filled="f" stroked="f" coordsize="21600,21600" o:gfxdata="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lRY/VtEAAAACAQAADwAAAAAAAAABACAAAAAiAAAAZHJzL2Rvd25yZXYu&#10;eG1sUEsBAhQAFAAAAAgAh07iQA67z/fJAQAAlAMAAA4AAAAAAAAAAQAgAAAAIAEAAGRycy9lMm9E&#10;b2MueG1sUEsFBgAAAAAGAAYAWQEAAFsFAAAAAA==&#10;">
              <v:fill on="f" focussize="0,0"/>
              <v:stroke on="f"/>
              <v:imagedata o:title=""/>
              <o:lock v:ext="edit" aspectratio="f"/>
              <v:textbox inset="0mm,0mm,0mm,0mm" style="mso-fit-shape-to-text:t;">
                <w:txbxContent>
                  <w:p w14:paraId="4ACAA716">
                    <w:pPr>
                      <w:pStyle w:val="39"/>
                    </w:pPr>
                    <w:r>
                      <w:fldChar w:fldCharType="begin"/>
                    </w:r>
                    <w:r>
                      <w:instrText xml:space="preserve"> PAGE  \* MERGEFORMAT </w:instrText>
                    </w:r>
                    <w:r>
                      <w:fldChar w:fldCharType="separate"/>
                    </w:r>
                    <w:r>
                      <w:t>76</w:t>
                    </w:r>
                    <w: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27BE82">
    <w:pPr>
      <w:pStyle w:val="39"/>
      <w:framePr w:wrap="around" w:vAnchor="text" w:hAnchor="margin" w:xAlign="center" w:y="1"/>
      <w:rPr>
        <w:rStyle w:val="67"/>
        <w:sz w:val="21"/>
      </w:rPr>
    </w:pPr>
    <w:r>
      <w:rPr>
        <w:sz w:val="21"/>
      </w:rPr>
      <w:fldChar w:fldCharType="begin"/>
    </w:r>
    <w:r>
      <w:rPr>
        <w:rStyle w:val="67"/>
        <w:sz w:val="21"/>
      </w:rPr>
      <w:instrText xml:space="preserve">PAGE  </w:instrText>
    </w:r>
    <w:r>
      <w:rPr>
        <w:sz w:val="21"/>
      </w:rPr>
      <w:fldChar w:fldCharType="separate"/>
    </w:r>
    <w:r>
      <w:rPr>
        <w:rStyle w:val="67"/>
        <w:sz w:val="21"/>
      </w:rPr>
      <w:t>0</w:t>
    </w:r>
    <w:r>
      <w:rPr>
        <w:sz w:val="21"/>
      </w:rPr>
      <w:fldChar w:fldCharType="end"/>
    </w:r>
  </w:p>
  <w:p w14:paraId="4D2E497C">
    <w:pPr>
      <w:pStyle w:val="39"/>
      <w:rPr>
        <w:sz w:val="2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246506">
    <w:pPr>
      <w:pStyle w:val="39"/>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4097" name="文本框 1025"/>
              <wp:cNvGraphicFramePr/>
              <a:graphic xmlns:a="http://schemas.openxmlformats.org/drawingml/2006/main">
                <a:graphicData uri="http://schemas.microsoft.com/office/word/2010/wordprocessingShape">
                  <wps:wsp>
                    <wps:cNvSpPr/>
                    <wps:spPr>
                      <a:xfrm>
                        <a:off x="0" y="0"/>
                        <a:ext cx="57785" cy="131445"/>
                      </a:xfrm>
                      <a:prstGeom prst="rect">
                        <a:avLst/>
                      </a:prstGeom>
                      <a:noFill/>
                      <a:ln>
                        <a:noFill/>
                      </a:ln>
                      <a:effectLst/>
                    </wps:spPr>
                    <wps:txbx>
                      <w:txbxContent>
                        <w:p w14:paraId="21426103">
                          <w:pPr>
                            <w:pStyle w:val="39"/>
                          </w:pPr>
                          <w:r>
                            <w:fldChar w:fldCharType="begin"/>
                          </w:r>
                          <w:r>
                            <w:instrText xml:space="preserve"> PAGE  \* MERGEFORMAT </w:instrText>
                          </w:r>
                          <w:r>
                            <w:fldChar w:fldCharType="separate"/>
                          </w:r>
                          <w:r>
                            <w:t>8</w:t>
                          </w:r>
                          <w:r>
                            <w:fldChar w:fldCharType="end"/>
                          </w:r>
                        </w:p>
                      </w:txbxContent>
                    </wps:txbx>
                    <wps:bodyPr wrap="none" lIns="0" tIns="0" rIns="0" bIns="0">
                      <a:spAutoFit/>
                    </wps:bodyPr>
                  </wps:wsp>
                </a:graphicData>
              </a:graphic>
            </wp:anchor>
          </w:drawing>
        </mc:Choice>
        <mc:Fallback>
          <w:pict>
            <v:rect id="文本框 1025" o:spid="_x0000_s1026" o:spt="1"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CVFj9W0QAAAAIBAAAPAAAAAAAAAAEAIAAAACIAAABkcnMvZG93bnJl&#10;di54bWxQSwECFAAUAAAACACHTuJAITcx08sBAACUAwAADgAAAAAAAAABACAAAAAgAQAAZHJzL2Uy&#10;b0RvYy54bWxQSwUGAAAAAAYABgBZAQAAXQUAAAAA&#10;">
              <v:fill on="f" focussize="0,0"/>
              <v:stroke on="f"/>
              <v:imagedata o:title=""/>
              <o:lock v:ext="edit" aspectratio="f"/>
              <v:textbox inset="0mm,0mm,0mm,0mm" style="mso-fit-shape-to-text:t;">
                <w:txbxContent>
                  <w:p w14:paraId="21426103">
                    <w:pPr>
                      <w:pStyle w:val="39"/>
                    </w:pPr>
                    <w:r>
                      <w:fldChar w:fldCharType="begin"/>
                    </w:r>
                    <w:r>
                      <w:instrText xml:space="preserve"> PAGE  \* MERGEFORMAT </w:instrText>
                    </w:r>
                    <w:r>
                      <w:fldChar w:fldCharType="separate"/>
                    </w:r>
                    <w:r>
                      <w:t>8</w:t>
                    </w:r>
                    <w:r>
                      <w:fldChar w:fldCharType="end"/>
                    </w:r>
                  </w:p>
                </w:txbxContent>
              </v:textbox>
            </v:rect>
          </w:pict>
        </mc:Fallback>
      </mc:AlternateContent>
    </w:r>
  </w:p>
  <w:p w14:paraId="2E7E9B96">
    <w:pPr>
      <w:pStyle w:val="3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5164DD">
    <w:pPr>
      <w:pStyle w:val="39"/>
      <w:jc w:val="center"/>
    </w:pPr>
  </w:p>
  <w:p w14:paraId="19A514AA">
    <w:pPr>
      <w:pStyle w:val="39"/>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0C800D">
    <w:pPr>
      <w:pStyle w:val="39"/>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7785" cy="131445"/>
              <wp:effectExtent l="0" t="0" r="0" b="0"/>
              <wp:wrapNone/>
              <wp:docPr id="4098" name="文本框 1028"/>
              <wp:cNvGraphicFramePr/>
              <a:graphic xmlns:a="http://schemas.openxmlformats.org/drawingml/2006/main">
                <a:graphicData uri="http://schemas.microsoft.com/office/word/2010/wordprocessingShape">
                  <wps:wsp>
                    <wps:cNvSpPr/>
                    <wps:spPr>
                      <a:xfrm>
                        <a:off x="0" y="0"/>
                        <a:ext cx="57785" cy="131445"/>
                      </a:xfrm>
                      <a:prstGeom prst="rect">
                        <a:avLst/>
                      </a:prstGeom>
                      <a:noFill/>
                      <a:ln>
                        <a:noFill/>
                      </a:ln>
                      <a:effectLst/>
                    </wps:spPr>
                    <wps:txbx>
                      <w:txbxContent>
                        <w:p w14:paraId="601C3EA8">
                          <w:pPr>
                            <w:pStyle w:val="39"/>
                          </w:pPr>
                          <w:r>
                            <w:fldChar w:fldCharType="begin"/>
                          </w:r>
                          <w:r>
                            <w:instrText xml:space="preserve"> PAGE  \* MERGEFORMAT </w:instrText>
                          </w:r>
                          <w:r>
                            <w:fldChar w:fldCharType="separate"/>
                          </w:r>
                          <w:r>
                            <w:t>47</w:t>
                          </w:r>
                          <w:r>
                            <w:fldChar w:fldCharType="end"/>
                          </w:r>
                        </w:p>
                      </w:txbxContent>
                    </wps:txbx>
                    <wps:bodyPr wrap="none" lIns="0" tIns="0" rIns="0" bIns="0">
                      <a:spAutoFit/>
                    </wps:bodyPr>
                  </wps:wsp>
                </a:graphicData>
              </a:graphic>
            </wp:anchor>
          </w:drawing>
        </mc:Choice>
        <mc:Fallback>
          <w:pict>
            <v:rect id="文本框 1028" o:spid="_x0000_s1026" o:spt="1" style="position:absolute;left:0pt;margin-top:0pt;height:10.35pt;width:4.55pt;mso-position-horizontal:center;mso-position-horizontal-relative:margin;mso-wrap-style:none;z-index:251660288;mso-width-relative:page;mso-height-relative:page;" filled="f" stroked="f" coordsize="21600,21600" o:gfxdata="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CVFj9W0QAAAAIBAAAPAAAAAAAAAAEAIAAAACIAAABkcnMvZG93bnJl&#10;di54bWxQSwECFAAUAAAACACHTuJA0/BbJssBAACUAwAADgAAAAAAAAABACAAAAAgAQAAZHJzL2Uy&#10;b0RvYy54bWxQSwUGAAAAAAYABgBZAQAAXQUAAAAA&#10;">
              <v:fill on="f" focussize="0,0"/>
              <v:stroke on="f"/>
              <v:imagedata o:title=""/>
              <o:lock v:ext="edit" aspectratio="f"/>
              <v:textbox inset="0mm,0mm,0mm,0mm" style="mso-fit-shape-to-text:t;">
                <w:txbxContent>
                  <w:p w14:paraId="601C3EA8">
                    <w:pPr>
                      <w:pStyle w:val="39"/>
                    </w:pPr>
                    <w:r>
                      <w:fldChar w:fldCharType="begin"/>
                    </w:r>
                    <w:r>
                      <w:instrText xml:space="preserve"> PAGE  \* MERGEFORMAT </w:instrText>
                    </w:r>
                    <w:r>
                      <w:fldChar w:fldCharType="separate"/>
                    </w:r>
                    <w:r>
                      <w:t>47</w:t>
                    </w:r>
                    <w:r>
                      <w:fldChar w:fldCharType="end"/>
                    </w:r>
                  </w:p>
                </w:txbxContent>
              </v:textbox>
            </v:rect>
          </w:pict>
        </mc:Fallback>
      </mc:AlternateContent>
    </w:r>
  </w:p>
  <w:p w14:paraId="700902FE">
    <w:pPr>
      <w:pStyle w:val="39"/>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0CAD1A">
    <w:pPr>
      <w:pStyle w:val="39"/>
      <w:framePr w:wrap="around" w:vAnchor="text" w:hAnchor="margin" w:xAlign="center" w:y="1"/>
      <w:rPr>
        <w:rStyle w:val="67"/>
      </w:rPr>
    </w:pPr>
    <w:r>
      <w:fldChar w:fldCharType="begin"/>
    </w:r>
    <w:r>
      <w:rPr>
        <w:rStyle w:val="67"/>
      </w:rPr>
      <w:instrText xml:space="preserve">PAGE  </w:instrText>
    </w:r>
    <w:r>
      <w:fldChar w:fldCharType="end"/>
    </w:r>
  </w:p>
  <w:p w14:paraId="458AD6B8">
    <w:pPr>
      <w:pStyle w:val="39"/>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EDCB3">
    <w:pPr>
      <w:pStyle w:val="39"/>
      <w:framePr w:wrap="around" w:vAnchor="text" w:hAnchor="margin" w:xAlign="right" w:y="1"/>
      <w:rPr>
        <w:rStyle w:val="67"/>
      </w:rPr>
    </w:pPr>
    <w:r>
      <w:fldChar w:fldCharType="begin"/>
    </w:r>
    <w:r>
      <w:rPr>
        <w:rStyle w:val="67"/>
      </w:rPr>
      <w:instrText xml:space="preserve">PAGE  </w:instrText>
    </w:r>
    <w:r>
      <w:fldChar w:fldCharType="separate"/>
    </w:r>
    <w:r>
      <w:rPr>
        <w:rStyle w:val="67"/>
      </w:rPr>
      <w:t>122</w:t>
    </w:r>
    <w:r>
      <w:fldChar w:fldCharType="end"/>
    </w:r>
  </w:p>
  <w:p w14:paraId="4400B01D">
    <w:pPr>
      <w:pStyle w:val="39"/>
      <w:ind w:right="360"/>
      <w:jc w:val="both"/>
    </w:pPr>
    <w:r>
      <w:rPr>
        <w:rFonts w:hint="eastAsia"/>
      </w:rPr>
      <w:t>121</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AD6F12">
    <w:pPr>
      <w:pStyle w:val="39"/>
      <w:jc w:val="cente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57785" cy="131445"/>
              <wp:effectExtent l="0" t="0" r="0" b="0"/>
              <wp:wrapNone/>
              <wp:docPr id="4099" name="文本框 1029"/>
              <wp:cNvGraphicFramePr/>
              <a:graphic xmlns:a="http://schemas.openxmlformats.org/drawingml/2006/main">
                <a:graphicData uri="http://schemas.microsoft.com/office/word/2010/wordprocessingShape">
                  <wps:wsp>
                    <wps:cNvSpPr/>
                    <wps:spPr>
                      <a:xfrm>
                        <a:off x="0" y="0"/>
                        <a:ext cx="57785" cy="131445"/>
                      </a:xfrm>
                      <a:prstGeom prst="rect">
                        <a:avLst/>
                      </a:prstGeom>
                      <a:noFill/>
                      <a:ln>
                        <a:noFill/>
                      </a:ln>
                      <a:effectLst/>
                    </wps:spPr>
                    <wps:txbx>
                      <w:txbxContent>
                        <w:p w14:paraId="73B365F8">
                          <w:pPr>
                            <w:pStyle w:val="39"/>
                          </w:pPr>
                          <w:r>
                            <w:fldChar w:fldCharType="begin"/>
                          </w:r>
                          <w:r>
                            <w:instrText xml:space="preserve"> PAGE  \* MERGEFORMAT </w:instrText>
                          </w:r>
                          <w:r>
                            <w:fldChar w:fldCharType="separate"/>
                          </w:r>
                          <w:r>
                            <w:t>79</w:t>
                          </w:r>
                          <w:r>
                            <w:fldChar w:fldCharType="end"/>
                          </w:r>
                        </w:p>
                      </w:txbxContent>
                    </wps:txbx>
                    <wps:bodyPr wrap="none" lIns="0" tIns="0" rIns="0" bIns="0">
                      <a:spAutoFit/>
                    </wps:bodyPr>
                  </wps:wsp>
                </a:graphicData>
              </a:graphic>
            </wp:anchor>
          </w:drawing>
        </mc:Choice>
        <mc:Fallback>
          <w:pict>
            <v:rect id="文本框 1029" o:spid="_x0000_s1026" o:spt="1" style="position:absolute;left:0pt;margin-top:0pt;height:10.35pt;width:4.55pt;mso-position-horizontal:center;mso-position-horizontal-relative:margin;mso-wrap-style:none;z-index:251662336;mso-width-relative:page;mso-height-relative:page;" filled="f" stroked="f" coordsize="21600,21600" o:gfxdata="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lRY/VtEAAAACAQAADwAAAAAAAAABACAAAAAiAAAAZHJzL2Rvd25y&#10;ZXYueG1sUEsBAhQAFAAAAAgAh07iQPMUHenMAQAAlAMAAA4AAAAAAAAAAQAgAAAAIAEAAGRycy9l&#10;Mm9Eb2MueG1sUEsFBgAAAAAGAAYAWQEAAF4FAAAAAA==&#10;">
              <v:fill on="f" focussize="0,0"/>
              <v:stroke on="f"/>
              <v:imagedata o:title=""/>
              <o:lock v:ext="edit" aspectratio="f"/>
              <v:textbox inset="0mm,0mm,0mm,0mm" style="mso-fit-shape-to-text:t;">
                <w:txbxContent>
                  <w:p w14:paraId="73B365F8">
                    <w:pPr>
                      <w:pStyle w:val="39"/>
                    </w:pPr>
                    <w:r>
                      <w:fldChar w:fldCharType="begin"/>
                    </w:r>
                    <w:r>
                      <w:instrText xml:space="preserve"> PAGE  \* MERGEFORMAT </w:instrText>
                    </w:r>
                    <w:r>
                      <w:fldChar w:fldCharType="separate"/>
                    </w:r>
                    <w:r>
                      <w:t>79</w:t>
                    </w:r>
                    <w:r>
                      <w:fldChar w:fldCharType="end"/>
                    </w:r>
                  </w:p>
                </w:txbxContent>
              </v:textbox>
            </v:rect>
          </w:pict>
        </mc:Fallback>
      </mc:AlternateContent>
    </w:r>
  </w:p>
  <w:p w14:paraId="0EF9E35E">
    <w:pPr>
      <w:pStyle w:val="39"/>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0942CB">
    <w:pPr>
      <w:pStyle w:val="39"/>
      <w:framePr w:wrap="around" w:vAnchor="text" w:hAnchor="margin" w:xAlign="center" w:y="1"/>
      <w:rPr>
        <w:rStyle w:val="67"/>
      </w:rPr>
    </w:pPr>
    <w:r>
      <w:fldChar w:fldCharType="begin"/>
    </w:r>
    <w:r>
      <w:rPr>
        <w:rStyle w:val="67"/>
      </w:rPr>
      <w:instrText xml:space="preserve">PAGE  </w:instrText>
    </w:r>
    <w:r>
      <w:fldChar w:fldCharType="end"/>
    </w:r>
  </w:p>
  <w:p w14:paraId="7780CB01">
    <w:pPr>
      <w:pStyle w:val="3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665A43">
    <w:pPr>
      <w:pStyle w:val="40"/>
      <w:pBdr>
        <w:bottom w:val="none" w:color="auto" w:sz="0" w:space="1"/>
      </w:pBdr>
      <w:tabs>
        <w:tab w:val="center" w:pos="4153"/>
        <w:tab w:val="right" w:pos="8306"/>
        <w:tab w:val="clear" w:pos="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EDC030">
    <w:pPr>
      <w:pStyle w:val="40"/>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AB5069">
    <w:pPr>
      <w:pStyle w:val="40"/>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3524CD">
    <w:pPr>
      <w:pStyle w:val="4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decimal"/>
      <w:pStyle w:val="85"/>
      <w:lvlText w:val="%1、"/>
      <w:lvlJc w:val="left"/>
      <w:pPr>
        <w:tabs>
          <w:tab w:val="left" w:pos="675"/>
        </w:tabs>
        <w:ind w:left="675" w:hanging="675"/>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02"/>
    <w:multiLevelType w:val="multilevel"/>
    <w:tmpl w:val="00000002"/>
    <w:lvl w:ilvl="0" w:tentative="0">
      <w:start w:val="1"/>
      <w:numFmt w:val="decimal"/>
      <w:pStyle w:val="167"/>
      <w:lvlText w:val="%1."/>
      <w:lvlJc w:val="left"/>
      <w:pPr>
        <w:tabs>
          <w:tab w:val="left" w:pos="425"/>
        </w:tabs>
        <w:ind w:left="425" w:hanging="425"/>
      </w:pPr>
    </w:lvl>
    <w:lvl w:ilvl="1" w:tentative="0">
      <w:start w:val="1"/>
      <w:numFmt w:val="decimal"/>
      <w:pStyle w:val="100"/>
      <w:lvlText w:val="%1.%2."/>
      <w:lvlJc w:val="left"/>
      <w:pPr>
        <w:tabs>
          <w:tab w:val="left" w:pos="567"/>
        </w:tabs>
        <w:ind w:left="567" w:hanging="567"/>
      </w:pPr>
    </w:lvl>
    <w:lvl w:ilvl="2" w:tentative="0">
      <w:start w:val="1"/>
      <w:numFmt w:val="decimal"/>
      <w:lvlText w:val="%1.%2.%3."/>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2">
    <w:nsid w:val="00000003"/>
    <w:multiLevelType w:val="multilevel"/>
    <w:tmpl w:val="00000003"/>
    <w:lvl w:ilvl="0" w:tentative="0">
      <w:start w:val="1"/>
      <w:numFmt w:val="lowerLetter"/>
      <w:pStyle w:val="202"/>
      <w:lvlText w:val="%1)"/>
      <w:lvlJc w:val="left"/>
      <w:pPr>
        <w:tabs>
          <w:tab w:val="left" w:pos="840"/>
        </w:tabs>
        <w:ind w:left="839" w:hanging="419"/>
      </w:pPr>
      <w:rPr>
        <w:rFonts w:hint="eastAsia" w:ascii="宋体" w:hAnsi="Times New Roman" w:eastAsia="宋体"/>
        <w:b w:val="0"/>
        <w:i w:val="0"/>
        <w:sz w:val="21"/>
        <w:szCs w:val="21"/>
      </w:rPr>
    </w:lvl>
    <w:lvl w:ilvl="1" w:tentative="0">
      <w:start w:val="1"/>
      <w:numFmt w:val="decimal"/>
      <w:lvlText w:val="%2)"/>
      <w:lvlJc w:val="left"/>
      <w:pPr>
        <w:tabs>
          <w:tab w:val="left" w:pos="1260"/>
        </w:tabs>
        <w:ind w:left="1259" w:hanging="419"/>
      </w:pPr>
    </w:lvl>
    <w:lvl w:ilvl="2" w:tentative="0">
      <w:start w:val="1"/>
      <w:numFmt w:val="decimal"/>
      <w:lvlText w:val="(%3)"/>
      <w:lvlJc w:val="left"/>
      <w:pPr>
        <w:tabs>
          <w:tab w:val="left" w:pos="0"/>
        </w:tabs>
        <w:ind w:left="1679" w:hanging="420"/>
      </w:pPr>
      <w:rPr>
        <w:rFonts w:hint="eastAsia" w:ascii="宋体" w:hAnsi="Times New Roman" w:eastAsia="宋体"/>
        <w:b w:val="0"/>
        <w:i w:val="0"/>
        <w:sz w:val="21"/>
        <w:szCs w:val="21"/>
      </w:rPr>
    </w:lvl>
    <w:lvl w:ilvl="3" w:tentative="0">
      <w:start w:val="1"/>
      <w:numFmt w:val="decimal"/>
      <w:lvlText w:val="%4."/>
      <w:lvlJc w:val="left"/>
      <w:pPr>
        <w:tabs>
          <w:tab w:val="left" w:pos="2100"/>
        </w:tabs>
        <w:ind w:left="2099" w:hanging="419"/>
      </w:pPr>
    </w:lvl>
    <w:lvl w:ilvl="4" w:tentative="0">
      <w:start w:val="1"/>
      <w:numFmt w:val="lowerLetter"/>
      <w:lvlText w:val="%5)"/>
      <w:lvlJc w:val="left"/>
      <w:pPr>
        <w:tabs>
          <w:tab w:val="left" w:pos="2520"/>
        </w:tabs>
        <w:ind w:left="2519" w:hanging="419"/>
      </w:pPr>
    </w:lvl>
    <w:lvl w:ilvl="5" w:tentative="0">
      <w:start w:val="1"/>
      <w:numFmt w:val="lowerRoman"/>
      <w:lvlText w:val="%6."/>
      <w:lvlJc w:val="right"/>
      <w:pPr>
        <w:tabs>
          <w:tab w:val="left" w:pos="2940"/>
        </w:tabs>
        <w:ind w:left="2939" w:hanging="419"/>
      </w:pPr>
    </w:lvl>
    <w:lvl w:ilvl="6" w:tentative="0">
      <w:start w:val="1"/>
      <w:numFmt w:val="decimal"/>
      <w:lvlText w:val="%7."/>
      <w:lvlJc w:val="left"/>
      <w:pPr>
        <w:tabs>
          <w:tab w:val="left" w:pos="3360"/>
        </w:tabs>
        <w:ind w:left="3359" w:hanging="419"/>
      </w:pPr>
    </w:lvl>
    <w:lvl w:ilvl="7" w:tentative="0">
      <w:start w:val="1"/>
      <w:numFmt w:val="lowerLetter"/>
      <w:lvlText w:val="%8)"/>
      <w:lvlJc w:val="left"/>
      <w:pPr>
        <w:tabs>
          <w:tab w:val="left" w:pos="3780"/>
        </w:tabs>
        <w:ind w:left="3779" w:hanging="419"/>
      </w:pPr>
    </w:lvl>
    <w:lvl w:ilvl="8" w:tentative="0">
      <w:start w:val="1"/>
      <w:numFmt w:val="lowerRoman"/>
      <w:lvlText w:val="%9."/>
      <w:lvlJc w:val="right"/>
      <w:pPr>
        <w:tabs>
          <w:tab w:val="left" w:pos="4200"/>
        </w:tabs>
        <w:ind w:left="4199" w:hanging="419"/>
      </w:pPr>
    </w:lvl>
  </w:abstractNum>
  <w:abstractNum w:abstractNumId="3">
    <w:nsid w:val="00000004"/>
    <w:multiLevelType w:val="multilevel"/>
    <w:tmpl w:val="00000004"/>
    <w:lvl w:ilvl="0" w:tentative="0">
      <w:start w:val="1"/>
      <w:numFmt w:val="decimal"/>
      <w:pStyle w:val="217"/>
      <w:lvlText w:val="%1."/>
      <w:lvlJc w:val="left"/>
      <w:pPr>
        <w:tabs>
          <w:tab w:val="left" w:pos="840"/>
        </w:tabs>
        <w:ind w:left="840" w:hanging="420"/>
      </w:pPr>
    </w:lvl>
    <w:lvl w:ilvl="1" w:tentative="0">
      <w:start w:val="1"/>
      <w:numFmt w:val="lowerLetter"/>
      <w:pStyle w:val="110"/>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4">
    <w:nsid w:val="00000005"/>
    <w:multiLevelType w:val="multilevel"/>
    <w:tmpl w:val="00000005"/>
    <w:lvl w:ilvl="0" w:tentative="0">
      <w:start w:val="1"/>
      <w:numFmt w:val="decimal"/>
      <w:pStyle w:val="162"/>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cs="Times New Roman"/>
        <w:b w:val="0"/>
        <w:i w:val="0"/>
        <w:sz w:val="21"/>
      </w:rPr>
    </w:lvl>
    <w:lvl w:ilvl="2" w:tentative="0">
      <w:start w:val="1"/>
      <w:numFmt w:val="decimal"/>
      <w:suff w:val="nothing"/>
      <w:lvlText w:val="%1%2.%3　"/>
      <w:lvlJc w:val="left"/>
      <w:pPr>
        <w:ind w:left="0" w:firstLine="0"/>
      </w:pPr>
      <w:rPr>
        <w:rFonts w:hint="default" w:ascii="Times New Roman" w:hAnsi="Times New Roman" w:eastAsia="黑体" w:cs="Times New Roman"/>
        <w:b w:val="0"/>
        <w:i w:val="0"/>
        <w:sz w:val="21"/>
      </w:rPr>
    </w:lvl>
    <w:lvl w:ilvl="3" w:tentative="0">
      <w:start w:val="1"/>
      <w:numFmt w:val="decimal"/>
      <w:suff w:val="nothing"/>
      <w:lvlText w:val="%1%2.%3.%4　"/>
      <w:lvlJc w:val="left"/>
      <w:pPr>
        <w:ind w:left="0" w:firstLine="0"/>
      </w:pPr>
      <w:rPr>
        <w:rFonts w:hint="default" w:ascii="Times New Roman" w:hAnsi="Times New Roman" w:eastAsia="黑体" w:cs="Times New Roman"/>
        <w:b w:val="0"/>
        <w:i w:val="0"/>
        <w:sz w:val="21"/>
      </w:rPr>
    </w:lvl>
    <w:lvl w:ilvl="4" w:tentative="0">
      <w:start w:val="1"/>
      <w:numFmt w:val="decimal"/>
      <w:suff w:val="nothing"/>
      <w:lvlText w:val="%1%2.%3.%4.%5　"/>
      <w:lvlJc w:val="left"/>
      <w:pPr>
        <w:ind w:left="0" w:firstLine="0"/>
      </w:pPr>
      <w:rPr>
        <w:rFonts w:hint="default" w:ascii="Times New Roman" w:hAnsi="Times New Roman" w:eastAsia="黑体" w:cs="Times New Roman"/>
        <w:b w:val="0"/>
        <w:i w:val="0"/>
        <w:sz w:val="21"/>
      </w:rPr>
    </w:lvl>
    <w:lvl w:ilvl="5" w:tentative="0">
      <w:start w:val="1"/>
      <w:numFmt w:val="decimal"/>
      <w:suff w:val="nothing"/>
      <w:lvlText w:val="%1%2.%3.%4.%5.%6　"/>
      <w:lvlJc w:val="left"/>
      <w:pPr>
        <w:ind w:left="0" w:firstLine="0"/>
      </w:pPr>
      <w:rPr>
        <w:rFonts w:hint="default" w:ascii="Times New Roman" w:hAnsi="Times New Roman" w:eastAsia="黑体" w:cs="Times New Roman"/>
        <w:b w:val="0"/>
        <w:i w:val="0"/>
        <w:sz w:val="21"/>
      </w:rPr>
    </w:lvl>
    <w:lvl w:ilvl="6" w:tentative="0">
      <w:start w:val="1"/>
      <w:numFmt w:val="decimal"/>
      <w:suff w:val="nothing"/>
      <w:lvlText w:val="%1%2.%3.%4.%5.%6.%7　"/>
      <w:lvlJc w:val="left"/>
      <w:pPr>
        <w:ind w:left="0" w:firstLine="0"/>
      </w:pPr>
      <w:rPr>
        <w:rFonts w:hint="default" w:ascii="Times New Roman" w:hAnsi="Times New Roman" w:eastAsia="黑体" w:cs="Times New Roman"/>
        <w:b w:val="0"/>
        <w:i w:val="0"/>
        <w:sz w:val="21"/>
      </w:rPr>
    </w:lvl>
    <w:lvl w:ilvl="7" w:tentative="0">
      <w:start w:val="1"/>
      <w:numFmt w:val="decimal"/>
      <w:lvlText w:val="%1.%2.%3.%4.%5.%6.%7.%8"/>
      <w:lvlJc w:val="left"/>
      <w:pPr>
        <w:tabs>
          <w:tab w:val="left" w:pos="4351"/>
        </w:tabs>
        <w:ind w:left="3969" w:hanging="1418"/>
      </w:pPr>
    </w:lvl>
    <w:lvl w:ilvl="8" w:tentative="0">
      <w:start w:val="1"/>
      <w:numFmt w:val="decimal"/>
      <w:lvlText w:val="%1.%2.%3.%4.%5.%6.%7.%8.%9"/>
      <w:lvlJc w:val="left"/>
      <w:pPr>
        <w:tabs>
          <w:tab w:val="left" w:pos="4777"/>
        </w:tabs>
        <w:ind w:left="4677" w:hanging="1700"/>
      </w:pPr>
    </w:lvl>
  </w:abstractNum>
  <w:abstractNum w:abstractNumId="5">
    <w:nsid w:val="00000006"/>
    <w:multiLevelType w:val="multilevel"/>
    <w:tmpl w:val="00000006"/>
    <w:lvl w:ilvl="0" w:tentative="0">
      <w:start w:val="1"/>
      <w:numFmt w:val="decimal"/>
      <w:pStyle w:val="141"/>
      <w:lvlText w:val="%1."/>
      <w:lvlJc w:val="left"/>
      <w:pPr>
        <w:tabs>
          <w:tab w:val="left" w:pos="840"/>
        </w:tabs>
        <w:ind w:left="840" w:hanging="420"/>
      </w:pPr>
    </w:lvl>
    <w:lvl w:ilvl="1" w:tentative="0">
      <w:start w:val="1"/>
      <w:numFmt w:val="lowerLetter"/>
      <w:lvlText w:val="%2)"/>
      <w:lvlJc w:val="left"/>
      <w:pPr>
        <w:tabs>
          <w:tab w:val="left" w:pos="1260"/>
        </w:tabs>
        <w:ind w:left="1260" w:hanging="420"/>
      </w:pPr>
    </w:lvl>
    <w:lvl w:ilvl="2" w:tentative="0">
      <w:start w:val="1"/>
      <w:numFmt w:val="lowerRoman"/>
      <w:pStyle w:val="127"/>
      <w:lvlText w:val="%3."/>
      <w:lvlJc w:val="right"/>
      <w:pPr>
        <w:tabs>
          <w:tab w:val="left" w:pos="1680"/>
        </w:tabs>
        <w:ind w:left="1680" w:hanging="420"/>
      </w:pPr>
    </w:lvl>
    <w:lvl w:ilvl="3" w:tentative="0">
      <w:start w:val="1"/>
      <w:numFmt w:val="decimal"/>
      <w:pStyle w:val="159"/>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6">
    <w:nsid w:val="00000007"/>
    <w:multiLevelType w:val="multilevel"/>
    <w:tmpl w:val="00000007"/>
    <w:lvl w:ilvl="0" w:tentative="0">
      <w:start w:val="1"/>
      <w:numFmt w:val="decimal"/>
      <w:pStyle w:val="115"/>
      <w:suff w:val="nothing"/>
      <w:lvlText w:val="注%1："/>
      <w:lvlJc w:val="left"/>
      <w:pPr>
        <w:ind w:left="811" w:hanging="448"/>
      </w:pPr>
      <w:rPr>
        <w:rFonts w:hint="eastAsia" w:ascii="黑体" w:hAnsi="Times New Roman" w:eastAsia="黑体"/>
        <w:b w:val="0"/>
        <w:i w:val="0"/>
        <w:sz w:val="18"/>
        <w:szCs w:val="18"/>
        <w:vertAlign w:val="baseline"/>
      </w:rPr>
    </w:lvl>
    <w:lvl w:ilvl="1" w:tentative="0">
      <w:start w:val="1"/>
      <w:numFmt w:val="lowerLetter"/>
      <w:lvlText w:val="%2)"/>
      <w:lvlJc w:val="left"/>
      <w:pPr>
        <w:tabs>
          <w:tab w:val="left" w:pos="180"/>
        </w:tabs>
        <w:ind w:left="1172" w:hanging="629"/>
      </w:pPr>
      <w:rPr>
        <w:vertAlign w:val="baseline"/>
      </w:rPr>
    </w:lvl>
    <w:lvl w:ilvl="2" w:tentative="0">
      <w:start w:val="1"/>
      <w:numFmt w:val="lowerRoman"/>
      <w:lvlText w:val="%3."/>
      <w:lvlJc w:val="right"/>
      <w:pPr>
        <w:tabs>
          <w:tab w:val="left" w:pos="180"/>
        </w:tabs>
        <w:ind w:left="1172" w:hanging="629"/>
      </w:pPr>
      <w:rPr>
        <w:vertAlign w:val="baseline"/>
      </w:rPr>
    </w:lvl>
    <w:lvl w:ilvl="3" w:tentative="0">
      <w:start w:val="1"/>
      <w:numFmt w:val="decimal"/>
      <w:lvlText w:val="%4."/>
      <w:lvlJc w:val="left"/>
      <w:pPr>
        <w:tabs>
          <w:tab w:val="left" w:pos="180"/>
        </w:tabs>
        <w:ind w:left="1172" w:hanging="629"/>
      </w:pPr>
      <w:rPr>
        <w:vertAlign w:val="baseline"/>
      </w:rPr>
    </w:lvl>
    <w:lvl w:ilvl="4" w:tentative="0">
      <w:start w:val="1"/>
      <w:numFmt w:val="lowerLetter"/>
      <w:lvlText w:val="%5)"/>
      <w:lvlJc w:val="left"/>
      <w:pPr>
        <w:tabs>
          <w:tab w:val="left" w:pos="180"/>
        </w:tabs>
        <w:ind w:left="1172" w:hanging="629"/>
      </w:pPr>
      <w:rPr>
        <w:vertAlign w:val="baseline"/>
      </w:rPr>
    </w:lvl>
    <w:lvl w:ilvl="5" w:tentative="0">
      <w:start w:val="1"/>
      <w:numFmt w:val="lowerRoman"/>
      <w:lvlText w:val="%6."/>
      <w:lvlJc w:val="right"/>
      <w:pPr>
        <w:tabs>
          <w:tab w:val="left" w:pos="180"/>
        </w:tabs>
        <w:ind w:left="1172" w:hanging="629"/>
      </w:pPr>
      <w:rPr>
        <w:vertAlign w:val="baseline"/>
      </w:rPr>
    </w:lvl>
    <w:lvl w:ilvl="6" w:tentative="0">
      <w:start w:val="1"/>
      <w:numFmt w:val="decimal"/>
      <w:lvlText w:val="%7."/>
      <w:lvlJc w:val="left"/>
      <w:pPr>
        <w:tabs>
          <w:tab w:val="left" w:pos="180"/>
        </w:tabs>
        <w:ind w:left="1172" w:hanging="629"/>
      </w:pPr>
      <w:rPr>
        <w:vertAlign w:val="baseline"/>
      </w:rPr>
    </w:lvl>
    <w:lvl w:ilvl="7" w:tentative="0">
      <w:start w:val="1"/>
      <w:numFmt w:val="lowerLetter"/>
      <w:lvlText w:val="%8)"/>
      <w:lvlJc w:val="left"/>
      <w:pPr>
        <w:tabs>
          <w:tab w:val="left" w:pos="180"/>
        </w:tabs>
        <w:ind w:left="1172" w:hanging="629"/>
      </w:pPr>
      <w:rPr>
        <w:vertAlign w:val="baseline"/>
      </w:rPr>
    </w:lvl>
    <w:lvl w:ilvl="8" w:tentative="0">
      <w:start w:val="1"/>
      <w:numFmt w:val="lowerRoman"/>
      <w:lvlText w:val="%9."/>
      <w:lvlJc w:val="right"/>
      <w:pPr>
        <w:tabs>
          <w:tab w:val="left" w:pos="180"/>
        </w:tabs>
        <w:ind w:left="1172" w:hanging="629"/>
      </w:pPr>
      <w:rPr>
        <w:vertAlign w:val="baseline"/>
      </w:rPr>
    </w:lvl>
  </w:abstractNum>
  <w:abstractNum w:abstractNumId="7">
    <w:nsid w:val="00000008"/>
    <w:multiLevelType w:val="multilevel"/>
    <w:tmpl w:val="00000008"/>
    <w:lvl w:ilvl="0" w:tentative="0">
      <w:start w:val="1"/>
      <w:numFmt w:val="decimal"/>
      <w:pStyle w:val="86"/>
      <w:suff w:val="nothing"/>
      <w:lvlText w:val="%1　"/>
      <w:lvlJc w:val="left"/>
      <w:pPr>
        <w:ind w:left="426" w:firstLine="0"/>
      </w:pPr>
      <w:rPr>
        <w:rFonts w:hint="eastAsia" w:ascii="黑体" w:hAnsi="Times New Roman" w:eastAsia="黑体"/>
        <w:b w:val="0"/>
        <w:i w:val="0"/>
        <w:sz w:val="21"/>
        <w:szCs w:val="21"/>
      </w:rPr>
    </w:lvl>
    <w:lvl w:ilvl="1" w:tentative="0">
      <w:start w:val="1"/>
      <w:numFmt w:val="decimal"/>
      <w:pStyle w:val="88"/>
      <w:suff w:val="nothing"/>
      <w:lvlText w:val="%1.%2　"/>
      <w:lvlJc w:val="left"/>
      <w:pPr>
        <w:ind w:left="0" w:firstLine="0"/>
      </w:pPr>
      <w:rPr>
        <w:rFonts w:hint="eastAsia" w:ascii="黑体" w:hAnsi="Times New Roman" w:eastAsia="黑体" w:cs="Times New Roman"/>
        <w:b w:val="0"/>
        <w:bCs w:val="0"/>
        <w:i w:val="0"/>
        <w:iCs w:val="0"/>
        <w:caps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232"/>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lvl>
    <w:lvl w:ilvl="8" w:tentative="0">
      <w:start w:val="1"/>
      <w:numFmt w:val="decimal"/>
      <w:lvlText w:val="%1.%2.%3.%4.%5.%6.%7.%8.%9"/>
      <w:lvlJc w:val="left"/>
      <w:pPr>
        <w:tabs>
          <w:tab w:val="left" w:pos="4777"/>
        </w:tabs>
        <w:ind w:left="4677" w:hanging="1700"/>
      </w:pPr>
    </w:lvl>
  </w:abstractNum>
  <w:abstractNum w:abstractNumId="8">
    <w:nsid w:val="00000009"/>
    <w:multiLevelType w:val="multilevel"/>
    <w:tmpl w:val="00000009"/>
    <w:lvl w:ilvl="0" w:tentative="0">
      <w:start w:val="1"/>
      <w:numFmt w:val="decimal"/>
      <w:pStyle w:val="105"/>
      <w:lvlText w:val="%1."/>
      <w:lvlJc w:val="left"/>
      <w:pPr>
        <w:tabs>
          <w:tab w:val="left" w:pos="425"/>
        </w:tabs>
        <w:ind w:left="425" w:hanging="425"/>
      </w:pPr>
    </w:lvl>
    <w:lvl w:ilvl="1" w:tentative="0">
      <w:start w:val="1"/>
      <w:numFmt w:val="decimal"/>
      <w:lvlText w:val="%1.%2."/>
      <w:lvlJc w:val="left"/>
      <w:pPr>
        <w:tabs>
          <w:tab w:val="left" w:pos="567"/>
        </w:tabs>
        <w:ind w:left="567" w:hanging="567"/>
      </w:pPr>
    </w:lvl>
    <w:lvl w:ilvl="2" w:tentative="0">
      <w:start w:val="1"/>
      <w:numFmt w:val="decimal"/>
      <w:lvlText w:val="%1.%2.%3."/>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9">
    <w:nsid w:val="0000000A"/>
    <w:multiLevelType w:val="multilevel"/>
    <w:tmpl w:val="0000000A"/>
    <w:lvl w:ilvl="0" w:tentative="0">
      <w:start w:val="1"/>
      <w:numFmt w:val="bullet"/>
      <w:pStyle w:val="95"/>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0">
    <w:nsid w:val="0000000B"/>
    <w:multiLevelType w:val="multilevel"/>
    <w:tmpl w:val="0000000B"/>
    <w:lvl w:ilvl="0" w:tentative="0">
      <w:start w:val="1"/>
      <w:numFmt w:val="decimal"/>
      <w:pStyle w:val="93"/>
      <w:suff w:val="nothing"/>
      <w:lvlText w:val="注%1："/>
      <w:lvlJc w:val="left"/>
      <w:pPr>
        <w:ind w:left="579" w:hanging="448"/>
      </w:pPr>
      <w:rPr>
        <w:rFonts w:hint="eastAsia" w:ascii="黑体" w:hAnsi="Times New Roman" w:eastAsia="黑体"/>
        <w:b w:val="0"/>
        <w:i w:val="0"/>
        <w:sz w:val="18"/>
        <w:lang w:val="en-US"/>
      </w:rPr>
    </w:lvl>
    <w:lvl w:ilvl="1" w:tentative="0">
      <w:start w:val="1"/>
      <w:numFmt w:val="lowerLetter"/>
      <w:lvlText w:val="%2)"/>
      <w:lvlJc w:val="left"/>
      <w:pPr>
        <w:tabs>
          <w:tab w:val="left" w:pos="-79"/>
        </w:tabs>
        <w:ind w:left="913" w:hanging="629"/>
      </w:pPr>
    </w:lvl>
    <w:lvl w:ilvl="2" w:tentative="0">
      <w:start w:val="1"/>
      <w:numFmt w:val="lowerRoman"/>
      <w:lvlText w:val="%3."/>
      <w:lvlJc w:val="right"/>
      <w:pPr>
        <w:tabs>
          <w:tab w:val="left" w:pos="-79"/>
        </w:tabs>
        <w:ind w:left="913" w:hanging="629"/>
      </w:pPr>
    </w:lvl>
    <w:lvl w:ilvl="3" w:tentative="0">
      <w:start w:val="1"/>
      <w:numFmt w:val="decimal"/>
      <w:lvlText w:val="%4."/>
      <w:lvlJc w:val="left"/>
      <w:pPr>
        <w:tabs>
          <w:tab w:val="left" w:pos="-79"/>
        </w:tabs>
        <w:ind w:left="913" w:hanging="629"/>
      </w:pPr>
    </w:lvl>
    <w:lvl w:ilvl="4" w:tentative="0">
      <w:start w:val="1"/>
      <w:numFmt w:val="lowerLetter"/>
      <w:lvlText w:val="%5)"/>
      <w:lvlJc w:val="left"/>
      <w:pPr>
        <w:tabs>
          <w:tab w:val="left" w:pos="-79"/>
        </w:tabs>
        <w:ind w:left="913" w:hanging="629"/>
      </w:pPr>
    </w:lvl>
    <w:lvl w:ilvl="5" w:tentative="0">
      <w:start w:val="1"/>
      <w:numFmt w:val="lowerRoman"/>
      <w:lvlText w:val="%6."/>
      <w:lvlJc w:val="right"/>
      <w:pPr>
        <w:tabs>
          <w:tab w:val="left" w:pos="-79"/>
        </w:tabs>
        <w:ind w:left="913" w:hanging="629"/>
      </w:pPr>
    </w:lvl>
    <w:lvl w:ilvl="6" w:tentative="0">
      <w:start w:val="1"/>
      <w:numFmt w:val="decimal"/>
      <w:lvlText w:val="%7."/>
      <w:lvlJc w:val="left"/>
      <w:pPr>
        <w:tabs>
          <w:tab w:val="left" w:pos="-79"/>
        </w:tabs>
        <w:ind w:left="913" w:hanging="629"/>
      </w:pPr>
    </w:lvl>
    <w:lvl w:ilvl="7" w:tentative="0">
      <w:start w:val="1"/>
      <w:numFmt w:val="lowerLetter"/>
      <w:lvlText w:val="%8)"/>
      <w:lvlJc w:val="left"/>
      <w:pPr>
        <w:tabs>
          <w:tab w:val="left" w:pos="-79"/>
        </w:tabs>
        <w:ind w:left="913" w:hanging="629"/>
      </w:pPr>
    </w:lvl>
    <w:lvl w:ilvl="8" w:tentative="0">
      <w:start w:val="1"/>
      <w:numFmt w:val="lowerRoman"/>
      <w:lvlText w:val="%9."/>
      <w:lvlJc w:val="right"/>
      <w:pPr>
        <w:tabs>
          <w:tab w:val="left" w:pos="-79"/>
        </w:tabs>
        <w:ind w:left="913" w:hanging="629"/>
      </w:pPr>
    </w:lvl>
  </w:abstractNum>
  <w:abstractNum w:abstractNumId="11">
    <w:nsid w:val="0000000C"/>
    <w:multiLevelType w:val="multilevel"/>
    <w:tmpl w:val="0000000C"/>
    <w:lvl w:ilvl="0" w:tentative="0">
      <w:start w:val="1"/>
      <w:numFmt w:val="chineseCountingThousand"/>
      <w:suff w:val="nothing"/>
      <w:lvlText w:val="第%1章"/>
      <w:lvlJc w:val="left"/>
      <w:pPr>
        <w:ind w:left="0" w:firstLine="0"/>
      </w:pPr>
      <w:rPr>
        <w:rFonts w:hint="eastAsia" w:ascii="仿宋_GB2312" w:eastAsia="仿宋_GB2312"/>
        <w:sz w:val="44"/>
      </w:rPr>
    </w:lvl>
    <w:lvl w:ilvl="1" w:tentative="0">
      <w:start w:val="1"/>
      <w:numFmt w:val="none"/>
      <w:suff w:val="nothing"/>
      <w:lvlText w:val=""/>
      <w:lvlJc w:val="left"/>
      <w:pPr>
        <w:ind w:left="0" w:firstLine="0"/>
      </w:pPr>
      <w:rPr>
        <w:rFonts w:hint="eastAsia"/>
      </w:rPr>
    </w:lvl>
    <w:lvl w:ilvl="2" w:tentative="0">
      <w:start w:val="1"/>
      <w:numFmt w:val="none"/>
      <w:suff w:val="nothing"/>
      <w:lvlText w:val=""/>
      <w:lvlJc w:val="left"/>
      <w:pPr>
        <w:ind w:left="0" w:firstLine="0"/>
      </w:pPr>
      <w:rPr>
        <w:rFonts w:hint="eastAsia"/>
      </w:rPr>
    </w:lvl>
    <w:lvl w:ilvl="3" w:tentative="0">
      <w:start w:val="1"/>
      <w:numFmt w:val="none"/>
      <w:suff w:val="nothing"/>
      <w:lvlText w:val=""/>
      <w:lvlJc w:val="left"/>
      <w:pPr>
        <w:ind w:left="0" w:firstLine="0"/>
      </w:pPr>
      <w:rPr>
        <w:rFonts w:hint="eastAsia"/>
      </w:rPr>
    </w:lvl>
    <w:lvl w:ilvl="4" w:tentative="0">
      <w:start w:val="1"/>
      <w:numFmt w:val="none"/>
      <w:pStyle w:val="6"/>
      <w:suff w:val="nothing"/>
      <w:lvlText w:val=""/>
      <w:lvlJc w:val="left"/>
      <w:pPr>
        <w:ind w:left="0" w:firstLine="0"/>
      </w:pPr>
      <w:rPr>
        <w:rFonts w:hint="eastAsia"/>
      </w:rPr>
    </w:lvl>
    <w:lvl w:ilvl="5" w:tentative="0">
      <w:start w:val="1"/>
      <w:numFmt w:val="none"/>
      <w:pStyle w:val="7"/>
      <w:suff w:val="nothing"/>
      <w:lvlText w:val=""/>
      <w:lvlJc w:val="left"/>
      <w:pPr>
        <w:ind w:left="0" w:firstLine="0"/>
      </w:pPr>
      <w:rPr>
        <w:rFonts w:hint="eastAsia"/>
      </w:rPr>
    </w:lvl>
    <w:lvl w:ilvl="6" w:tentative="0">
      <w:start w:val="1"/>
      <w:numFmt w:val="none"/>
      <w:pStyle w:val="9"/>
      <w:suff w:val="nothing"/>
      <w:lvlText w:val=""/>
      <w:lvlJc w:val="left"/>
      <w:pPr>
        <w:ind w:left="0" w:firstLine="0"/>
      </w:pPr>
      <w:rPr>
        <w:rFonts w:hint="eastAsia"/>
      </w:rPr>
    </w:lvl>
    <w:lvl w:ilvl="7" w:tentative="0">
      <w:start w:val="1"/>
      <w:numFmt w:val="none"/>
      <w:pStyle w:val="10"/>
      <w:suff w:val="nothing"/>
      <w:lvlText w:val=""/>
      <w:lvlJc w:val="left"/>
      <w:pPr>
        <w:ind w:left="0" w:firstLine="0"/>
      </w:pPr>
      <w:rPr>
        <w:rFonts w:hint="eastAsia"/>
      </w:rPr>
    </w:lvl>
    <w:lvl w:ilvl="8" w:tentative="0">
      <w:start w:val="1"/>
      <w:numFmt w:val="none"/>
      <w:pStyle w:val="11"/>
      <w:suff w:val="nothing"/>
      <w:lvlText w:val=""/>
      <w:lvlJc w:val="left"/>
      <w:pPr>
        <w:ind w:left="0" w:firstLine="0"/>
      </w:pPr>
      <w:rPr>
        <w:rFonts w:hint="eastAsia"/>
      </w:rPr>
    </w:lvl>
  </w:abstractNum>
  <w:abstractNum w:abstractNumId="12">
    <w:nsid w:val="0000000D"/>
    <w:multiLevelType w:val="multilevel"/>
    <w:tmpl w:val="0000000D"/>
    <w:lvl w:ilvl="0" w:tentative="0">
      <w:start w:val="1"/>
      <w:numFmt w:val="decimal"/>
      <w:pStyle w:val="203"/>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3">
    <w:nsid w:val="0000000E"/>
    <w:multiLevelType w:val="singleLevel"/>
    <w:tmpl w:val="0000000E"/>
    <w:lvl w:ilvl="0" w:tentative="0">
      <w:start w:val="1"/>
      <w:numFmt w:val="decimal"/>
      <w:suff w:val="nothing"/>
      <w:lvlText w:val="（%1）"/>
      <w:lvlJc w:val="left"/>
    </w:lvl>
  </w:abstractNum>
  <w:abstractNum w:abstractNumId="14">
    <w:nsid w:val="0000000F"/>
    <w:multiLevelType w:val="multilevel"/>
    <w:tmpl w:val="0000000F"/>
    <w:lvl w:ilvl="0" w:tentative="0">
      <w:start w:val="1"/>
      <w:numFmt w:val="decimal"/>
      <w:pStyle w:val="191"/>
      <w:lvlText w:val="%1、"/>
      <w:lvlJc w:val="left"/>
      <w:pPr>
        <w:tabs>
          <w:tab w:val="left" w:pos="675"/>
        </w:tabs>
        <w:ind w:left="675" w:hanging="675"/>
      </w:pPr>
    </w:lvl>
    <w:lvl w:ilvl="1" w:tentative="0">
      <w:start w:val="1"/>
      <w:numFmt w:val="lowerLetter"/>
      <w:pStyle w:val="189"/>
      <w:lvlText w:val="%2)"/>
      <w:lvlJc w:val="left"/>
      <w:pPr>
        <w:tabs>
          <w:tab w:val="left" w:pos="840"/>
        </w:tabs>
        <w:ind w:left="840" w:hanging="420"/>
      </w:pPr>
    </w:lvl>
    <w:lvl w:ilvl="2" w:tentative="0">
      <w:start w:val="1"/>
      <w:numFmt w:val="lowerRoman"/>
      <w:pStyle w:val="201"/>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5">
    <w:nsid w:val="00000010"/>
    <w:multiLevelType w:val="multilevel"/>
    <w:tmpl w:val="00000010"/>
    <w:lvl w:ilvl="0" w:tentative="0">
      <w:start w:val="1"/>
      <w:numFmt w:val="decimal"/>
      <w:pStyle w:val="193"/>
      <w:lvlText w:val="%1."/>
      <w:lvlJc w:val="left"/>
      <w:pPr>
        <w:tabs>
          <w:tab w:val="left" w:pos="425"/>
        </w:tabs>
        <w:ind w:left="425" w:hanging="425"/>
      </w:pPr>
    </w:lvl>
    <w:lvl w:ilvl="1" w:tentative="0">
      <w:start w:val="1"/>
      <w:numFmt w:val="decimal"/>
      <w:lvlText w:val="%1.%2."/>
      <w:lvlJc w:val="left"/>
      <w:pPr>
        <w:tabs>
          <w:tab w:val="left" w:pos="567"/>
        </w:tabs>
        <w:ind w:left="567" w:hanging="567"/>
      </w:pPr>
    </w:lvl>
    <w:lvl w:ilvl="2" w:tentative="0">
      <w:start w:val="1"/>
      <w:numFmt w:val="decimal"/>
      <w:lvlText w:val="%1.%2.%3."/>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16">
    <w:nsid w:val="00000011"/>
    <w:multiLevelType w:val="multilevel"/>
    <w:tmpl w:val="00000011"/>
    <w:lvl w:ilvl="0" w:tentative="0">
      <w:start w:val="1"/>
      <w:numFmt w:val="decimal"/>
      <w:pStyle w:val="223"/>
      <w:lvlText w:val="%1."/>
      <w:lvlJc w:val="left"/>
      <w:pPr>
        <w:tabs>
          <w:tab w:val="left" w:pos="425"/>
        </w:tabs>
        <w:ind w:left="425" w:hanging="425"/>
      </w:pPr>
    </w:lvl>
    <w:lvl w:ilvl="1" w:tentative="0">
      <w:start w:val="1"/>
      <w:numFmt w:val="decimal"/>
      <w:lvlText w:val="%1.%2."/>
      <w:lvlJc w:val="left"/>
      <w:pPr>
        <w:tabs>
          <w:tab w:val="left" w:pos="567"/>
        </w:tabs>
        <w:ind w:left="567" w:hanging="567"/>
      </w:pPr>
    </w:lvl>
    <w:lvl w:ilvl="2" w:tentative="0">
      <w:start w:val="1"/>
      <w:numFmt w:val="decimal"/>
      <w:lvlText w:val="%1.%2.%3."/>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17">
    <w:nsid w:val="00000012"/>
    <w:multiLevelType w:val="multilevel"/>
    <w:tmpl w:val="00000012"/>
    <w:lvl w:ilvl="0" w:tentative="0">
      <w:start w:val="3"/>
      <w:numFmt w:val="decimal"/>
      <w:pStyle w:val="80"/>
      <w:lvlText w:val="%1、"/>
      <w:lvlJc w:val="left"/>
      <w:pPr>
        <w:tabs>
          <w:tab w:val="left" w:pos="720"/>
        </w:tabs>
        <w:ind w:left="720" w:hanging="720"/>
      </w:pPr>
    </w:lvl>
    <w:lvl w:ilvl="1" w:tentative="0">
      <w:start w:val="1"/>
      <w:numFmt w:val="lowerLetter"/>
      <w:pStyle w:val="84"/>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pStyle w:val="145"/>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8">
    <w:nsid w:val="00000014"/>
    <w:multiLevelType w:val="multilevel"/>
    <w:tmpl w:val="00000014"/>
    <w:lvl w:ilvl="0" w:tentative="0">
      <w:start w:val="1"/>
      <w:numFmt w:val="decimal"/>
      <w:pStyle w:val="222"/>
      <w:lvlText w:val="%1."/>
      <w:lvlJc w:val="left"/>
      <w:pPr>
        <w:tabs>
          <w:tab w:val="left" w:pos="425"/>
        </w:tabs>
        <w:ind w:left="425" w:hanging="425"/>
      </w:pPr>
    </w:lvl>
    <w:lvl w:ilvl="1" w:tentative="0">
      <w:start w:val="1"/>
      <w:numFmt w:val="decimal"/>
      <w:pStyle w:val="205"/>
      <w:lvlText w:val="%1.%2."/>
      <w:lvlJc w:val="left"/>
      <w:pPr>
        <w:tabs>
          <w:tab w:val="left" w:pos="567"/>
        </w:tabs>
        <w:ind w:left="567" w:hanging="567"/>
      </w:pPr>
    </w:lvl>
    <w:lvl w:ilvl="2" w:tentative="0">
      <w:start w:val="1"/>
      <w:numFmt w:val="decimal"/>
      <w:lvlText w:val="%1.%2.%3."/>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19">
    <w:nsid w:val="00000015"/>
    <w:multiLevelType w:val="multilevel"/>
    <w:tmpl w:val="00000015"/>
    <w:lvl w:ilvl="0" w:tentative="0">
      <w:start w:val="1"/>
      <w:numFmt w:val="none"/>
      <w:pStyle w:val="96"/>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lvl>
    <w:lvl w:ilvl="2" w:tentative="0">
      <w:start w:val="1"/>
      <w:numFmt w:val="lowerRoman"/>
      <w:lvlText w:val="%3."/>
      <w:lvlJc w:val="right"/>
      <w:pPr>
        <w:tabs>
          <w:tab w:val="left" w:pos="1140"/>
        </w:tabs>
        <w:ind w:left="726" w:hanging="363"/>
      </w:pPr>
    </w:lvl>
    <w:lvl w:ilvl="3" w:tentative="0">
      <w:start w:val="1"/>
      <w:numFmt w:val="decimal"/>
      <w:lvlText w:val="%4."/>
      <w:lvlJc w:val="left"/>
      <w:pPr>
        <w:tabs>
          <w:tab w:val="left" w:pos="1140"/>
        </w:tabs>
        <w:ind w:left="726" w:hanging="363"/>
      </w:pPr>
    </w:lvl>
    <w:lvl w:ilvl="4" w:tentative="0">
      <w:start w:val="1"/>
      <w:numFmt w:val="lowerLetter"/>
      <w:lvlText w:val="%5)"/>
      <w:lvlJc w:val="left"/>
      <w:pPr>
        <w:tabs>
          <w:tab w:val="left" w:pos="1140"/>
        </w:tabs>
        <w:ind w:left="726" w:hanging="363"/>
      </w:pPr>
    </w:lvl>
    <w:lvl w:ilvl="5" w:tentative="0">
      <w:start w:val="1"/>
      <w:numFmt w:val="lowerRoman"/>
      <w:lvlText w:val="%6."/>
      <w:lvlJc w:val="right"/>
      <w:pPr>
        <w:tabs>
          <w:tab w:val="left" w:pos="1140"/>
        </w:tabs>
        <w:ind w:left="726" w:hanging="363"/>
      </w:pPr>
    </w:lvl>
    <w:lvl w:ilvl="6" w:tentative="0">
      <w:start w:val="1"/>
      <w:numFmt w:val="decimal"/>
      <w:lvlText w:val="%7."/>
      <w:lvlJc w:val="left"/>
      <w:pPr>
        <w:tabs>
          <w:tab w:val="left" w:pos="1140"/>
        </w:tabs>
        <w:ind w:left="726" w:hanging="363"/>
      </w:pPr>
    </w:lvl>
    <w:lvl w:ilvl="7" w:tentative="0">
      <w:start w:val="1"/>
      <w:numFmt w:val="lowerLetter"/>
      <w:lvlText w:val="%8)"/>
      <w:lvlJc w:val="left"/>
      <w:pPr>
        <w:tabs>
          <w:tab w:val="left" w:pos="1140"/>
        </w:tabs>
        <w:ind w:left="726" w:hanging="363"/>
      </w:pPr>
    </w:lvl>
    <w:lvl w:ilvl="8" w:tentative="0">
      <w:start w:val="1"/>
      <w:numFmt w:val="lowerRoman"/>
      <w:lvlText w:val="%9."/>
      <w:lvlJc w:val="right"/>
      <w:pPr>
        <w:tabs>
          <w:tab w:val="left" w:pos="1140"/>
        </w:tabs>
        <w:ind w:left="726" w:hanging="363"/>
      </w:pPr>
    </w:lvl>
  </w:abstractNum>
  <w:abstractNum w:abstractNumId="20">
    <w:nsid w:val="00000016"/>
    <w:multiLevelType w:val="multilevel"/>
    <w:tmpl w:val="00000016"/>
    <w:lvl w:ilvl="0" w:tentative="0">
      <w:start w:val="1"/>
      <w:numFmt w:val="japaneseCounting"/>
      <w:lvlText w:val="第%1章"/>
      <w:lvlJc w:val="left"/>
      <w:pPr>
        <w:tabs>
          <w:tab w:val="left" w:pos="1815"/>
        </w:tabs>
        <w:ind w:left="1815" w:hanging="1275"/>
      </w:pPr>
      <w:rPr>
        <w:rFonts w:hint="eastAsia"/>
        <w:lang w:val="en-US"/>
      </w:rPr>
    </w:lvl>
    <w:lvl w:ilvl="1" w:tentative="0">
      <w:start w:val="1"/>
      <w:numFmt w:val="japaneseCounting"/>
      <w:lvlText w:val="%2、"/>
      <w:lvlJc w:val="left"/>
      <w:pPr>
        <w:tabs>
          <w:tab w:val="left" w:pos="1680"/>
        </w:tabs>
        <w:ind w:left="1680" w:hanging="720"/>
      </w:pPr>
      <w:rPr>
        <w:rFonts w:hint="eastAsia"/>
      </w:rPr>
    </w:lvl>
    <w:lvl w:ilvl="2" w:tentative="0">
      <w:start w:val="1"/>
      <w:numFmt w:val="decimal"/>
      <w:lvlText w:val="%3."/>
      <w:lvlJc w:val="left"/>
      <w:pPr>
        <w:ind w:left="502" w:hanging="360"/>
      </w:pPr>
      <w:rPr>
        <w:rFonts w:hint="default"/>
        <w:sz w:val="24"/>
        <w:szCs w:val="24"/>
      </w:r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21">
    <w:nsid w:val="00000017"/>
    <w:multiLevelType w:val="multilevel"/>
    <w:tmpl w:val="00000017"/>
    <w:lvl w:ilvl="0" w:tentative="0">
      <w:start w:val="1"/>
      <w:numFmt w:val="decimal"/>
      <w:pStyle w:val="150"/>
      <w:lvlText w:val="%1、"/>
      <w:lvlJc w:val="left"/>
      <w:pPr>
        <w:tabs>
          <w:tab w:val="left" w:pos="675"/>
        </w:tabs>
        <w:ind w:left="675" w:hanging="675"/>
      </w:pPr>
    </w:lvl>
    <w:lvl w:ilvl="1" w:tentative="0">
      <w:start w:val="1"/>
      <w:numFmt w:val="decimal"/>
      <w:pStyle w:val="90"/>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2">
    <w:nsid w:val="14540A9E"/>
    <w:multiLevelType w:val="multilevel"/>
    <w:tmpl w:val="14540A9E"/>
    <w:lvl w:ilvl="0" w:tentative="0">
      <w:start w:val="3"/>
      <w:numFmt w:val="bullet"/>
      <w:lvlText w:val="□"/>
      <w:lvlJc w:val="left"/>
      <w:pPr>
        <w:ind w:left="360" w:hanging="360"/>
      </w:pPr>
      <w:rPr>
        <w:rFonts w:hint="eastAsia" w:ascii="宋体" w:hAnsi="宋体" w:eastAsia="宋体" w:cs="Times New Roman"/>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3">
    <w:nsid w:val="32714F5E"/>
    <w:multiLevelType w:val="multilevel"/>
    <w:tmpl w:val="32714F5E"/>
    <w:lvl w:ilvl="0" w:tentative="0">
      <w:start w:val="1"/>
      <w:numFmt w:val="chineseCountingThousand"/>
      <w:suff w:val="nothing"/>
      <w:lvlText w:val="第%1章"/>
      <w:lvlJc w:val="left"/>
      <w:pPr>
        <w:ind w:left="0" w:firstLine="0"/>
      </w:pPr>
      <w:rPr>
        <w:rFonts w:hint="eastAsia" w:ascii="仿宋_GB2312" w:eastAsia="仿宋_GB2312"/>
        <w:sz w:val="44"/>
      </w:rPr>
    </w:lvl>
    <w:lvl w:ilvl="1" w:tentative="0">
      <w:start w:val="1"/>
      <w:numFmt w:val="none"/>
      <w:suff w:val="nothing"/>
      <w:lvlText w:val=""/>
      <w:lvlJc w:val="left"/>
      <w:pPr>
        <w:ind w:left="0" w:firstLine="0"/>
      </w:pPr>
      <w:rPr>
        <w:rFonts w:hint="eastAsia"/>
      </w:rPr>
    </w:lvl>
    <w:lvl w:ilvl="2" w:tentative="0">
      <w:start w:val="1"/>
      <w:numFmt w:val="none"/>
      <w:suff w:val="nothing"/>
      <w:lvlText w:val=""/>
      <w:lvlJc w:val="left"/>
      <w:pPr>
        <w:ind w:left="0" w:firstLine="0"/>
      </w:pPr>
      <w:rPr>
        <w:rFonts w:hint="eastAsia"/>
      </w:rPr>
    </w:lvl>
    <w:lvl w:ilvl="3" w:tentative="0">
      <w:start w:val="1"/>
      <w:numFmt w:val="none"/>
      <w:suff w:val="nothing"/>
      <w:lvlText w:val=""/>
      <w:lvlJc w:val="left"/>
      <w:pPr>
        <w:ind w:left="0" w:firstLine="0"/>
      </w:pPr>
      <w:rPr>
        <w:rFonts w:hint="eastAsia"/>
      </w:rPr>
    </w:lvl>
    <w:lvl w:ilvl="4" w:tentative="0">
      <w:start w:val="1"/>
      <w:numFmt w:val="none"/>
      <w:suff w:val="nothing"/>
      <w:lvlText w:val=""/>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24">
    <w:nsid w:val="5FABD14B"/>
    <w:multiLevelType w:val="singleLevel"/>
    <w:tmpl w:val="5FABD14B"/>
    <w:lvl w:ilvl="0" w:tentative="0">
      <w:start w:val="1"/>
      <w:numFmt w:val="decimal"/>
      <w:suff w:val="nothing"/>
      <w:lvlText w:val="（%1）"/>
      <w:lvlJc w:val="left"/>
      <w:pPr>
        <w:ind w:left="0" w:firstLine="0"/>
      </w:pPr>
    </w:lvl>
  </w:abstractNum>
  <w:abstractNum w:abstractNumId="25">
    <w:nsid w:val="65FD57BA"/>
    <w:multiLevelType w:val="singleLevel"/>
    <w:tmpl w:val="65FD57BA"/>
    <w:lvl w:ilvl="0" w:tentative="0">
      <w:start w:val="1"/>
      <w:numFmt w:val="decimal"/>
      <w:pStyle w:val="26"/>
      <w:lvlText w:val="%1."/>
      <w:lvlJc w:val="left"/>
      <w:pPr>
        <w:tabs>
          <w:tab w:val="left" w:pos="1200"/>
        </w:tabs>
        <w:ind w:left="1200" w:hanging="360"/>
      </w:pPr>
    </w:lvl>
  </w:abstractNum>
  <w:abstractNum w:abstractNumId="26">
    <w:nsid w:val="7CEC0272"/>
    <w:multiLevelType w:val="singleLevel"/>
    <w:tmpl w:val="7CEC0272"/>
    <w:lvl w:ilvl="0" w:tentative="0">
      <w:start w:val="1"/>
      <w:numFmt w:val="decimal"/>
      <w:suff w:val="nothing"/>
      <w:lvlText w:val="%1、"/>
      <w:lvlJc w:val="left"/>
    </w:lvl>
  </w:abstractNum>
  <w:num w:numId="1">
    <w:abstractNumId w:val="11"/>
  </w:num>
  <w:num w:numId="2">
    <w:abstractNumId w:val="25"/>
  </w:num>
  <w:num w:numId="3">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23"/>
  </w:num>
  <w:num w:numId="24">
    <w:abstractNumId w:val="13"/>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num>
  <w:num w:numId="27">
    <w:abstractNumId w:val="26"/>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hideSpellingError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QzNmVhNGE2YzEyNzE4YzY0Y2I1OGQ4NTBmYzE4MzUifQ=="/>
    <w:docVar w:name="KSO_WPS_MARK_KEY" w:val="17cc6d77-7662-45d4-9ef1-34681603a6b2"/>
  </w:docVars>
  <w:rsids>
    <w:rsidRoot w:val="008E5728"/>
    <w:rsid w:val="00005402"/>
    <w:rsid w:val="00007325"/>
    <w:rsid w:val="00007D79"/>
    <w:rsid w:val="0001794D"/>
    <w:rsid w:val="00021747"/>
    <w:rsid w:val="00022374"/>
    <w:rsid w:val="0004355A"/>
    <w:rsid w:val="00050EF4"/>
    <w:rsid w:val="00056F81"/>
    <w:rsid w:val="0006643C"/>
    <w:rsid w:val="0008237F"/>
    <w:rsid w:val="0008264E"/>
    <w:rsid w:val="00084CDF"/>
    <w:rsid w:val="000878A2"/>
    <w:rsid w:val="000935F1"/>
    <w:rsid w:val="00094D56"/>
    <w:rsid w:val="000954CD"/>
    <w:rsid w:val="00096662"/>
    <w:rsid w:val="000A291A"/>
    <w:rsid w:val="000A2A47"/>
    <w:rsid w:val="000A2B03"/>
    <w:rsid w:val="000B06AB"/>
    <w:rsid w:val="000B6611"/>
    <w:rsid w:val="000B7733"/>
    <w:rsid w:val="000C5389"/>
    <w:rsid w:val="000D2D15"/>
    <w:rsid w:val="000E2B0A"/>
    <w:rsid w:val="000E60E7"/>
    <w:rsid w:val="000E685C"/>
    <w:rsid w:val="000F0512"/>
    <w:rsid w:val="000F60C3"/>
    <w:rsid w:val="000F6D8C"/>
    <w:rsid w:val="000F6F49"/>
    <w:rsid w:val="0011060E"/>
    <w:rsid w:val="0011520C"/>
    <w:rsid w:val="00115EF9"/>
    <w:rsid w:val="00120B0C"/>
    <w:rsid w:val="001217FE"/>
    <w:rsid w:val="00136633"/>
    <w:rsid w:val="00155701"/>
    <w:rsid w:val="001772D1"/>
    <w:rsid w:val="0018061B"/>
    <w:rsid w:val="001904C5"/>
    <w:rsid w:val="0019288F"/>
    <w:rsid w:val="001A3BDA"/>
    <w:rsid w:val="001B2C5E"/>
    <w:rsid w:val="001B569A"/>
    <w:rsid w:val="001B7DB8"/>
    <w:rsid w:val="001F0FB3"/>
    <w:rsid w:val="001F6779"/>
    <w:rsid w:val="00205433"/>
    <w:rsid w:val="00206EC6"/>
    <w:rsid w:val="0021081B"/>
    <w:rsid w:val="0021449E"/>
    <w:rsid w:val="0021560A"/>
    <w:rsid w:val="00216394"/>
    <w:rsid w:val="00216E3E"/>
    <w:rsid w:val="00224CD8"/>
    <w:rsid w:val="00235974"/>
    <w:rsid w:val="0024071C"/>
    <w:rsid w:val="00262CD0"/>
    <w:rsid w:val="00276A95"/>
    <w:rsid w:val="00283ADC"/>
    <w:rsid w:val="002967A0"/>
    <w:rsid w:val="002A484B"/>
    <w:rsid w:val="002A529C"/>
    <w:rsid w:val="002C0EB2"/>
    <w:rsid w:val="002D112F"/>
    <w:rsid w:val="002D27DA"/>
    <w:rsid w:val="002E6730"/>
    <w:rsid w:val="002F5E5F"/>
    <w:rsid w:val="00302A7D"/>
    <w:rsid w:val="00304EE3"/>
    <w:rsid w:val="00310300"/>
    <w:rsid w:val="003212B0"/>
    <w:rsid w:val="00330103"/>
    <w:rsid w:val="00336912"/>
    <w:rsid w:val="0034217B"/>
    <w:rsid w:val="00345312"/>
    <w:rsid w:val="00347F20"/>
    <w:rsid w:val="00354217"/>
    <w:rsid w:val="00357511"/>
    <w:rsid w:val="00361065"/>
    <w:rsid w:val="003839A6"/>
    <w:rsid w:val="00390B3E"/>
    <w:rsid w:val="00397838"/>
    <w:rsid w:val="003A5B77"/>
    <w:rsid w:val="003C518B"/>
    <w:rsid w:val="003D155F"/>
    <w:rsid w:val="003F737A"/>
    <w:rsid w:val="00401EB6"/>
    <w:rsid w:val="00403650"/>
    <w:rsid w:val="0040453C"/>
    <w:rsid w:val="00423C22"/>
    <w:rsid w:val="00425E5E"/>
    <w:rsid w:val="00430F06"/>
    <w:rsid w:val="00450803"/>
    <w:rsid w:val="0045312E"/>
    <w:rsid w:val="00455993"/>
    <w:rsid w:val="00457CDB"/>
    <w:rsid w:val="00462352"/>
    <w:rsid w:val="00464B9A"/>
    <w:rsid w:val="004714C6"/>
    <w:rsid w:val="00482A9F"/>
    <w:rsid w:val="004875F4"/>
    <w:rsid w:val="00495440"/>
    <w:rsid w:val="00497D2C"/>
    <w:rsid w:val="004A26E5"/>
    <w:rsid w:val="004A6773"/>
    <w:rsid w:val="004B4E1D"/>
    <w:rsid w:val="004C3266"/>
    <w:rsid w:val="004D2D6F"/>
    <w:rsid w:val="004E3DB7"/>
    <w:rsid w:val="00501557"/>
    <w:rsid w:val="00502370"/>
    <w:rsid w:val="00502ECF"/>
    <w:rsid w:val="00504E60"/>
    <w:rsid w:val="00512A08"/>
    <w:rsid w:val="00525C91"/>
    <w:rsid w:val="00531B6A"/>
    <w:rsid w:val="00534854"/>
    <w:rsid w:val="00537B71"/>
    <w:rsid w:val="00540153"/>
    <w:rsid w:val="00546BBF"/>
    <w:rsid w:val="00547A74"/>
    <w:rsid w:val="0055011F"/>
    <w:rsid w:val="00560A40"/>
    <w:rsid w:val="00582A22"/>
    <w:rsid w:val="00595BF2"/>
    <w:rsid w:val="005A7403"/>
    <w:rsid w:val="005C1C64"/>
    <w:rsid w:val="005D6689"/>
    <w:rsid w:val="00602C24"/>
    <w:rsid w:val="00612189"/>
    <w:rsid w:val="006206F5"/>
    <w:rsid w:val="00622E80"/>
    <w:rsid w:val="006243B6"/>
    <w:rsid w:val="00624F18"/>
    <w:rsid w:val="00631D06"/>
    <w:rsid w:val="006358D6"/>
    <w:rsid w:val="0064287E"/>
    <w:rsid w:val="00643463"/>
    <w:rsid w:val="00644B5D"/>
    <w:rsid w:val="00651866"/>
    <w:rsid w:val="00654ADE"/>
    <w:rsid w:val="006853F2"/>
    <w:rsid w:val="00690020"/>
    <w:rsid w:val="0069526A"/>
    <w:rsid w:val="006A3FD1"/>
    <w:rsid w:val="006A4196"/>
    <w:rsid w:val="006A6BAB"/>
    <w:rsid w:val="006A78C5"/>
    <w:rsid w:val="006B0685"/>
    <w:rsid w:val="006C0151"/>
    <w:rsid w:val="006C1539"/>
    <w:rsid w:val="006E3A32"/>
    <w:rsid w:val="006F07F6"/>
    <w:rsid w:val="006F5118"/>
    <w:rsid w:val="00711E69"/>
    <w:rsid w:val="00716D3C"/>
    <w:rsid w:val="00720C1B"/>
    <w:rsid w:val="0072256B"/>
    <w:rsid w:val="0072399D"/>
    <w:rsid w:val="00732EA5"/>
    <w:rsid w:val="007443B7"/>
    <w:rsid w:val="00761C6B"/>
    <w:rsid w:val="00765518"/>
    <w:rsid w:val="00773724"/>
    <w:rsid w:val="00774434"/>
    <w:rsid w:val="0078094E"/>
    <w:rsid w:val="0078439E"/>
    <w:rsid w:val="0078746E"/>
    <w:rsid w:val="007877EE"/>
    <w:rsid w:val="00794069"/>
    <w:rsid w:val="00795A54"/>
    <w:rsid w:val="007B16E9"/>
    <w:rsid w:val="007B57B5"/>
    <w:rsid w:val="007C224D"/>
    <w:rsid w:val="007C635A"/>
    <w:rsid w:val="007D138E"/>
    <w:rsid w:val="007D2217"/>
    <w:rsid w:val="007D4A21"/>
    <w:rsid w:val="007E397A"/>
    <w:rsid w:val="007F6708"/>
    <w:rsid w:val="0080002E"/>
    <w:rsid w:val="008157AF"/>
    <w:rsid w:val="00815C0F"/>
    <w:rsid w:val="008202F1"/>
    <w:rsid w:val="00820DA5"/>
    <w:rsid w:val="0083606F"/>
    <w:rsid w:val="00845247"/>
    <w:rsid w:val="00852652"/>
    <w:rsid w:val="00852FE1"/>
    <w:rsid w:val="0085662E"/>
    <w:rsid w:val="008726BE"/>
    <w:rsid w:val="00890525"/>
    <w:rsid w:val="00894D99"/>
    <w:rsid w:val="00895336"/>
    <w:rsid w:val="008A2DDA"/>
    <w:rsid w:val="008A380A"/>
    <w:rsid w:val="008A5472"/>
    <w:rsid w:val="008C2CAF"/>
    <w:rsid w:val="008D7F57"/>
    <w:rsid w:val="008E280C"/>
    <w:rsid w:val="008E5728"/>
    <w:rsid w:val="008F477E"/>
    <w:rsid w:val="00904FA4"/>
    <w:rsid w:val="0090540D"/>
    <w:rsid w:val="009134C3"/>
    <w:rsid w:val="00926593"/>
    <w:rsid w:val="00931D58"/>
    <w:rsid w:val="0094083D"/>
    <w:rsid w:val="00942FB6"/>
    <w:rsid w:val="00953BD8"/>
    <w:rsid w:val="00961486"/>
    <w:rsid w:val="00962350"/>
    <w:rsid w:val="00963BF2"/>
    <w:rsid w:val="00964D00"/>
    <w:rsid w:val="00971BBE"/>
    <w:rsid w:val="00972979"/>
    <w:rsid w:val="009729A2"/>
    <w:rsid w:val="009748F0"/>
    <w:rsid w:val="00984579"/>
    <w:rsid w:val="00985F40"/>
    <w:rsid w:val="00986B4C"/>
    <w:rsid w:val="00991314"/>
    <w:rsid w:val="00991B3F"/>
    <w:rsid w:val="009963CF"/>
    <w:rsid w:val="009A0E26"/>
    <w:rsid w:val="009B3113"/>
    <w:rsid w:val="009C2CC9"/>
    <w:rsid w:val="009D0562"/>
    <w:rsid w:val="009E2159"/>
    <w:rsid w:val="009F0CE3"/>
    <w:rsid w:val="00A001D6"/>
    <w:rsid w:val="00A03D50"/>
    <w:rsid w:val="00A043CC"/>
    <w:rsid w:val="00A07F05"/>
    <w:rsid w:val="00A1342A"/>
    <w:rsid w:val="00A15B13"/>
    <w:rsid w:val="00A24792"/>
    <w:rsid w:val="00A4300F"/>
    <w:rsid w:val="00A43C1B"/>
    <w:rsid w:val="00A51694"/>
    <w:rsid w:val="00A6275C"/>
    <w:rsid w:val="00A70DB3"/>
    <w:rsid w:val="00A73BE4"/>
    <w:rsid w:val="00A754F3"/>
    <w:rsid w:val="00A83EEB"/>
    <w:rsid w:val="00AA0A3D"/>
    <w:rsid w:val="00AA1A91"/>
    <w:rsid w:val="00AA2EF4"/>
    <w:rsid w:val="00AB4799"/>
    <w:rsid w:val="00AB6A6C"/>
    <w:rsid w:val="00AC0C87"/>
    <w:rsid w:val="00AF107F"/>
    <w:rsid w:val="00AF3844"/>
    <w:rsid w:val="00B00061"/>
    <w:rsid w:val="00B27E22"/>
    <w:rsid w:val="00B3353F"/>
    <w:rsid w:val="00B35FA3"/>
    <w:rsid w:val="00B3650A"/>
    <w:rsid w:val="00B4498A"/>
    <w:rsid w:val="00B54599"/>
    <w:rsid w:val="00B606AD"/>
    <w:rsid w:val="00B7574C"/>
    <w:rsid w:val="00B80EFF"/>
    <w:rsid w:val="00B81ACE"/>
    <w:rsid w:val="00B97BD3"/>
    <w:rsid w:val="00BB7A10"/>
    <w:rsid w:val="00BD7994"/>
    <w:rsid w:val="00BD7C7C"/>
    <w:rsid w:val="00BE1272"/>
    <w:rsid w:val="00BE6D4D"/>
    <w:rsid w:val="00BF4D9D"/>
    <w:rsid w:val="00BF7CF2"/>
    <w:rsid w:val="00C10181"/>
    <w:rsid w:val="00C21469"/>
    <w:rsid w:val="00C21811"/>
    <w:rsid w:val="00C23A37"/>
    <w:rsid w:val="00C37055"/>
    <w:rsid w:val="00C41108"/>
    <w:rsid w:val="00C5201A"/>
    <w:rsid w:val="00C64DC7"/>
    <w:rsid w:val="00C668A1"/>
    <w:rsid w:val="00C700C5"/>
    <w:rsid w:val="00C80DBB"/>
    <w:rsid w:val="00C96ED8"/>
    <w:rsid w:val="00CA0DD3"/>
    <w:rsid w:val="00CA25C6"/>
    <w:rsid w:val="00CB2476"/>
    <w:rsid w:val="00CC15A3"/>
    <w:rsid w:val="00CC76C5"/>
    <w:rsid w:val="00CD54FB"/>
    <w:rsid w:val="00CF56FF"/>
    <w:rsid w:val="00CF5790"/>
    <w:rsid w:val="00CF6539"/>
    <w:rsid w:val="00CF7257"/>
    <w:rsid w:val="00D019BC"/>
    <w:rsid w:val="00D02B2D"/>
    <w:rsid w:val="00D05528"/>
    <w:rsid w:val="00D12088"/>
    <w:rsid w:val="00D162A9"/>
    <w:rsid w:val="00D21A32"/>
    <w:rsid w:val="00D33E75"/>
    <w:rsid w:val="00D562C3"/>
    <w:rsid w:val="00D604F4"/>
    <w:rsid w:val="00D612B1"/>
    <w:rsid w:val="00D824F9"/>
    <w:rsid w:val="00D90885"/>
    <w:rsid w:val="00D97311"/>
    <w:rsid w:val="00DA56FB"/>
    <w:rsid w:val="00DB2B17"/>
    <w:rsid w:val="00DB3265"/>
    <w:rsid w:val="00DD411C"/>
    <w:rsid w:val="00DD489E"/>
    <w:rsid w:val="00DE6ECF"/>
    <w:rsid w:val="00DF6009"/>
    <w:rsid w:val="00DF637D"/>
    <w:rsid w:val="00DF6F14"/>
    <w:rsid w:val="00E075D6"/>
    <w:rsid w:val="00E10420"/>
    <w:rsid w:val="00E14869"/>
    <w:rsid w:val="00E2459D"/>
    <w:rsid w:val="00E26925"/>
    <w:rsid w:val="00E3179D"/>
    <w:rsid w:val="00E353EC"/>
    <w:rsid w:val="00E62997"/>
    <w:rsid w:val="00E65C21"/>
    <w:rsid w:val="00E67DA9"/>
    <w:rsid w:val="00E70152"/>
    <w:rsid w:val="00E74044"/>
    <w:rsid w:val="00E96F80"/>
    <w:rsid w:val="00EA1776"/>
    <w:rsid w:val="00EB59EE"/>
    <w:rsid w:val="00EC3842"/>
    <w:rsid w:val="00EE13D2"/>
    <w:rsid w:val="00EE4B90"/>
    <w:rsid w:val="00EE6581"/>
    <w:rsid w:val="00F0145D"/>
    <w:rsid w:val="00F0605F"/>
    <w:rsid w:val="00F0793B"/>
    <w:rsid w:val="00F07958"/>
    <w:rsid w:val="00F11571"/>
    <w:rsid w:val="00F13023"/>
    <w:rsid w:val="00F14F45"/>
    <w:rsid w:val="00F35545"/>
    <w:rsid w:val="00F3708C"/>
    <w:rsid w:val="00F404E9"/>
    <w:rsid w:val="00F41215"/>
    <w:rsid w:val="00F41BB0"/>
    <w:rsid w:val="00F4386B"/>
    <w:rsid w:val="00F45612"/>
    <w:rsid w:val="00F61A75"/>
    <w:rsid w:val="00F90D8C"/>
    <w:rsid w:val="00F96DC1"/>
    <w:rsid w:val="00FA4D0F"/>
    <w:rsid w:val="00FA76B1"/>
    <w:rsid w:val="00FB2E18"/>
    <w:rsid w:val="00FD0F31"/>
    <w:rsid w:val="00FE3E3B"/>
    <w:rsid w:val="00FE4776"/>
    <w:rsid w:val="00FF45D1"/>
    <w:rsid w:val="01172A03"/>
    <w:rsid w:val="0145478B"/>
    <w:rsid w:val="014632E9"/>
    <w:rsid w:val="0149039A"/>
    <w:rsid w:val="02AC2EF3"/>
    <w:rsid w:val="02BF7500"/>
    <w:rsid w:val="035C5045"/>
    <w:rsid w:val="038B7265"/>
    <w:rsid w:val="03EE0393"/>
    <w:rsid w:val="04333875"/>
    <w:rsid w:val="04425BD4"/>
    <w:rsid w:val="046C2E4B"/>
    <w:rsid w:val="04B50C64"/>
    <w:rsid w:val="04EB042F"/>
    <w:rsid w:val="0563090D"/>
    <w:rsid w:val="06161D2A"/>
    <w:rsid w:val="066E30C6"/>
    <w:rsid w:val="067508F8"/>
    <w:rsid w:val="06E17D3B"/>
    <w:rsid w:val="070F27A4"/>
    <w:rsid w:val="07964184"/>
    <w:rsid w:val="07B453F6"/>
    <w:rsid w:val="08065580"/>
    <w:rsid w:val="08BF4690"/>
    <w:rsid w:val="098D4073"/>
    <w:rsid w:val="09CC0016"/>
    <w:rsid w:val="0A051F93"/>
    <w:rsid w:val="0A7669ED"/>
    <w:rsid w:val="0ACC0CAD"/>
    <w:rsid w:val="0AD61857"/>
    <w:rsid w:val="0B422D73"/>
    <w:rsid w:val="0B570B84"/>
    <w:rsid w:val="0B6B22C9"/>
    <w:rsid w:val="0B6D4294"/>
    <w:rsid w:val="0BA63367"/>
    <w:rsid w:val="0BE04A65"/>
    <w:rsid w:val="0BE36304"/>
    <w:rsid w:val="0BE915F8"/>
    <w:rsid w:val="0C2150AB"/>
    <w:rsid w:val="0C460455"/>
    <w:rsid w:val="0C574256"/>
    <w:rsid w:val="0CFD2EDC"/>
    <w:rsid w:val="0D63718F"/>
    <w:rsid w:val="0E0B1B42"/>
    <w:rsid w:val="0E2D00EE"/>
    <w:rsid w:val="0E2E16B2"/>
    <w:rsid w:val="0E3C72EA"/>
    <w:rsid w:val="0E3F222E"/>
    <w:rsid w:val="0EF3685E"/>
    <w:rsid w:val="0F2700A3"/>
    <w:rsid w:val="0F474DFC"/>
    <w:rsid w:val="0F7F4595"/>
    <w:rsid w:val="101A0CAD"/>
    <w:rsid w:val="104C7B02"/>
    <w:rsid w:val="10817E99"/>
    <w:rsid w:val="108F73C6"/>
    <w:rsid w:val="1096728F"/>
    <w:rsid w:val="10A6347B"/>
    <w:rsid w:val="10D75BFD"/>
    <w:rsid w:val="11894147"/>
    <w:rsid w:val="11A014DC"/>
    <w:rsid w:val="12186419"/>
    <w:rsid w:val="126E269F"/>
    <w:rsid w:val="12BD0513"/>
    <w:rsid w:val="134D0507"/>
    <w:rsid w:val="139D21CB"/>
    <w:rsid w:val="13DF6D57"/>
    <w:rsid w:val="14217AD4"/>
    <w:rsid w:val="142E3FAB"/>
    <w:rsid w:val="14483D9C"/>
    <w:rsid w:val="14537D9F"/>
    <w:rsid w:val="146B333A"/>
    <w:rsid w:val="1481188B"/>
    <w:rsid w:val="148937C0"/>
    <w:rsid w:val="1492384F"/>
    <w:rsid w:val="14A354D4"/>
    <w:rsid w:val="14B309D0"/>
    <w:rsid w:val="15052FEC"/>
    <w:rsid w:val="151B08BC"/>
    <w:rsid w:val="15273D43"/>
    <w:rsid w:val="155528CB"/>
    <w:rsid w:val="157B75AD"/>
    <w:rsid w:val="159A6FF2"/>
    <w:rsid w:val="16007AB2"/>
    <w:rsid w:val="16021A7C"/>
    <w:rsid w:val="16065ED4"/>
    <w:rsid w:val="161552E4"/>
    <w:rsid w:val="164A21BA"/>
    <w:rsid w:val="170951B5"/>
    <w:rsid w:val="171F29AD"/>
    <w:rsid w:val="17454196"/>
    <w:rsid w:val="17863BCC"/>
    <w:rsid w:val="182268FA"/>
    <w:rsid w:val="18A94DC9"/>
    <w:rsid w:val="18B76B4E"/>
    <w:rsid w:val="18CB36B1"/>
    <w:rsid w:val="18DA283C"/>
    <w:rsid w:val="1912647A"/>
    <w:rsid w:val="19650358"/>
    <w:rsid w:val="19947E51"/>
    <w:rsid w:val="19AC242B"/>
    <w:rsid w:val="19BE7134"/>
    <w:rsid w:val="19F45B80"/>
    <w:rsid w:val="1A1B310D"/>
    <w:rsid w:val="1A846A64"/>
    <w:rsid w:val="1AAC6E2E"/>
    <w:rsid w:val="1B0A4FC1"/>
    <w:rsid w:val="1B0A5E35"/>
    <w:rsid w:val="1B743824"/>
    <w:rsid w:val="1BAC6E38"/>
    <w:rsid w:val="1BD9502D"/>
    <w:rsid w:val="1BE51C24"/>
    <w:rsid w:val="1C2C7853"/>
    <w:rsid w:val="1CCC60BD"/>
    <w:rsid w:val="1CDB6B83"/>
    <w:rsid w:val="1D44178B"/>
    <w:rsid w:val="1D5F5C29"/>
    <w:rsid w:val="1D943902"/>
    <w:rsid w:val="1DD23634"/>
    <w:rsid w:val="1DD435CF"/>
    <w:rsid w:val="1E31557C"/>
    <w:rsid w:val="1E846734"/>
    <w:rsid w:val="1E8F5E77"/>
    <w:rsid w:val="1E91399D"/>
    <w:rsid w:val="1EB3600A"/>
    <w:rsid w:val="1F38206B"/>
    <w:rsid w:val="1FAD0CAB"/>
    <w:rsid w:val="1FF3258F"/>
    <w:rsid w:val="2000702C"/>
    <w:rsid w:val="200D724C"/>
    <w:rsid w:val="20855784"/>
    <w:rsid w:val="20A025BE"/>
    <w:rsid w:val="20E361CF"/>
    <w:rsid w:val="21723F5A"/>
    <w:rsid w:val="21916844"/>
    <w:rsid w:val="21B42B82"/>
    <w:rsid w:val="21BA76AF"/>
    <w:rsid w:val="21F8263A"/>
    <w:rsid w:val="222528F3"/>
    <w:rsid w:val="22603DB2"/>
    <w:rsid w:val="22F34C27"/>
    <w:rsid w:val="234C6186"/>
    <w:rsid w:val="238D463C"/>
    <w:rsid w:val="239D5E64"/>
    <w:rsid w:val="2413474C"/>
    <w:rsid w:val="24186FDB"/>
    <w:rsid w:val="241E1C51"/>
    <w:rsid w:val="241F1421"/>
    <w:rsid w:val="24AB0174"/>
    <w:rsid w:val="24AE4667"/>
    <w:rsid w:val="24B84374"/>
    <w:rsid w:val="24CD1374"/>
    <w:rsid w:val="2503777C"/>
    <w:rsid w:val="2518296A"/>
    <w:rsid w:val="251946ED"/>
    <w:rsid w:val="252F3079"/>
    <w:rsid w:val="261D23F6"/>
    <w:rsid w:val="263C0693"/>
    <w:rsid w:val="26616852"/>
    <w:rsid w:val="266876DA"/>
    <w:rsid w:val="267E14C1"/>
    <w:rsid w:val="284E0B51"/>
    <w:rsid w:val="28A846DD"/>
    <w:rsid w:val="29086F52"/>
    <w:rsid w:val="29323FCF"/>
    <w:rsid w:val="2A3F4BF5"/>
    <w:rsid w:val="2A5074BE"/>
    <w:rsid w:val="2A866380"/>
    <w:rsid w:val="2AAF1D7B"/>
    <w:rsid w:val="2AD638F7"/>
    <w:rsid w:val="2B361E90"/>
    <w:rsid w:val="2B846604"/>
    <w:rsid w:val="2BC76478"/>
    <w:rsid w:val="2C061E34"/>
    <w:rsid w:val="2C074A29"/>
    <w:rsid w:val="2C3541EC"/>
    <w:rsid w:val="2C504E98"/>
    <w:rsid w:val="2CA13D39"/>
    <w:rsid w:val="2CC37991"/>
    <w:rsid w:val="2CDD7968"/>
    <w:rsid w:val="2CEB40BD"/>
    <w:rsid w:val="2D76092E"/>
    <w:rsid w:val="2D965504"/>
    <w:rsid w:val="2DB713F7"/>
    <w:rsid w:val="2E05693E"/>
    <w:rsid w:val="2E3511E0"/>
    <w:rsid w:val="2EAE23EB"/>
    <w:rsid w:val="2EB72C1B"/>
    <w:rsid w:val="2FD66FEA"/>
    <w:rsid w:val="2FFC5CE0"/>
    <w:rsid w:val="300C37CC"/>
    <w:rsid w:val="30146116"/>
    <w:rsid w:val="303845C1"/>
    <w:rsid w:val="30DA11D4"/>
    <w:rsid w:val="31865853"/>
    <w:rsid w:val="31A23F91"/>
    <w:rsid w:val="31AD4B3A"/>
    <w:rsid w:val="31D51822"/>
    <w:rsid w:val="32164F3B"/>
    <w:rsid w:val="324F08BC"/>
    <w:rsid w:val="32A96B65"/>
    <w:rsid w:val="3314723B"/>
    <w:rsid w:val="3334156E"/>
    <w:rsid w:val="33844BAD"/>
    <w:rsid w:val="33B10912"/>
    <w:rsid w:val="34876319"/>
    <w:rsid w:val="34921E01"/>
    <w:rsid w:val="34A84A69"/>
    <w:rsid w:val="35610116"/>
    <w:rsid w:val="356E3AF8"/>
    <w:rsid w:val="36826596"/>
    <w:rsid w:val="36A505C8"/>
    <w:rsid w:val="370927D7"/>
    <w:rsid w:val="373B602E"/>
    <w:rsid w:val="375A3E92"/>
    <w:rsid w:val="37665DA9"/>
    <w:rsid w:val="37B00EE0"/>
    <w:rsid w:val="37BC6E0D"/>
    <w:rsid w:val="37C711A3"/>
    <w:rsid w:val="38082ACA"/>
    <w:rsid w:val="383C09C6"/>
    <w:rsid w:val="38637D01"/>
    <w:rsid w:val="38AF67C3"/>
    <w:rsid w:val="38B81807"/>
    <w:rsid w:val="38BB39B0"/>
    <w:rsid w:val="38F842C6"/>
    <w:rsid w:val="38FE7A29"/>
    <w:rsid w:val="391E459E"/>
    <w:rsid w:val="393D67A4"/>
    <w:rsid w:val="39497CC5"/>
    <w:rsid w:val="39E46903"/>
    <w:rsid w:val="3A0C0CA1"/>
    <w:rsid w:val="3A233C76"/>
    <w:rsid w:val="3A920D71"/>
    <w:rsid w:val="3A9C574C"/>
    <w:rsid w:val="3AD62A0C"/>
    <w:rsid w:val="3AF86E26"/>
    <w:rsid w:val="3B9A0DCC"/>
    <w:rsid w:val="3BAAF55C"/>
    <w:rsid w:val="3BC225B5"/>
    <w:rsid w:val="3BC64E5E"/>
    <w:rsid w:val="3C16141A"/>
    <w:rsid w:val="3C4B742A"/>
    <w:rsid w:val="3C954F54"/>
    <w:rsid w:val="3C9F32D2"/>
    <w:rsid w:val="3D1605C3"/>
    <w:rsid w:val="3D5B544A"/>
    <w:rsid w:val="3D8F3F83"/>
    <w:rsid w:val="3DDF3DD1"/>
    <w:rsid w:val="3E1000FA"/>
    <w:rsid w:val="3E481854"/>
    <w:rsid w:val="3E802908"/>
    <w:rsid w:val="3F433CAF"/>
    <w:rsid w:val="3F5C54AA"/>
    <w:rsid w:val="3FD768CC"/>
    <w:rsid w:val="3FE931E1"/>
    <w:rsid w:val="3FFD4CCE"/>
    <w:rsid w:val="40110EF1"/>
    <w:rsid w:val="4070746C"/>
    <w:rsid w:val="40861AED"/>
    <w:rsid w:val="40BF3F42"/>
    <w:rsid w:val="41A13D3C"/>
    <w:rsid w:val="421325E2"/>
    <w:rsid w:val="4230334A"/>
    <w:rsid w:val="423A301B"/>
    <w:rsid w:val="423D00AA"/>
    <w:rsid w:val="425C1855"/>
    <w:rsid w:val="42A653BA"/>
    <w:rsid w:val="438F40A0"/>
    <w:rsid w:val="4390408F"/>
    <w:rsid w:val="43DA7BB1"/>
    <w:rsid w:val="43EB1656"/>
    <w:rsid w:val="44241D46"/>
    <w:rsid w:val="444B446B"/>
    <w:rsid w:val="44CE3917"/>
    <w:rsid w:val="45334B27"/>
    <w:rsid w:val="45FA13BF"/>
    <w:rsid w:val="4659411C"/>
    <w:rsid w:val="468E063F"/>
    <w:rsid w:val="46CE1383"/>
    <w:rsid w:val="47637D1D"/>
    <w:rsid w:val="47AB59CE"/>
    <w:rsid w:val="481B05F8"/>
    <w:rsid w:val="48324730"/>
    <w:rsid w:val="48BD27FC"/>
    <w:rsid w:val="48D64ED6"/>
    <w:rsid w:val="491104C5"/>
    <w:rsid w:val="491A4E9A"/>
    <w:rsid w:val="49256404"/>
    <w:rsid w:val="494E1E77"/>
    <w:rsid w:val="496D09DF"/>
    <w:rsid w:val="49746212"/>
    <w:rsid w:val="49A30F2F"/>
    <w:rsid w:val="49AE2B5B"/>
    <w:rsid w:val="4A01737A"/>
    <w:rsid w:val="4A8E1021"/>
    <w:rsid w:val="4AB1705A"/>
    <w:rsid w:val="4B257D58"/>
    <w:rsid w:val="4B86058C"/>
    <w:rsid w:val="4BB5666E"/>
    <w:rsid w:val="4BDB2578"/>
    <w:rsid w:val="4BDC6FA0"/>
    <w:rsid w:val="4BF77019"/>
    <w:rsid w:val="4CFB6302"/>
    <w:rsid w:val="4D0B1D33"/>
    <w:rsid w:val="4D720B9D"/>
    <w:rsid w:val="4D794C90"/>
    <w:rsid w:val="4D8B138C"/>
    <w:rsid w:val="4E28581D"/>
    <w:rsid w:val="4E444D67"/>
    <w:rsid w:val="4E854E2E"/>
    <w:rsid w:val="4EC41512"/>
    <w:rsid w:val="4EE664FB"/>
    <w:rsid w:val="4F0040A4"/>
    <w:rsid w:val="4F047238"/>
    <w:rsid w:val="4F7C169E"/>
    <w:rsid w:val="4F8E3C9C"/>
    <w:rsid w:val="4FA055EF"/>
    <w:rsid w:val="4FA8615B"/>
    <w:rsid w:val="4FE87012"/>
    <w:rsid w:val="50205979"/>
    <w:rsid w:val="50C10D15"/>
    <w:rsid w:val="50C4378A"/>
    <w:rsid w:val="50E720C7"/>
    <w:rsid w:val="511603BC"/>
    <w:rsid w:val="514A5AAA"/>
    <w:rsid w:val="519B00B4"/>
    <w:rsid w:val="520F0216"/>
    <w:rsid w:val="522307D5"/>
    <w:rsid w:val="52326C6A"/>
    <w:rsid w:val="52C04276"/>
    <w:rsid w:val="52CC1B65"/>
    <w:rsid w:val="532B4FCF"/>
    <w:rsid w:val="53B51901"/>
    <w:rsid w:val="53F3675D"/>
    <w:rsid w:val="546926EB"/>
    <w:rsid w:val="54C75AC3"/>
    <w:rsid w:val="54D47B64"/>
    <w:rsid w:val="54ED6E78"/>
    <w:rsid w:val="550A56AF"/>
    <w:rsid w:val="554A1B79"/>
    <w:rsid w:val="556A2277"/>
    <w:rsid w:val="557B0928"/>
    <w:rsid w:val="55CC1183"/>
    <w:rsid w:val="562C39D0"/>
    <w:rsid w:val="56365C53"/>
    <w:rsid w:val="573E4B9B"/>
    <w:rsid w:val="574F64D5"/>
    <w:rsid w:val="57AD15B5"/>
    <w:rsid w:val="57BE4AFC"/>
    <w:rsid w:val="57C9597B"/>
    <w:rsid w:val="57FB0567"/>
    <w:rsid w:val="582207E2"/>
    <w:rsid w:val="584D6E4D"/>
    <w:rsid w:val="5856711A"/>
    <w:rsid w:val="58817B7F"/>
    <w:rsid w:val="58A27F7A"/>
    <w:rsid w:val="59182D00"/>
    <w:rsid w:val="5947124D"/>
    <w:rsid w:val="59AF294E"/>
    <w:rsid w:val="5A753DA0"/>
    <w:rsid w:val="5B0942E0"/>
    <w:rsid w:val="5B2859AE"/>
    <w:rsid w:val="5B4850E1"/>
    <w:rsid w:val="5B4D6C51"/>
    <w:rsid w:val="5BEB8729"/>
    <w:rsid w:val="5C4E4A57"/>
    <w:rsid w:val="5D1256CE"/>
    <w:rsid w:val="5D5645FC"/>
    <w:rsid w:val="5D9407D9"/>
    <w:rsid w:val="5D9C143B"/>
    <w:rsid w:val="5E9071F2"/>
    <w:rsid w:val="5F44309B"/>
    <w:rsid w:val="5F445BE9"/>
    <w:rsid w:val="5FF77A93"/>
    <w:rsid w:val="600F4552"/>
    <w:rsid w:val="605A034C"/>
    <w:rsid w:val="613F280A"/>
    <w:rsid w:val="614B7400"/>
    <w:rsid w:val="614D76C6"/>
    <w:rsid w:val="61616C24"/>
    <w:rsid w:val="617C3A5E"/>
    <w:rsid w:val="618648DC"/>
    <w:rsid w:val="61902534"/>
    <w:rsid w:val="61F93380"/>
    <w:rsid w:val="620C3034"/>
    <w:rsid w:val="620E7D07"/>
    <w:rsid w:val="62D438AB"/>
    <w:rsid w:val="6341642D"/>
    <w:rsid w:val="634C56B2"/>
    <w:rsid w:val="636530F4"/>
    <w:rsid w:val="63B219B9"/>
    <w:rsid w:val="640C05C3"/>
    <w:rsid w:val="64281C7B"/>
    <w:rsid w:val="643979E4"/>
    <w:rsid w:val="64487A2E"/>
    <w:rsid w:val="647D59F7"/>
    <w:rsid w:val="648F33BC"/>
    <w:rsid w:val="64EC6D0D"/>
    <w:rsid w:val="64F5184A"/>
    <w:rsid w:val="65505937"/>
    <w:rsid w:val="658B0713"/>
    <w:rsid w:val="65B06250"/>
    <w:rsid w:val="65F22540"/>
    <w:rsid w:val="661834F1"/>
    <w:rsid w:val="66862C89"/>
    <w:rsid w:val="669F16A9"/>
    <w:rsid w:val="66B55EF1"/>
    <w:rsid w:val="66CF2882"/>
    <w:rsid w:val="674F751F"/>
    <w:rsid w:val="683618B2"/>
    <w:rsid w:val="685F7C35"/>
    <w:rsid w:val="689C69F1"/>
    <w:rsid w:val="68E36170"/>
    <w:rsid w:val="68ED6FEF"/>
    <w:rsid w:val="6958090C"/>
    <w:rsid w:val="696978DD"/>
    <w:rsid w:val="69AF1350"/>
    <w:rsid w:val="6A0171F6"/>
    <w:rsid w:val="6A021646"/>
    <w:rsid w:val="6A102F95"/>
    <w:rsid w:val="6A20425E"/>
    <w:rsid w:val="6A2E1B69"/>
    <w:rsid w:val="6A374135"/>
    <w:rsid w:val="6A513983"/>
    <w:rsid w:val="6A6B2E84"/>
    <w:rsid w:val="6B59396D"/>
    <w:rsid w:val="6B721A2E"/>
    <w:rsid w:val="6B9F6CA0"/>
    <w:rsid w:val="6BBB5F54"/>
    <w:rsid w:val="6BC82EDF"/>
    <w:rsid w:val="6BFA3EFD"/>
    <w:rsid w:val="6C270A6A"/>
    <w:rsid w:val="6C723BC9"/>
    <w:rsid w:val="6C783974"/>
    <w:rsid w:val="6D535D61"/>
    <w:rsid w:val="6DBB1A9B"/>
    <w:rsid w:val="6DCC3138"/>
    <w:rsid w:val="6DF306BB"/>
    <w:rsid w:val="6DFD7CD4"/>
    <w:rsid w:val="6E364482"/>
    <w:rsid w:val="6E704852"/>
    <w:rsid w:val="6EB4604E"/>
    <w:rsid w:val="6EF40615"/>
    <w:rsid w:val="6F120007"/>
    <w:rsid w:val="6F5953DE"/>
    <w:rsid w:val="6FB23319"/>
    <w:rsid w:val="701D465E"/>
    <w:rsid w:val="70656F3D"/>
    <w:rsid w:val="70666005"/>
    <w:rsid w:val="706C2EEF"/>
    <w:rsid w:val="70BB79D3"/>
    <w:rsid w:val="70D97FA7"/>
    <w:rsid w:val="716418D2"/>
    <w:rsid w:val="718D75C1"/>
    <w:rsid w:val="72267847"/>
    <w:rsid w:val="72292BC2"/>
    <w:rsid w:val="7258197D"/>
    <w:rsid w:val="72780A82"/>
    <w:rsid w:val="727D0249"/>
    <w:rsid w:val="73092C1E"/>
    <w:rsid w:val="731A7BDB"/>
    <w:rsid w:val="733028FA"/>
    <w:rsid w:val="74387230"/>
    <w:rsid w:val="755F39BE"/>
    <w:rsid w:val="756465D2"/>
    <w:rsid w:val="757F4E35"/>
    <w:rsid w:val="75B72E5F"/>
    <w:rsid w:val="75E30078"/>
    <w:rsid w:val="76197675"/>
    <w:rsid w:val="76562678"/>
    <w:rsid w:val="76B23590"/>
    <w:rsid w:val="77642B72"/>
    <w:rsid w:val="779A47E6"/>
    <w:rsid w:val="779A6594"/>
    <w:rsid w:val="77A6360E"/>
    <w:rsid w:val="77C5141D"/>
    <w:rsid w:val="77E36E82"/>
    <w:rsid w:val="77F959B0"/>
    <w:rsid w:val="781E0F73"/>
    <w:rsid w:val="78502742"/>
    <w:rsid w:val="787B0173"/>
    <w:rsid w:val="78870B75"/>
    <w:rsid w:val="78A3591C"/>
    <w:rsid w:val="78E730C6"/>
    <w:rsid w:val="7939729E"/>
    <w:rsid w:val="79BD47BC"/>
    <w:rsid w:val="7A0C6749"/>
    <w:rsid w:val="7A7E3063"/>
    <w:rsid w:val="7AA1561D"/>
    <w:rsid w:val="7B0B6947"/>
    <w:rsid w:val="7B136D89"/>
    <w:rsid w:val="7B783090"/>
    <w:rsid w:val="7BA3183D"/>
    <w:rsid w:val="7BC77B74"/>
    <w:rsid w:val="7BCF19F9"/>
    <w:rsid w:val="7BEEF20D"/>
    <w:rsid w:val="7BFC5C78"/>
    <w:rsid w:val="7C091F3A"/>
    <w:rsid w:val="7C2C027F"/>
    <w:rsid w:val="7C3D3FF9"/>
    <w:rsid w:val="7CA852AF"/>
    <w:rsid w:val="7CAD4A24"/>
    <w:rsid w:val="7D0522BD"/>
    <w:rsid w:val="7D1D58A4"/>
    <w:rsid w:val="7D3B088B"/>
    <w:rsid w:val="7D594A83"/>
    <w:rsid w:val="7DEF4AEA"/>
    <w:rsid w:val="7DF764EE"/>
    <w:rsid w:val="7E53749D"/>
    <w:rsid w:val="7EA30C55"/>
    <w:rsid w:val="7F007624"/>
    <w:rsid w:val="7F7F6FE8"/>
    <w:rsid w:val="7F867122"/>
    <w:rsid w:val="7F89761A"/>
    <w:rsid w:val="7FA73F44"/>
    <w:rsid w:val="CEC5A8CA"/>
    <w:rsid w:val="CFEF02AF"/>
    <w:rsid w:val="DA5F6331"/>
    <w:rsid w:val="E7E88DBC"/>
    <w:rsid w:val="EBE71639"/>
    <w:rsid w:val="EBFD096B"/>
    <w:rsid w:val="F7E57C21"/>
    <w:rsid w:val="F7FFA0C5"/>
    <w:rsid w:val="FBB772BB"/>
    <w:rsid w:val="FDEFCAE2"/>
    <w:rsid w:val="FF4A79A4"/>
    <w:rsid w:val="FFB74445"/>
    <w:rsid w:val="FFD83D2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9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qFormat="1" w:unhideWhenUsed="0" w:uiPriority="99" w:semiHidden="0" w:name="index heading"/>
    <w:lsdException w:qFormat="1" w:unhideWhenUsed="0" w:uiPriority="35" w:semiHidden="0" w:name="caption"/>
    <w:lsdException w:uiPriority="99" w:name="table of figures"/>
    <w:lsdException w:uiPriority="99" w:name="envelope address"/>
    <w:lsdException w:uiPriority="99" w:name="envelope return"/>
    <w:lsdException w:qFormat="1" w:unhideWhenUsed="0" w:uiPriority="99" w:semiHidden="0" w:name="footnote reference"/>
    <w:lsdException w:qFormat="1" w:unhideWhenUsed="0" w:uiPriority="99" w:semiHidden="0" w:name="annotation reference"/>
    <w:lsdException w:uiPriority="99" w:name="line number"/>
    <w:lsdException w:qFormat="1" w:unhideWhenUsed="0" w:uiPriority="0" w:semiHidden="0" w:name="page number"/>
    <w:lsdException w:qFormat="1" w:unhideWhenUsed="0" w:uiPriority="99" w:semiHidden="0" w:name="endnote reference"/>
    <w:lsdException w:qFormat="1" w:unhideWhenUsed="0" w:uiPriority="99" w:semiHidden="0" w:name="endnote text"/>
    <w:lsdException w:qFormat="1" w:unhideWhenUsed="0" w:uiPriority="99" w:semiHidden="0" w:name="table of authorities"/>
    <w:lsdException w:uiPriority="99" w:name="macro"/>
    <w:lsdException w:uiPriority="99" w:name="toa heading"/>
    <w:lsdException w:qFormat="1" w:unhideWhenUsed="0" w:uiPriority="99" w:semiHidden="0" w:name="List"/>
    <w:lsdException w:uiPriority="99" w:name="List Bullet"/>
    <w:lsdException w:qFormat="1" w:unhideWhenUsed="0" w:uiPriority="99" w:semiHidden="0" w:name="List Number"/>
    <w:lsdException w:qFormat="1" w:unhideWhenUsed="0" w:uiPriority="99"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qFormat="1" w:unhideWhenUsed="0" w:uiPriority="99" w:semiHidden="0"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uiPriority="99" w:name="Note Heading"/>
    <w:lsdException w:qFormat="1" w:unhideWhenUsed="0" w:uiPriority="99" w:semiHidden="0" w:name="Body Text 2"/>
    <w:lsdException w:qFormat="1" w:unhideWhenUsed="0" w:uiPriority="0" w:semiHidden="0" w:name="Body Text 3"/>
    <w:lsdException w:qFormat="1" w:unhideWhenUsed="0" w:uiPriority="99" w:semiHidden="0" w:name="Body Text Indent 2"/>
    <w:lsdException w:qFormat="1" w:unhideWhenUsed="0" w:uiPriority="99"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99"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qFormat="1" w:unhideWhenUsed="0" w:uiPriority="0" w:semiHidden="0" w:name="HTML Address"/>
    <w:lsdException w:uiPriority="99" w:name="HTML Cite"/>
    <w:lsdException w:qFormat="1" w:unhideWhenUsed="0" w:uiPriority="0" w:semiHidden="0" w:name="HTML Code"/>
    <w:lsdException w:uiPriority="99"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37"/>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77"/>
    <w:qFormat/>
    <w:uiPriority w:val="9"/>
    <w:pPr>
      <w:keepNext/>
      <w:keepLines/>
      <w:spacing w:before="260" w:after="260" w:line="416" w:lineRule="auto"/>
      <w:outlineLvl w:val="1"/>
    </w:pPr>
    <w:rPr>
      <w:rFonts w:ascii="Arial" w:hAnsi="Arial" w:eastAsia="黑体"/>
      <w:b/>
      <w:bCs/>
      <w:kern w:val="0"/>
      <w:sz w:val="32"/>
      <w:szCs w:val="32"/>
    </w:rPr>
  </w:style>
  <w:style w:type="paragraph" w:styleId="4">
    <w:name w:val="heading 3"/>
    <w:basedOn w:val="1"/>
    <w:next w:val="1"/>
    <w:link w:val="238"/>
    <w:qFormat/>
    <w:uiPriority w:val="0"/>
    <w:pPr>
      <w:keepNext/>
      <w:keepLines/>
      <w:spacing w:before="260" w:after="260" w:line="416" w:lineRule="auto"/>
      <w:outlineLvl w:val="2"/>
    </w:pPr>
    <w:rPr>
      <w:b/>
      <w:bCs/>
      <w:kern w:val="0"/>
      <w:sz w:val="32"/>
      <w:szCs w:val="32"/>
    </w:rPr>
  </w:style>
  <w:style w:type="paragraph" w:styleId="5">
    <w:name w:val="heading 4"/>
    <w:basedOn w:val="1"/>
    <w:next w:val="1"/>
    <w:link w:val="239"/>
    <w:qFormat/>
    <w:uiPriority w:val="0"/>
    <w:pPr>
      <w:keepNext/>
      <w:keepLines/>
      <w:spacing w:before="280" w:after="290" w:line="376" w:lineRule="auto"/>
      <w:outlineLvl w:val="3"/>
    </w:pPr>
    <w:rPr>
      <w:rFonts w:ascii="等线 Light" w:hAnsi="等线 Light" w:eastAsia="等线 Light"/>
      <w:b/>
      <w:bCs/>
      <w:sz w:val="28"/>
      <w:szCs w:val="28"/>
    </w:rPr>
  </w:style>
  <w:style w:type="paragraph" w:styleId="6">
    <w:name w:val="heading 5"/>
    <w:basedOn w:val="1"/>
    <w:next w:val="1"/>
    <w:link w:val="373"/>
    <w:qFormat/>
    <w:uiPriority w:val="0"/>
    <w:pPr>
      <w:keepNext/>
      <w:keepLines/>
      <w:numPr>
        <w:ilvl w:val="4"/>
        <w:numId w:val="1"/>
      </w:numPr>
      <w:spacing w:before="280" w:after="290" w:line="376" w:lineRule="auto"/>
      <w:outlineLvl w:val="4"/>
    </w:pPr>
    <w:rPr>
      <w:b/>
      <w:sz w:val="28"/>
    </w:rPr>
  </w:style>
  <w:style w:type="paragraph" w:styleId="7">
    <w:name w:val="heading 6"/>
    <w:basedOn w:val="1"/>
    <w:next w:val="8"/>
    <w:link w:val="241"/>
    <w:qFormat/>
    <w:uiPriority w:val="9"/>
    <w:pPr>
      <w:keepNext/>
      <w:keepLines/>
      <w:numPr>
        <w:ilvl w:val="5"/>
        <w:numId w:val="1"/>
      </w:numPr>
      <w:spacing w:before="240" w:after="64" w:line="320" w:lineRule="auto"/>
      <w:outlineLvl w:val="5"/>
    </w:pPr>
    <w:rPr>
      <w:rFonts w:ascii="Arial" w:hAnsi="Arial" w:eastAsia="黑体"/>
      <w:b/>
      <w:sz w:val="24"/>
    </w:rPr>
  </w:style>
  <w:style w:type="paragraph" w:styleId="9">
    <w:name w:val="heading 7"/>
    <w:basedOn w:val="1"/>
    <w:next w:val="8"/>
    <w:link w:val="242"/>
    <w:qFormat/>
    <w:uiPriority w:val="9"/>
    <w:pPr>
      <w:keepNext/>
      <w:keepLines/>
      <w:numPr>
        <w:ilvl w:val="6"/>
        <w:numId w:val="1"/>
      </w:numPr>
      <w:spacing w:before="240" w:after="64" w:line="320" w:lineRule="auto"/>
      <w:outlineLvl w:val="6"/>
    </w:pPr>
    <w:rPr>
      <w:b/>
      <w:sz w:val="24"/>
    </w:rPr>
  </w:style>
  <w:style w:type="paragraph" w:styleId="10">
    <w:name w:val="heading 8"/>
    <w:basedOn w:val="1"/>
    <w:next w:val="8"/>
    <w:link w:val="243"/>
    <w:qFormat/>
    <w:uiPriority w:val="9"/>
    <w:pPr>
      <w:keepNext/>
      <w:keepLines/>
      <w:numPr>
        <w:ilvl w:val="7"/>
        <w:numId w:val="1"/>
      </w:numPr>
      <w:spacing w:before="240" w:after="64" w:line="320" w:lineRule="auto"/>
      <w:outlineLvl w:val="7"/>
    </w:pPr>
    <w:rPr>
      <w:rFonts w:ascii="Arial" w:hAnsi="Arial" w:eastAsia="黑体"/>
      <w:sz w:val="24"/>
    </w:rPr>
  </w:style>
  <w:style w:type="paragraph" w:styleId="11">
    <w:name w:val="heading 9"/>
    <w:basedOn w:val="1"/>
    <w:next w:val="8"/>
    <w:link w:val="244"/>
    <w:qFormat/>
    <w:uiPriority w:val="9"/>
    <w:pPr>
      <w:keepNext/>
      <w:keepLines/>
      <w:numPr>
        <w:ilvl w:val="8"/>
        <w:numId w:val="1"/>
      </w:numPr>
      <w:spacing w:before="240" w:after="64" w:line="320" w:lineRule="auto"/>
      <w:outlineLvl w:val="8"/>
    </w:pPr>
    <w:rPr>
      <w:rFonts w:ascii="Arial" w:hAnsi="Arial" w:eastAsia="黑体"/>
    </w:rPr>
  </w:style>
  <w:style w:type="character" w:default="1" w:styleId="64">
    <w:name w:val="Default Paragraph Font"/>
    <w:semiHidden/>
    <w:unhideWhenUsed/>
    <w:qFormat/>
    <w:uiPriority w:val="1"/>
  </w:style>
  <w:style w:type="table" w:default="1" w:styleId="62">
    <w:name w:val="Normal Table"/>
    <w:semiHidden/>
    <w:unhideWhenUsed/>
    <w:qFormat/>
    <w:uiPriority w:val="99"/>
    <w:tblPr>
      <w:tblCellMar>
        <w:top w:w="0" w:type="dxa"/>
        <w:left w:w="108" w:type="dxa"/>
        <w:bottom w:w="0" w:type="dxa"/>
        <w:right w:w="108" w:type="dxa"/>
      </w:tblCellMar>
    </w:tblPr>
  </w:style>
  <w:style w:type="paragraph" w:styleId="8">
    <w:name w:val="Normal Indent"/>
    <w:basedOn w:val="1"/>
    <w:qFormat/>
    <w:uiPriority w:val="0"/>
    <w:pPr>
      <w:ind w:firstLine="420"/>
    </w:pPr>
    <w:rPr>
      <w:szCs w:val="20"/>
    </w:rPr>
  </w:style>
  <w:style w:type="paragraph" w:styleId="12">
    <w:name w:val="toc 7"/>
    <w:basedOn w:val="1"/>
    <w:next w:val="1"/>
    <w:qFormat/>
    <w:uiPriority w:val="39"/>
    <w:pPr>
      <w:ind w:left="2520" w:leftChars="1200"/>
    </w:pPr>
    <w:rPr>
      <w:rFonts w:ascii="Calibri" w:hAnsi="Calibri"/>
      <w:szCs w:val="22"/>
    </w:rPr>
  </w:style>
  <w:style w:type="paragraph" w:styleId="13">
    <w:name w:val="table of authorities"/>
    <w:basedOn w:val="1"/>
    <w:next w:val="1"/>
    <w:qFormat/>
    <w:uiPriority w:val="99"/>
    <w:pPr>
      <w:ind w:left="420" w:leftChars="200"/>
    </w:pPr>
  </w:style>
  <w:style w:type="paragraph" w:styleId="14">
    <w:name w:val="index 8"/>
    <w:basedOn w:val="1"/>
    <w:next w:val="1"/>
    <w:qFormat/>
    <w:uiPriority w:val="99"/>
    <w:pPr>
      <w:widowControl/>
      <w:spacing w:before="100" w:after="200" w:line="276" w:lineRule="auto"/>
      <w:ind w:left="1680" w:hanging="210"/>
      <w:jc w:val="left"/>
    </w:pPr>
    <w:rPr>
      <w:rFonts w:ascii="Calibri" w:hAnsi="Calibri" w:eastAsia="楷体_GB2312"/>
      <w:kern w:val="0"/>
      <w:sz w:val="24"/>
      <w:szCs w:val="20"/>
    </w:rPr>
  </w:style>
  <w:style w:type="paragraph" w:styleId="15">
    <w:name w:val="List Number"/>
    <w:basedOn w:val="1"/>
    <w:qFormat/>
    <w:uiPriority w:val="99"/>
    <w:pPr>
      <w:widowControl/>
      <w:tabs>
        <w:tab w:val="left" w:pos="454"/>
        <w:tab w:val="left" w:pos="720"/>
        <w:tab w:val="left" w:pos="840"/>
      </w:tabs>
      <w:spacing w:afterLines="50"/>
      <w:ind w:left="454" w:hanging="284"/>
      <w:jc w:val="left"/>
    </w:pPr>
    <w:rPr>
      <w:kern w:val="0"/>
      <w:sz w:val="24"/>
      <w:szCs w:val="20"/>
    </w:rPr>
  </w:style>
  <w:style w:type="paragraph" w:styleId="16">
    <w:name w:val="caption"/>
    <w:basedOn w:val="1"/>
    <w:next w:val="1"/>
    <w:qFormat/>
    <w:uiPriority w:val="35"/>
    <w:pPr>
      <w:spacing w:before="152" w:after="160"/>
    </w:pPr>
    <w:rPr>
      <w:rFonts w:ascii="Arial" w:hAnsi="Arial" w:eastAsia="黑体" w:cs="Arial"/>
      <w:sz w:val="20"/>
      <w:szCs w:val="20"/>
    </w:rPr>
  </w:style>
  <w:style w:type="paragraph" w:styleId="17">
    <w:name w:val="index 5"/>
    <w:basedOn w:val="1"/>
    <w:next w:val="1"/>
    <w:qFormat/>
    <w:uiPriority w:val="99"/>
    <w:pPr>
      <w:widowControl/>
      <w:spacing w:before="100" w:after="200" w:line="276" w:lineRule="auto"/>
      <w:ind w:left="1050" w:hanging="210"/>
      <w:jc w:val="left"/>
    </w:pPr>
    <w:rPr>
      <w:rFonts w:ascii="Calibri" w:hAnsi="Calibri" w:eastAsia="楷体_GB2312"/>
      <w:kern w:val="0"/>
      <w:sz w:val="24"/>
      <w:szCs w:val="20"/>
    </w:rPr>
  </w:style>
  <w:style w:type="paragraph" w:styleId="18">
    <w:name w:val="Document Map"/>
    <w:basedOn w:val="1"/>
    <w:link w:val="245"/>
    <w:qFormat/>
    <w:uiPriority w:val="99"/>
    <w:pPr>
      <w:shd w:val="clear" w:color="auto" w:fill="000080"/>
    </w:pPr>
    <w:rPr>
      <w:rFonts w:ascii="宋体" w:hAnsi="宋体"/>
      <w:kern w:val="0"/>
      <w:sz w:val="20"/>
      <w:szCs w:val="20"/>
    </w:rPr>
  </w:style>
  <w:style w:type="paragraph" w:styleId="19">
    <w:name w:val="annotation text"/>
    <w:basedOn w:val="1"/>
    <w:link w:val="246"/>
    <w:qFormat/>
    <w:uiPriority w:val="99"/>
    <w:pPr>
      <w:jc w:val="left"/>
    </w:pPr>
  </w:style>
  <w:style w:type="paragraph" w:styleId="20">
    <w:name w:val="index 6"/>
    <w:basedOn w:val="1"/>
    <w:next w:val="1"/>
    <w:qFormat/>
    <w:uiPriority w:val="99"/>
    <w:pPr>
      <w:widowControl/>
      <w:spacing w:before="100" w:after="200" w:line="276" w:lineRule="auto"/>
      <w:ind w:left="1260" w:hanging="210"/>
      <w:jc w:val="left"/>
    </w:pPr>
    <w:rPr>
      <w:rFonts w:ascii="Calibri" w:hAnsi="Calibri" w:eastAsia="楷体_GB2312"/>
      <w:kern w:val="0"/>
      <w:sz w:val="24"/>
      <w:szCs w:val="20"/>
    </w:rPr>
  </w:style>
  <w:style w:type="paragraph" w:styleId="21">
    <w:name w:val="Body Text 3"/>
    <w:basedOn w:val="1"/>
    <w:link w:val="247"/>
    <w:qFormat/>
    <w:uiPriority w:val="0"/>
    <w:pPr>
      <w:spacing w:line="500" w:lineRule="exact"/>
    </w:pPr>
    <w:rPr>
      <w:b/>
      <w:bCs/>
      <w:kern w:val="0"/>
      <w:sz w:val="24"/>
    </w:rPr>
  </w:style>
  <w:style w:type="paragraph" w:styleId="22">
    <w:name w:val="Body Text"/>
    <w:basedOn w:val="1"/>
    <w:next w:val="23"/>
    <w:link w:val="248"/>
    <w:qFormat/>
    <w:uiPriority w:val="99"/>
    <w:pPr>
      <w:spacing w:line="380" w:lineRule="exact"/>
    </w:pPr>
    <w:rPr>
      <w:kern w:val="0"/>
      <w:sz w:val="24"/>
    </w:rPr>
  </w:style>
  <w:style w:type="paragraph" w:customStyle="1" w:styleId="23">
    <w:name w:val="Default"/>
    <w:next w:val="24"/>
    <w:qFormat/>
    <w:uiPriority w:val="99"/>
    <w:pPr>
      <w:widowControl w:val="0"/>
      <w:autoSpaceDE w:val="0"/>
      <w:autoSpaceDN w:val="0"/>
      <w:adjustRightInd w:val="0"/>
      <w:spacing w:before="100" w:after="200" w:line="276" w:lineRule="auto"/>
    </w:pPr>
    <w:rPr>
      <w:rFonts w:ascii="宋体" w:hAnsi="Calibri" w:eastAsia="宋体" w:cs="宋体"/>
      <w:color w:val="000000"/>
      <w:sz w:val="24"/>
      <w:szCs w:val="24"/>
      <w:lang w:val="en-US" w:eastAsia="zh-CN" w:bidi="ar-SA"/>
    </w:rPr>
  </w:style>
  <w:style w:type="paragraph" w:customStyle="1" w:styleId="24">
    <w:name w:val="正文文字 6"/>
    <w:next w:val="1"/>
    <w:qFormat/>
    <w:uiPriority w:val="0"/>
    <w:pPr>
      <w:widowControl w:val="0"/>
      <w:ind w:left="240"/>
      <w:jc w:val="both"/>
    </w:pPr>
    <w:rPr>
      <w:rFonts w:ascii="宋体" w:hAnsi="Calibri" w:eastAsia="宋体" w:cs="Times New Roman"/>
      <w:b/>
      <w:bCs/>
      <w:kern w:val="2"/>
      <w:sz w:val="32"/>
      <w:szCs w:val="32"/>
      <w:lang w:val="en-US" w:eastAsia="zh-CN" w:bidi="ar-SA"/>
    </w:rPr>
  </w:style>
  <w:style w:type="paragraph" w:styleId="25">
    <w:name w:val="Body Text Indent"/>
    <w:basedOn w:val="1"/>
    <w:next w:val="1"/>
    <w:link w:val="250"/>
    <w:qFormat/>
    <w:uiPriority w:val="0"/>
    <w:pPr>
      <w:ind w:firstLine="830" w:firstLineChars="352"/>
    </w:pPr>
    <w:rPr>
      <w:rFonts w:ascii="仿宋_GB2312" w:eastAsia="仿宋_GB2312"/>
      <w:kern w:val="0"/>
      <w:sz w:val="32"/>
      <w:szCs w:val="20"/>
    </w:rPr>
  </w:style>
  <w:style w:type="paragraph" w:styleId="26">
    <w:name w:val="List Number 3"/>
    <w:basedOn w:val="1"/>
    <w:qFormat/>
    <w:uiPriority w:val="99"/>
    <w:pPr>
      <w:numPr>
        <w:ilvl w:val="0"/>
        <w:numId w:val="2"/>
      </w:numPr>
    </w:pPr>
  </w:style>
  <w:style w:type="paragraph" w:styleId="27">
    <w:name w:val="List 2"/>
    <w:basedOn w:val="1"/>
    <w:qFormat/>
    <w:uiPriority w:val="99"/>
    <w:pPr>
      <w:ind w:left="100" w:leftChars="200" w:hanging="200" w:hangingChars="200"/>
    </w:pPr>
    <w:rPr>
      <w:sz w:val="28"/>
    </w:rPr>
  </w:style>
  <w:style w:type="paragraph" w:styleId="28">
    <w:name w:val="HTML Address"/>
    <w:basedOn w:val="1"/>
    <w:link w:val="251"/>
    <w:qFormat/>
    <w:uiPriority w:val="0"/>
    <w:pPr>
      <w:widowControl/>
      <w:spacing w:before="100" w:after="200" w:line="276" w:lineRule="auto"/>
      <w:jc w:val="left"/>
    </w:pPr>
    <w:rPr>
      <w:rFonts w:ascii="Calibri" w:hAnsi="Calibri" w:eastAsia="楷体_GB2312"/>
      <w:i/>
      <w:iCs/>
      <w:kern w:val="0"/>
      <w:sz w:val="24"/>
      <w:szCs w:val="20"/>
    </w:rPr>
  </w:style>
  <w:style w:type="paragraph" w:styleId="29">
    <w:name w:val="index 4"/>
    <w:basedOn w:val="1"/>
    <w:next w:val="1"/>
    <w:qFormat/>
    <w:uiPriority w:val="99"/>
    <w:pPr>
      <w:widowControl/>
      <w:spacing w:before="100" w:after="200" w:line="276" w:lineRule="auto"/>
      <w:ind w:left="840" w:hanging="210"/>
      <w:jc w:val="left"/>
    </w:pPr>
    <w:rPr>
      <w:rFonts w:ascii="Calibri" w:hAnsi="Calibri" w:eastAsia="楷体_GB2312"/>
      <w:kern w:val="0"/>
      <w:sz w:val="24"/>
      <w:szCs w:val="20"/>
    </w:rPr>
  </w:style>
  <w:style w:type="paragraph" w:styleId="30">
    <w:name w:val="toc 5"/>
    <w:basedOn w:val="1"/>
    <w:next w:val="1"/>
    <w:qFormat/>
    <w:uiPriority w:val="39"/>
    <w:pPr>
      <w:ind w:left="1680" w:leftChars="800"/>
    </w:pPr>
    <w:rPr>
      <w:rFonts w:ascii="Calibri" w:hAnsi="Calibri"/>
      <w:szCs w:val="22"/>
    </w:rPr>
  </w:style>
  <w:style w:type="paragraph" w:styleId="31">
    <w:name w:val="toc 3"/>
    <w:basedOn w:val="1"/>
    <w:next w:val="1"/>
    <w:qFormat/>
    <w:uiPriority w:val="39"/>
    <w:pPr>
      <w:ind w:left="840" w:leftChars="400"/>
    </w:pPr>
    <w:rPr>
      <w:rFonts w:ascii="Calibri" w:hAnsi="Calibri"/>
      <w:szCs w:val="22"/>
    </w:rPr>
  </w:style>
  <w:style w:type="paragraph" w:styleId="32">
    <w:name w:val="Plain Text"/>
    <w:basedOn w:val="1"/>
    <w:next w:val="1"/>
    <w:link w:val="252"/>
    <w:qFormat/>
    <w:uiPriority w:val="0"/>
    <w:pPr>
      <w:snapToGrid w:val="0"/>
      <w:spacing w:before="120" w:after="120"/>
      <w:jc w:val="left"/>
    </w:pPr>
    <w:rPr>
      <w:rFonts w:ascii="宋体" w:hAnsi="Courier New"/>
      <w:w w:val="95"/>
      <w:kern w:val="0"/>
      <w:szCs w:val="21"/>
    </w:rPr>
  </w:style>
  <w:style w:type="paragraph" w:styleId="33">
    <w:name w:val="toc 8"/>
    <w:basedOn w:val="1"/>
    <w:next w:val="1"/>
    <w:qFormat/>
    <w:uiPriority w:val="39"/>
    <w:pPr>
      <w:ind w:left="2940" w:leftChars="1400"/>
    </w:pPr>
    <w:rPr>
      <w:rFonts w:ascii="Calibri" w:hAnsi="Calibri"/>
      <w:szCs w:val="22"/>
    </w:rPr>
  </w:style>
  <w:style w:type="paragraph" w:styleId="34">
    <w:name w:val="index 3"/>
    <w:basedOn w:val="1"/>
    <w:next w:val="1"/>
    <w:qFormat/>
    <w:uiPriority w:val="99"/>
    <w:pPr>
      <w:widowControl/>
      <w:spacing w:before="100" w:after="200" w:line="276" w:lineRule="auto"/>
      <w:ind w:left="630" w:hanging="210"/>
      <w:jc w:val="left"/>
    </w:pPr>
    <w:rPr>
      <w:rFonts w:ascii="Calibri" w:hAnsi="Calibri" w:eastAsia="楷体_GB2312"/>
      <w:kern w:val="0"/>
      <w:sz w:val="24"/>
      <w:szCs w:val="20"/>
    </w:rPr>
  </w:style>
  <w:style w:type="paragraph" w:styleId="35">
    <w:name w:val="Date"/>
    <w:basedOn w:val="1"/>
    <w:next w:val="1"/>
    <w:link w:val="253"/>
    <w:qFormat/>
    <w:uiPriority w:val="99"/>
    <w:pPr>
      <w:ind w:left="100" w:leftChars="2500"/>
    </w:pPr>
    <w:rPr>
      <w:rFonts w:ascii="宋体" w:hAnsi="Courier New"/>
      <w:kern w:val="0"/>
      <w:sz w:val="20"/>
      <w:szCs w:val="21"/>
    </w:rPr>
  </w:style>
  <w:style w:type="paragraph" w:styleId="36">
    <w:name w:val="Body Text Indent 2"/>
    <w:basedOn w:val="1"/>
    <w:link w:val="254"/>
    <w:qFormat/>
    <w:uiPriority w:val="99"/>
    <w:pPr>
      <w:ind w:firstLine="630"/>
    </w:pPr>
    <w:rPr>
      <w:kern w:val="0"/>
      <w:sz w:val="32"/>
      <w:szCs w:val="20"/>
    </w:rPr>
  </w:style>
  <w:style w:type="paragraph" w:styleId="37">
    <w:name w:val="endnote text"/>
    <w:basedOn w:val="1"/>
    <w:link w:val="255"/>
    <w:qFormat/>
    <w:uiPriority w:val="99"/>
    <w:pPr>
      <w:snapToGrid w:val="0"/>
      <w:jc w:val="left"/>
    </w:pPr>
  </w:style>
  <w:style w:type="paragraph" w:styleId="38">
    <w:name w:val="Balloon Text"/>
    <w:basedOn w:val="1"/>
    <w:link w:val="256"/>
    <w:qFormat/>
    <w:uiPriority w:val="99"/>
    <w:rPr>
      <w:kern w:val="0"/>
      <w:sz w:val="18"/>
      <w:szCs w:val="18"/>
    </w:rPr>
  </w:style>
  <w:style w:type="paragraph" w:styleId="39">
    <w:name w:val="footer"/>
    <w:basedOn w:val="1"/>
    <w:link w:val="257"/>
    <w:qFormat/>
    <w:uiPriority w:val="99"/>
    <w:pPr>
      <w:tabs>
        <w:tab w:val="center" w:pos="4153"/>
        <w:tab w:val="right" w:pos="8306"/>
      </w:tabs>
      <w:snapToGrid w:val="0"/>
      <w:jc w:val="left"/>
    </w:pPr>
    <w:rPr>
      <w:kern w:val="0"/>
      <w:sz w:val="18"/>
      <w:szCs w:val="18"/>
    </w:rPr>
  </w:style>
  <w:style w:type="paragraph" w:styleId="40">
    <w:name w:val="header"/>
    <w:basedOn w:val="1"/>
    <w:link w:val="249"/>
    <w:qFormat/>
    <w:uiPriority w:val="99"/>
    <w:pPr>
      <w:pBdr>
        <w:bottom w:val="single" w:color="auto" w:sz="6" w:space="1"/>
      </w:pBdr>
      <w:tabs>
        <w:tab w:val="center" w:pos="0"/>
        <w:tab w:val="left" w:pos="8306"/>
      </w:tabs>
      <w:snapToGrid w:val="0"/>
      <w:jc w:val="center"/>
    </w:pPr>
    <w:rPr>
      <w:sz w:val="18"/>
      <w:szCs w:val="18"/>
    </w:rPr>
  </w:style>
  <w:style w:type="paragraph" w:styleId="41">
    <w:name w:val="toc 1"/>
    <w:basedOn w:val="1"/>
    <w:next w:val="1"/>
    <w:qFormat/>
    <w:uiPriority w:val="39"/>
    <w:pPr>
      <w:tabs>
        <w:tab w:val="right" w:leader="dot" w:pos="8398"/>
      </w:tabs>
      <w:spacing w:before="120" w:after="120"/>
      <w:ind w:firstLine="240" w:firstLineChars="100"/>
      <w:jc w:val="left"/>
    </w:pPr>
    <w:rPr>
      <w:rFonts w:ascii="宋体" w:hAnsi="宋体"/>
      <w:b/>
      <w:bCs/>
      <w:caps/>
      <w:sz w:val="24"/>
    </w:rPr>
  </w:style>
  <w:style w:type="paragraph" w:styleId="42">
    <w:name w:val="toc 4"/>
    <w:basedOn w:val="1"/>
    <w:next w:val="1"/>
    <w:qFormat/>
    <w:uiPriority w:val="99"/>
    <w:pPr>
      <w:ind w:left="1260" w:leftChars="600"/>
    </w:pPr>
    <w:rPr>
      <w:rFonts w:ascii="Calibri" w:hAnsi="Calibri"/>
      <w:szCs w:val="22"/>
    </w:rPr>
  </w:style>
  <w:style w:type="paragraph" w:styleId="43">
    <w:name w:val="index heading"/>
    <w:basedOn w:val="1"/>
    <w:next w:val="44"/>
    <w:qFormat/>
    <w:uiPriority w:val="99"/>
    <w:pPr>
      <w:widowControl/>
      <w:spacing w:before="120" w:after="120" w:line="276" w:lineRule="auto"/>
      <w:jc w:val="center"/>
    </w:pPr>
    <w:rPr>
      <w:rFonts w:ascii="Calibri" w:hAnsi="Calibri" w:eastAsia="楷体_GB2312"/>
      <w:b/>
      <w:bCs/>
      <w:iCs/>
      <w:kern w:val="0"/>
      <w:sz w:val="24"/>
      <w:szCs w:val="20"/>
    </w:rPr>
  </w:style>
  <w:style w:type="paragraph" w:styleId="44">
    <w:name w:val="index 1"/>
    <w:basedOn w:val="1"/>
    <w:next w:val="1"/>
    <w:qFormat/>
    <w:uiPriority w:val="99"/>
    <w:pPr>
      <w:spacing w:line="400" w:lineRule="exact"/>
      <w:ind w:firstLine="420" w:firstLineChars="200"/>
    </w:pPr>
    <w:rPr>
      <w:rFonts w:ascii="宋体" w:hAnsi="Courier New"/>
      <w:b/>
      <w:szCs w:val="20"/>
    </w:rPr>
  </w:style>
  <w:style w:type="paragraph" w:styleId="45">
    <w:name w:val="Subtitle"/>
    <w:basedOn w:val="1"/>
    <w:next w:val="1"/>
    <w:link w:val="258"/>
    <w:qFormat/>
    <w:uiPriority w:val="11"/>
    <w:pPr>
      <w:widowControl/>
      <w:spacing w:after="500"/>
      <w:jc w:val="left"/>
    </w:pPr>
    <w:rPr>
      <w:rFonts w:ascii="Calibri" w:hAnsi="Calibri" w:eastAsia="楷体_GB2312"/>
      <w:caps/>
      <w:color w:val="595959"/>
      <w:spacing w:val="10"/>
      <w:kern w:val="0"/>
      <w:szCs w:val="21"/>
    </w:rPr>
  </w:style>
  <w:style w:type="paragraph" w:styleId="46">
    <w:name w:val="List"/>
    <w:basedOn w:val="1"/>
    <w:qFormat/>
    <w:uiPriority w:val="99"/>
    <w:pPr>
      <w:ind w:left="200" w:hanging="200" w:hangingChars="200"/>
    </w:pPr>
    <w:rPr>
      <w:sz w:val="28"/>
    </w:rPr>
  </w:style>
  <w:style w:type="paragraph" w:styleId="47">
    <w:name w:val="footnote text"/>
    <w:basedOn w:val="1"/>
    <w:link w:val="259"/>
    <w:qFormat/>
    <w:uiPriority w:val="99"/>
    <w:pPr>
      <w:snapToGrid w:val="0"/>
      <w:jc w:val="left"/>
    </w:pPr>
    <w:rPr>
      <w:sz w:val="18"/>
      <w:szCs w:val="18"/>
    </w:rPr>
  </w:style>
  <w:style w:type="paragraph" w:styleId="48">
    <w:name w:val="toc 6"/>
    <w:basedOn w:val="1"/>
    <w:next w:val="1"/>
    <w:qFormat/>
    <w:uiPriority w:val="39"/>
    <w:pPr>
      <w:ind w:left="2100" w:leftChars="1000"/>
    </w:pPr>
    <w:rPr>
      <w:rFonts w:ascii="Calibri" w:hAnsi="Calibri"/>
      <w:szCs w:val="22"/>
    </w:rPr>
  </w:style>
  <w:style w:type="paragraph" w:styleId="49">
    <w:name w:val="Body Text Indent 3"/>
    <w:basedOn w:val="1"/>
    <w:link w:val="260"/>
    <w:qFormat/>
    <w:uiPriority w:val="99"/>
    <w:pPr>
      <w:spacing w:after="120"/>
      <w:ind w:left="420" w:leftChars="200"/>
    </w:pPr>
    <w:rPr>
      <w:kern w:val="0"/>
      <w:sz w:val="16"/>
      <w:szCs w:val="16"/>
    </w:rPr>
  </w:style>
  <w:style w:type="paragraph" w:styleId="50">
    <w:name w:val="index 7"/>
    <w:basedOn w:val="1"/>
    <w:next w:val="1"/>
    <w:qFormat/>
    <w:uiPriority w:val="99"/>
    <w:pPr>
      <w:widowControl/>
      <w:spacing w:before="100" w:after="200" w:line="276" w:lineRule="auto"/>
      <w:ind w:left="1470" w:hanging="210"/>
      <w:jc w:val="left"/>
    </w:pPr>
    <w:rPr>
      <w:rFonts w:ascii="Calibri" w:hAnsi="Calibri" w:eastAsia="楷体_GB2312"/>
      <w:kern w:val="0"/>
      <w:sz w:val="24"/>
      <w:szCs w:val="20"/>
    </w:rPr>
  </w:style>
  <w:style w:type="paragraph" w:styleId="51">
    <w:name w:val="index 9"/>
    <w:basedOn w:val="1"/>
    <w:next w:val="1"/>
    <w:qFormat/>
    <w:uiPriority w:val="99"/>
    <w:pPr>
      <w:widowControl/>
      <w:spacing w:before="100" w:after="200" w:line="276" w:lineRule="auto"/>
      <w:ind w:left="1890" w:hanging="210"/>
      <w:jc w:val="left"/>
    </w:pPr>
    <w:rPr>
      <w:rFonts w:ascii="Calibri" w:hAnsi="Calibri" w:eastAsia="楷体_GB2312"/>
      <w:kern w:val="0"/>
      <w:sz w:val="24"/>
      <w:szCs w:val="20"/>
    </w:rPr>
  </w:style>
  <w:style w:type="paragraph" w:styleId="52">
    <w:name w:val="toc 2"/>
    <w:basedOn w:val="1"/>
    <w:next w:val="1"/>
    <w:qFormat/>
    <w:uiPriority w:val="39"/>
    <w:pPr>
      <w:ind w:left="420" w:leftChars="200"/>
    </w:pPr>
  </w:style>
  <w:style w:type="paragraph" w:styleId="53">
    <w:name w:val="toc 9"/>
    <w:basedOn w:val="1"/>
    <w:next w:val="1"/>
    <w:qFormat/>
    <w:uiPriority w:val="39"/>
    <w:pPr>
      <w:ind w:left="3360" w:leftChars="1600"/>
    </w:pPr>
    <w:rPr>
      <w:rFonts w:ascii="Calibri" w:hAnsi="Calibri"/>
      <w:szCs w:val="22"/>
    </w:rPr>
  </w:style>
  <w:style w:type="paragraph" w:styleId="54">
    <w:name w:val="Body Text 2"/>
    <w:basedOn w:val="1"/>
    <w:link w:val="261"/>
    <w:qFormat/>
    <w:uiPriority w:val="99"/>
    <w:pPr>
      <w:spacing w:after="120" w:line="480" w:lineRule="auto"/>
    </w:pPr>
    <w:rPr>
      <w:kern w:val="0"/>
      <w:sz w:val="20"/>
    </w:rPr>
  </w:style>
  <w:style w:type="paragraph" w:styleId="55">
    <w:name w:val="HTML Preformatted"/>
    <w:basedOn w:val="1"/>
    <w:link w:val="262"/>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after="200" w:line="276" w:lineRule="auto"/>
      <w:jc w:val="left"/>
    </w:pPr>
    <w:rPr>
      <w:rFonts w:ascii="Courier New" w:hAnsi="Courier New" w:eastAsia="楷体_GB2312"/>
      <w:kern w:val="0"/>
      <w:sz w:val="24"/>
      <w:szCs w:val="20"/>
    </w:rPr>
  </w:style>
  <w:style w:type="paragraph" w:styleId="56">
    <w:name w:val="Normal (Web)"/>
    <w:basedOn w:val="1"/>
    <w:qFormat/>
    <w:uiPriority w:val="99"/>
    <w:pPr>
      <w:widowControl/>
      <w:spacing w:before="100" w:beforeAutospacing="1" w:after="100" w:afterAutospacing="1"/>
      <w:jc w:val="left"/>
    </w:pPr>
    <w:rPr>
      <w:rFonts w:ascii="宋体" w:hAnsi="宋体"/>
      <w:kern w:val="0"/>
      <w:sz w:val="24"/>
    </w:rPr>
  </w:style>
  <w:style w:type="paragraph" w:styleId="57">
    <w:name w:val="index 2"/>
    <w:basedOn w:val="1"/>
    <w:next w:val="1"/>
    <w:qFormat/>
    <w:uiPriority w:val="99"/>
    <w:pPr>
      <w:widowControl/>
      <w:spacing w:before="100" w:after="200" w:line="276" w:lineRule="auto"/>
      <w:ind w:left="420" w:hanging="210"/>
      <w:jc w:val="left"/>
    </w:pPr>
    <w:rPr>
      <w:rFonts w:ascii="Calibri" w:hAnsi="Calibri" w:eastAsia="楷体_GB2312"/>
      <w:kern w:val="0"/>
      <w:sz w:val="24"/>
      <w:szCs w:val="20"/>
    </w:rPr>
  </w:style>
  <w:style w:type="paragraph" w:styleId="58">
    <w:name w:val="Title"/>
    <w:basedOn w:val="1"/>
    <w:next w:val="1"/>
    <w:link w:val="263"/>
    <w:qFormat/>
    <w:uiPriority w:val="99"/>
    <w:pPr>
      <w:spacing w:before="240" w:after="60"/>
      <w:jc w:val="center"/>
      <w:outlineLvl w:val="0"/>
    </w:pPr>
    <w:rPr>
      <w:rFonts w:ascii="Cambria" w:hAnsi="Cambria"/>
      <w:b/>
      <w:bCs/>
      <w:sz w:val="32"/>
      <w:szCs w:val="32"/>
    </w:rPr>
  </w:style>
  <w:style w:type="paragraph" w:styleId="59">
    <w:name w:val="annotation subject"/>
    <w:basedOn w:val="19"/>
    <w:next w:val="19"/>
    <w:link w:val="264"/>
    <w:qFormat/>
    <w:uiPriority w:val="99"/>
    <w:rPr>
      <w:b/>
      <w:bCs/>
    </w:rPr>
  </w:style>
  <w:style w:type="paragraph" w:styleId="60">
    <w:name w:val="Body Text First Indent"/>
    <w:basedOn w:val="22"/>
    <w:next w:val="1"/>
    <w:link w:val="265"/>
    <w:qFormat/>
    <w:uiPriority w:val="99"/>
    <w:pPr>
      <w:ind w:firstLine="420" w:firstLineChars="100"/>
    </w:pPr>
    <w:rPr>
      <w:rFonts w:ascii="微软雅黑" w:hAnsi="微软雅黑" w:eastAsia="微软雅黑"/>
      <w:szCs w:val="21"/>
    </w:rPr>
  </w:style>
  <w:style w:type="paragraph" w:styleId="61">
    <w:name w:val="Body Text First Indent 2"/>
    <w:basedOn w:val="25"/>
    <w:next w:val="60"/>
    <w:link w:val="266"/>
    <w:qFormat/>
    <w:uiPriority w:val="99"/>
    <w:pPr>
      <w:shd w:val="clear" w:color="auto" w:fill="FFFFFF"/>
      <w:spacing w:after="120"/>
      <w:ind w:left="420" w:firstLine="420" w:firstLineChars="0"/>
    </w:pPr>
    <w:rPr>
      <w:sz w:val="21"/>
      <w:szCs w:val="24"/>
    </w:rPr>
  </w:style>
  <w:style w:type="table" w:styleId="63">
    <w:name w:val="Table Grid"/>
    <w:basedOn w:val="6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5">
    <w:name w:val="Strong"/>
    <w:qFormat/>
    <w:uiPriority w:val="22"/>
    <w:rPr>
      <w:b/>
      <w:bCs/>
    </w:rPr>
  </w:style>
  <w:style w:type="character" w:styleId="66">
    <w:name w:val="endnote reference"/>
    <w:qFormat/>
    <w:uiPriority w:val="99"/>
    <w:rPr>
      <w:vertAlign w:val="superscript"/>
    </w:rPr>
  </w:style>
  <w:style w:type="character" w:styleId="67">
    <w:name w:val="page number"/>
    <w:qFormat/>
    <w:uiPriority w:val="0"/>
  </w:style>
  <w:style w:type="character" w:styleId="68">
    <w:name w:val="FollowedHyperlink"/>
    <w:qFormat/>
    <w:uiPriority w:val="0"/>
    <w:rPr>
      <w:color w:val="800080"/>
      <w:u w:val="single"/>
    </w:rPr>
  </w:style>
  <w:style w:type="character" w:styleId="69">
    <w:name w:val="Emphasis"/>
    <w:qFormat/>
    <w:uiPriority w:val="20"/>
    <w:rPr>
      <w:caps/>
      <w:color w:val="1F4D78"/>
      <w:spacing w:val="5"/>
    </w:rPr>
  </w:style>
  <w:style w:type="character" w:styleId="70">
    <w:name w:val="HTML Typewriter"/>
    <w:qFormat/>
    <w:uiPriority w:val="0"/>
    <w:rPr>
      <w:rFonts w:hint="default" w:ascii="Courier New" w:hAnsi="Courier New" w:eastAsia="Times New Roman" w:cs="Times New Roman"/>
      <w:sz w:val="24"/>
      <w:szCs w:val="24"/>
    </w:rPr>
  </w:style>
  <w:style w:type="character" w:styleId="71">
    <w:name w:val="Hyperlink"/>
    <w:qFormat/>
    <w:uiPriority w:val="99"/>
    <w:rPr>
      <w:color w:val="0000FF"/>
      <w:u w:val="single"/>
    </w:rPr>
  </w:style>
  <w:style w:type="character" w:styleId="72">
    <w:name w:val="HTML Code"/>
    <w:qFormat/>
    <w:uiPriority w:val="0"/>
    <w:rPr>
      <w:rFonts w:hint="default" w:ascii="Courier New" w:hAnsi="Courier New" w:eastAsia="Times New Roman" w:cs="Times New Roman"/>
      <w:sz w:val="24"/>
      <w:szCs w:val="24"/>
    </w:rPr>
  </w:style>
  <w:style w:type="character" w:styleId="73">
    <w:name w:val="annotation reference"/>
    <w:qFormat/>
    <w:uiPriority w:val="99"/>
    <w:rPr>
      <w:sz w:val="21"/>
      <w:szCs w:val="21"/>
    </w:rPr>
  </w:style>
  <w:style w:type="character" w:styleId="74">
    <w:name w:val="footnote reference"/>
    <w:qFormat/>
    <w:uiPriority w:val="99"/>
    <w:rPr>
      <w:vertAlign w:val="superscript"/>
    </w:rPr>
  </w:style>
  <w:style w:type="character" w:styleId="75">
    <w:name w:val="HTML Keyboard"/>
    <w:qFormat/>
    <w:uiPriority w:val="0"/>
    <w:rPr>
      <w:rFonts w:hint="default" w:ascii="Courier New" w:hAnsi="Courier New" w:eastAsia="Times New Roman" w:cs="Times New Roman"/>
      <w:sz w:val="24"/>
      <w:szCs w:val="24"/>
    </w:rPr>
  </w:style>
  <w:style w:type="character" w:styleId="76">
    <w:name w:val="HTML Sample"/>
    <w:qFormat/>
    <w:uiPriority w:val="0"/>
    <w:rPr>
      <w:rFonts w:hint="default" w:ascii="Courier New" w:hAnsi="Courier New" w:eastAsia="Times New Roman" w:cs="Times New Roman"/>
    </w:rPr>
  </w:style>
  <w:style w:type="character" w:customStyle="1" w:styleId="77">
    <w:name w:val="标题 2 字符"/>
    <w:link w:val="3"/>
    <w:qFormat/>
    <w:uiPriority w:val="9"/>
    <w:rPr>
      <w:rFonts w:ascii="Arial" w:hAnsi="Arial" w:eastAsia="黑体" w:cs="Times New Roman"/>
      <w:b/>
      <w:bCs/>
      <w:sz w:val="32"/>
      <w:szCs w:val="32"/>
    </w:rPr>
  </w:style>
  <w:style w:type="paragraph" w:customStyle="1" w:styleId="78">
    <w:name w:val="前言、引言标题"/>
    <w:next w:val="79"/>
    <w:link w:val="270"/>
    <w:qFormat/>
    <w:uiPriority w:val="0"/>
    <w:pPr>
      <w:keepNext/>
      <w:pageBreakBefore/>
      <w:shd w:val="clear" w:color="auto" w:fill="FFFFFF"/>
      <w:spacing w:before="640" w:after="560" w:line="276" w:lineRule="auto"/>
      <w:jc w:val="center"/>
      <w:outlineLvl w:val="0"/>
    </w:pPr>
    <w:rPr>
      <w:rFonts w:ascii="黑体" w:hAnsi="黑体" w:eastAsia="黑体" w:cs="Times New Roman"/>
      <w:sz w:val="32"/>
      <w:lang w:val="en-US" w:eastAsia="zh-CN" w:bidi="ar-SA"/>
    </w:rPr>
  </w:style>
  <w:style w:type="paragraph" w:customStyle="1" w:styleId="79">
    <w:name w:val="段"/>
    <w:link w:val="271"/>
    <w:qFormat/>
    <w:uiPriority w:val="0"/>
    <w:pPr>
      <w:autoSpaceDE w:val="0"/>
      <w:autoSpaceDN w:val="0"/>
      <w:ind w:firstLine="200" w:firstLineChars="200"/>
      <w:jc w:val="both"/>
    </w:pPr>
    <w:rPr>
      <w:rFonts w:ascii="宋体" w:hAnsi="Calibri" w:eastAsia="宋体" w:cs="Times New Roman"/>
      <w:sz w:val="21"/>
      <w:lang w:val="en-US" w:eastAsia="zh-CN" w:bidi="ar-SA"/>
    </w:rPr>
  </w:style>
  <w:style w:type="paragraph" w:customStyle="1" w:styleId="80">
    <w:name w:val="附录标识"/>
    <w:basedOn w:val="1"/>
    <w:next w:val="79"/>
    <w:link w:val="287"/>
    <w:qFormat/>
    <w:uiPriority w:val="99"/>
    <w:pPr>
      <w:keepNext/>
      <w:widowControl/>
      <w:numPr>
        <w:ilvl w:val="0"/>
        <w:numId w:val="3"/>
      </w:numPr>
      <w:shd w:val="clear" w:color="auto" w:fill="FFFFFF"/>
      <w:tabs>
        <w:tab w:val="left" w:pos="360"/>
        <w:tab w:val="left" w:pos="6405"/>
      </w:tabs>
      <w:spacing w:before="640" w:after="280" w:line="276" w:lineRule="auto"/>
      <w:jc w:val="center"/>
      <w:outlineLvl w:val="0"/>
    </w:pPr>
    <w:rPr>
      <w:rFonts w:ascii="黑体" w:eastAsia="黑体"/>
      <w:kern w:val="0"/>
      <w:szCs w:val="20"/>
    </w:rPr>
  </w:style>
  <w:style w:type="paragraph" w:customStyle="1" w:styleId="81">
    <w:name w:val="正文2"/>
    <w:basedOn w:val="1"/>
    <w:link w:val="294"/>
    <w:qFormat/>
    <w:uiPriority w:val="0"/>
    <w:pPr>
      <w:adjustRightInd w:val="0"/>
      <w:spacing w:before="156" w:line="360" w:lineRule="auto"/>
      <w:ind w:firstLine="510" w:firstLineChars="200"/>
    </w:pPr>
    <w:rPr>
      <w:sz w:val="24"/>
      <w:szCs w:val="20"/>
    </w:rPr>
  </w:style>
  <w:style w:type="paragraph" w:customStyle="1" w:styleId="82">
    <w:name w:val="明显引用1"/>
    <w:basedOn w:val="1"/>
    <w:next w:val="1"/>
    <w:link w:val="296"/>
    <w:qFormat/>
    <w:uiPriority w:val="30"/>
    <w:pPr>
      <w:widowControl/>
      <w:spacing w:before="240" w:after="240"/>
      <w:ind w:left="1080" w:right="1080"/>
      <w:jc w:val="center"/>
    </w:pPr>
    <w:rPr>
      <w:rFonts w:ascii="Calibri" w:hAnsi="Calibri" w:eastAsia="楷体_GB2312"/>
      <w:color w:val="5B9BD5"/>
      <w:kern w:val="0"/>
      <w:sz w:val="24"/>
    </w:rPr>
  </w:style>
  <w:style w:type="paragraph" w:customStyle="1" w:styleId="83">
    <w:name w:val="附录公式"/>
    <w:basedOn w:val="79"/>
    <w:next w:val="79"/>
    <w:link w:val="297"/>
    <w:qFormat/>
    <w:uiPriority w:val="0"/>
    <w:pPr>
      <w:tabs>
        <w:tab w:val="center" w:pos="4201"/>
        <w:tab w:val="right" w:leader="dot" w:pos="9298"/>
      </w:tabs>
      <w:spacing w:before="100" w:after="200" w:line="276" w:lineRule="auto"/>
      <w:ind w:firstLine="420"/>
    </w:pPr>
    <w:rPr>
      <w:rFonts w:ascii="Times New Roman" w:hAnsi="Times New Roman"/>
      <w:sz w:val="20"/>
    </w:rPr>
  </w:style>
  <w:style w:type="paragraph" w:customStyle="1" w:styleId="84">
    <w:name w:val="附录章标题"/>
    <w:next w:val="79"/>
    <w:link w:val="300"/>
    <w:qFormat/>
    <w:uiPriority w:val="99"/>
    <w:pPr>
      <w:numPr>
        <w:ilvl w:val="1"/>
        <w:numId w:val="3"/>
      </w:numPr>
      <w:tabs>
        <w:tab w:val="left" w:pos="360"/>
      </w:tabs>
      <w:wordWrap w:val="0"/>
      <w:overflowPunct w:val="0"/>
      <w:autoSpaceDE w:val="0"/>
      <w:spacing w:beforeLines="100" w:line="276" w:lineRule="auto"/>
      <w:jc w:val="both"/>
      <w:outlineLvl w:val="1"/>
    </w:pPr>
    <w:rPr>
      <w:rFonts w:ascii="黑体" w:hAnsi="Times New Roman" w:eastAsia="黑体" w:cs="Times New Roman"/>
      <w:kern w:val="21"/>
      <w:sz w:val="21"/>
      <w:lang w:val="en-US" w:eastAsia="zh-CN" w:bidi="ar-SA"/>
    </w:rPr>
  </w:style>
  <w:style w:type="paragraph" w:customStyle="1" w:styleId="85">
    <w:name w:val="首示例"/>
    <w:next w:val="79"/>
    <w:link w:val="307"/>
    <w:qFormat/>
    <w:uiPriority w:val="99"/>
    <w:pPr>
      <w:numPr>
        <w:ilvl w:val="0"/>
        <w:numId w:val="4"/>
      </w:numPr>
      <w:tabs>
        <w:tab w:val="left" w:pos="360"/>
      </w:tabs>
      <w:spacing w:before="100" w:after="200" w:line="276" w:lineRule="auto"/>
      <w:ind w:firstLine="0"/>
    </w:pPr>
    <w:rPr>
      <w:rFonts w:ascii="宋体" w:hAnsi="宋体" w:eastAsia="宋体" w:cs="Times New Roman"/>
      <w:kern w:val="2"/>
      <w:sz w:val="18"/>
      <w:szCs w:val="18"/>
      <w:lang w:val="en-US" w:eastAsia="zh-CN" w:bidi="ar-SA"/>
    </w:rPr>
  </w:style>
  <w:style w:type="paragraph" w:customStyle="1" w:styleId="86">
    <w:name w:val="章标题"/>
    <w:next w:val="79"/>
    <w:link w:val="314"/>
    <w:qFormat/>
    <w:uiPriority w:val="99"/>
    <w:pPr>
      <w:numPr>
        <w:ilvl w:val="0"/>
        <w:numId w:val="5"/>
      </w:numPr>
      <w:spacing w:beforeLines="100"/>
      <w:jc w:val="both"/>
      <w:outlineLvl w:val="1"/>
    </w:pPr>
    <w:rPr>
      <w:rFonts w:ascii="黑体" w:hAnsi="Times New Roman" w:eastAsia="黑体" w:cs="Times New Roman"/>
      <w:sz w:val="21"/>
      <w:lang w:val="en-US" w:eastAsia="zh-CN" w:bidi="ar-SA"/>
    </w:rPr>
  </w:style>
  <w:style w:type="paragraph" w:customStyle="1" w:styleId="87">
    <w:name w:val="二级条标题"/>
    <w:basedOn w:val="88"/>
    <w:next w:val="79"/>
    <w:link w:val="323"/>
    <w:qFormat/>
    <w:uiPriority w:val="0"/>
    <w:pPr>
      <w:numPr>
        <w:ilvl w:val="0"/>
        <w:numId w:val="0"/>
      </w:numPr>
      <w:tabs>
        <w:tab w:val="left" w:pos="1260"/>
      </w:tabs>
      <w:spacing w:line="276" w:lineRule="auto"/>
      <w:ind w:left="1260" w:hanging="420"/>
      <w:outlineLvl w:val="3"/>
    </w:pPr>
    <w:rPr>
      <w:rFonts w:hAnsi="Calibri"/>
    </w:rPr>
  </w:style>
  <w:style w:type="paragraph" w:customStyle="1" w:styleId="88">
    <w:name w:val="一级条标题"/>
    <w:next w:val="79"/>
    <w:link w:val="324"/>
    <w:qFormat/>
    <w:uiPriority w:val="99"/>
    <w:pPr>
      <w:numPr>
        <w:ilvl w:val="1"/>
        <w:numId w:val="5"/>
      </w:numPr>
      <w:spacing w:beforeLines="50"/>
      <w:outlineLvl w:val="2"/>
    </w:pPr>
    <w:rPr>
      <w:rFonts w:ascii="黑体" w:hAnsi="Times New Roman" w:eastAsia="黑体" w:cs="Times New Roman"/>
      <w:sz w:val="21"/>
      <w:szCs w:val="21"/>
      <w:lang w:val="en-US" w:eastAsia="zh-CN" w:bidi="ar-SA"/>
    </w:rPr>
  </w:style>
  <w:style w:type="paragraph" w:customStyle="1" w:styleId="89">
    <w:name w:val="引用1"/>
    <w:basedOn w:val="1"/>
    <w:next w:val="1"/>
    <w:link w:val="333"/>
    <w:qFormat/>
    <w:uiPriority w:val="29"/>
    <w:pPr>
      <w:widowControl/>
      <w:spacing w:before="100" w:after="200" w:line="276" w:lineRule="auto"/>
      <w:jc w:val="left"/>
    </w:pPr>
    <w:rPr>
      <w:rFonts w:ascii="Calibri" w:hAnsi="Calibri" w:eastAsia="楷体_GB2312"/>
      <w:i/>
      <w:iCs/>
      <w:kern w:val="0"/>
      <w:sz w:val="24"/>
    </w:rPr>
  </w:style>
  <w:style w:type="paragraph" w:customStyle="1" w:styleId="90">
    <w:name w:val="附录数字编号列项（二级）"/>
    <w:qFormat/>
    <w:uiPriority w:val="99"/>
    <w:pPr>
      <w:numPr>
        <w:ilvl w:val="1"/>
        <w:numId w:val="6"/>
      </w:numPr>
      <w:spacing w:before="100" w:after="200" w:line="276" w:lineRule="auto"/>
    </w:pPr>
    <w:rPr>
      <w:rFonts w:ascii="宋体" w:hAnsi="Calibri" w:eastAsia="宋体" w:cs="Times New Roman"/>
      <w:sz w:val="21"/>
      <w:lang w:val="en-US" w:eastAsia="zh-CN" w:bidi="ar-SA"/>
    </w:rPr>
  </w:style>
  <w:style w:type="paragraph" w:customStyle="1" w:styleId="91">
    <w:name w:val="一级无"/>
    <w:basedOn w:val="88"/>
    <w:qFormat/>
    <w:uiPriority w:val="99"/>
    <w:pPr>
      <w:numPr>
        <w:ilvl w:val="0"/>
        <w:numId w:val="0"/>
      </w:numPr>
      <w:tabs>
        <w:tab w:val="left" w:pos="1140"/>
      </w:tabs>
      <w:spacing w:line="276" w:lineRule="auto"/>
      <w:ind w:hanging="420"/>
    </w:pPr>
    <w:rPr>
      <w:rFonts w:ascii="宋体" w:hAnsi="Calibri" w:eastAsia="宋体"/>
    </w:rPr>
  </w:style>
  <w:style w:type="paragraph" w:customStyle="1" w:styleId="92">
    <w:name w:val="et4"/>
    <w:basedOn w:val="1"/>
    <w:qFormat/>
    <w:uiPriority w:val="99"/>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cs="宋体"/>
      <w:b/>
      <w:bCs/>
      <w:kern w:val="0"/>
      <w:sz w:val="24"/>
    </w:rPr>
  </w:style>
  <w:style w:type="paragraph" w:customStyle="1" w:styleId="93">
    <w:name w:val="注×："/>
    <w:qFormat/>
    <w:uiPriority w:val="99"/>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94">
    <w:name w:val="标准书脚_偶数页"/>
    <w:qFormat/>
    <w:uiPriority w:val="99"/>
    <w:pPr>
      <w:spacing w:before="120" w:after="200" w:line="276" w:lineRule="auto"/>
      <w:ind w:left="221"/>
    </w:pPr>
    <w:rPr>
      <w:rFonts w:ascii="宋体" w:hAnsi="Calibri" w:eastAsia="宋体" w:cs="Times New Roman"/>
      <w:sz w:val="18"/>
      <w:szCs w:val="18"/>
      <w:lang w:val="en-US" w:eastAsia="zh-CN" w:bidi="ar-SA"/>
    </w:rPr>
  </w:style>
  <w:style w:type="paragraph" w:customStyle="1" w:styleId="95">
    <w:name w:val="注：（正文）"/>
    <w:basedOn w:val="96"/>
    <w:next w:val="79"/>
    <w:qFormat/>
    <w:uiPriority w:val="99"/>
    <w:pPr>
      <w:numPr>
        <w:ilvl w:val="0"/>
        <w:numId w:val="8"/>
      </w:numPr>
      <w:tabs>
        <w:tab w:val="clear" w:pos="420"/>
      </w:tabs>
      <w:spacing w:before="100" w:after="200" w:line="276" w:lineRule="auto"/>
      <w:ind w:left="360" w:hanging="360"/>
    </w:pPr>
    <w:rPr>
      <w:rFonts w:hAnsi="Calibri"/>
    </w:rPr>
  </w:style>
  <w:style w:type="paragraph" w:customStyle="1" w:styleId="96">
    <w:name w:val="注："/>
    <w:next w:val="79"/>
    <w:qFormat/>
    <w:uiPriority w:val="99"/>
    <w:pPr>
      <w:widowControl w:val="0"/>
      <w:numPr>
        <w:ilvl w:val="0"/>
        <w:numId w:val="9"/>
      </w:numPr>
      <w:autoSpaceDE w:val="0"/>
      <w:autoSpaceDN w:val="0"/>
      <w:jc w:val="both"/>
    </w:pPr>
    <w:rPr>
      <w:rFonts w:ascii="宋体" w:hAnsi="Times New Roman" w:eastAsia="宋体" w:cs="Times New Roman"/>
      <w:sz w:val="18"/>
      <w:szCs w:val="18"/>
      <w:lang w:val="en-US" w:eastAsia="zh-CN" w:bidi="ar-SA"/>
    </w:rPr>
  </w:style>
  <w:style w:type="paragraph" w:customStyle="1" w:styleId="97">
    <w:name w:val="xl71"/>
    <w:basedOn w:val="1"/>
    <w:qFormat/>
    <w:uiPriority w:val="99"/>
    <w:pPr>
      <w:widowControl/>
      <w:pBdr>
        <w:top w:val="single" w:color="000000" w:sz="8" w:space="0"/>
        <w:bottom w:val="single" w:color="000000" w:sz="8" w:space="0"/>
        <w:right w:val="single" w:color="000000" w:sz="8" w:space="0"/>
      </w:pBdr>
      <w:spacing w:before="100" w:beforeAutospacing="1" w:after="100" w:afterAutospacing="1"/>
      <w:jc w:val="center"/>
    </w:pPr>
    <w:rPr>
      <w:rFonts w:ascii="宋体" w:hAnsi="宋体" w:cs="宋体"/>
      <w:b/>
      <w:bCs/>
      <w:color w:val="000000"/>
      <w:kern w:val="0"/>
      <w:szCs w:val="21"/>
    </w:rPr>
  </w:style>
  <w:style w:type="paragraph" w:customStyle="1" w:styleId="98">
    <w:name w:val="条文脚注"/>
    <w:basedOn w:val="47"/>
    <w:qFormat/>
    <w:uiPriority w:val="99"/>
    <w:pPr>
      <w:widowControl/>
      <w:tabs>
        <w:tab w:val="left" w:pos="0"/>
        <w:tab w:val="left" w:pos="840"/>
      </w:tabs>
      <w:spacing w:before="100" w:after="200" w:line="276" w:lineRule="auto"/>
      <w:jc w:val="both"/>
    </w:pPr>
    <w:rPr>
      <w:rFonts w:ascii="宋体" w:hAnsi="Calibri" w:eastAsia="楷体_GB2312"/>
      <w:kern w:val="0"/>
    </w:rPr>
  </w:style>
  <w:style w:type="paragraph" w:customStyle="1" w:styleId="99">
    <w:name w:val="列表段落1"/>
    <w:basedOn w:val="1"/>
    <w:qFormat/>
    <w:uiPriority w:val="34"/>
    <w:pPr>
      <w:ind w:firstLine="420" w:firstLineChars="200"/>
    </w:pPr>
    <w:rPr>
      <w:rFonts w:ascii="Calibri" w:hAnsi="Calibri"/>
    </w:rPr>
  </w:style>
  <w:style w:type="paragraph" w:customStyle="1" w:styleId="100">
    <w:name w:val="附录图标题"/>
    <w:basedOn w:val="1"/>
    <w:next w:val="79"/>
    <w:qFormat/>
    <w:uiPriority w:val="99"/>
    <w:pPr>
      <w:widowControl/>
      <w:numPr>
        <w:ilvl w:val="1"/>
        <w:numId w:val="10"/>
      </w:numPr>
      <w:tabs>
        <w:tab w:val="left" w:pos="363"/>
      </w:tabs>
      <w:spacing w:beforeLines="50" w:line="276" w:lineRule="auto"/>
      <w:ind w:left="0" w:firstLine="0"/>
      <w:jc w:val="center"/>
    </w:pPr>
    <w:rPr>
      <w:rFonts w:ascii="黑体" w:hAnsi="Calibri" w:eastAsia="黑体"/>
      <w:kern w:val="0"/>
      <w:sz w:val="24"/>
      <w:szCs w:val="21"/>
    </w:rPr>
  </w:style>
  <w:style w:type="paragraph" w:customStyle="1" w:styleId="101">
    <w:name w:val="表内文字"/>
    <w:basedOn w:val="1"/>
    <w:qFormat/>
    <w:uiPriority w:val="99"/>
    <w:pPr>
      <w:snapToGrid w:val="0"/>
      <w:spacing w:before="50" w:after="50"/>
      <w:jc w:val="center"/>
    </w:pPr>
    <w:rPr>
      <w:rFonts w:ascii="仿宋_GB2312" w:hAnsi="宋体" w:eastAsia="仿宋_GB2312"/>
      <w:b/>
      <w:color w:val="000000"/>
      <w:sz w:val="32"/>
      <w:szCs w:val="32"/>
    </w:rPr>
  </w:style>
  <w:style w:type="paragraph" w:customStyle="1" w:styleId="102">
    <w:name w:val="石墨文档标题 2"/>
    <w:next w:val="103"/>
    <w:qFormat/>
    <w:uiPriority w:val="9"/>
    <w:pPr>
      <w:spacing w:before="260" w:after="260"/>
      <w:outlineLvl w:val="1"/>
    </w:pPr>
    <w:rPr>
      <w:rFonts w:ascii="微软雅黑" w:hAnsi="微软雅黑" w:eastAsia="微软雅黑" w:cs="微软雅黑"/>
      <w:b/>
      <w:bCs/>
      <w:sz w:val="28"/>
      <w:szCs w:val="28"/>
      <w:lang w:val="en-US" w:eastAsia="zh-CN" w:bidi="ar-SA"/>
    </w:rPr>
  </w:style>
  <w:style w:type="paragraph" w:customStyle="1" w:styleId="103">
    <w:name w:val="石墨文档正文"/>
    <w:qFormat/>
    <w:uiPriority w:val="99"/>
    <w:rPr>
      <w:rFonts w:ascii="微软雅黑" w:hAnsi="微软雅黑" w:eastAsia="微软雅黑" w:cs="微软雅黑"/>
      <w:sz w:val="22"/>
      <w:szCs w:val="22"/>
      <w:lang w:val="en-US" w:eastAsia="zh-CN" w:bidi="ar-SA"/>
    </w:rPr>
  </w:style>
  <w:style w:type="paragraph" w:customStyle="1" w:styleId="104">
    <w:name w:val="标准标志"/>
    <w:next w:val="1"/>
    <w:qFormat/>
    <w:uiPriority w:val="99"/>
    <w:pPr>
      <w:framePr w:w="2546" w:h="1389" w:hSpace="181" w:vSpace="181" w:wrap="around" w:vAnchor="margin" w:hAnchor="margin" w:x="6522" w:y="398" w:anchorLock="1"/>
      <w:shd w:val="solid" w:color="FFFFFF" w:fill="FFFFFF"/>
      <w:spacing w:before="100" w:after="200" w:line="0" w:lineRule="atLeast"/>
      <w:jc w:val="right"/>
    </w:pPr>
    <w:rPr>
      <w:rFonts w:ascii="Calibri" w:hAnsi="Calibri" w:eastAsia="宋体" w:cs="Times New Roman"/>
      <w:b/>
      <w:w w:val="170"/>
      <w:sz w:val="96"/>
      <w:szCs w:val="96"/>
      <w:lang w:val="en-US" w:eastAsia="zh-CN" w:bidi="ar-SA"/>
    </w:rPr>
  </w:style>
  <w:style w:type="paragraph" w:customStyle="1" w:styleId="105">
    <w:name w:val="列项·"/>
    <w:qFormat/>
    <w:uiPriority w:val="99"/>
    <w:pPr>
      <w:numPr>
        <w:ilvl w:val="0"/>
        <w:numId w:val="11"/>
      </w:numPr>
      <w:tabs>
        <w:tab w:val="clear" w:pos="425"/>
      </w:tabs>
      <w:spacing w:before="100" w:after="200" w:line="276" w:lineRule="auto"/>
      <w:ind w:left="0" w:firstLine="0"/>
      <w:jc w:val="both"/>
    </w:pPr>
    <w:rPr>
      <w:rFonts w:ascii="宋体" w:hAnsi="Calibri" w:eastAsia="宋体" w:cs="Times New Roman"/>
      <w:sz w:val="21"/>
      <w:lang w:val="en-US" w:eastAsia="zh-CN" w:bidi="ar-SA"/>
    </w:rPr>
  </w:style>
  <w:style w:type="paragraph" w:customStyle="1" w:styleId="106">
    <w:name w:val="标准书眉一"/>
    <w:qFormat/>
    <w:uiPriority w:val="99"/>
    <w:pPr>
      <w:spacing w:before="100" w:after="200" w:line="276" w:lineRule="auto"/>
      <w:jc w:val="both"/>
    </w:pPr>
    <w:rPr>
      <w:rFonts w:ascii="Calibri" w:hAnsi="Calibri" w:eastAsia="宋体" w:cs="Times New Roman"/>
      <w:lang w:val="en-US" w:eastAsia="zh-CN" w:bidi="ar-SA"/>
    </w:rPr>
  </w:style>
  <w:style w:type="paragraph" w:customStyle="1" w:styleId="107">
    <w:name w:val="附录标题"/>
    <w:basedOn w:val="79"/>
    <w:next w:val="79"/>
    <w:qFormat/>
    <w:uiPriority w:val="99"/>
    <w:pPr>
      <w:tabs>
        <w:tab w:val="center" w:pos="4201"/>
        <w:tab w:val="right" w:leader="dot" w:pos="9298"/>
      </w:tabs>
      <w:spacing w:before="100" w:after="200" w:line="276" w:lineRule="auto"/>
      <w:ind w:firstLine="0" w:firstLineChars="0"/>
      <w:jc w:val="center"/>
    </w:pPr>
    <w:rPr>
      <w:rFonts w:ascii="黑体" w:eastAsia="黑体"/>
    </w:rPr>
  </w:style>
  <w:style w:type="paragraph" w:customStyle="1" w:styleId="108">
    <w:name w:val="附录一级无"/>
    <w:basedOn w:val="109"/>
    <w:qFormat/>
    <w:uiPriority w:val="99"/>
    <w:pPr>
      <w:tabs>
        <w:tab w:val="left" w:pos="-79"/>
        <w:tab w:val="left" w:pos="360"/>
        <w:tab w:val="left" w:pos="840"/>
        <w:tab w:val="left" w:pos="1260"/>
      </w:tabs>
    </w:pPr>
    <w:rPr>
      <w:rFonts w:ascii="宋体" w:eastAsia="宋体"/>
      <w:szCs w:val="21"/>
    </w:rPr>
  </w:style>
  <w:style w:type="paragraph" w:customStyle="1" w:styleId="109">
    <w:name w:val="附录一级条标题"/>
    <w:basedOn w:val="84"/>
    <w:next w:val="79"/>
    <w:qFormat/>
    <w:uiPriority w:val="99"/>
    <w:pPr>
      <w:numPr>
        <w:ilvl w:val="0"/>
        <w:numId w:val="0"/>
      </w:numPr>
      <w:tabs>
        <w:tab w:val="left" w:pos="-79"/>
        <w:tab w:val="left" w:pos="1260"/>
      </w:tabs>
      <w:autoSpaceDN w:val="0"/>
      <w:spacing w:beforeLines="50"/>
      <w:ind w:left="913" w:hanging="629"/>
      <w:outlineLvl w:val="2"/>
    </w:pPr>
  </w:style>
  <w:style w:type="paragraph" w:customStyle="1" w:styleId="110">
    <w:name w:val="附录表标题"/>
    <w:basedOn w:val="1"/>
    <w:next w:val="79"/>
    <w:qFormat/>
    <w:uiPriority w:val="99"/>
    <w:pPr>
      <w:widowControl/>
      <w:numPr>
        <w:ilvl w:val="1"/>
        <w:numId w:val="12"/>
      </w:numPr>
      <w:tabs>
        <w:tab w:val="left" w:pos="180"/>
      </w:tabs>
      <w:spacing w:beforeLines="50" w:line="276" w:lineRule="auto"/>
      <w:ind w:left="0" w:firstLine="0"/>
      <w:jc w:val="center"/>
    </w:pPr>
    <w:rPr>
      <w:rFonts w:ascii="黑体" w:hAnsi="Calibri" w:eastAsia="黑体"/>
      <w:kern w:val="0"/>
      <w:sz w:val="24"/>
      <w:szCs w:val="21"/>
    </w:rPr>
  </w:style>
  <w:style w:type="paragraph" w:customStyle="1" w:styleId="111">
    <w:name w:val="封面标准名称2"/>
    <w:basedOn w:val="112"/>
    <w:qFormat/>
    <w:uiPriority w:val="99"/>
    <w:pPr>
      <w:framePr w:y="4469"/>
      <w:spacing w:beforeLines="630"/>
    </w:pPr>
  </w:style>
  <w:style w:type="paragraph" w:customStyle="1" w:styleId="112">
    <w:name w:val="封面标准名称"/>
    <w:qFormat/>
    <w:uiPriority w:val="99"/>
    <w:pPr>
      <w:framePr w:w="9639" w:h="6917" w:wrap="around" w:vAnchor="page" w:hAnchor="page" w:xAlign="center" w:y="6408" w:anchorLock="1"/>
      <w:widowControl w:val="0"/>
      <w:spacing w:before="100" w:after="200" w:line="680" w:lineRule="exact"/>
      <w:jc w:val="center"/>
    </w:pPr>
    <w:rPr>
      <w:rFonts w:ascii="黑体" w:hAnsi="Calibri" w:eastAsia="黑体" w:cs="Times New Roman"/>
      <w:sz w:val="52"/>
      <w:lang w:val="en-US" w:eastAsia="zh-CN" w:bidi="ar-SA"/>
    </w:rPr>
  </w:style>
  <w:style w:type="paragraph" w:customStyle="1" w:styleId="113">
    <w:name w:val="font0"/>
    <w:basedOn w:val="1"/>
    <w:qFormat/>
    <w:uiPriority w:val="99"/>
    <w:pPr>
      <w:widowControl/>
      <w:spacing w:before="100" w:beforeAutospacing="1" w:after="100" w:afterAutospacing="1"/>
      <w:jc w:val="left"/>
    </w:pPr>
    <w:rPr>
      <w:rFonts w:ascii="宋体" w:hAnsi="宋体" w:cs="宋体"/>
      <w:color w:val="000000"/>
      <w:kern w:val="0"/>
      <w:sz w:val="22"/>
      <w:szCs w:val="22"/>
    </w:rPr>
  </w:style>
  <w:style w:type="paragraph" w:customStyle="1" w:styleId="114">
    <w:name w:val="xl22"/>
    <w:basedOn w:val="1"/>
    <w:qFormat/>
    <w:uiPriority w:val="99"/>
    <w:pPr>
      <w:widowControl/>
      <w:spacing w:before="100" w:beforeAutospacing="1" w:after="100" w:afterAutospacing="1"/>
      <w:jc w:val="left"/>
    </w:pPr>
    <w:rPr>
      <w:rFonts w:ascii="Arial Unicode MS" w:hAnsi="Arial Unicode MS" w:eastAsia="Arial Unicode MS" w:cs="Arial Unicode MS"/>
      <w:kern w:val="0"/>
      <w:sz w:val="20"/>
      <w:szCs w:val="20"/>
    </w:rPr>
  </w:style>
  <w:style w:type="paragraph" w:customStyle="1" w:styleId="115">
    <w:name w:val="注×：（正文）"/>
    <w:qFormat/>
    <w:uiPriority w:val="99"/>
    <w:pPr>
      <w:numPr>
        <w:ilvl w:val="0"/>
        <w:numId w:val="13"/>
      </w:numPr>
      <w:jc w:val="both"/>
    </w:pPr>
    <w:rPr>
      <w:rFonts w:ascii="宋体" w:hAnsi="Times New Roman" w:eastAsia="宋体" w:cs="Times New Roman"/>
      <w:sz w:val="18"/>
      <w:szCs w:val="18"/>
      <w:lang w:val="en-US" w:eastAsia="zh-CN" w:bidi="ar-SA"/>
    </w:rPr>
  </w:style>
  <w:style w:type="paragraph" w:customStyle="1" w:styleId="116">
    <w:name w:val="附录公式编号制表符"/>
    <w:basedOn w:val="1"/>
    <w:next w:val="79"/>
    <w:qFormat/>
    <w:uiPriority w:val="99"/>
    <w:pPr>
      <w:widowControl/>
      <w:tabs>
        <w:tab w:val="center" w:pos="4201"/>
        <w:tab w:val="right" w:leader="dot" w:pos="9298"/>
      </w:tabs>
      <w:autoSpaceDE w:val="0"/>
      <w:autoSpaceDN w:val="0"/>
      <w:spacing w:before="100" w:after="200" w:line="276" w:lineRule="auto"/>
      <w:jc w:val="left"/>
    </w:pPr>
    <w:rPr>
      <w:rFonts w:ascii="宋体" w:hAnsi="Calibri" w:eastAsia="楷体_GB2312"/>
      <w:kern w:val="0"/>
      <w:sz w:val="24"/>
      <w:szCs w:val="20"/>
    </w:rPr>
  </w:style>
  <w:style w:type="paragraph" w:customStyle="1" w:styleId="117">
    <w:name w:val="xl66"/>
    <w:basedOn w:val="1"/>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b/>
      <w:bCs/>
      <w:kern w:val="0"/>
      <w:sz w:val="24"/>
    </w:rPr>
  </w:style>
  <w:style w:type="paragraph" w:customStyle="1" w:styleId="118">
    <w:name w:val="五级无"/>
    <w:basedOn w:val="119"/>
    <w:qFormat/>
    <w:uiPriority w:val="99"/>
    <w:pPr>
      <w:tabs>
        <w:tab w:val="left" w:pos="2100"/>
        <w:tab w:val="left" w:pos="2520"/>
      </w:tabs>
      <w:spacing w:before="50" w:after="50"/>
    </w:pPr>
    <w:rPr>
      <w:rFonts w:ascii="宋体" w:eastAsia="宋体"/>
    </w:rPr>
  </w:style>
  <w:style w:type="paragraph" w:customStyle="1" w:styleId="119">
    <w:name w:val="五级条标题"/>
    <w:basedOn w:val="120"/>
    <w:next w:val="79"/>
    <w:qFormat/>
    <w:uiPriority w:val="99"/>
    <w:pPr>
      <w:tabs>
        <w:tab w:val="left" w:pos="2100"/>
        <w:tab w:val="left" w:pos="2520"/>
      </w:tabs>
      <w:ind w:left="2520"/>
      <w:outlineLvl w:val="6"/>
    </w:pPr>
  </w:style>
  <w:style w:type="paragraph" w:customStyle="1" w:styleId="120">
    <w:name w:val="四级条标题"/>
    <w:basedOn w:val="121"/>
    <w:next w:val="79"/>
    <w:qFormat/>
    <w:uiPriority w:val="99"/>
    <w:pPr>
      <w:tabs>
        <w:tab w:val="left" w:pos="2100"/>
      </w:tabs>
      <w:ind w:left="2100" w:hanging="420"/>
      <w:outlineLvl w:val="5"/>
    </w:pPr>
  </w:style>
  <w:style w:type="paragraph" w:customStyle="1" w:styleId="121">
    <w:name w:val="三级条标题"/>
    <w:basedOn w:val="87"/>
    <w:next w:val="79"/>
    <w:qFormat/>
    <w:uiPriority w:val="99"/>
    <w:pPr>
      <w:tabs>
        <w:tab w:val="clear" w:pos="1260"/>
      </w:tabs>
      <w:ind w:left="0" w:firstLine="0"/>
      <w:outlineLvl w:val="4"/>
    </w:pPr>
  </w:style>
  <w:style w:type="paragraph" w:customStyle="1" w:styleId="122">
    <w:name w:val="封面标准英文名称2"/>
    <w:basedOn w:val="123"/>
    <w:qFormat/>
    <w:uiPriority w:val="99"/>
    <w:pPr>
      <w:framePr w:y="4469"/>
    </w:pPr>
  </w:style>
  <w:style w:type="paragraph" w:customStyle="1" w:styleId="123">
    <w:name w:val="封面标准英文名称"/>
    <w:basedOn w:val="112"/>
    <w:qFormat/>
    <w:uiPriority w:val="99"/>
    <w:pPr>
      <w:spacing w:before="370" w:line="400" w:lineRule="exact"/>
    </w:pPr>
    <w:rPr>
      <w:rFonts w:ascii="Times New Roman"/>
      <w:sz w:val="28"/>
      <w:szCs w:val="28"/>
    </w:rPr>
  </w:style>
  <w:style w:type="paragraph" w:customStyle="1" w:styleId="124">
    <w:name w:val="font2"/>
    <w:basedOn w:val="1"/>
    <w:qFormat/>
    <w:uiPriority w:val="99"/>
    <w:pPr>
      <w:widowControl/>
      <w:spacing w:before="100" w:beforeAutospacing="1" w:after="100" w:afterAutospacing="1"/>
      <w:jc w:val="left"/>
    </w:pPr>
    <w:rPr>
      <w:rFonts w:ascii="宋体" w:hAnsi="宋体" w:cs="宋体"/>
      <w:color w:val="000000"/>
      <w:kern w:val="0"/>
      <w:sz w:val="22"/>
      <w:szCs w:val="22"/>
    </w:rPr>
  </w:style>
  <w:style w:type="paragraph" w:customStyle="1" w:styleId="125">
    <w:name w:val="图标脚注说明"/>
    <w:basedOn w:val="79"/>
    <w:qFormat/>
    <w:uiPriority w:val="99"/>
    <w:pPr>
      <w:tabs>
        <w:tab w:val="center" w:pos="4201"/>
        <w:tab w:val="right" w:leader="dot" w:pos="9298"/>
      </w:tabs>
      <w:spacing w:before="100" w:after="200" w:line="276" w:lineRule="auto"/>
      <w:ind w:left="840" w:hanging="420" w:firstLineChars="0"/>
    </w:pPr>
    <w:rPr>
      <w:rFonts w:eastAsia="Times New Roman"/>
      <w:sz w:val="18"/>
      <w:szCs w:val="18"/>
    </w:rPr>
  </w:style>
  <w:style w:type="paragraph" w:customStyle="1" w:styleId="126">
    <w:name w:val="修订3"/>
    <w:qFormat/>
    <w:uiPriority w:val="99"/>
    <w:rPr>
      <w:rFonts w:ascii="Times New Roman" w:hAnsi="Times New Roman" w:eastAsia="微软雅黑" w:cs="Times New Roman"/>
      <w:kern w:val="44"/>
      <w:sz w:val="24"/>
      <w:lang w:val="en-US" w:eastAsia="en-US" w:bidi="ar-SA"/>
    </w:rPr>
  </w:style>
  <w:style w:type="paragraph" w:customStyle="1" w:styleId="127">
    <w:name w:val="一级无标题条"/>
    <w:basedOn w:val="1"/>
    <w:qFormat/>
    <w:uiPriority w:val="99"/>
    <w:pPr>
      <w:widowControl/>
      <w:numPr>
        <w:ilvl w:val="2"/>
        <w:numId w:val="14"/>
      </w:numPr>
      <w:tabs>
        <w:tab w:val="left" w:pos="1260"/>
      </w:tabs>
      <w:spacing w:before="100" w:after="200" w:line="276" w:lineRule="auto"/>
      <w:ind w:left="1260"/>
      <w:jc w:val="left"/>
    </w:pPr>
    <w:rPr>
      <w:rFonts w:ascii="Calibri" w:hAnsi="Calibri" w:eastAsia="楷体_GB2312"/>
      <w:kern w:val="0"/>
      <w:sz w:val="24"/>
      <w:szCs w:val="20"/>
    </w:rPr>
  </w:style>
  <w:style w:type="paragraph" w:customStyle="1" w:styleId="128">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129">
    <w:name w:val="正文段"/>
    <w:basedOn w:val="1"/>
    <w:qFormat/>
    <w:uiPriority w:val="99"/>
    <w:pPr>
      <w:widowControl/>
      <w:snapToGrid w:val="0"/>
      <w:spacing w:afterLines="50"/>
      <w:ind w:firstLine="200" w:firstLineChars="200"/>
    </w:pPr>
    <w:rPr>
      <w:kern w:val="0"/>
      <w:sz w:val="24"/>
      <w:szCs w:val="20"/>
    </w:rPr>
  </w:style>
  <w:style w:type="paragraph" w:customStyle="1" w:styleId="130">
    <w:name w:val="封面标准文稿编辑信息"/>
    <w:basedOn w:val="131"/>
    <w:qFormat/>
    <w:uiPriority w:val="99"/>
    <w:pPr>
      <w:spacing w:before="180" w:line="180" w:lineRule="exact"/>
    </w:pPr>
    <w:rPr>
      <w:sz w:val="21"/>
    </w:rPr>
  </w:style>
  <w:style w:type="paragraph" w:customStyle="1" w:styleId="131">
    <w:name w:val="封面标准文稿类别"/>
    <w:basedOn w:val="132"/>
    <w:qFormat/>
    <w:uiPriority w:val="99"/>
    <w:pPr>
      <w:spacing w:after="160" w:line="240" w:lineRule="auto"/>
    </w:pPr>
    <w:rPr>
      <w:sz w:val="24"/>
    </w:rPr>
  </w:style>
  <w:style w:type="paragraph" w:customStyle="1" w:styleId="132">
    <w:name w:val="封面一致性程度标识"/>
    <w:basedOn w:val="123"/>
    <w:qFormat/>
    <w:uiPriority w:val="99"/>
    <w:pPr>
      <w:spacing w:before="440"/>
    </w:pPr>
    <w:rPr>
      <w:rFonts w:ascii="宋体" w:eastAsia="宋体"/>
    </w:rPr>
  </w:style>
  <w:style w:type="paragraph" w:customStyle="1" w:styleId="133">
    <w:name w:val="Table Paragraph"/>
    <w:basedOn w:val="1"/>
    <w:qFormat/>
    <w:uiPriority w:val="1"/>
    <w:pPr>
      <w:jc w:val="left"/>
    </w:pPr>
    <w:rPr>
      <w:rFonts w:ascii="Calibri" w:hAnsi="Calibri"/>
      <w:kern w:val="0"/>
      <w:sz w:val="22"/>
      <w:szCs w:val="22"/>
      <w:lang w:eastAsia="en-US"/>
    </w:rPr>
  </w:style>
  <w:style w:type="paragraph" w:customStyle="1" w:styleId="134">
    <w:name w:val="其他发布日期"/>
    <w:basedOn w:val="135"/>
    <w:qFormat/>
    <w:uiPriority w:val="99"/>
    <w:pPr>
      <w:framePr w:vAnchor="page" w:hAnchor="text" w:x="1419"/>
    </w:pPr>
  </w:style>
  <w:style w:type="paragraph" w:customStyle="1" w:styleId="135">
    <w:name w:val="发布日期"/>
    <w:qFormat/>
    <w:uiPriority w:val="99"/>
    <w:pPr>
      <w:framePr w:w="3997" w:h="471" w:vSpace="181" w:wrap="around" w:vAnchor="margin" w:hAnchor="page" w:x="7089" w:y="14097" w:anchorLock="1"/>
      <w:spacing w:before="100" w:after="200" w:line="276" w:lineRule="auto"/>
    </w:pPr>
    <w:rPr>
      <w:rFonts w:ascii="Calibri" w:hAnsi="Calibri" w:eastAsia="黑体" w:cs="Times New Roman"/>
      <w:sz w:val="28"/>
      <w:lang w:val="en-US" w:eastAsia="zh-CN" w:bidi="ar-SA"/>
    </w:rPr>
  </w:style>
  <w:style w:type="paragraph" w:customStyle="1" w:styleId="136">
    <w:name w:val="终结线"/>
    <w:basedOn w:val="1"/>
    <w:qFormat/>
    <w:uiPriority w:val="99"/>
    <w:pPr>
      <w:framePr w:hSpace="181" w:vSpace="181" w:wrap="around" w:vAnchor="text" w:hAnchor="margin" w:xAlign="center" w:y="285"/>
      <w:widowControl/>
      <w:spacing w:before="100" w:after="200" w:line="276" w:lineRule="auto"/>
      <w:jc w:val="left"/>
    </w:pPr>
    <w:rPr>
      <w:rFonts w:ascii="Calibri" w:hAnsi="Calibri" w:eastAsia="楷体_GB2312"/>
      <w:kern w:val="0"/>
      <w:sz w:val="24"/>
      <w:szCs w:val="20"/>
    </w:rPr>
  </w:style>
  <w:style w:type="paragraph" w:customStyle="1" w:styleId="137">
    <w:name w:val="xl70"/>
    <w:basedOn w:val="1"/>
    <w:qFormat/>
    <w:uiPriority w:val="99"/>
    <w:pPr>
      <w:widowControl/>
      <w:pBdr>
        <w:top w:val="single" w:color="000000" w:sz="8" w:space="0"/>
        <w:bottom w:val="single" w:color="000000" w:sz="8" w:space="0"/>
        <w:right w:val="single" w:color="000000" w:sz="8" w:space="0"/>
      </w:pBdr>
      <w:shd w:val="clear" w:color="auto" w:fill="FFFFFF"/>
      <w:spacing w:before="100" w:beforeAutospacing="1" w:after="100" w:afterAutospacing="1"/>
      <w:jc w:val="center"/>
    </w:pPr>
    <w:rPr>
      <w:rFonts w:ascii="宋体" w:hAnsi="宋体" w:cs="宋体"/>
      <w:b/>
      <w:bCs/>
      <w:color w:val="000000"/>
      <w:kern w:val="0"/>
      <w:szCs w:val="21"/>
    </w:rPr>
  </w:style>
  <w:style w:type="paragraph" w:customStyle="1" w:styleId="138">
    <w:name w:val="标准称谓"/>
    <w:next w:val="1"/>
    <w:qFormat/>
    <w:uiPriority w:val="99"/>
    <w:pPr>
      <w:framePr w:w="9639" w:h="624" w:hSpace="181" w:vSpace="181" w:wrap="around" w:vAnchor="page" w:hAnchor="page" w:x="1419" w:y="2286" w:anchorLock="1"/>
      <w:widowControl w:val="0"/>
      <w:kinsoku w:val="0"/>
      <w:overflowPunct w:val="0"/>
      <w:autoSpaceDE w:val="0"/>
      <w:autoSpaceDN w:val="0"/>
      <w:spacing w:before="100" w:after="200" w:line="0" w:lineRule="atLeast"/>
      <w:jc w:val="distribute"/>
    </w:pPr>
    <w:rPr>
      <w:rFonts w:ascii="宋体" w:hAnsi="Calibri" w:eastAsia="宋体" w:cs="Times New Roman"/>
      <w:b/>
      <w:bCs/>
      <w:spacing w:val="20"/>
      <w:w w:val="148"/>
      <w:sz w:val="48"/>
      <w:lang w:val="en-US" w:eastAsia="zh-CN" w:bidi="ar-SA"/>
    </w:rPr>
  </w:style>
  <w:style w:type="paragraph" w:customStyle="1" w:styleId="139">
    <w:name w:val="修订1"/>
    <w:qFormat/>
    <w:uiPriority w:val="99"/>
    <w:rPr>
      <w:rFonts w:ascii="Times New Roman" w:hAnsi="Times New Roman" w:eastAsia="宋体" w:cs="Times New Roman"/>
      <w:kern w:val="2"/>
      <w:sz w:val="21"/>
      <w:szCs w:val="24"/>
      <w:lang w:val="en-US" w:eastAsia="zh-CN" w:bidi="ar-SA"/>
    </w:rPr>
  </w:style>
  <w:style w:type="paragraph" w:customStyle="1" w:styleId="140">
    <w:name w:val="xl65"/>
    <w:basedOn w:val="1"/>
    <w:qFormat/>
    <w:uiPriority w:val="99"/>
    <w:pPr>
      <w:widowControl/>
      <w:shd w:val="clear" w:color="auto" w:fill="FFFFFF"/>
      <w:spacing w:before="100" w:beforeAutospacing="1" w:after="100" w:afterAutospacing="1"/>
      <w:jc w:val="left"/>
    </w:pPr>
    <w:rPr>
      <w:rFonts w:ascii="宋体" w:hAnsi="宋体" w:cs="宋体"/>
      <w:kern w:val="0"/>
      <w:sz w:val="24"/>
    </w:rPr>
  </w:style>
  <w:style w:type="paragraph" w:customStyle="1" w:styleId="141">
    <w:name w:val="列项——"/>
    <w:qFormat/>
    <w:uiPriority w:val="99"/>
    <w:pPr>
      <w:widowControl w:val="0"/>
      <w:numPr>
        <w:ilvl w:val="0"/>
        <w:numId w:val="14"/>
      </w:numPr>
      <w:tabs>
        <w:tab w:val="left" w:pos="360"/>
      </w:tabs>
      <w:spacing w:before="100" w:after="200" w:line="276" w:lineRule="auto"/>
      <w:ind w:left="0" w:firstLine="0"/>
      <w:jc w:val="both"/>
    </w:pPr>
    <w:rPr>
      <w:rFonts w:ascii="宋体" w:hAnsi="Calibri" w:eastAsia="宋体" w:cs="Times New Roman"/>
      <w:sz w:val="21"/>
      <w:lang w:val="en-US" w:eastAsia="zh-CN" w:bidi="ar-SA"/>
    </w:rPr>
  </w:style>
  <w:style w:type="paragraph" w:customStyle="1" w:styleId="142">
    <w:name w:val="附录四级无"/>
    <w:basedOn w:val="143"/>
    <w:qFormat/>
    <w:uiPriority w:val="99"/>
    <w:pPr>
      <w:tabs>
        <w:tab w:val="left" w:pos="360"/>
        <w:tab w:val="left" w:pos="1680"/>
        <w:tab w:val="left" w:pos="2520"/>
      </w:tabs>
    </w:pPr>
    <w:rPr>
      <w:rFonts w:ascii="宋体" w:eastAsia="宋体"/>
      <w:szCs w:val="21"/>
    </w:rPr>
  </w:style>
  <w:style w:type="paragraph" w:customStyle="1" w:styleId="143">
    <w:name w:val="附录四级条标题"/>
    <w:basedOn w:val="144"/>
    <w:next w:val="79"/>
    <w:qFormat/>
    <w:uiPriority w:val="99"/>
    <w:pPr>
      <w:numPr>
        <w:ilvl w:val="0"/>
      </w:numPr>
      <w:tabs>
        <w:tab w:val="left" w:pos="360"/>
        <w:tab w:val="left" w:pos="1680"/>
        <w:tab w:val="left" w:pos="2520"/>
      </w:tabs>
      <w:ind w:left="2520" w:hanging="420"/>
      <w:outlineLvl w:val="5"/>
    </w:pPr>
  </w:style>
  <w:style w:type="paragraph" w:customStyle="1" w:styleId="144">
    <w:name w:val="附录三级条标题"/>
    <w:basedOn w:val="145"/>
    <w:next w:val="79"/>
    <w:qFormat/>
    <w:uiPriority w:val="99"/>
    <w:pPr>
      <w:numPr>
        <w:ilvl w:val="4"/>
        <w:numId w:val="0"/>
      </w:numPr>
      <w:tabs>
        <w:tab w:val="left" w:pos="360"/>
        <w:tab w:val="left" w:pos="1680"/>
      </w:tabs>
      <w:outlineLvl w:val="4"/>
    </w:pPr>
  </w:style>
  <w:style w:type="paragraph" w:customStyle="1" w:styleId="145">
    <w:name w:val="附录二级条标题"/>
    <w:basedOn w:val="1"/>
    <w:next w:val="79"/>
    <w:qFormat/>
    <w:uiPriority w:val="99"/>
    <w:pPr>
      <w:widowControl/>
      <w:numPr>
        <w:ilvl w:val="3"/>
        <w:numId w:val="3"/>
      </w:numPr>
      <w:tabs>
        <w:tab w:val="left" w:pos="360"/>
      </w:tabs>
      <w:wordWrap w:val="0"/>
      <w:overflowPunct w:val="0"/>
      <w:autoSpaceDE w:val="0"/>
      <w:autoSpaceDN w:val="0"/>
      <w:spacing w:beforeLines="50" w:line="276" w:lineRule="auto"/>
      <w:jc w:val="left"/>
      <w:outlineLvl w:val="3"/>
    </w:pPr>
    <w:rPr>
      <w:rFonts w:ascii="黑体" w:hAnsi="Calibri" w:eastAsia="黑体"/>
      <w:kern w:val="21"/>
      <w:sz w:val="24"/>
      <w:szCs w:val="20"/>
    </w:rPr>
  </w:style>
  <w:style w:type="paragraph" w:customStyle="1" w:styleId="146">
    <w:name w:val="四级无标题条"/>
    <w:basedOn w:val="1"/>
    <w:qFormat/>
    <w:uiPriority w:val="99"/>
    <w:pPr>
      <w:widowControl/>
      <w:spacing w:before="100" w:after="200" w:line="276" w:lineRule="auto"/>
      <w:jc w:val="left"/>
    </w:pPr>
    <w:rPr>
      <w:rFonts w:ascii="Calibri" w:hAnsi="Calibri" w:eastAsia="楷体_GB2312"/>
      <w:kern w:val="0"/>
      <w:sz w:val="24"/>
      <w:szCs w:val="20"/>
    </w:rPr>
  </w:style>
  <w:style w:type="paragraph" w:customStyle="1" w:styleId="147">
    <w:name w:val="示例后文字"/>
    <w:basedOn w:val="79"/>
    <w:next w:val="79"/>
    <w:qFormat/>
    <w:uiPriority w:val="99"/>
    <w:pPr>
      <w:tabs>
        <w:tab w:val="center" w:pos="4201"/>
        <w:tab w:val="right" w:leader="dot" w:pos="9298"/>
      </w:tabs>
      <w:spacing w:before="100" w:after="200" w:line="276" w:lineRule="auto"/>
      <w:ind w:firstLine="360"/>
    </w:pPr>
    <w:rPr>
      <w:rFonts w:eastAsia="Times New Roman"/>
      <w:sz w:val="18"/>
    </w:rPr>
  </w:style>
  <w:style w:type="paragraph" w:customStyle="1" w:styleId="148">
    <w:name w:val="示例内容"/>
    <w:qFormat/>
    <w:uiPriority w:val="99"/>
    <w:pPr>
      <w:spacing w:before="100" w:after="200" w:line="276" w:lineRule="auto"/>
      <w:ind w:firstLine="200" w:firstLineChars="200"/>
    </w:pPr>
    <w:rPr>
      <w:rFonts w:ascii="宋体" w:hAnsi="Calibri" w:eastAsia="宋体" w:cs="Times New Roman"/>
      <w:sz w:val="18"/>
      <w:szCs w:val="18"/>
      <w:lang w:val="en-US" w:eastAsia="zh-CN" w:bidi="ar-SA"/>
    </w:rPr>
  </w:style>
  <w:style w:type="paragraph" w:customStyle="1" w:styleId="149">
    <w:name w:val="封面正文"/>
    <w:qFormat/>
    <w:uiPriority w:val="99"/>
    <w:pPr>
      <w:spacing w:before="100" w:after="200" w:line="276" w:lineRule="auto"/>
      <w:jc w:val="both"/>
    </w:pPr>
    <w:rPr>
      <w:rFonts w:ascii="Calibri" w:hAnsi="Calibri" w:eastAsia="宋体" w:cs="Times New Roman"/>
      <w:lang w:val="en-US" w:eastAsia="zh-CN" w:bidi="ar-SA"/>
    </w:rPr>
  </w:style>
  <w:style w:type="paragraph" w:customStyle="1" w:styleId="150">
    <w:name w:val="附录字母编号列项（一级）"/>
    <w:qFormat/>
    <w:uiPriority w:val="99"/>
    <w:pPr>
      <w:numPr>
        <w:ilvl w:val="0"/>
        <w:numId w:val="6"/>
      </w:numPr>
      <w:tabs>
        <w:tab w:val="clear" w:pos="675"/>
      </w:tabs>
      <w:spacing w:before="100" w:after="200" w:line="276" w:lineRule="auto"/>
      <w:ind w:left="360" w:hanging="360"/>
    </w:pPr>
    <w:rPr>
      <w:rFonts w:ascii="宋体" w:hAnsi="Calibri" w:eastAsia="宋体" w:cs="Times New Roman"/>
      <w:sz w:val="21"/>
      <w:lang w:val="en-US" w:eastAsia="zh-CN" w:bidi="ar-SA"/>
    </w:rPr>
  </w:style>
  <w:style w:type="paragraph" w:customStyle="1" w:styleId="151">
    <w:name w:val="其他标准称谓"/>
    <w:next w:val="1"/>
    <w:qFormat/>
    <w:uiPriority w:val="99"/>
    <w:pPr>
      <w:framePr w:hSpace="181" w:vSpace="181" w:wrap="around" w:vAnchor="page" w:hAnchor="page" w:x="1419" w:y="2286" w:anchorLock="1"/>
      <w:spacing w:before="100" w:after="200" w:line="0" w:lineRule="atLeast"/>
      <w:jc w:val="distribute"/>
    </w:pPr>
    <w:rPr>
      <w:rFonts w:ascii="黑体" w:hAnsi="宋体" w:eastAsia="黑体" w:cs="Times New Roman"/>
      <w:spacing w:val="-40"/>
      <w:sz w:val="48"/>
      <w:szCs w:val="52"/>
      <w:lang w:val="en-US" w:eastAsia="zh-CN" w:bidi="ar-SA"/>
    </w:rPr>
  </w:style>
  <w:style w:type="paragraph" w:customStyle="1" w:styleId="152">
    <w:name w:val="发布部门"/>
    <w:next w:val="79"/>
    <w:qFormat/>
    <w:uiPriority w:val="99"/>
    <w:pPr>
      <w:framePr w:w="7938" w:h="1134" w:hSpace="125" w:vSpace="181" w:wrap="around" w:vAnchor="page" w:hAnchor="page" w:x="2150" w:y="14630" w:anchorLock="1"/>
      <w:spacing w:before="100" w:after="200" w:line="276" w:lineRule="auto"/>
      <w:jc w:val="center"/>
    </w:pPr>
    <w:rPr>
      <w:rFonts w:ascii="宋体" w:hAnsi="Calibri" w:eastAsia="宋体" w:cs="Times New Roman"/>
      <w:b/>
      <w:spacing w:val="20"/>
      <w:w w:val="135"/>
      <w:sz w:val="28"/>
      <w:lang w:val="en-US" w:eastAsia="zh-CN" w:bidi="ar-SA"/>
    </w:rPr>
  </w:style>
  <w:style w:type="paragraph" w:customStyle="1" w:styleId="153">
    <w:name w:val="附录五级无"/>
    <w:basedOn w:val="154"/>
    <w:qFormat/>
    <w:uiPriority w:val="99"/>
    <w:pPr>
      <w:tabs>
        <w:tab w:val="left" w:pos="360"/>
        <w:tab w:val="left" w:pos="1680"/>
        <w:tab w:val="left" w:pos="2520"/>
        <w:tab w:val="left" w:pos="2940"/>
      </w:tabs>
    </w:pPr>
    <w:rPr>
      <w:rFonts w:ascii="宋体" w:eastAsia="宋体"/>
      <w:szCs w:val="21"/>
    </w:rPr>
  </w:style>
  <w:style w:type="paragraph" w:customStyle="1" w:styleId="154">
    <w:name w:val="附录五级条标题"/>
    <w:basedOn w:val="143"/>
    <w:next w:val="79"/>
    <w:qFormat/>
    <w:uiPriority w:val="99"/>
    <w:pPr>
      <w:tabs>
        <w:tab w:val="left" w:pos="2940"/>
      </w:tabs>
      <w:ind w:left="2940"/>
      <w:outlineLvl w:val="6"/>
    </w:pPr>
  </w:style>
  <w:style w:type="paragraph" w:customStyle="1" w:styleId="155">
    <w:name w:val="实施日期"/>
    <w:basedOn w:val="135"/>
    <w:qFormat/>
    <w:uiPriority w:val="99"/>
    <w:pPr>
      <w:framePr w:vAnchor="page" w:hAnchor="text"/>
      <w:jc w:val="right"/>
    </w:pPr>
  </w:style>
  <w:style w:type="paragraph" w:customStyle="1" w:styleId="156">
    <w:name w:val="五级无标题条"/>
    <w:basedOn w:val="1"/>
    <w:qFormat/>
    <w:uiPriority w:val="99"/>
    <w:pPr>
      <w:widowControl/>
      <w:spacing w:before="100" w:after="200" w:line="276" w:lineRule="auto"/>
      <w:jc w:val="left"/>
    </w:pPr>
    <w:rPr>
      <w:rFonts w:ascii="Calibri" w:hAnsi="Calibri" w:eastAsia="楷体_GB2312"/>
      <w:kern w:val="0"/>
      <w:sz w:val="24"/>
      <w:szCs w:val="20"/>
    </w:rPr>
  </w:style>
  <w:style w:type="paragraph" w:customStyle="1" w:styleId="157">
    <w:name w:val="参考文献"/>
    <w:basedOn w:val="1"/>
    <w:next w:val="79"/>
    <w:qFormat/>
    <w:uiPriority w:val="99"/>
    <w:pPr>
      <w:keepNext/>
      <w:pageBreakBefore/>
      <w:widowControl/>
      <w:shd w:val="clear" w:color="auto" w:fill="FFFFFF"/>
      <w:spacing w:before="640" w:after="200" w:line="276" w:lineRule="auto"/>
      <w:jc w:val="center"/>
      <w:outlineLvl w:val="0"/>
    </w:pPr>
    <w:rPr>
      <w:rFonts w:ascii="黑体" w:hAnsi="Calibri" w:eastAsia="黑体"/>
      <w:kern w:val="0"/>
      <w:sz w:val="24"/>
      <w:szCs w:val="20"/>
    </w:rPr>
  </w:style>
  <w:style w:type="paragraph" w:customStyle="1" w:styleId="158">
    <w:name w:val="参考文献、索引标题"/>
    <w:basedOn w:val="1"/>
    <w:next w:val="79"/>
    <w:qFormat/>
    <w:uiPriority w:val="99"/>
    <w:pPr>
      <w:keepNext/>
      <w:pageBreakBefore/>
      <w:widowControl/>
      <w:shd w:val="clear" w:color="auto" w:fill="FFFFFF"/>
      <w:spacing w:before="640" w:after="200" w:line="276" w:lineRule="auto"/>
      <w:jc w:val="center"/>
      <w:outlineLvl w:val="0"/>
    </w:pPr>
    <w:rPr>
      <w:rFonts w:ascii="黑体" w:hAnsi="Calibri" w:eastAsia="黑体"/>
      <w:kern w:val="0"/>
      <w:sz w:val="24"/>
      <w:szCs w:val="20"/>
    </w:rPr>
  </w:style>
  <w:style w:type="paragraph" w:customStyle="1" w:styleId="159">
    <w:name w:val="二级无标题条"/>
    <w:basedOn w:val="1"/>
    <w:qFormat/>
    <w:uiPriority w:val="99"/>
    <w:pPr>
      <w:widowControl/>
      <w:numPr>
        <w:ilvl w:val="3"/>
        <w:numId w:val="14"/>
      </w:numPr>
      <w:tabs>
        <w:tab w:val="left" w:pos="1680"/>
      </w:tabs>
      <w:spacing w:before="100" w:after="200" w:line="276" w:lineRule="auto"/>
      <w:ind w:left="1680"/>
      <w:jc w:val="left"/>
    </w:pPr>
    <w:rPr>
      <w:rFonts w:ascii="Calibri" w:hAnsi="Calibri" w:eastAsia="楷体_GB2312"/>
      <w:kern w:val="0"/>
      <w:sz w:val="24"/>
      <w:szCs w:val="20"/>
    </w:rPr>
  </w:style>
  <w:style w:type="paragraph" w:customStyle="1" w:styleId="160">
    <w:name w:val="封面标准文稿编辑信息2"/>
    <w:basedOn w:val="130"/>
    <w:qFormat/>
    <w:uiPriority w:val="99"/>
    <w:pPr>
      <w:framePr w:y="4469"/>
    </w:pPr>
  </w:style>
  <w:style w:type="paragraph" w:customStyle="1" w:styleId="161">
    <w:name w:val="表格文字"/>
    <w:basedOn w:val="1"/>
    <w:qFormat/>
    <w:uiPriority w:val="0"/>
    <w:pPr>
      <w:spacing w:before="25" w:after="25"/>
      <w:jc w:val="center"/>
    </w:pPr>
    <w:rPr>
      <w:bCs/>
      <w:spacing w:val="10"/>
      <w:kern w:val="0"/>
      <w:sz w:val="24"/>
      <w:szCs w:val="20"/>
    </w:rPr>
  </w:style>
  <w:style w:type="paragraph" w:customStyle="1" w:styleId="162">
    <w:name w:val="正文图标题"/>
    <w:next w:val="79"/>
    <w:qFormat/>
    <w:uiPriority w:val="99"/>
    <w:pPr>
      <w:numPr>
        <w:ilvl w:val="0"/>
        <w:numId w:val="15"/>
      </w:numPr>
      <w:spacing w:beforeLines="50"/>
      <w:jc w:val="center"/>
    </w:pPr>
    <w:rPr>
      <w:rFonts w:ascii="黑体" w:hAnsi="Times New Roman" w:eastAsia="黑体" w:cs="Times New Roman"/>
      <w:sz w:val="21"/>
      <w:lang w:val="en-US" w:eastAsia="zh-CN" w:bidi="ar-SA"/>
    </w:rPr>
  </w:style>
  <w:style w:type="paragraph" w:customStyle="1" w:styleId="163">
    <w:name w:val="font4"/>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164">
    <w:name w:val="正文1"/>
    <w:basedOn w:val="8"/>
    <w:qFormat/>
    <w:uiPriority w:val="99"/>
    <w:rPr>
      <w:szCs w:val="21"/>
    </w:rPr>
  </w:style>
  <w:style w:type="paragraph" w:customStyle="1" w:styleId="165">
    <w:name w:val="附录三级无"/>
    <w:basedOn w:val="144"/>
    <w:qFormat/>
    <w:uiPriority w:val="99"/>
    <w:pPr>
      <w:tabs>
        <w:tab w:val="clear" w:pos="360"/>
      </w:tabs>
    </w:pPr>
    <w:rPr>
      <w:rFonts w:ascii="宋体" w:eastAsia="宋体"/>
      <w:szCs w:val="21"/>
    </w:rPr>
  </w:style>
  <w:style w:type="paragraph" w:customStyle="1" w:styleId="166">
    <w:name w:val="表格"/>
    <w:basedOn w:val="1"/>
    <w:qFormat/>
    <w:uiPriority w:val="99"/>
    <w:pPr>
      <w:spacing w:line="400" w:lineRule="exact"/>
    </w:pPr>
    <w:rPr>
      <w:sz w:val="24"/>
    </w:rPr>
  </w:style>
  <w:style w:type="paragraph" w:customStyle="1" w:styleId="167">
    <w:name w:val="附录图标号"/>
    <w:basedOn w:val="1"/>
    <w:qFormat/>
    <w:uiPriority w:val="99"/>
    <w:pPr>
      <w:keepNext/>
      <w:pageBreakBefore/>
      <w:widowControl/>
      <w:numPr>
        <w:ilvl w:val="0"/>
        <w:numId w:val="10"/>
      </w:numPr>
      <w:spacing w:before="100" w:after="200" w:line="14" w:lineRule="exact"/>
      <w:ind w:left="0" w:firstLine="363"/>
      <w:jc w:val="center"/>
      <w:outlineLvl w:val="0"/>
    </w:pPr>
    <w:rPr>
      <w:rFonts w:ascii="Calibri" w:hAnsi="Calibri" w:eastAsia="楷体_GB2312"/>
      <w:color w:val="FFFFFF"/>
      <w:kern w:val="0"/>
      <w:sz w:val="24"/>
      <w:szCs w:val="20"/>
    </w:rPr>
  </w:style>
  <w:style w:type="paragraph" w:customStyle="1" w:styleId="168">
    <w:name w:val="图表脚注"/>
    <w:next w:val="79"/>
    <w:qFormat/>
    <w:uiPriority w:val="99"/>
    <w:pPr>
      <w:spacing w:before="100" w:after="200" w:line="276" w:lineRule="auto"/>
      <w:ind w:left="300" w:leftChars="200" w:hanging="100" w:hangingChars="100"/>
      <w:jc w:val="both"/>
    </w:pPr>
    <w:rPr>
      <w:rFonts w:ascii="宋体" w:hAnsi="Calibri" w:eastAsia="宋体" w:cs="Times New Roman"/>
      <w:sz w:val="18"/>
      <w:lang w:val="en-US" w:eastAsia="zh-CN" w:bidi="ar-SA"/>
    </w:rPr>
  </w:style>
  <w:style w:type="paragraph" w:customStyle="1" w:styleId="169">
    <w:name w:val="附录二级无"/>
    <w:basedOn w:val="145"/>
    <w:qFormat/>
    <w:uiPriority w:val="99"/>
    <w:pPr>
      <w:tabs>
        <w:tab w:val="clear" w:pos="360"/>
      </w:tabs>
    </w:pPr>
    <w:rPr>
      <w:rFonts w:ascii="宋体" w:eastAsia="宋体"/>
      <w:szCs w:val="21"/>
    </w:rPr>
  </w:style>
  <w:style w:type="paragraph" w:customStyle="1" w:styleId="170">
    <w:name w:val="封面一致性程度标识2"/>
    <w:basedOn w:val="132"/>
    <w:qFormat/>
    <w:uiPriority w:val="99"/>
    <w:pPr>
      <w:framePr w:y="4469"/>
    </w:pPr>
  </w:style>
  <w:style w:type="paragraph" w:customStyle="1" w:styleId="171">
    <w:name w:val="abstract"/>
    <w:basedOn w:val="1"/>
    <w:next w:val="1"/>
    <w:qFormat/>
    <w:uiPriority w:val="99"/>
    <w:pPr>
      <w:spacing w:before="120" w:after="120"/>
      <w:ind w:left="1440" w:right="1440"/>
    </w:pPr>
    <w:rPr>
      <w:rFonts w:ascii="Book Antiqua" w:hAnsi="Book Antiqua"/>
      <w:i/>
      <w:sz w:val="20"/>
      <w:lang w:eastAsia="en-US"/>
    </w:rPr>
  </w:style>
  <w:style w:type="paragraph" w:customStyle="1" w:styleId="172">
    <w:name w:val="二级无"/>
    <w:basedOn w:val="87"/>
    <w:qFormat/>
    <w:uiPriority w:val="99"/>
    <w:pPr>
      <w:spacing w:before="50" w:after="50"/>
    </w:pPr>
    <w:rPr>
      <w:rFonts w:ascii="宋体" w:eastAsia="宋体"/>
    </w:rPr>
  </w:style>
  <w:style w:type="paragraph" w:customStyle="1" w:styleId="173">
    <w:name w:val="et3"/>
    <w:basedOn w:val="1"/>
    <w:qFormat/>
    <w:uiPriority w:val="99"/>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cs="宋体"/>
      <w:b/>
      <w:bCs/>
      <w:kern w:val="0"/>
      <w:sz w:val="24"/>
    </w:rPr>
  </w:style>
  <w:style w:type="paragraph" w:customStyle="1" w:styleId="174">
    <w:name w:val="其他发布部门"/>
    <w:basedOn w:val="152"/>
    <w:qFormat/>
    <w:uiPriority w:val="99"/>
    <w:pPr>
      <w:framePr w:y="15310"/>
      <w:spacing w:line="0" w:lineRule="atLeast"/>
    </w:pPr>
    <w:rPr>
      <w:rFonts w:ascii="黑体" w:eastAsia="黑体"/>
      <w:b w:val="0"/>
    </w:rPr>
  </w:style>
  <w:style w:type="paragraph" w:customStyle="1" w:styleId="175">
    <w:name w:val="样式 标题 1_A"/>
    <w:basedOn w:val="2"/>
    <w:qFormat/>
    <w:uiPriority w:val="99"/>
    <w:pPr>
      <w:keepNext w:val="0"/>
      <w:keepLines w:val="0"/>
      <w:pBdr>
        <w:top w:val="single" w:color="5B9BD5" w:sz="24" w:space="0"/>
        <w:left w:val="single" w:color="5B9BD5" w:sz="24" w:space="0"/>
        <w:bottom w:val="single" w:color="5B9BD5" w:sz="24" w:space="0"/>
        <w:right w:val="single" w:color="5B9BD5" w:sz="24" w:space="0"/>
      </w:pBdr>
      <w:shd w:val="clear" w:color="auto" w:fill="5B9BD5"/>
      <w:spacing w:before="0" w:after="0" w:line="240" w:lineRule="auto"/>
    </w:pPr>
    <w:rPr>
      <w:rFonts w:ascii="楷体_GB2312" w:hAnsi="楷体_GB2312" w:eastAsia="楷体_GB2312"/>
      <w:bCs w:val="0"/>
      <w:caps/>
      <w:color w:val="FFFFFF"/>
      <w:spacing w:val="-2"/>
      <w:kern w:val="2"/>
      <w:szCs w:val="22"/>
    </w:rPr>
  </w:style>
  <w:style w:type="paragraph" w:customStyle="1" w:styleId="176">
    <w:name w:val="封面标准代替信息"/>
    <w:qFormat/>
    <w:uiPriority w:val="99"/>
    <w:pPr>
      <w:framePr w:w="9140" w:h="1242" w:hSpace="284" w:wrap="around" w:vAnchor="page" w:hAnchor="page" w:x="1645" w:y="2910" w:anchorLock="1"/>
      <w:spacing w:before="57" w:after="200" w:line="280" w:lineRule="exact"/>
      <w:jc w:val="right"/>
    </w:pPr>
    <w:rPr>
      <w:rFonts w:ascii="宋体" w:hAnsi="Calibri" w:eastAsia="宋体" w:cs="Times New Roman"/>
      <w:sz w:val="21"/>
      <w:szCs w:val="21"/>
      <w:lang w:val="en-US" w:eastAsia="zh-CN" w:bidi="ar-SA"/>
    </w:rPr>
  </w:style>
  <w:style w:type="paragraph" w:customStyle="1" w:styleId="177">
    <w:name w:val="样式"/>
    <w:qFormat/>
    <w:uiPriority w:val="99"/>
    <w:pPr>
      <w:widowControl w:val="0"/>
      <w:autoSpaceDE w:val="0"/>
      <w:autoSpaceDN w:val="0"/>
      <w:adjustRightInd w:val="0"/>
      <w:jc w:val="center"/>
    </w:pPr>
    <w:rPr>
      <w:rFonts w:ascii="宋体" w:hAnsi="宋体" w:eastAsia="宋体" w:cs="宋体"/>
      <w:sz w:val="24"/>
      <w:szCs w:val="24"/>
      <w:lang w:val="en-US" w:eastAsia="zh-CN" w:bidi="ar-SA"/>
    </w:rPr>
  </w:style>
  <w:style w:type="paragraph" w:customStyle="1" w:styleId="178">
    <w:name w:val="列项说明数字编号"/>
    <w:qFormat/>
    <w:uiPriority w:val="99"/>
    <w:pPr>
      <w:spacing w:before="100" w:after="200" w:line="276" w:lineRule="auto"/>
      <w:ind w:left="600" w:leftChars="400" w:hanging="200" w:hangingChars="200"/>
    </w:pPr>
    <w:rPr>
      <w:rFonts w:ascii="宋体" w:hAnsi="Calibri" w:eastAsia="宋体" w:cs="Times New Roman"/>
      <w:sz w:val="21"/>
      <w:lang w:val="en-US" w:eastAsia="zh-CN" w:bidi="ar-SA"/>
    </w:rPr>
  </w:style>
  <w:style w:type="paragraph" w:customStyle="1" w:styleId="179">
    <w:name w:val="样式 标题 3 + (中文) 黑体 小四 非加粗 段前: 7.8 磅 段后: 0 磅 行距: 固定值 20 磅"/>
    <w:basedOn w:val="4"/>
    <w:qFormat/>
    <w:uiPriority w:val="99"/>
    <w:pPr>
      <w:spacing w:before="0" w:after="0" w:line="400" w:lineRule="exact"/>
    </w:pPr>
    <w:rPr>
      <w:rFonts w:eastAsia="黑体" w:cs="宋体"/>
      <w:b w:val="0"/>
      <w:bCs w:val="0"/>
      <w:sz w:val="24"/>
      <w:szCs w:val="20"/>
    </w:rPr>
  </w:style>
  <w:style w:type="paragraph" w:customStyle="1" w:styleId="180">
    <w:name w:val="font3"/>
    <w:basedOn w:val="1"/>
    <w:qFormat/>
    <w:uiPriority w:val="99"/>
    <w:pPr>
      <w:widowControl/>
      <w:spacing w:before="100" w:beforeAutospacing="1" w:after="100" w:afterAutospacing="1"/>
      <w:jc w:val="left"/>
    </w:pPr>
    <w:rPr>
      <w:rFonts w:ascii="宋体" w:hAnsi="宋体" w:cs="宋体"/>
      <w:b/>
      <w:bCs/>
      <w:color w:val="000000"/>
      <w:kern w:val="0"/>
      <w:sz w:val="20"/>
      <w:szCs w:val="20"/>
    </w:rPr>
  </w:style>
  <w:style w:type="paragraph" w:customStyle="1" w:styleId="181">
    <w:name w:val="样式 标题 2 + Times New Roman 四号 非加粗 段前: 5 磅 段后: 0 磅 行距: 固定值 20..."/>
    <w:basedOn w:val="3"/>
    <w:qFormat/>
    <w:uiPriority w:val="99"/>
    <w:pPr>
      <w:spacing w:before="100" w:after="0" w:line="400" w:lineRule="exact"/>
    </w:pPr>
    <w:rPr>
      <w:rFonts w:ascii="Times New Roman" w:hAnsi="Times New Roman" w:cs="宋体"/>
      <w:b w:val="0"/>
      <w:bCs w:val="0"/>
      <w:sz w:val="28"/>
      <w:szCs w:val="20"/>
    </w:rPr>
  </w:style>
  <w:style w:type="paragraph" w:customStyle="1" w:styleId="182">
    <w:name w:val="正文公式编号制表符"/>
    <w:basedOn w:val="79"/>
    <w:next w:val="79"/>
    <w:qFormat/>
    <w:uiPriority w:val="99"/>
    <w:pPr>
      <w:tabs>
        <w:tab w:val="center" w:pos="4201"/>
        <w:tab w:val="right" w:leader="dot" w:pos="9298"/>
      </w:tabs>
      <w:spacing w:before="100" w:after="200" w:line="276" w:lineRule="auto"/>
      <w:ind w:firstLine="0" w:firstLineChars="0"/>
    </w:pPr>
    <w:rPr>
      <w:rFonts w:eastAsia="Times New Roman"/>
    </w:rPr>
  </w:style>
  <w:style w:type="paragraph" w:customStyle="1" w:styleId="183">
    <w:name w:val="封面标准文稿类别2"/>
    <w:basedOn w:val="131"/>
    <w:qFormat/>
    <w:uiPriority w:val="99"/>
    <w:pPr>
      <w:framePr w:y="4469"/>
    </w:pPr>
  </w:style>
  <w:style w:type="paragraph" w:customStyle="1" w:styleId="184">
    <w:name w:val="封面标准号1"/>
    <w:qFormat/>
    <w:uiPriority w:val="99"/>
    <w:pPr>
      <w:widowControl w:val="0"/>
      <w:kinsoku w:val="0"/>
      <w:overflowPunct w:val="0"/>
      <w:autoSpaceDE w:val="0"/>
      <w:autoSpaceDN w:val="0"/>
      <w:spacing w:before="308" w:after="200" w:line="276" w:lineRule="auto"/>
      <w:jc w:val="right"/>
    </w:pPr>
    <w:rPr>
      <w:rFonts w:ascii="Calibri" w:hAnsi="Calibri" w:eastAsia="宋体" w:cs="Times New Roman"/>
      <w:sz w:val="28"/>
      <w:lang w:val="en-US" w:eastAsia="zh-CN" w:bidi="ar-SA"/>
    </w:rPr>
  </w:style>
  <w:style w:type="paragraph" w:customStyle="1" w:styleId="185">
    <w:name w:val="et2"/>
    <w:basedOn w:val="1"/>
    <w:qFormat/>
    <w:uiPriority w:val="99"/>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cs="宋体"/>
      <w:b/>
      <w:bCs/>
      <w:kern w:val="0"/>
      <w:sz w:val="24"/>
    </w:rPr>
  </w:style>
  <w:style w:type="paragraph" w:customStyle="1" w:styleId="186">
    <w:name w:val="无间隔1"/>
    <w:qFormat/>
    <w:uiPriority w:val="1"/>
    <w:pPr>
      <w:spacing w:before="100"/>
    </w:pPr>
    <w:rPr>
      <w:rFonts w:ascii="Calibri" w:hAnsi="Calibri" w:eastAsia="宋体" w:cs="Times New Roman"/>
      <w:lang w:val="en-US" w:eastAsia="zh-CN" w:bidi="ar-SA"/>
    </w:rPr>
  </w:style>
  <w:style w:type="paragraph" w:customStyle="1" w:styleId="187">
    <w:name w:val="标准书脚_奇数页"/>
    <w:qFormat/>
    <w:uiPriority w:val="99"/>
    <w:pPr>
      <w:spacing w:before="120" w:after="200" w:line="276" w:lineRule="auto"/>
      <w:ind w:right="198"/>
      <w:jc w:val="right"/>
    </w:pPr>
    <w:rPr>
      <w:rFonts w:ascii="宋体" w:hAnsi="Calibri" w:eastAsia="宋体" w:cs="Times New Roman"/>
      <w:sz w:val="18"/>
      <w:szCs w:val="18"/>
      <w:lang w:val="en-US" w:eastAsia="zh-CN" w:bidi="ar-SA"/>
    </w:rPr>
  </w:style>
  <w:style w:type="paragraph" w:customStyle="1" w:styleId="188">
    <w:name w:val="样式 首行缩进:  2 字符"/>
    <w:basedOn w:val="1"/>
    <w:qFormat/>
    <w:uiPriority w:val="99"/>
    <w:pPr>
      <w:spacing w:line="400" w:lineRule="exact"/>
      <w:ind w:firstLine="200" w:firstLineChars="200"/>
    </w:pPr>
    <w:rPr>
      <w:rFonts w:cs="宋体"/>
      <w:sz w:val="24"/>
    </w:rPr>
  </w:style>
  <w:style w:type="paragraph" w:customStyle="1" w:styleId="189">
    <w:name w:val="列项●（二级）"/>
    <w:qFormat/>
    <w:uiPriority w:val="99"/>
    <w:pPr>
      <w:numPr>
        <w:ilvl w:val="1"/>
        <w:numId w:val="16"/>
      </w:numPr>
      <w:spacing w:before="100" w:after="200" w:line="276" w:lineRule="auto"/>
      <w:jc w:val="both"/>
    </w:pPr>
    <w:rPr>
      <w:rFonts w:ascii="宋体" w:hAnsi="Calibri" w:eastAsia="宋体" w:cs="Times New Roman"/>
      <w:sz w:val="21"/>
      <w:lang w:val="en-US" w:eastAsia="zh-CN" w:bidi="ar-SA"/>
    </w:rPr>
  </w:style>
  <w:style w:type="paragraph" w:customStyle="1" w:styleId="190">
    <w:name w:val="et7"/>
    <w:basedOn w:val="1"/>
    <w:qFormat/>
    <w:uiPriority w:val="99"/>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cs="宋体"/>
      <w:kern w:val="0"/>
      <w:sz w:val="24"/>
    </w:rPr>
  </w:style>
  <w:style w:type="paragraph" w:customStyle="1" w:styleId="191">
    <w:name w:val="列项——（一级）"/>
    <w:qFormat/>
    <w:uiPriority w:val="99"/>
    <w:pPr>
      <w:widowControl w:val="0"/>
      <w:numPr>
        <w:ilvl w:val="0"/>
        <w:numId w:val="16"/>
      </w:numPr>
      <w:spacing w:before="100" w:after="200" w:line="276" w:lineRule="auto"/>
      <w:ind w:left="360" w:hanging="360"/>
      <w:jc w:val="both"/>
    </w:pPr>
    <w:rPr>
      <w:rFonts w:ascii="宋体" w:hAnsi="Calibri" w:eastAsia="宋体" w:cs="Times New Roman"/>
      <w:sz w:val="21"/>
      <w:lang w:val="en-US" w:eastAsia="zh-CN" w:bidi="ar-SA"/>
    </w:rPr>
  </w:style>
  <w:style w:type="paragraph" w:customStyle="1" w:styleId="192">
    <w:name w:val="正文首行缩进两字符"/>
    <w:basedOn w:val="1"/>
    <w:qFormat/>
    <w:uiPriority w:val="99"/>
    <w:pPr>
      <w:spacing w:line="360" w:lineRule="auto"/>
      <w:ind w:firstLine="200" w:firstLineChars="200"/>
    </w:pPr>
  </w:style>
  <w:style w:type="paragraph" w:customStyle="1" w:styleId="193">
    <w:name w:val="示例×："/>
    <w:basedOn w:val="86"/>
    <w:qFormat/>
    <w:uiPriority w:val="99"/>
    <w:pPr>
      <w:numPr>
        <w:numId w:val="17"/>
      </w:numPr>
      <w:tabs>
        <w:tab w:val="left" w:pos="420"/>
        <w:tab w:val="left" w:pos="425"/>
      </w:tabs>
      <w:spacing w:line="276" w:lineRule="auto"/>
      <w:ind w:left="360" w:hanging="360"/>
      <w:outlineLvl w:val="9"/>
    </w:pPr>
    <w:rPr>
      <w:rFonts w:ascii="宋体" w:hAnsi="Calibri" w:eastAsia="宋体"/>
      <w:sz w:val="18"/>
      <w:szCs w:val="18"/>
    </w:rPr>
  </w:style>
  <w:style w:type="paragraph" w:customStyle="1" w:styleId="194">
    <w:name w:val="正文首行缩进 21"/>
    <w:basedOn w:val="195"/>
    <w:qFormat/>
    <w:uiPriority w:val="99"/>
    <w:pPr>
      <w:widowControl/>
      <w:adjustRightInd w:val="0"/>
      <w:snapToGrid w:val="0"/>
      <w:ind w:firstLine="420" w:firstLineChars="200"/>
    </w:pPr>
    <w:rPr>
      <w:rFonts w:ascii="Calibri" w:hAnsi="Calibri" w:eastAsia="仿宋"/>
      <w:kern w:val="44"/>
      <w:sz w:val="24"/>
      <w:szCs w:val="22"/>
      <w:lang w:val="zh-CN" w:eastAsia="en-US"/>
    </w:rPr>
  </w:style>
  <w:style w:type="paragraph" w:customStyle="1" w:styleId="195">
    <w:name w:val="Body Text Indent1"/>
    <w:basedOn w:val="1"/>
    <w:qFormat/>
    <w:uiPriority w:val="0"/>
    <w:pPr>
      <w:spacing w:after="120"/>
      <w:ind w:left="420" w:leftChars="200"/>
    </w:pPr>
  </w:style>
  <w:style w:type="paragraph" w:customStyle="1" w:styleId="196">
    <w:name w:val="xl69"/>
    <w:basedOn w:val="1"/>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kern w:val="0"/>
      <w:sz w:val="24"/>
    </w:rPr>
  </w:style>
  <w:style w:type="paragraph" w:customStyle="1" w:styleId="197">
    <w:name w:val="封面标准号2"/>
    <w:qFormat/>
    <w:uiPriority w:val="99"/>
    <w:pPr>
      <w:framePr w:w="9140" w:h="1242" w:hSpace="284" w:wrap="around" w:vAnchor="page" w:hAnchor="page" w:x="1645" w:y="2910" w:anchorLock="1"/>
      <w:spacing w:before="357" w:after="200" w:line="280" w:lineRule="exact"/>
      <w:jc w:val="right"/>
    </w:pPr>
    <w:rPr>
      <w:rFonts w:ascii="黑体" w:hAnsi="Calibri" w:eastAsia="黑体" w:cs="Times New Roman"/>
      <w:sz w:val="28"/>
      <w:szCs w:val="28"/>
      <w:lang w:val="en-US" w:eastAsia="zh-CN" w:bidi="ar-SA"/>
    </w:rPr>
  </w:style>
  <w:style w:type="paragraph" w:customStyle="1" w:styleId="198">
    <w:name w:val="其他标准标志"/>
    <w:basedOn w:val="104"/>
    <w:qFormat/>
    <w:uiPriority w:val="99"/>
    <w:pPr>
      <w:framePr w:w="6101" w:vAnchor="page" w:hAnchor="page" w:x="4673" w:y="942"/>
    </w:pPr>
    <w:rPr>
      <w:w w:val="130"/>
    </w:rPr>
  </w:style>
  <w:style w:type="paragraph" w:customStyle="1" w:styleId="199">
    <w:name w:val="三级无"/>
    <w:basedOn w:val="121"/>
    <w:qFormat/>
    <w:uiPriority w:val="99"/>
    <w:pPr>
      <w:spacing w:before="50" w:after="50"/>
    </w:pPr>
    <w:rPr>
      <w:rFonts w:ascii="宋体" w:eastAsia="宋体"/>
    </w:rPr>
  </w:style>
  <w:style w:type="paragraph" w:customStyle="1" w:styleId="200">
    <w:name w:val="编号列项（三级）"/>
    <w:qFormat/>
    <w:uiPriority w:val="99"/>
    <w:pPr>
      <w:spacing w:before="100" w:after="200" w:line="276" w:lineRule="auto"/>
    </w:pPr>
    <w:rPr>
      <w:rFonts w:ascii="宋体" w:hAnsi="Calibri" w:eastAsia="宋体" w:cs="Times New Roman"/>
      <w:sz w:val="21"/>
      <w:lang w:val="en-US" w:eastAsia="zh-CN" w:bidi="ar-SA"/>
    </w:rPr>
  </w:style>
  <w:style w:type="paragraph" w:customStyle="1" w:styleId="201">
    <w:name w:val="列项◆（三级）"/>
    <w:basedOn w:val="1"/>
    <w:qFormat/>
    <w:uiPriority w:val="99"/>
    <w:pPr>
      <w:widowControl/>
      <w:numPr>
        <w:ilvl w:val="2"/>
        <w:numId w:val="16"/>
      </w:numPr>
      <w:tabs>
        <w:tab w:val="clear" w:pos="1260"/>
      </w:tabs>
      <w:spacing w:before="100" w:after="200" w:line="276" w:lineRule="auto"/>
      <w:jc w:val="left"/>
    </w:pPr>
    <w:rPr>
      <w:rFonts w:ascii="宋体" w:hAnsi="Calibri" w:eastAsia="楷体_GB2312"/>
      <w:kern w:val="0"/>
      <w:sz w:val="24"/>
      <w:szCs w:val="21"/>
    </w:rPr>
  </w:style>
  <w:style w:type="paragraph" w:customStyle="1" w:styleId="202">
    <w:name w:val="字母编号列项（一级）"/>
    <w:qFormat/>
    <w:uiPriority w:val="99"/>
    <w:pPr>
      <w:numPr>
        <w:ilvl w:val="0"/>
        <w:numId w:val="18"/>
      </w:numPr>
      <w:jc w:val="both"/>
    </w:pPr>
    <w:rPr>
      <w:rFonts w:ascii="宋体" w:hAnsi="Times New Roman" w:eastAsia="宋体" w:cs="Times New Roman"/>
      <w:sz w:val="21"/>
      <w:lang w:val="en-US" w:eastAsia="zh-CN" w:bidi="ar-SA"/>
    </w:rPr>
  </w:style>
  <w:style w:type="paragraph" w:customStyle="1" w:styleId="203">
    <w:name w:val="图表脚注说明"/>
    <w:basedOn w:val="1"/>
    <w:qFormat/>
    <w:uiPriority w:val="99"/>
    <w:pPr>
      <w:widowControl/>
      <w:numPr>
        <w:ilvl w:val="0"/>
        <w:numId w:val="19"/>
      </w:numPr>
      <w:spacing w:before="100" w:after="200" w:line="276" w:lineRule="auto"/>
      <w:ind w:left="360" w:hanging="360"/>
      <w:jc w:val="left"/>
    </w:pPr>
    <w:rPr>
      <w:rFonts w:ascii="宋体" w:hAnsi="Calibri" w:eastAsia="楷体_GB2312"/>
      <w:kern w:val="0"/>
      <w:sz w:val="18"/>
      <w:szCs w:val="18"/>
    </w:rPr>
  </w:style>
  <w:style w:type="paragraph" w:customStyle="1" w:styleId="204">
    <w:name w:val="TOC 标题1"/>
    <w:basedOn w:val="2"/>
    <w:next w:val="1"/>
    <w:qFormat/>
    <w:uiPriority w:val="39"/>
    <w:pPr>
      <w:keepNext w:val="0"/>
      <w:keepLines w:val="0"/>
      <w:widowControl/>
      <w:pBdr>
        <w:top w:val="single" w:color="5B9BD5" w:sz="24" w:space="0"/>
        <w:left w:val="single" w:color="5B9BD5" w:sz="24" w:space="0"/>
        <w:bottom w:val="single" w:color="5B9BD5" w:sz="24" w:space="0"/>
        <w:right w:val="single" w:color="5B9BD5" w:sz="24" w:space="0"/>
      </w:pBdr>
      <w:shd w:val="clear" w:color="auto" w:fill="5B9BD5"/>
      <w:spacing w:before="100" w:after="0" w:line="276" w:lineRule="auto"/>
      <w:jc w:val="left"/>
      <w:outlineLvl w:val="9"/>
    </w:pPr>
    <w:rPr>
      <w:rFonts w:ascii="Calibri" w:hAnsi="Calibri"/>
      <w:bCs w:val="0"/>
      <w:caps/>
      <w:color w:val="FFFFFF"/>
      <w:spacing w:val="-2"/>
      <w:kern w:val="0"/>
      <w:szCs w:val="22"/>
    </w:rPr>
  </w:style>
  <w:style w:type="paragraph" w:customStyle="1" w:styleId="205">
    <w:name w:val="样式 标题 2 _A"/>
    <w:basedOn w:val="3"/>
    <w:qFormat/>
    <w:uiPriority w:val="99"/>
    <w:pPr>
      <w:numPr>
        <w:ilvl w:val="1"/>
        <w:numId w:val="20"/>
      </w:numPr>
      <w:spacing w:after="20" w:line="410" w:lineRule="auto"/>
    </w:pPr>
    <w:rPr>
      <w:rFonts w:ascii="楷体_GB2312" w:hAnsi="楷体_GB2312" w:eastAsia="楷体_GB2312" w:cs="宋体"/>
      <w:kern w:val="44"/>
    </w:rPr>
  </w:style>
  <w:style w:type="paragraph" w:customStyle="1" w:styleId="206">
    <w:name w:val="修订2"/>
    <w:qFormat/>
    <w:uiPriority w:val="99"/>
    <w:rPr>
      <w:rFonts w:ascii="Times New Roman" w:hAnsi="Times New Roman" w:eastAsia="微软雅黑" w:cs="Times New Roman"/>
      <w:kern w:val="44"/>
      <w:sz w:val="24"/>
      <w:lang w:val="en-US" w:eastAsia="en-US" w:bidi="ar-SA"/>
    </w:rPr>
  </w:style>
  <w:style w:type="paragraph" w:customStyle="1" w:styleId="207">
    <w:name w:val="et5"/>
    <w:basedOn w:val="1"/>
    <w:qFormat/>
    <w:uiPriority w:val="99"/>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cs="宋体"/>
      <w:kern w:val="0"/>
      <w:sz w:val="24"/>
    </w:rPr>
  </w:style>
  <w:style w:type="paragraph" w:customStyle="1" w:styleId="208">
    <w:name w:val="msonormal"/>
    <w:basedOn w:val="1"/>
    <w:qFormat/>
    <w:uiPriority w:val="99"/>
    <w:pPr>
      <w:widowControl/>
      <w:spacing w:before="100" w:beforeAutospacing="1" w:after="100" w:afterAutospacing="1"/>
      <w:jc w:val="left"/>
    </w:pPr>
    <w:rPr>
      <w:rFonts w:ascii="宋体" w:hAnsi="宋体" w:cs="宋体"/>
      <w:kern w:val="0"/>
      <w:sz w:val="24"/>
    </w:rPr>
  </w:style>
  <w:style w:type="paragraph" w:customStyle="1" w:styleId="209">
    <w:name w:val="正文表标题"/>
    <w:next w:val="79"/>
    <w:qFormat/>
    <w:uiPriority w:val="99"/>
    <w:pPr>
      <w:tabs>
        <w:tab w:val="left" w:pos="1620"/>
      </w:tabs>
      <w:ind w:left="1620" w:hanging="348"/>
      <w:jc w:val="center"/>
    </w:pPr>
    <w:rPr>
      <w:rFonts w:ascii="黑体" w:hAnsi="Times New Roman" w:eastAsia="黑体" w:cs="Times New Roman"/>
      <w:sz w:val="21"/>
      <w:lang w:val="en-US" w:eastAsia="zh-CN" w:bidi="ar-SA"/>
    </w:rPr>
  </w:style>
  <w:style w:type="paragraph" w:customStyle="1" w:styleId="210">
    <w:name w:val="标准书眉_偶数页"/>
    <w:basedOn w:val="211"/>
    <w:next w:val="1"/>
    <w:qFormat/>
    <w:uiPriority w:val="99"/>
    <w:pPr>
      <w:tabs>
        <w:tab w:val="center" w:pos="4154"/>
        <w:tab w:val="right" w:pos="8306"/>
      </w:tabs>
      <w:jc w:val="left"/>
    </w:pPr>
  </w:style>
  <w:style w:type="paragraph" w:customStyle="1" w:styleId="211">
    <w:name w:val="标准书眉_奇数页"/>
    <w:next w:val="1"/>
    <w:qFormat/>
    <w:uiPriority w:val="99"/>
    <w:pPr>
      <w:tabs>
        <w:tab w:val="center" w:pos="4154"/>
        <w:tab w:val="right" w:pos="8306"/>
      </w:tabs>
      <w:spacing w:before="100" w:after="220" w:line="276" w:lineRule="auto"/>
      <w:jc w:val="right"/>
    </w:pPr>
    <w:rPr>
      <w:rFonts w:ascii="黑体" w:hAnsi="Calibri" w:eastAsia="黑体" w:cs="Times New Roman"/>
      <w:sz w:val="21"/>
      <w:szCs w:val="21"/>
      <w:lang w:val="en-US" w:eastAsia="zh-CN" w:bidi="ar-SA"/>
    </w:rPr>
  </w:style>
  <w:style w:type="paragraph" w:customStyle="1" w:styleId="212">
    <w:name w:val="无标题条"/>
    <w:next w:val="79"/>
    <w:qFormat/>
    <w:uiPriority w:val="99"/>
    <w:pPr>
      <w:spacing w:before="100" w:after="200" w:line="276" w:lineRule="auto"/>
      <w:jc w:val="both"/>
    </w:pPr>
    <w:rPr>
      <w:rFonts w:ascii="Calibri" w:hAnsi="Calibri" w:eastAsia="宋体" w:cs="Times New Roman"/>
      <w:sz w:val="21"/>
      <w:lang w:val="en-US" w:eastAsia="zh-CN" w:bidi="ar-SA"/>
    </w:rPr>
  </w:style>
  <w:style w:type="paragraph" w:customStyle="1" w:styleId="213">
    <w:name w:val="Char1"/>
    <w:basedOn w:val="1"/>
    <w:qFormat/>
    <w:uiPriority w:val="99"/>
    <w:rPr>
      <w:szCs w:val="21"/>
    </w:rPr>
  </w:style>
  <w:style w:type="paragraph" w:customStyle="1" w:styleId="214">
    <w:name w:val="目次、索引正文"/>
    <w:qFormat/>
    <w:uiPriority w:val="99"/>
    <w:pPr>
      <w:spacing w:before="100" w:after="200" w:line="320" w:lineRule="exact"/>
      <w:jc w:val="both"/>
    </w:pPr>
    <w:rPr>
      <w:rFonts w:ascii="宋体" w:hAnsi="Calibri" w:eastAsia="宋体" w:cs="Times New Roman"/>
      <w:sz w:val="21"/>
      <w:lang w:val="en-US" w:eastAsia="zh-CN" w:bidi="ar-SA"/>
    </w:rPr>
  </w:style>
  <w:style w:type="paragraph" w:customStyle="1" w:styleId="215">
    <w:name w:val="图的脚注"/>
    <w:next w:val="79"/>
    <w:qFormat/>
    <w:uiPriority w:val="99"/>
    <w:pPr>
      <w:widowControl w:val="0"/>
      <w:spacing w:before="100" w:after="200" w:line="276" w:lineRule="auto"/>
      <w:ind w:left="840" w:leftChars="200" w:hanging="420" w:hangingChars="200"/>
      <w:jc w:val="both"/>
    </w:pPr>
    <w:rPr>
      <w:rFonts w:ascii="宋体" w:hAnsi="Calibri" w:eastAsia="宋体" w:cs="Times New Roman"/>
      <w:sz w:val="18"/>
      <w:lang w:val="en-US" w:eastAsia="zh-CN" w:bidi="ar-SA"/>
    </w:rPr>
  </w:style>
  <w:style w:type="paragraph" w:customStyle="1" w:styleId="216">
    <w:name w:val="纯文本1"/>
    <w:basedOn w:val="1"/>
    <w:qFormat/>
    <w:uiPriority w:val="99"/>
    <w:rPr>
      <w:rFonts w:ascii="宋体" w:hAnsi="Courier New" w:cs="Century"/>
      <w:szCs w:val="21"/>
    </w:rPr>
  </w:style>
  <w:style w:type="paragraph" w:customStyle="1" w:styleId="217">
    <w:name w:val="附录表标号"/>
    <w:basedOn w:val="1"/>
    <w:next w:val="79"/>
    <w:qFormat/>
    <w:uiPriority w:val="99"/>
    <w:pPr>
      <w:widowControl/>
      <w:numPr>
        <w:ilvl w:val="0"/>
        <w:numId w:val="12"/>
      </w:numPr>
      <w:spacing w:before="100" w:after="200" w:line="14" w:lineRule="exact"/>
      <w:ind w:left="811" w:hanging="448"/>
      <w:jc w:val="center"/>
      <w:outlineLvl w:val="0"/>
    </w:pPr>
    <w:rPr>
      <w:rFonts w:ascii="Calibri" w:hAnsi="Calibri" w:eastAsia="楷体_GB2312"/>
      <w:color w:val="FFFFFF"/>
      <w:kern w:val="0"/>
      <w:sz w:val="24"/>
      <w:szCs w:val="20"/>
    </w:rPr>
  </w:style>
  <w:style w:type="paragraph" w:customStyle="1" w:styleId="218">
    <w:name w:val="_Style 214"/>
    <w:qFormat/>
    <w:uiPriority w:val="99"/>
    <w:rPr>
      <w:rFonts w:ascii="Times New Roman" w:hAnsi="Times New Roman" w:eastAsia="宋体" w:cs="Times New Roman"/>
      <w:kern w:val="2"/>
      <w:sz w:val="21"/>
      <w:szCs w:val="24"/>
      <w:lang w:val="en-US" w:eastAsia="zh-CN" w:bidi="ar-SA"/>
    </w:rPr>
  </w:style>
  <w:style w:type="paragraph" w:customStyle="1" w:styleId="219">
    <w:name w:val="其他实施日期"/>
    <w:basedOn w:val="155"/>
    <w:qFormat/>
    <w:uiPriority w:val="99"/>
  </w:style>
  <w:style w:type="paragraph" w:styleId="220">
    <w:name w:val="List Paragraph"/>
    <w:basedOn w:val="1"/>
    <w:qFormat/>
    <w:uiPriority w:val="99"/>
    <w:pPr>
      <w:ind w:firstLine="420" w:firstLineChars="200"/>
    </w:pPr>
  </w:style>
  <w:style w:type="paragraph" w:customStyle="1" w:styleId="221">
    <w:name w:val="默认段落字体 Para Char Char Char Char Char Char Char Char Char1 Char Char Char Char"/>
    <w:basedOn w:val="1"/>
    <w:qFormat/>
    <w:uiPriority w:val="99"/>
    <w:rPr>
      <w:rFonts w:ascii="Tahoma" w:hAnsi="Tahoma"/>
      <w:sz w:val="24"/>
      <w:szCs w:val="20"/>
    </w:rPr>
  </w:style>
  <w:style w:type="paragraph" w:customStyle="1" w:styleId="222">
    <w:name w:val="样式 样式 标题 1_A + 右侧:  0.37 厘米"/>
    <w:basedOn w:val="175"/>
    <w:qFormat/>
    <w:uiPriority w:val="99"/>
    <w:pPr>
      <w:numPr>
        <w:ilvl w:val="0"/>
        <w:numId w:val="20"/>
      </w:numPr>
      <w:ind w:left="-2" w:right="210" w:firstLine="0"/>
    </w:pPr>
    <w:rPr>
      <w:rFonts w:cs="宋体"/>
      <w:szCs w:val="20"/>
    </w:rPr>
  </w:style>
  <w:style w:type="paragraph" w:customStyle="1" w:styleId="223">
    <w:name w:val="示例"/>
    <w:next w:val="148"/>
    <w:qFormat/>
    <w:uiPriority w:val="99"/>
    <w:pPr>
      <w:widowControl w:val="0"/>
      <w:numPr>
        <w:ilvl w:val="0"/>
        <w:numId w:val="21"/>
      </w:numPr>
      <w:tabs>
        <w:tab w:val="clear" w:pos="425"/>
      </w:tabs>
      <w:spacing w:before="100" w:after="200" w:line="276" w:lineRule="auto"/>
      <w:ind w:left="840" w:hanging="420"/>
      <w:jc w:val="both"/>
    </w:pPr>
    <w:rPr>
      <w:rFonts w:ascii="宋体" w:hAnsi="Calibri" w:eastAsia="宋体" w:cs="Times New Roman"/>
      <w:sz w:val="18"/>
      <w:szCs w:val="18"/>
      <w:lang w:val="en-US" w:eastAsia="zh-CN" w:bidi="ar-SA"/>
    </w:rPr>
  </w:style>
  <w:style w:type="paragraph" w:customStyle="1" w:styleId="224">
    <w:name w:val="et9"/>
    <w:basedOn w:val="1"/>
    <w:qFormat/>
    <w:uiPriority w:val="99"/>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cs="宋体"/>
      <w:color w:val="000000"/>
      <w:kern w:val="0"/>
      <w:sz w:val="24"/>
    </w:rPr>
  </w:style>
  <w:style w:type="paragraph" w:customStyle="1" w:styleId="225">
    <w:name w:val="表头"/>
    <w:qFormat/>
    <w:uiPriority w:val="99"/>
    <w:pPr>
      <w:jc w:val="center"/>
    </w:pPr>
    <w:rPr>
      <w:rFonts w:ascii="Times New Roman" w:hAnsi="Times New Roman" w:eastAsia="宋体" w:cs="Times New Roman"/>
      <w:b/>
      <w:kern w:val="2"/>
      <w:sz w:val="21"/>
      <w:szCs w:val="21"/>
      <w:lang w:val="en-US" w:eastAsia="zh-CN" w:bidi="ar-SA"/>
    </w:rPr>
  </w:style>
  <w:style w:type="paragraph" w:customStyle="1" w:styleId="226">
    <w:name w:val="font1"/>
    <w:basedOn w:val="1"/>
    <w:qFormat/>
    <w:uiPriority w:val="99"/>
    <w:pPr>
      <w:widowControl/>
      <w:spacing w:before="100" w:beforeAutospacing="1" w:after="100" w:afterAutospacing="1"/>
      <w:jc w:val="left"/>
    </w:pPr>
    <w:rPr>
      <w:rFonts w:ascii="宋体" w:hAnsi="宋体" w:cs="宋体"/>
      <w:b/>
      <w:bCs/>
      <w:color w:val="000000"/>
      <w:kern w:val="0"/>
      <w:sz w:val="22"/>
      <w:szCs w:val="22"/>
    </w:rPr>
  </w:style>
  <w:style w:type="paragraph" w:customStyle="1" w:styleId="227">
    <w:name w:val="文献分类号"/>
    <w:qFormat/>
    <w:uiPriority w:val="99"/>
    <w:pPr>
      <w:framePr w:hSpace="180" w:vSpace="180" w:wrap="around" w:vAnchor="margin" w:hAnchor="margin" w:y="1" w:anchorLock="1"/>
      <w:widowControl w:val="0"/>
      <w:spacing w:before="100" w:after="200" w:line="276" w:lineRule="auto"/>
    </w:pPr>
    <w:rPr>
      <w:rFonts w:ascii="黑体" w:hAnsi="Calibri" w:eastAsia="黑体" w:cs="Times New Roman"/>
      <w:sz w:val="21"/>
      <w:szCs w:val="21"/>
      <w:lang w:val="en-US" w:eastAsia="zh-CN" w:bidi="ar-SA"/>
    </w:rPr>
  </w:style>
  <w:style w:type="paragraph" w:customStyle="1" w:styleId="228">
    <w:name w:val="xl67"/>
    <w:basedOn w:val="1"/>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b/>
      <w:bCs/>
      <w:kern w:val="0"/>
      <w:sz w:val="24"/>
    </w:rPr>
  </w:style>
  <w:style w:type="paragraph" w:customStyle="1" w:styleId="229">
    <w:name w:val="xl68"/>
    <w:basedOn w:val="1"/>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kern w:val="0"/>
      <w:sz w:val="24"/>
    </w:rPr>
  </w:style>
  <w:style w:type="paragraph" w:customStyle="1" w:styleId="230">
    <w:name w:val="et6"/>
    <w:basedOn w:val="1"/>
    <w:qFormat/>
    <w:uiPriority w:val="99"/>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cs="宋体"/>
      <w:kern w:val="0"/>
      <w:sz w:val="24"/>
    </w:rPr>
  </w:style>
  <w:style w:type="paragraph" w:customStyle="1" w:styleId="231">
    <w:name w:val="三级无标题条"/>
    <w:basedOn w:val="1"/>
    <w:qFormat/>
    <w:uiPriority w:val="99"/>
    <w:pPr>
      <w:widowControl/>
      <w:spacing w:before="100" w:after="200" w:line="276" w:lineRule="auto"/>
      <w:jc w:val="left"/>
    </w:pPr>
    <w:rPr>
      <w:rFonts w:ascii="Calibri" w:hAnsi="Calibri" w:eastAsia="楷体_GB2312"/>
      <w:kern w:val="0"/>
      <w:sz w:val="24"/>
      <w:szCs w:val="20"/>
    </w:rPr>
  </w:style>
  <w:style w:type="paragraph" w:customStyle="1" w:styleId="232">
    <w:name w:val="四级无"/>
    <w:basedOn w:val="120"/>
    <w:qFormat/>
    <w:uiPriority w:val="99"/>
    <w:pPr>
      <w:numPr>
        <w:ilvl w:val="4"/>
        <w:numId w:val="5"/>
      </w:numPr>
      <w:tabs>
        <w:tab w:val="left" w:pos="1200"/>
      </w:tabs>
      <w:spacing w:before="50" w:after="50"/>
      <w:ind w:left="2100" w:hanging="420"/>
    </w:pPr>
    <w:rPr>
      <w:rFonts w:ascii="宋体" w:eastAsia="宋体"/>
    </w:rPr>
  </w:style>
  <w:style w:type="paragraph" w:customStyle="1" w:styleId="233">
    <w:name w:val="列项说明"/>
    <w:basedOn w:val="1"/>
    <w:qFormat/>
    <w:uiPriority w:val="99"/>
    <w:pPr>
      <w:widowControl/>
      <w:adjustRightInd w:val="0"/>
      <w:spacing w:before="100" w:after="200" w:line="320" w:lineRule="exact"/>
      <w:ind w:left="400" w:leftChars="200" w:hanging="200" w:hangingChars="200"/>
      <w:jc w:val="left"/>
    </w:pPr>
    <w:rPr>
      <w:rFonts w:ascii="宋体" w:hAnsi="Calibri" w:eastAsia="楷体_GB2312"/>
      <w:kern w:val="0"/>
      <w:sz w:val="24"/>
      <w:szCs w:val="20"/>
    </w:rPr>
  </w:style>
  <w:style w:type="paragraph" w:customStyle="1" w:styleId="234">
    <w:name w:val="目次、标准名称标题"/>
    <w:basedOn w:val="1"/>
    <w:next w:val="79"/>
    <w:qFormat/>
    <w:uiPriority w:val="99"/>
    <w:pPr>
      <w:keepNext/>
      <w:pageBreakBefore/>
      <w:widowControl/>
      <w:shd w:val="clear" w:color="auto" w:fill="FFFFFF"/>
      <w:spacing w:before="640" w:after="560" w:line="460" w:lineRule="exact"/>
      <w:jc w:val="center"/>
      <w:outlineLvl w:val="0"/>
    </w:pPr>
    <w:rPr>
      <w:rFonts w:ascii="黑体" w:eastAsia="黑体"/>
      <w:kern w:val="0"/>
      <w:sz w:val="32"/>
      <w:szCs w:val="20"/>
    </w:rPr>
  </w:style>
  <w:style w:type="paragraph" w:customStyle="1" w:styleId="235">
    <w:name w:val="数字编号列项（二级）"/>
    <w:qFormat/>
    <w:uiPriority w:val="99"/>
    <w:pPr>
      <w:tabs>
        <w:tab w:val="left" w:pos="1260"/>
      </w:tabs>
      <w:spacing w:before="100" w:after="200" w:line="276" w:lineRule="auto"/>
      <w:ind w:left="567" w:hanging="567"/>
      <w:jc w:val="both"/>
    </w:pPr>
    <w:rPr>
      <w:rFonts w:ascii="宋体" w:hAnsi="Calibri" w:eastAsia="宋体" w:cs="Times New Roman"/>
      <w:sz w:val="21"/>
      <w:lang w:val="en-US" w:eastAsia="zh-CN" w:bidi="ar-SA"/>
    </w:rPr>
  </w:style>
  <w:style w:type="paragraph" w:customStyle="1" w:styleId="236">
    <w:name w:val="修订21"/>
    <w:qFormat/>
    <w:uiPriority w:val="99"/>
    <w:rPr>
      <w:rFonts w:ascii="Times New Roman" w:hAnsi="Times New Roman" w:eastAsia="宋体" w:cs="Times New Roman"/>
      <w:kern w:val="2"/>
      <w:sz w:val="21"/>
      <w:szCs w:val="24"/>
      <w:lang w:val="en-US" w:eastAsia="zh-CN" w:bidi="ar-SA"/>
    </w:rPr>
  </w:style>
  <w:style w:type="character" w:customStyle="1" w:styleId="237">
    <w:name w:val="标题 1 字符1"/>
    <w:link w:val="2"/>
    <w:qFormat/>
    <w:uiPriority w:val="9"/>
    <w:rPr>
      <w:rFonts w:ascii="Times New Roman" w:hAnsi="Times New Roman" w:eastAsia="宋体" w:cs="Times New Roman"/>
      <w:b/>
      <w:bCs/>
      <w:kern w:val="44"/>
      <w:sz w:val="44"/>
      <w:szCs w:val="44"/>
    </w:rPr>
  </w:style>
  <w:style w:type="character" w:customStyle="1" w:styleId="238">
    <w:name w:val="标题 3 字符"/>
    <w:link w:val="4"/>
    <w:qFormat/>
    <w:uiPriority w:val="0"/>
    <w:rPr>
      <w:rFonts w:ascii="Times New Roman" w:hAnsi="Times New Roman" w:eastAsia="宋体" w:cs="Times New Roman"/>
      <w:b/>
      <w:bCs/>
      <w:sz w:val="32"/>
      <w:szCs w:val="32"/>
    </w:rPr>
  </w:style>
  <w:style w:type="character" w:customStyle="1" w:styleId="239">
    <w:name w:val="标题 4 字符"/>
    <w:link w:val="5"/>
    <w:qFormat/>
    <w:uiPriority w:val="0"/>
    <w:rPr>
      <w:rFonts w:ascii="等线 Light" w:hAnsi="等线 Light" w:eastAsia="等线 Light" w:cs="Times New Roman"/>
      <w:b/>
      <w:bCs/>
      <w:kern w:val="2"/>
      <w:sz w:val="28"/>
      <w:szCs w:val="28"/>
    </w:rPr>
  </w:style>
  <w:style w:type="character" w:customStyle="1" w:styleId="240">
    <w:name w:val="标题 5 Char2"/>
    <w:qFormat/>
    <w:uiPriority w:val="0"/>
    <w:rPr>
      <w:b/>
      <w:kern w:val="2"/>
      <w:sz w:val="28"/>
      <w:szCs w:val="24"/>
    </w:rPr>
  </w:style>
  <w:style w:type="character" w:customStyle="1" w:styleId="241">
    <w:name w:val="标题 6 字符"/>
    <w:link w:val="7"/>
    <w:qFormat/>
    <w:uiPriority w:val="9"/>
    <w:rPr>
      <w:rFonts w:ascii="Arial" w:hAnsi="Arial" w:eastAsia="黑体"/>
      <w:b/>
      <w:kern w:val="2"/>
      <w:sz w:val="24"/>
      <w:szCs w:val="24"/>
    </w:rPr>
  </w:style>
  <w:style w:type="character" w:customStyle="1" w:styleId="242">
    <w:name w:val="标题 7 字符"/>
    <w:link w:val="9"/>
    <w:qFormat/>
    <w:uiPriority w:val="9"/>
    <w:rPr>
      <w:b/>
      <w:kern w:val="2"/>
      <w:sz w:val="24"/>
      <w:szCs w:val="24"/>
    </w:rPr>
  </w:style>
  <w:style w:type="character" w:customStyle="1" w:styleId="243">
    <w:name w:val="标题 8 字符"/>
    <w:link w:val="10"/>
    <w:qFormat/>
    <w:uiPriority w:val="9"/>
    <w:rPr>
      <w:rFonts w:ascii="Arial" w:hAnsi="Arial" w:eastAsia="黑体"/>
      <w:kern w:val="2"/>
      <w:sz w:val="24"/>
      <w:szCs w:val="24"/>
    </w:rPr>
  </w:style>
  <w:style w:type="character" w:customStyle="1" w:styleId="244">
    <w:name w:val="标题 9 字符"/>
    <w:link w:val="11"/>
    <w:qFormat/>
    <w:uiPriority w:val="9"/>
    <w:rPr>
      <w:rFonts w:ascii="Arial" w:hAnsi="Arial" w:eastAsia="黑体"/>
      <w:kern w:val="2"/>
      <w:sz w:val="21"/>
      <w:szCs w:val="24"/>
    </w:rPr>
  </w:style>
  <w:style w:type="character" w:customStyle="1" w:styleId="245">
    <w:name w:val="文档结构图 字符2"/>
    <w:link w:val="18"/>
    <w:qFormat/>
    <w:uiPriority w:val="99"/>
    <w:rPr>
      <w:rFonts w:ascii="宋体" w:hAnsi="宋体"/>
      <w:shd w:val="clear" w:color="auto" w:fill="000080"/>
    </w:rPr>
  </w:style>
  <w:style w:type="character" w:customStyle="1" w:styleId="246">
    <w:name w:val="批注文字 字符1"/>
    <w:link w:val="19"/>
    <w:qFormat/>
    <w:uiPriority w:val="99"/>
    <w:rPr>
      <w:rFonts w:ascii="Times New Roman" w:hAnsi="Times New Roman"/>
      <w:kern w:val="2"/>
      <w:sz w:val="21"/>
      <w:szCs w:val="24"/>
    </w:rPr>
  </w:style>
  <w:style w:type="character" w:customStyle="1" w:styleId="247">
    <w:name w:val="正文文本 3 字符"/>
    <w:link w:val="21"/>
    <w:qFormat/>
    <w:uiPriority w:val="0"/>
    <w:rPr>
      <w:rFonts w:ascii="Times New Roman" w:hAnsi="Times New Roman" w:eastAsia="宋体" w:cs="Times New Roman"/>
      <w:b/>
      <w:bCs/>
      <w:sz w:val="24"/>
      <w:szCs w:val="24"/>
    </w:rPr>
  </w:style>
  <w:style w:type="character" w:customStyle="1" w:styleId="248">
    <w:name w:val="正文文本 字符"/>
    <w:link w:val="22"/>
    <w:qFormat/>
    <w:uiPriority w:val="99"/>
    <w:rPr>
      <w:rFonts w:ascii="Times New Roman" w:hAnsi="Times New Roman" w:eastAsia="宋体" w:cs="Times New Roman"/>
      <w:sz w:val="24"/>
      <w:szCs w:val="24"/>
    </w:rPr>
  </w:style>
  <w:style w:type="character" w:customStyle="1" w:styleId="249">
    <w:name w:val="页眉 字符"/>
    <w:link w:val="40"/>
    <w:qFormat/>
    <w:uiPriority w:val="99"/>
    <w:rPr>
      <w:rFonts w:ascii="Times New Roman" w:hAnsi="Times New Roman"/>
      <w:kern w:val="2"/>
      <w:sz w:val="18"/>
      <w:szCs w:val="18"/>
    </w:rPr>
  </w:style>
  <w:style w:type="character" w:customStyle="1" w:styleId="250">
    <w:name w:val="正文文本缩进 字符1"/>
    <w:link w:val="25"/>
    <w:qFormat/>
    <w:uiPriority w:val="0"/>
    <w:rPr>
      <w:rFonts w:ascii="仿宋_GB2312" w:hAnsi="Times New Roman" w:eastAsia="仿宋_GB2312" w:cs="Times New Roman"/>
      <w:sz w:val="32"/>
      <w:szCs w:val="20"/>
    </w:rPr>
  </w:style>
  <w:style w:type="character" w:customStyle="1" w:styleId="251">
    <w:name w:val="HTML 地址 字符"/>
    <w:link w:val="28"/>
    <w:qFormat/>
    <w:uiPriority w:val="0"/>
    <w:rPr>
      <w:rFonts w:ascii="Calibri" w:hAnsi="Calibri" w:eastAsia="楷体_GB2312"/>
      <w:i/>
      <w:iCs/>
      <w:sz w:val="24"/>
    </w:rPr>
  </w:style>
  <w:style w:type="character" w:customStyle="1" w:styleId="252">
    <w:name w:val="纯文本 字符2"/>
    <w:link w:val="32"/>
    <w:qFormat/>
    <w:uiPriority w:val="0"/>
    <w:rPr>
      <w:rFonts w:ascii="宋体" w:hAnsi="Courier New"/>
      <w:w w:val="95"/>
      <w:sz w:val="21"/>
      <w:szCs w:val="21"/>
    </w:rPr>
  </w:style>
  <w:style w:type="character" w:customStyle="1" w:styleId="253">
    <w:name w:val="日期 字符"/>
    <w:link w:val="35"/>
    <w:qFormat/>
    <w:uiPriority w:val="99"/>
    <w:rPr>
      <w:rFonts w:ascii="宋体" w:hAnsi="Courier New" w:eastAsia="宋体" w:cs="Courier New"/>
      <w:szCs w:val="21"/>
    </w:rPr>
  </w:style>
  <w:style w:type="character" w:customStyle="1" w:styleId="254">
    <w:name w:val="正文文本缩进 2 字符"/>
    <w:link w:val="36"/>
    <w:qFormat/>
    <w:uiPriority w:val="99"/>
    <w:rPr>
      <w:rFonts w:ascii="Times New Roman" w:hAnsi="Times New Roman" w:eastAsia="宋体" w:cs="Times New Roman"/>
      <w:sz w:val="32"/>
      <w:szCs w:val="20"/>
    </w:rPr>
  </w:style>
  <w:style w:type="character" w:customStyle="1" w:styleId="255">
    <w:name w:val="尾注文本 字符"/>
    <w:link w:val="37"/>
    <w:qFormat/>
    <w:uiPriority w:val="99"/>
    <w:rPr>
      <w:rFonts w:ascii="Times New Roman" w:hAnsi="Times New Roman"/>
      <w:kern w:val="2"/>
      <w:sz w:val="21"/>
      <w:szCs w:val="24"/>
    </w:rPr>
  </w:style>
  <w:style w:type="character" w:customStyle="1" w:styleId="256">
    <w:name w:val="批注框文本 字符"/>
    <w:link w:val="38"/>
    <w:qFormat/>
    <w:uiPriority w:val="99"/>
    <w:rPr>
      <w:rFonts w:ascii="Times New Roman" w:hAnsi="Times New Roman" w:eastAsia="宋体" w:cs="Times New Roman"/>
      <w:sz w:val="18"/>
      <w:szCs w:val="18"/>
    </w:rPr>
  </w:style>
  <w:style w:type="character" w:customStyle="1" w:styleId="257">
    <w:name w:val="页脚 字符"/>
    <w:link w:val="39"/>
    <w:qFormat/>
    <w:uiPriority w:val="99"/>
    <w:rPr>
      <w:sz w:val="18"/>
      <w:szCs w:val="18"/>
    </w:rPr>
  </w:style>
  <w:style w:type="character" w:customStyle="1" w:styleId="258">
    <w:name w:val="副标题 字符"/>
    <w:link w:val="45"/>
    <w:qFormat/>
    <w:uiPriority w:val="11"/>
    <w:rPr>
      <w:rFonts w:ascii="Calibri" w:hAnsi="Calibri" w:eastAsia="楷体_GB2312"/>
      <w:caps/>
      <w:color w:val="595959"/>
      <w:spacing w:val="10"/>
      <w:sz w:val="21"/>
      <w:szCs w:val="21"/>
    </w:rPr>
  </w:style>
  <w:style w:type="character" w:customStyle="1" w:styleId="259">
    <w:name w:val="脚注文本 字符"/>
    <w:link w:val="47"/>
    <w:qFormat/>
    <w:uiPriority w:val="99"/>
    <w:rPr>
      <w:rFonts w:ascii="Times New Roman" w:hAnsi="Times New Roman"/>
      <w:kern w:val="2"/>
      <w:sz w:val="18"/>
      <w:szCs w:val="18"/>
    </w:rPr>
  </w:style>
  <w:style w:type="character" w:customStyle="1" w:styleId="260">
    <w:name w:val="正文文本缩进 3 字符"/>
    <w:link w:val="49"/>
    <w:qFormat/>
    <w:uiPriority w:val="99"/>
    <w:rPr>
      <w:rFonts w:ascii="Times New Roman" w:hAnsi="Times New Roman" w:eastAsia="宋体" w:cs="Times New Roman"/>
      <w:sz w:val="16"/>
      <w:szCs w:val="16"/>
    </w:rPr>
  </w:style>
  <w:style w:type="character" w:customStyle="1" w:styleId="261">
    <w:name w:val="正文文本 2 字符"/>
    <w:link w:val="54"/>
    <w:qFormat/>
    <w:uiPriority w:val="99"/>
    <w:rPr>
      <w:rFonts w:ascii="Times New Roman" w:hAnsi="Times New Roman" w:eastAsia="宋体" w:cs="Times New Roman"/>
      <w:szCs w:val="24"/>
    </w:rPr>
  </w:style>
  <w:style w:type="character" w:customStyle="1" w:styleId="262">
    <w:name w:val="HTML 预设格式 字符"/>
    <w:link w:val="55"/>
    <w:qFormat/>
    <w:uiPriority w:val="0"/>
    <w:rPr>
      <w:rFonts w:ascii="Courier New" w:hAnsi="Courier New" w:eastAsia="楷体_GB2312"/>
      <w:sz w:val="24"/>
    </w:rPr>
  </w:style>
  <w:style w:type="character" w:customStyle="1" w:styleId="263">
    <w:name w:val="标题 字符"/>
    <w:link w:val="58"/>
    <w:qFormat/>
    <w:uiPriority w:val="99"/>
    <w:rPr>
      <w:rFonts w:ascii="Cambria" w:hAnsi="Cambria" w:cs="Times New Roman"/>
      <w:b/>
      <w:bCs/>
      <w:kern w:val="2"/>
      <w:sz w:val="32"/>
      <w:szCs w:val="32"/>
    </w:rPr>
  </w:style>
  <w:style w:type="character" w:customStyle="1" w:styleId="264">
    <w:name w:val="批注主题 字符"/>
    <w:link w:val="59"/>
    <w:qFormat/>
    <w:uiPriority w:val="99"/>
    <w:rPr>
      <w:rFonts w:ascii="Times New Roman" w:hAnsi="Times New Roman"/>
      <w:b/>
      <w:bCs/>
      <w:kern w:val="2"/>
      <w:sz w:val="21"/>
      <w:szCs w:val="24"/>
    </w:rPr>
  </w:style>
  <w:style w:type="character" w:customStyle="1" w:styleId="265">
    <w:name w:val="正文文本首行缩进 字符"/>
    <w:link w:val="60"/>
    <w:qFormat/>
    <w:uiPriority w:val="99"/>
    <w:rPr>
      <w:rFonts w:ascii="微软雅黑" w:hAnsi="微软雅黑" w:eastAsia="微软雅黑" w:cs="微软雅黑"/>
      <w:sz w:val="24"/>
      <w:szCs w:val="21"/>
    </w:rPr>
  </w:style>
  <w:style w:type="character" w:customStyle="1" w:styleId="266">
    <w:name w:val="正文文本首行缩进 2 字符"/>
    <w:link w:val="61"/>
    <w:qFormat/>
    <w:uiPriority w:val="99"/>
    <w:rPr>
      <w:rFonts w:ascii="仿宋_GB2312" w:hAnsi="Times New Roman" w:eastAsia="仿宋_GB2312" w:cs="Times New Roman"/>
      <w:sz w:val="21"/>
      <w:szCs w:val="24"/>
      <w:shd w:val="clear" w:color="auto" w:fill="FFFFFF"/>
    </w:rPr>
  </w:style>
  <w:style w:type="character" w:customStyle="1" w:styleId="267">
    <w:name w:val="标题 7 字符1"/>
    <w:qFormat/>
    <w:uiPriority w:val="9"/>
    <w:rPr>
      <w:b/>
      <w:kern w:val="2"/>
      <w:sz w:val="24"/>
      <w:szCs w:val="24"/>
    </w:rPr>
  </w:style>
  <w:style w:type="character" w:customStyle="1" w:styleId="268">
    <w:name w:val="明显参考1"/>
    <w:qFormat/>
    <w:uiPriority w:val="32"/>
    <w:rPr>
      <w:b/>
      <w:bCs/>
      <w:i/>
      <w:iCs/>
      <w:caps/>
      <w:color w:val="5B9BD5"/>
    </w:rPr>
  </w:style>
  <w:style w:type="character" w:customStyle="1" w:styleId="269">
    <w:name w:val="font51"/>
    <w:qFormat/>
    <w:uiPriority w:val="0"/>
    <w:rPr>
      <w:rFonts w:hint="eastAsia" w:ascii="宋体" w:hAnsi="宋体" w:eastAsia="宋体" w:cs="宋体"/>
      <w:color w:val="000000"/>
      <w:sz w:val="24"/>
      <w:szCs w:val="24"/>
      <w:u w:val="double"/>
    </w:rPr>
  </w:style>
  <w:style w:type="character" w:customStyle="1" w:styleId="270">
    <w:name w:val="前言、引言标题 Char"/>
    <w:link w:val="78"/>
    <w:qFormat/>
    <w:uiPriority w:val="0"/>
    <w:rPr>
      <w:rFonts w:ascii="黑体" w:hAnsi="黑体" w:eastAsia="黑体"/>
      <w:sz w:val="32"/>
      <w:shd w:val="clear" w:color="auto" w:fill="FFFFFF"/>
      <w:lang w:val="en-US" w:eastAsia="zh-CN" w:bidi="ar-SA"/>
    </w:rPr>
  </w:style>
  <w:style w:type="character" w:customStyle="1" w:styleId="271">
    <w:name w:val="段 Char"/>
    <w:link w:val="79"/>
    <w:qFormat/>
    <w:uiPriority w:val="0"/>
    <w:rPr>
      <w:rFonts w:ascii="宋体" w:hAnsi="Calibri"/>
      <w:sz w:val="21"/>
      <w:lang w:val="en-US" w:eastAsia="zh-CN" w:bidi="ar-SA"/>
    </w:rPr>
  </w:style>
  <w:style w:type="character" w:customStyle="1" w:styleId="272">
    <w:name w:val="标题 2 Char Char"/>
    <w:qFormat/>
    <w:uiPriority w:val="0"/>
    <w:rPr>
      <w:rFonts w:hint="eastAsia" w:ascii="宋体" w:hAnsi="宋体" w:eastAsia="宋体"/>
      <w:kern w:val="2"/>
    </w:rPr>
  </w:style>
  <w:style w:type="character" w:customStyle="1" w:styleId="273">
    <w:name w:val="书籍标题1"/>
    <w:qFormat/>
    <w:uiPriority w:val="33"/>
    <w:rPr>
      <w:b/>
      <w:bCs/>
      <w:i/>
      <w:iCs/>
      <w:spacing w:val="0"/>
    </w:rPr>
  </w:style>
  <w:style w:type="character" w:customStyle="1" w:styleId="274">
    <w:name w:val="正文文本缩进 2 字符1"/>
    <w:qFormat/>
    <w:uiPriority w:val="99"/>
    <w:rPr>
      <w:sz w:val="32"/>
    </w:rPr>
  </w:style>
  <w:style w:type="character" w:customStyle="1" w:styleId="275">
    <w:name w:val="标题 6 字符2"/>
    <w:qFormat/>
    <w:uiPriority w:val="9"/>
    <w:rPr>
      <w:rFonts w:ascii="Arial" w:hAnsi="Arial" w:eastAsia="黑体"/>
      <w:b/>
      <w:kern w:val="2"/>
      <w:sz w:val="24"/>
      <w:szCs w:val="24"/>
    </w:rPr>
  </w:style>
  <w:style w:type="character" w:customStyle="1" w:styleId="276">
    <w:name w:val="段 Char Char"/>
    <w:qFormat/>
    <w:uiPriority w:val="0"/>
    <w:rPr>
      <w:rFonts w:hint="eastAsia" w:ascii="宋体" w:hAnsi="宋体" w:eastAsia="宋体"/>
    </w:rPr>
  </w:style>
  <w:style w:type="character" w:customStyle="1" w:styleId="277">
    <w:name w:val="页脚 字符2"/>
    <w:qFormat/>
    <w:uiPriority w:val="99"/>
    <w:rPr>
      <w:sz w:val="18"/>
      <w:szCs w:val="18"/>
    </w:rPr>
  </w:style>
  <w:style w:type="character" w:customStyle="1" w:styleId="278">
    <w:name w:val="个人答复风格"/>
    <w:qFormat/>
    <w:uiPriority w:val="0"/>
    <w:rPr>
      <w:rFonts w:hint="default" w:ascii="Arial" w:hAnsi="Arial" w:eastAsia="宋体" w:cs="Arial"/>
      <w:color w:val="auto"/>
      <w:sz w:val="20"/>
    </w:rPr>
  </w:style>
  <w:style w:type="character" w:customStyle="1" w:styleId="279">
    <w:name w:val="标题 1 字符"/>
    <w:qFormat/>
    <w:uiPriority w:val="9"/>
    <w:rPr>
      <w:rFonts w:ascii="Times New Roman" w:hAnsi="Times New Roman" w:eastAsia="宋体" w:cs="Times New Roman"/>
      <w:b/>
      <w:bCs/>
      <w:kern w:val="44"/>
      <w:sz w:val="44"/>
      <w:szCs w:val="44"/>
    </w:rPr>
  </w:style>
  <w:style w:type="character" w:customStyle="1" w:styleId="280">
    <w:name w:val="纯文本 Char"/>
    <w:qFormat/>
    <w:uiPriority w:val="0"/>
    <w:rPr>
      <w:rFonts w:ascii="宋体" w:hAnsi="Courier New" w:eastAsia="宋体" w:cs="Courier New"/>
      <w:szCs w:val="21"/>
    </w:rPr>
  </w:style>
  <w:style w:type="character" w:customStyle="1" w:styleId="281">
    <w:name w:val="纯文本 字符"/>
    <w:qFormat/>
    <w:uiPriority w:val="0"/>
    <w:rPr>
      <w:rFonts w:ascii="宋体" w:hAnsi="Courier New" w:eastAsia="宋体" w:cs="Courier New"/>
      <w:szCs w:val="21"/>
    </w:rPr>
  </w:style>
  <w:style w:type="character" w:customStyle="1" w:styleId="282">
    <w:name w:val="标题 8 字符2"/>
    <w:qFormat/>
    <w:uiPriority w:val="9"/>
    <w:rPr>
      <w:rFonts w:ascii="Arial" w:hAnsi="Arial" w:eastAsia="黑体"/>
      <w:kern w:val="2"/>
      <w:sz w:val="24"/>
      <w:szCs w:val="24"/>
    </w:rPr>
  </w:style>
  <w:style w:type="character" w:customStyle="1" w:styleId="283">
    <w:name w:val="发布"/>
    <w:qFormat/>
    <w:uiPriority w:val="0"/>
    <w:rPr>
      <w:rFonts w:hint="eastAsia" w:ascii="黑体" w:hAnsi="黑体" w:eastAsia="黑体"/>
      <w:spacing w:val="85"/>
      <w:w w:val="100"/>
      <w:position w:val="3"/>
      <w:sz w:val="28"/>
      <w:szCs w:val="28"/>
    </w:rPr>
  </w:style>
  <w:style w:type="character" w:customStyle="1" w:styleId="284">
    <w:name w:val="正文文本缩进 字符"/>
    <w:qFormat/>
    <w:uiPriority w:val="99"/>
    <w:rPr>
      <w:rFonts w:ascii="仿宋_GB2312" w:hAnsi="Times New Roman" w:eastAsia="仿宋_GB2312" w:cs="Times New Roman"/>
      <w:sz w:val="32"/>
      <w:szCs w:val="20"/>
    </w:rPr>
  </w:style>
  <w:style w:type="character" w:customStyle="1" w:styleId="285">
    <w:name w:val="标题 3 字符2"/>
    <w:qFormat/>
    <w:uiPriority w:val="0"/>
    <w:rPr>
      <w:b/>
      <w:bCs/>
      <w:sz w:val="32"/>
      <w:szCs w:val="32"/>
    </w:rPr>
  </w:style>
  <w:style w:type="character" w:customStyle="1" w:styleId="286">
    <w:name w:val="font71"/>
    <w:qFormat/>
    <w:uiPriority w:val="0"/>
    <w:rPr>
      <w:rFonts w:hint="default" w:ascii="Times New Roman" w:hAnsi="Times New Roman" w:cs="Times New Roman"/>
      <w:color w:val="000000"/>
      <w:sz w:val="21"/>
      <w:szCs w:val="21"/>
      <w:u w:val="none"/>
    </w:rPr>
  </w:style>
  <w:style w:type="character" w:customStyle="1" w:styleId="287">
    <w:name w:val="附录标识 Char"/>
    <w:link w:val="80"/>
    <w:qFormat/>
    <w:uiPriority w:val="99"/>
    <w:rPr>
      <w:rFonts w:ascii="黑体" w:eastAsia="黑体"/>
      <w:sz w:val="21"/>
      <w:shd w:val="clear" w:color="auto" w:fill="FFFFFF"/>
    </w:rPr>
  </w:style>
  <w:style w:type="character" w:customStyle="1" w:styleId="288">
    <w:name w:val="apple-style-span"/>
    <w:qFormat/>
    <w:uiPriority w:val="0"/>
  </w:style>
  <w:style w:type="character" w:customStyle="1" w:styleId="289">
    <w:name w:val="纯文本 Char1"/>
    <w:qFormat/>
    <w:uiPriority w:val="0"/>
    <w:rPr>
      <w:rFonts w:ascii="宋体" w:hAnsi="Courier New" w:eastAsia="宋体" w:cs="Courier New"/>
      <w:szCs w:val="21"/>
    </w:rPr>
  </w:style>
  <w:style w:type="character" w:customStyle="1" w:styleId="290">
    <w:name w:val="apple-converted-space"/>
    <w:qFormat/>
    <w:uiPriority w:val="0"/>
  </w:style>
  <w:style w:type="character" w:customStyle="1" w:styleId="291">
    <w:name w:val="标题 9 字符1"/>
    <w:qFormat/>
    <w:uiPriority w:val="9"/>
    <w:rPr>
      <w:rFonts w:hint="default" w:ascii="Arial" w:hAnsi="Arial" w:eastAsia="黑体" w:cs="Arial"/>
      <w:kern w:val="2"/>
      <w:sz w:val="21"/>
      <w:szCs w:val="24"/>
    </w:rPr>
  </w:style>
  <w:style w:type="character" w:customStyle="1" w:styleId="292">
    <w:name w:val="批注文字 字符"/>
    <w:qFormat/>
    <w:uiPriority w:val="99"/>
    <w:rPr>
      <w:rFonts w:ascii="Times New Roman" w:hAnsi="Times New Roman"/>
      <w:kern w:val="2"/>
      <w:sz w:val="21"/>
      <w:szCs w:val="24"/>
    </w:rPr>
  </w:style>
  <w:style w:type="character" w:customStyle="1" w:styleId="293">
    <w:name w:val="标题 9 字符2"/>
    <w:qFormat/>
    <w:uiPriority w:val="9"/>
    <w:rPr>
      <w:rFonts w:ascii="Arial" w:hAnsi="Arial" w:eastAsia="黑体"/>
      <w:kern w:val="2"/>
      <w:sz w:val="21"/>
      <w:szCs w:val="24"/>
    </w:rPr>
  </w:style>
  <w:style w:type="character" w:customStyle="1" w:styleId="294">
    <w:name w:val="正文2 Char Char"/>
    <w:link w:val="81"/>
    <w:qFormat/>
    <w:uiPriority w:val="0"/>
    <w:rPr>
      <w:kern w:val="2"/>
      <w:sz w:val="24"/>
    </w:rPr>
  </w:style>
  <w:style w:type="character" w:customStyle="1" w:styleId="295">
    <w:name w:val="标题 6 字符1"/>
    <w:qFormat/>
    <w:uiPriority w:val="9"/>
    <w:rPr>
      <w:rFonts w:hint="default" w:ascii="Arial" w:hAnsi="Arial" w:eastAsia="黑体" w:cs="Arial"/>
      <w:b/>
      <w:kern w:val="2"/>
      <w:sz w:val="24"/>
      <w:szCs w:val="24"/>
    </w:rPr>
  </w:style>
  <w:style w:type="character" w:customStyle="1" w:styleId="296">
    <w:name w:val="明显引用 字符"/>
    <w:link w:val="82"/>
    <w:qFormat/>
    <w:uiPriority w:val="30"/>
    <w:rPr>
      <w:rFonts w:ascii="Calibri" w:hAnsi="Calibri" w:eastAsia="楷体_GB2312" w:cs="Calibri"/>
      <w:color w:val="5B9BD5"/>
      <w:sz w:val="24"/>
      <w:szCs w:val="24"/>
    </w:rPr>
  </w:style>
  <w:style w:type="character" w:customStyle="1" w:styleId="297">
    <w:name w:val="附录公式 Char"/>
    <w:link w:val="83"/>
    <w:qFormat/>
    <w:uiPriority w:val="0"/>
  </w:style>
  <w:style w:type="character" w:customStyle="1" w:styleId="298">
    <w:name w:val="headline-content4"/>
    <w:qFormat/>
    <w:uiPriority w:val="0"/>
  </w:style>
  <w:style w:type="character" w:customStyle="1" w:styleId="299">
    <w:name w:val="脚注文本 字符1"/>
    <w:qFormat/>
    <w:uiPriority w:val="99"/>
    <w:rPr>
      <w:kern w:val="2"/>
      <w:sz w:val="18"/>
      <w:szCs w:val="18"/>
    </w:rPr>
  </w:style>
  <w:style w:type="character" w:customStyle="1" w:styleId="300">
    <w:name w:val="附录章标题 Char"/>
    <w:link w:val="84"/>
    <w:qFormat/>
    <w:uiPriority w:val="99"/>
    <w:rPr>
      <w:rFonts w:ascii="黑体" w:eastAsia="黑体"/>
      <w:kern w:val="21"/>
      <w:sz w:val="21"/>
      <w:lang w:val="en-US" w:eastAsia="zh-CN" w:bidi="ar-SA"/>
    </w:rPr>
  </w:style>
  <w:style w:type="character" w:customStyle="1" w:styleId="301">
    <w:name w:val="textcontents"/>
    <w:qFormat/>
    <w:uiPriority w:val="0"/>
  </w:style>
  <w:style w:type="character" w:customStyle="1" w:styleId="302">
    <w:name w:val="font41"/>
    <w:qFormat/>
    <w:uiPriority w:val="0"/>
    <w:rPr>
      <w:rFonts w:hint="eastAsia" w:ascii="宋体" w:hAnsi="宋体" w:eastAsia="宋体" w:cs="宋体"/>
      <w:color w:val="000000"/>
      <w:sz w:val="24"/>
      <w:szCs w:val="24"/>
      <w:u w:val="none"/>
    </w:rPr>
  </w:style>
  <w:style w:type="character" w:customStyle="1" w:styleId="303">
    <w:name w:val="尾注文本 字符2"/>
    <w:qFormat/>
    <w:uiPriority w:val="99"/>
    <w:rPr>
      <w:kern w:val="2"/>
      <w:sz w:val="21"/>
      <w:szCs w:val="24"/>
    </w:rPr>
  </w:style>
  <w:style w:type="character" w:customStyle="1" w:styleId="304">
    <w:name w:val="页脚 字符1"/>
    <w:qFormat/>
    <w:uiPriority w:val="99"/>
    <w:rPr>
      <w:sz w:val="18"/>
      <w:szCs w:val="18"/>
    </w:rPr>
  </w:style>
  <w:style w:type="character" w:customStyle="1" w:styleId="305">
    <w:name w:val="正文文本缩进 3 字符2"/>
    <w:qFormat/>
    <w:uiPriority w:val="99"/>
    <w:rPr>
      <w:sz w:val="16"/>
      <w:szCs w:val="16"/>
    </w:rPr>
  </w:style>
  <w:style w:type="character" w:customStyle="1" w:styleId="306">
    <w:name w:val="case31"/>
    <w:qFormat/>
    <w:uiPriority w:val="0"/>
    <w:rPr>
      <w:rFonts w:hint="default" w:ascii="_x000B__x000C_" w:hAnsi="_x000B__x000C_"/>
      <w:sz w:val="21"/>
      <w:szCs w:val="21"/>
    </w:rPr>
  </w:style>
  <w:style w:type="character" w:customStyle="1" w:styleId="307">
    <w:name w:val="首示例 Char"/>
    <w:link w:val="85"/>
    <w:qFormat/>
    <w:uiPriority w:val="99"/>
    <w:rPr>
      <w:rFonts w:ascii="宋体" w:hAnsi="宋体"/>
      <w:kern w:val="2"/>
      <w:sz w:val="18"/>
      <w:szCs w:val="18"/>
      <w:lang w:val="en-US" w:eastAsia="zh-CN" w:bidi="ar-SA"/>
    </w:rPr>
  </w:style>
  <w:style w:type="character" w:customStyle="1" w:styleId="308">
    <w:name w:val="标题 字符2"/>
    <w:qFormat/>
    <w:uiPriority w:val="10"/>
    <w:rPr>
      <w:rFonts w:ascii="Cambria" w:hAnsi="Cambria"/>
      <w:b/>
      <w:bCs/>
      <w:kern w:val="2"/>
      <w:sz w:val="32"/>
      <w:szCs w:val="32"/>
    </w:rPr>
  </w:style>
  <w:style w:type="character" w:customStyle="1" w:styleId="309">
    <w:name w:val="页眉 字符2"/>
    <w:qFormat/>
    <w:uiPriority w:val="99"/>
    <w:rPr>
      <w:kern w:val="2"/>
      <w:sz w:val="18"/>
      <w:szCs w:val="18"/>
    </w:rPr>
  </w:style>
  <w:style w:type="character" w:customStyle="1" w:styleId="310">
    <w:name w:val="正文文本 2 字符2"/>
    <w:qFormat/>
    <w:uiPriority w:val="99"/>
    <w:rPr>
      <w:szCs w:val="24"/>
    </w:rPr>
  </w:style>
  <w:style w:type="character" w:customStyle="1" w:styleId="311">
    <w:name w:val="批注文字 字符3"/>
    <w:qFormat/>
    <w:uiPriority w:val="99"/>
    <w:rPr>
      <w:kern w:val="2"/>
      <w:sz w:val="21"/>
      <w:szCs w:val="24"/>
    </w:rPr>
  </w:style>
  <w:style w:type="character" w:customStyle="1" w:styleId="312">
    <w:name w:val="明显强调1"/>
    <w:qFormat/>
    <w:uiPriority w:val="21"/>
    <w:rPr>
      <w:b/>
      <w:bCs/>
      <w:caps/>
      <w:color w:val="1F4D78"/>
      <w:spacing w:val="10"/>
    </w:rPr>
  </w:style>
  <w:style w:type="character" w:customStyle="1" w:styleId="313">
    <w:name w:val="标题 5 字符1"/>
    <w:qFormat/>
    <w:uiPriority w:val="9"/>
    <w:rPr>
      <w:b/>
      <w:kern w:val="2"/>
      <w:sz w:val="28"/>
      <w:szCs w:val="24"/>
    </w:rPr>
  </w:style>
  <w:style w:type="character" w:customStyle="1" w:styleId="314">
    <w:name w:val="章标题 Char"/>
    <w:link w:val="86"/>
    <w:qFormat/>
    <w:uiPriority w:val="99"/>
    <w:rPr>
      <w:rFonts w:ascii="黑体" w:eastAsia="黑体"/>
      <w:sz w:val="21"/>
      <w:lang w:val="en-US" w:eastAsia="zh-CN" w:bidi="ar-SA"/>
    </w:rPr>
  </w:style>
  <w:style w:type="character" w:customStyle="1" w:styleId="315">
    <w:name w:val="个人撰写风格"/>
    <w:qFormat/>
    <w:uiPriority w:val="0"/>
    <w:rPr>
      <w:rFonts w:hint="default" w:ascii="Arial" w:hAnsi="Arial" w:eastAsia="宋体" w:cs="Arial"/>
      <w:color w:val="auto"/>
      <w:sz w:val="20"/>
    </w:rPr>
  </w:style>
  <w:style w:type="character" w:customStyle="1" w:styleId="316">
    <w:name w:val="正文文本缩进 字符2"/>
    <w:qFormat/>
    <w:uiPriority w:val="99"/>
    <w:rPr>
      <w:rFonts w:ascii="仿宋_GB2312" w:eastAsia="仿宋_GB2312"/>
      <w:sz w:val="32"/>
    </w:rPr>
  </w:style>
  <w:style w:type="character" w:customStyle="1" w:styleId="317">
    <w:name w:val="不明显强调1"/>
    <w:qFormat/>
    <w:uiPriority w:val="19"/>
    <w:rPr>
      <w:i/>
      <w:iCs/>
      <w:color w:val="1F4D78"/>
    </w:rPr>
  </w:style>
  <w:style w:type="character" w:customStyle="1" w:styleId="318">
    <w:name w:val="标题 7 字符2"/>
    <w:qFormat/>
    <w:uiPriority w:val="9"/>
    <w:rPr>
      <w:b/>
      <w:kern w:val="2"/>
      <w:sz w:val="24"/>
      <w:szCs w:val="24"/>
    </w:rPr>
  </w:style>
  <w:style w:type="character" w:customStyle="1" w:styleId="319">
    <w:name w:val="日期 字符1"/>
    <w:qFormat/>
    <w:uiPriority w:val="99"/>
    <w:rPr>
      <w:rFonts w:hint="eastAsia" w:ascii="宋体" w:hAnsi="Courier New" w:eastAsia="宋体"/>
      <w:szCs w:val="21"/>
    </w:rPr>
  </w:style>
  <w:style w:type="character" w:customStyle="1" w:styleId="320">
    <w:name w:val="正文文本 3 字符1"/>
    <w:qFormat/>
    <w:uiPriority w:val="99"/>
    <w:rPr>
      <w:b/>
      <w:bCs/>
      <w:sz w:val="24"/>
      <w:szCs w:val="24"/>
    </w:rPr>
  </w:style>
  <w:style w:type="character" w:customStyle="1" w:styleId="321">
    <w:name w:val="标题 2 字符2"/>
    <w:qFormat/>
    <w:uiPriority w:val="9"/>
    <w:rPr>
      <w:rFonts w:ascii="Arial" w:hAnsi="Arial" w:eastAsia="黑体"/>
      <w:b/>
      <w:bCs/>
      <w:sz w:val="32"/>
      <w:szCs w:val="32"/>
    </w:rPr>
  </w:style>
  <w:style w:type="character" w:customStyle="1" w:styleId="322">
    <w:name w:val="标题 1 字符2"/>
    <w:qFormat/>
    <w:uiPriority w:val="9"/>
    <w:rPr>
      <w:b/>
      <w:bCs/>
      <w:kern w:val="44"/>
      <w:sz w:val="44"/>
      <w:szCs w:val="44"/>
    </w:rPr>
  </w:style>
  <w:style w:type="character" w:customStyle="1" w:styleId="323">
    <w:name w:val="二级条标题 Char"/>
    <w:link w:val="87"/>
    <w:qFormat/>
    <w:uiPriority w:val="0"/>
    <w:rPr>
      <w:rFonts w:ascii="黑体" w:hAnsi="Calibri" w:eastAsia="黑体"/>
      <w:sz w:val="21"/>
      <w:szCs w:val="21"/>
    </w:rPr>
  </w:style>
  <w:style w:type="character" w:customStyle="1" w:styleId="324">
    <w:name w:val="一级条标题 Char1"/>
    <w:link w:val="88"/>
    <w:qFormat/>
    <w:uiPriority w:val="99"/>
    <w:rPr>
      <w:rFonts w:ascii="黑体" w:eastAsia="黑体"/>
      <w:sz w:val="21"/>
      <w:szCs w:val="21"/>
      <w:lang w:val="en-US" w:eastAsia="zh-CN" w:bidi="ar-SA"/>
    </w:rPr>
  </w:style>
  <w:style w:type="character" w:customStyle="1" w:styleId="325">
    <w:name w:val="批注主题 字符1"/>
    <w:qFormat/>
    <w:uiPriority w:val="99"/>
    <w:rPr>
      <w:b/>
      <w:bCs/>
      <w:kern w:val="2"/>
      <w:sz w:val="21"/>
      <w:szCs w:val="24"/>
    </w:rPr>
  </w:style>
  <w:style w:type="character" w:customStyle="1" w:styleId="326">
    <w:name w:val="批注文字 字符2"/>
    <w:qFormat/>
    <w:uiPriority w:val="99"/>
    <w:rPr>
      <w:rFonts w:ascii="Times New Roman" w:hAnsi="Times New Roman"/>
      <w:kern w:val="2"/>
      <w:sz w:val="21"/>
      <w:szCs w:val="24"/>
    </w:rPr>
  </w:style>
  <w:style w:type="character" w:customStyle="1" w:styleId="327">
    <w:name w:val="正文文本 Char"/>
    <w:qFormat/>
    <w:uiPriority w:val="99"/>
    <w:rPr>
      <w:rFonts w:hint="default" w:ascii="Times New Roman" w:hAnsi="Times New Roman" w:eastAsia="宋体" w:cs="Times New Roman"/>
      <w:sz w:val="24"/>
      <w:szCs w:val="24"/>
    </w:rPr>
  </w:style>
  <w:style w:type="character" w:customStyle="1" w:styleId="328">
    <w:name w:val="批注主题 字符2"/>
    <w:qFormat/>
    <w:uiPriority w:val="99"/>
    <w:rPr>
      <w:b/>
      <w:bCs/>
      <w:kern w:val="2"/>
      <w:sz w:val="21"/>
      <w:szCs w:val="24"/>
    </w:rPr>
  </w:style>
  <w:style w:type="character" w:customStyle="1" w:styleId="329">
    <w:name w:val="批注文字 Char"/>
    <w:qFormat/>
    <w:uiPriority w:val="99"/>
    <w:rPr>
      <w:rFonts w:ascii="Times New Roman" w:hAnsi="Times New Roman"/>
      <w:kern w:val="2"/>
      <w:sz w:val="21"/>
      <w:szCs w:val="24"/>
    </w:rPr>
  </w:style>
  <w:style w:type="character" w:customStyle="1" w:styleId="330">
    <w:name w:val="正文文本 2 字符1"/>
    <w:qFormat/>
    <w:uiPriority w:val="99"/>
    <w:rPr>
      <w:szCs w:val="24"/>
    </w:rPr>
  </w:style>
  <w:style w:type="character" w:customStyle="1" w:styleId="331">
    <w:name w:val="cf01"/>
    <w:qFormat/>
    <w:uiPriority w:val="0"/>
    <w:rPr>
      <w:rFonts w:hint="eastAsia" w:ascii="Microsoft YaHei UI" w:hAnsi="Microsoft YaHei UI" w:eastAsia="Microsoft YaHei UI"/>
      <w:b/>
      <w:bCs/>
      <w:sz w:val="18"/>
      <w:szCs w:val="18"/>
    </w:rPr>
  </w:style>
  <w:style w:type="character" w:customStyle="1" w:styleId="332">
    <w:name w:val="纯文本 字符3"/>
    <w:qFormat/>
    <w:uiPriority w:val="99"/>
    <w:rPr>
      <w:rFonts w:ascii="宋体" w:hAnsi="Courier New"/>
      <w:szCs w:val="21"/>
    </w:rPr>
  </w:style>
  <w:style w:type="character" w:customStyle="1" w:styleId="333">
    <w:name w:val="引用 字符"/>
    <w:link w:val="89"/>
    <w:qFormat/>
    <w:uiPriority w:val="29"/>
    <w:rPr>
      <w:rFonts w:ascii="Calibri" w:hAnsi="Calibri" w:eastAsia="楷体_GB2312" w:cs="Calibri"/>
      <w:i/>
      <w:iCs/>
      <w:sz w:val="24"/>
      <w:szCs w:val="24"/>
    </w:rPr>
  </w:style>
  <w:style w:type="character" w:customStyle="1" w:styleId="334">
    <w:name w:val="正文文本缩进 2 字符2"/>
    <w:qFormat/>
    <w:uiPriority w:val="99"/>
    <w:rPr>
      <w:sz w:val="32"/>
    </w:rPr>
  </w:style>
  <w:style w:type="character" w:customStyle="1" w:styleId="335">
    <w:name w:val="纯文本 字符1"/>
    <w:qFormat/>
    <w:uiPriority w:val="0"/>
    <w:rPr>
      <w:rFonts w:ascii="宋体" w:hAnsi="Courier New"/>
    </w:rPr>
  </w:style>
  <w:style w:type="character" w:customStyle="1" w:styleId="336">
    <w:name w:val="不明显参考1"/>
    <w:qFormat/>
    <w:uiPriority w:val="31"/>
    <w:rPr>
      <w:b/>
      <w:bCs/>
      <w:color w:val="5B9BD5"/>
    </w:rPr>
  </w:style>
  <w:style w:type="character" w:customStyle="1" w:styleId="337">
    <w:name w:val="脚注文本 字符2"/>
    <w:qFormat/>
    <w:uiPriority w:val="99"/>
    <w:rPr>
      <w:kern w:val="2"/>
      <w:sz w:val="18"/>
      <w:szCs w:val="18"/>
    </w:rPr>
  </w:style>
  <w:style w:type="character" w:customStyle="1" w:styleId="338">
    <w:name w:val="标题 8 字符1"/>
    <w:qFormat/>
    <w:uiPriority w:val="9"/>
    <w:rPr>
      <w:rFonts w:hint="default" w:ascii="Arial" w:hAnsi="Arial" w:eastAsia="黑体" w:cs="Arial"/>
      <w:kern w:val="2"/>
      <w:sz w:val="24"/>
      <w:szCs w:val="24"/>
    </w:rPr>
  </w:style>
  <w:style w:type="character" w:customStyle="1" w:styleId="339">
    <w:name w:val="正文文本 3 字符2"/>
    <w:qFormat/>
    <w:uiPriority w:val="99"/>
    <w:rPr>
      <w:b/>
      <w:bCs/>
      <w:sz w:val="24"/>
      <w:szCs w:val="24"/>
    </w:rPr>
  </w:style>
  <w:style w:type="character" w:customStyle="1" w:styleId="340">
    <w:name w:val="标题 4 Char"/>
    <w:qFormat/>
    <w:uiPriority w:val="0"/>
    <w:rPr>
      <w:rFonts w:hint="default" w:ascii="Arial" w:hAnsi="Arial" w:eastAsia="黑体" w:cs="Arial"/>
      <w:b/>
      <w:bCs/>
      <w:kern w:val="2"/>
      <w:sz w:val="28"/>
      <w:szCs w:val="28"/>
      <w:lang w:val="en-US" w:eastAsia="zh-CN" w:bidi="ar-SA"/>
    </w:rPr>
  </w:style>
  <w:style w:type="character" w:customStyle="1" w:styleId="341">
    <w:name w:val="标题 3 字符1"/>
    <w:qFormat/>
    <w:uiPriority w:val="0"/>
    <w:rPr>
      <w:b/>
      <w:bCs/>
      <w:sz w:val="32"/>
      <w:szCs w:val="32"/>
    </w:rPr>
  </w:style>
  <w:style w:type="character" w:customStyle="1" w:styleId="342">
    <w:name w:val="页脚 字符3"/>
    <w:qFormat/>
    <w:uiPriority w:val="99"/>
    <w:rPr>
      <w:sz w:val="18"/>
      <w:szCs w:val="18"/>
    </w:rPr>
  </w:style>
  <w:style w:type="character" w:customStyle="1" w:styleId="343">
    <w:name w:val="标题 5 Char1"/>
    <w:qFormat/>
    <w:uiPriority w:val="0"/>
    <w:rPr>
      <w:b/>
      <w:kern w:val="2"/>
      <w:sz w:val="28"/>
      <w:szCs w:val="24"/>
    </w:rPr>
  </w:style>
  <w:style w:type="character" w:customStyle="1" w:styleId="344">
    <w:name w:val="批注框文本 字符1"/>
    <w:qFormat/>
    <w:uiPriority w:val="99"/>
    <w:rPr>
      <w:sz w:val="18"/>
      <w:szCs w:val="18"/>
    </w:rPr>
  </w:style>
  <w:style w:type="character" w:customStyle="1" w:styleId="345">
    <w:name w:val="标题 5 Char"/>
    <w:qFormat/>
    <w:uiPriority w:val="0"/>
    <w:rPr>
      <w:b/>
      <w:kern w:val="2"/>
      <w:sz w:val="28"/>
      <w:szCs w:val="24"/>
    </w:rPr>
  </w:style>
  <w:style w:type="character" w:customStyle="1" w:styleId="346">
    <w:name w:val="普通文字 Char Char2"/>
    <w:qFormat/>
    <w:uiPriority w:val="0"/>
    <w:rPr>
      <w:rFonts w:ascii="宋体" w:hAnsi="Courier New" w:eastAsia="宋体"/>
      <w:kern w:val="2"/>
      <w:sz w:val="21"/>
      <w:lang w:val="en-US" w:eastAsia="zh-CN" w:bidi="ar-SA"/>
    </w:rPr>
  </w:style>
  <w:style w:type="character" w:customStyle="1" w:styleId="347">
    <w:name w:val="正文文本 (26) + 间距 0 pt"/>
    <w:qFormat/>
    <w:uiPriority w:val="0"/>
    <w:rPr>
      <w:rFonts w:ascii="宋体" w:hAnsi="宋体" w:eastAsia="宋体" w:cs="宋体"/>
      <w:color w:val="000000"/>
      <w:spacing w:val="0"/>
      <w:w w:val="100"/>
      <w:position w:val="0"/>
      <w:sz w:val="22"/>
      <w:szCs w:val="22"/>
      <w:u w:val="none"/>
      <w:lang w:val="zh-CN" w:eastAsia="zh-CN" w:bidi="zh-CN"/>
    </w:rPr>
  </w:style>
  <w:style w:type="character" w:customStyle="1" w:styleId="348">
    <w:name w:val="批注文字 Char1"/>
    <w:qFormat/>
    <w:uiPriority w:val="99"/>
    <w:rPr>
      <w:rFonts w:ascii="Times New Roman" w:hAnsi="Times New Roman"/>
      <w:kern w:val="2"/>
      <w:sz w:val="21"/>
      <w:szCs w:val="24"/>
    </w:rPr>
  </w:style>
  <w:style w:type="character" w:customStyle="1" w:styleId="349">
    <w:name w:val="正文文本 Char1"/>
    <w:qFormat/>
    <w:uiPriority w:val="99"/>
    <w:rPr>
      <w:sz w:val="24"/>
      <w:szCs w:val="24"/>
    </w:rPr>
  </w:style>
  <w:style w:type="character" w:customStyle="1" w:styleId="350">
    <w:name w:val="页眉 字符1"/>
    <w:qFormat/>
    <w:uiPriority w:val="99"/>
    <w:rPr>
      <w:kern w:val="2"/>
      <w:sz w:val="18"/>
      <w:szCs w:val="18"/>
    </w:rPr>
  </w:style>
  <w:style w:type="character" w:customStyle="1" w:styleId="351">
    <w:name w:val="日期 字符2"/>
    <w:qFormat/>
    <w:uiPriority w:val="99"/>
    <w:rPr>
      <w:rFonts w:ascii="宋体" w:hAnsi="Courier New"/>
      <w:szCs w:val="21"/>
    </w:rPr>
  </w:style>
  <w:style w:type="character" w:customStyle="1" w:styleId="352">
    <w:name w:val="文档结构图 字符"/>
    <w:qFormat/>
    <w:uiPriority w:val="99"/>
    <w:rPr>
      <w:rFonts w:ascii="Microsoft YaHei UI" w:eastAsia="Microsoft YaHei UI"/>
      <w:kern w:val="2"/>
      <w:sz w:val="18"/>
      <w:szCs w:val="18"/>
    </w:rPr>
  </w:style>
  <w:style w:type="character" w:customStyle="1" w:styleId="353">
    <w:name w:val="正文文本缩进 3 字符1"/>
    <w:qFormat/>
    <w:uiPriority w:val="99"/>
    <w:rPr>
      <w:sz w:val="16"/>
      <w:szCs w:val="16"/>
    </w:rPr>
  </w:style>
  <w:style w:type="character" w:customStyle="1" w:styleId="354">
    <w:name w:val="标题 2 字符1"/>
    <w:qFormat/>
    <w:uiPriority w:val="9"/>
    <w:rPr>
      <w:rFonts w:hint="default" w:ascii="Arial" w:hAnsi="Arial" w:eastAsia="黑体" w:cs="Arial"/>
      <w:b/>
      <w:bCs/>
      <w:sz w:val="32"/>
      <w:szCs w:val="32"/>
    </w:rPr>
  </w:style>
  <w:style w:type="character" w:customStyle="1" w:styleId="355">
    <w:name w:val="sh14"/>
    <w:qFormat/>
    <w:uiPriority w:val="0"/>
  </w:style>
  <w:style w:type="character" w:customStyle="1" w:styleId="356">
    <w:name w:val="style11"/>
    <w:qFormat/>
    <w:uiPriority w:val="0"/>
    <w:rPr>
      <w:rFonts w:hint="eastAsia" w:ascii="宋体" w:hAnsi="宋体" w:eastAsia="宋体"/>
      <w:color w:val="000000"/>
      <w:sz w:val="18"/>
      <w:szCs w:val="18"/>
    </w:rPr>
  </w:style>
  <w:style w:type="character" w:customStyle="1" w:styleId="357">
    <w:name w:val="文档结构图 字符1"/>
    <w:qFormat/>
    <w:uiPriority w:val="99"/>
    <w:rPr>
      <w:rFonts w:hint="eastAsia" w:ascii="宋体" w:hAnsi="宋体" w:eastAsia="宋体"/>
      <w:shd w:val="clear" w:color="auto" w:fill="000080"/>
    </w:rPr>
  </w:style>
  <w:style w:type="character" w:customStyle="1" w:styleId="358">
    <w:name w:val="标题 5 字符2"/>
    <w:qFormat/>
    <w:uiPriority w:val="9"/>
    <w:rPr>
      <w:b/>
      <w:kern w:val="2"/>
      <w:sz w:val="28"/>
      <w:szCs w:val="24"/>
    </w:rPr>
  </w:style>
  <w:style w:type="character" w:customStyle="1" w:styleId="359">
    <w:name w:val="尾注文本 字符1"/>
    <w:qFormat/>
    <w:uiPriority w:val="99"/>
    <w:rPr>
      <w:kern w:val="2"/>
      <w:sz w:val="21"/>
      <w:szCs w:val="24"/>
    </w:rPr>
  </w:style>
  <w:style w:type="character" w:customStyle="1" w:styleId="360">
    <w:name w:val="批注框文本 字符2"/>
    <w:qFormat/>
    <w:uiPriority w:val="99"/>
    <w:rPr>
      <w:sz w:val="18"/>
      <w:szCs w:val="18"/>
    </w:rPr>
  </w:style>
  <w:style w:type="character" w:customStyle="1" w:styleId="361">
    <w:name w:val="标题 字符1"/>
    <w:qFormat/>
    <w:uiPriority w:val="10"/>
    <w:rPr>
      <w:rFonts w:hint="default" w:ascii="Cambria" w:hAnsi="Cambria"/>
      <w:b/>
      <w:bCs/>
      <w:kern w:val="2"/>
      <w:sz w:val="32"/>
      <w:szCs w:val="32"/>
    </w:rPr>
  </w:style>
  <w:style w:type="table" w:customStyle="1" w:styleId="362">
    <w:name w:val="Table Normal"/>
    <w:qFormat/>
    <w:uiPriority w:val="2"/>
    <w:pPr>
      <w:widowControl w:val="0"/>
    </w:pPr>
    <w:rPr>
      <w:rFonts w:ascii="Calibri" w:hAnsi="Calibri" w:eastAsia="Times New Roman"/>
      <w:sz w:val="22"/>
      <w:szCs w:val="22"/>
      <w:lang w:eastAsia="en-US"/>
    </w:rPr>
    <w:tblPr>
      <w:tblCellMar>
        <w:top w:w="0" w:type="dxa"/>
        <w:left w:w="0" w:type="dxa"/>
        <w:bottom w:w="0" w:type="dxa"/>
        <w:right w:w="0" w:type="dxa"/>
      </w:tblCellMar>
    </w:tblPr>
  </w:style>
  <w:style w:type="character" w:customStyle="1" w:styleId="363">
    <w:name w:val="NormalCharacter"/>
    <w:qFormat/>
    <w:uiPriority w:val="0"/>
  </w:style>
  <w:style w:type="paragraph" w:customStyle="1" w:styleId="364">
    <w:name w:val="正文（缩进）"/>
    <w:basedOn w:val="1"/>
    <w:qFormat/>
    <w:uiPriority w:val="0"/>
    <w:pPr>
      <w:spacing w:before="156" w:after="156"/>
      <w:ind w:firstLine="480" w:firstLineChars="200"/>
    </w:pPr>
    <w:rPr>
      <w:rFonts w:ascii="Calibri" w:hAnsi="Calibri" w:cs="Calibri"/>
      <w:sz w:val="24"/>
    </w:rPr>
  </w:style>
  <w:style w:type="paragraph" w:customStyle="1" w:styleId="365">
    <w:name w:val="列出段落1"/>
    <w:basedOn w:val="1"/>
    <w:qFormat/>
    <w:uiPriority w:val="0"/>
    <w:pPr>
      <w:ind w:firstLine="200" w:firstLineChars="200"/>
    </w:pPr>
  </w:style>
  <w:style w:type="paragraph" w:customStyle="1" w:styleId="366">
    <w:name w:val="p0"/>
    <w:basedOn w:val="1"/>
    <w:qFormat/>
    <w:uiPriority w:val="0"/>
    <w:pPr>
      <w:widowControl/>
    </w:pPr>
    <w:rPr>
      <w:kern w:val="0"/>
      <w:szCs w:val="21"/>
    </w:rPr>
  </w:style>
  <w:style w:type="paragraph" w:customStyle="1" w:styleId="367">
    <w:name w:val="List Paragraph1"/>
    <w:basedOn w:val="1"/>
    <w:qFormat/>
    <w:uiPriority w:val="0"/>
    <w:pPr>
      <w:ind w:firstLine="200" w:firstLineChars="200"/>
    </w:pPr>
    <w:rPr>
      <w:rFonts w:ascii="Calibri" w:hAnsi="Calibri"/>
      <w:szCs w:val="21"/>
    </w:rPr>
  </w:style>
  <w:style w:type="paragraph" w:customStyle="1" w:styleId="368">
    <w:name w:val="列出段落2"/>
    <w:basedOn w:val="1"/>
    <w:qFormat/>
    <w:uiPriority w:val="0"/>
    <w:pPr>
      <w:ind w:firstLine="200" w:firstLineChars="200"/>
    </w:pPr>
    <w:rPr>
      <w:rFonts w:ascii="Calibri" w:hAnsi="Calibri"/>
      <w:szCs w:val="21"/>
    </w:rPr>
  </w:style>
  <w:style w:type="paragraph" w:customStyle="1" w:styleId="369">
    <w:name w:val="List Paragraph2"/>
    <w:basedOn w:val="1"/>
    <w:qFormat/>
    <w:uiPriority w:val="0"/>
    <w:pPr>
      <w:ind w:firstLine="200" w:firstLineChars="200"/>
    </w:pPr>
    <w:rPr>
      <w:rFonts w:ascii="Calibri" w:hAnsi="Calibri"/>
      <w:szCs w:val="21"/>
    </w:rPr>
  </w:style>
  <w:style w:type="table" w:customStyle="1" w:styleId="370">
    <w:name w:val="网格型1"/>
    <w:basedOn w:val="62"/>
    <w:qFormat/>
    <w:uiPriority w:val="5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71">
    <w:name w:val="Table Text"/>
    <w:basedOn w:val="1"/>
    <w:semiHidden/>
    <w:qFormat/>
    <w:uiPriority w:val="0"/>
    <w:rPr>
      <w:rFonts w:ascii="宋体" w:hAnsi="宋体" w:cs="宋体"/>
      <w:sz w:val="20"/>
      <w:szCs w:val="20"/>
      <w:lang w:eastAsia="en-US"/>
    </w:rPr>
  </w:style>
  <w:style w:type="character" w:customStyle="1" w:styleId="372">
    <w:name w:val="font21"/>
    <w:basedOn w:val="64"/>
    <w:qFormat/>
    <w:uiPriority w:val="0"/>
    <w:rPr>
      <w:rFonts w:hint="eastAsia" w:ascii="仿宋" w:hAnsi="仿宋" w:eastAsia="仿宋" w:cs="仿宋"/>
      <w:color w:val="000000"/>
      <w:sz w:val="18"/>
      <w:szCs w:val="18"/>
      <w:u w:val="none"/>
    </w:rPr>
  </w:style>
  <w:style w:type="character" w:customStyle="1" w:styleId="373">
    <w:name w:val="标题 5 字符"/>
    <w:basedOn w:val="64"/>
    <w:link w:val="6"/>
    <w:qFormat/>
    <w:uiPriority w:val="6"/>
    <w:rPr>
      <w:rFonts w:ascii="Times New Roman" w:hAnsi="Times New Roman" w:eastAsia="仿宋"/>
      <w:sz w:val="24"/>
    </w:rPr>
  </w:style>
  <w:style w:type="paragraph" w:customStyle="1" w:styleId="374">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jpeg"/><Relationship Id="rId17" Type="http://schemas.openxmlformats.org/officeDocument/2006/relationships/theme" Target="theme/theme1.xml"/><Relationship Id="rId16" Type="http://schemas.openxmlformats.org/officeDocument/2006/relationships/footer" Target="footer10.xml"/><Relationship Id="rId15" Type="http://schemas.openxmlformats.org/officeDocument/2006/relationships/footer" Target="footer9.xml"/><Relationship Id="rId14" Type="http://schemas.openxmlformats.org/officeDocument/2006/relationships/footer" Target="footer8.xml"/><Relationship Id="rId13" Type="http://schemas.openxmlformats.org/officeDocument/2006/relationships/header" Target="header4.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81</Pages>
  <Words>32383</Words>
  <Characters>35336</Characters>
  <Lines>385</Lines>
  <Paragraphs>108</Paragraphs>
  <TotalTime>45</TotalTime>
  <ScaleCrop>false</ScaleCrop>
  <LinksUpToDate>false</LinksUpToDate>
  <CharactersWithSpaces>36238</CharactersWithSpaces>
  <Application>WPS Office_12.1.0.21915_F1E327BC-269C-435d-A152-05C5408002CA</Application>
  <DocSecurity>1</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2024-03-18T10:34:00Z</dcterms:created>
  <dc:creator>陈潇</dc:creator>
  <cp:lastModifiedBy>那谁.</cp:lastModifiedBy>
  <cp:lastPrinted>2025-04-30T00:44:00Z</cp:lastPrinted>
  <dcterms:modified xsi:type="dcterms:W3CDTF">2025-07-10T10:39:28Z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132BC800508B462D95FDBC362B848907_13</vt:lpwstr>
  </property>
  <property fmtid="{D5CDD505-2E9C-101B-9397-08002B2CF9AE}" pid="4" name="KSOTemplateDocerSaveRecord">
    <vt:lpwstr>eyJoZGlkIjoiMGNmOGIyNTBjYmU0MjNhOThkZDU4Yzk4YmM4MjllMWMiLCJ1c2VySWQiOiI5NTk1MTE0NzIifQ==</vt:lpwstr>
  </property>
</Properties>
</file>