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6143">
      <w:pPr>
        <w:widowControl/>
        <w:jc w:val="left"/>
        <w:rPr>
          <w:rFonts w:hAnsi="宋体"/>
          <w:kern w:val="0"/>
          <w:sz w:val="24"/>
          <w:szCs w:val="24"/>
        </w:rPr>
      </w:pPr>
      <w:r>
        <w:rPr>
          <w:rFonts w:hint="eastAsia" w:cs="仿宋"/>
          <w:b/>
        </w:rPr>
        <w:t>八、其他补充事宜</w:t>
      </w:r>
    </w:p>
    <w:p w14:paraId="3B2768D4">
      <w:pPr>
        <w:spacing w:line="380" w:lineRule="exact"/>
        <w:ind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1</w:t>
      </w:r>
    </w:p>
    <w:p w14:paraId="3227F49F">
      <w:pPr>
        <w:spacing w:line="380" w:lineRule="exact"/>
        <w:ind w:firstLine="420" w:firstLineChars="200"/>
        <w:rPr>
          <w:rFonts w:hint="eastAsia" w:cs="宋体"/>
          <w:color w:val="auto"/>
          <w:kern w:val="0"/>
        </w:rPr>
      </w:pPr>
      <w:r>
        <w:rPr>
          <w:rFonts w:hint="eastAsia" w:cs="宋体"/>
          <w:kern w:val="0"/>
        </w:rPr>
        <w:t>1. 未通过资格审查的投标单位及原</w:t>
      </w:r>
      <w:r>
        <w:rPr>
          <w:rFonts w:hint="eastAsia" w:cs="宋体"/>
          <w:color w:val="auto"/>
          <w:kern w:val="0"/>
        </w:rPr>
        <w:t>因：无</w:t>
      </w:r>
    </w:p>
    <w:p w14:paraId="369F7644">
      <w:pPr>
        <w:spacing w:line="380" w:lineRule="exact"/>
        <w:ind w:firstLine="420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2. 未中标的供应商得分与排名：</w:t>
      </w:r>
    </w:p>
    <w:tbl>
      <w:tblPr>
        <w:tblStyle w:val="2"/>
        <w:tblW w:w="6888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76"/>
        <w:gridCol w:w="1276"/>
      </w:tblGrid>
      <w:tr w14:paraId="7D2D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999C903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3519" w:type="dxa"/>
            <w:noWrap w:val="0"/>
            <w:vAlign w:val="top"/>
          </w:tcPr>
          <w:p w14:paraId="004C4A1E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供应商名称</w:t>
            </w:r>
          </w:p>
        </w:tc>
        <w:tc>
          <w:tcPr>
            <w:tcW w:w="1276" w:type="dxa"/>
            <w:noWrap w:val="0"/>
            <w:vAlign w:val="top"/>
          </w:tcPr>
          <w:p w14:paraId="62EDDA0D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得分</w:t>
            </w:r>
          </w:p>
        </w:tc>
        <w:tc>
          <w:tcPr>
            <w:tcW w:w="1276" w:type="dxa"/>
            <w:noWrap w:val="0"/>
            <w:vAlign w:val="top"/>
          </w:tcPr>
          <w:p w14:paraId="48C5EBC2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排名</w:t>
            </w:r>
          </w:p>
        </w:tc>
      </w:tr>
      <w:tr w14:paraId="659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DEB9F5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3519" w:type="dxa"/>
            <w:noWrap w:val="0"/>
            <w:vAlign w:val="top"/>
          </w:tcPr>
          <w:p w14:paraId="6EF39EE3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广西厚志贸易有限公司</w:t>
            </w:r>
          </w:p>
        </w:tc>
        <w:tc>
          <w:tcPr>
            <w:tcW w:w="1276" w:type="dxa"/>
            <w:noWrap w:val="0"/>
            <w:vAlign w:val="top"/>
          </w:tcPr>
          <w:p w14:paraId="18DFF89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51.00</w:t>
            </w:r>
          </w:p>
        </w:tc>
        <w:tc>
          <w:tcPr>
            <w:tcW w:w="1276" w:type="dxa"/>
            <w:noWrap w:val="0"/>
            <w:vAlign w:val="top"/>
          </w:tcPr>
          <w:p w14:paraId="004C1B19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</w:tr>
      <w:tr w14:paraId="3209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F05FE62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3519" w:type="dxa"/>
            <w:noWrap w:val="0"/>
            <w:vAlign w:val="top"/>
          </w:tcPr>
          <w:p w14:paraId="3B83F79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广西智鹏商贸有限公司</w:t>
            </w:r>
          </w:p>
        </w:tc>
        <w:tc>
          <w:tcPr>
            <w:tcW w:w="1276" w:type="dxa"/>
            <w:noWrap w:val="0"/>
            <w:vAlign w:val="top"/>
          </w:tcPr>
          <w:p w14:paraId="1FC51AEC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40.48</w:t>
            </w:r>
          </w:p>
        </w:tc>
        <w:tc>
          <w:tcPr>
            <w:tcW w:w="1276" w:type="dxa"/>
            <w:noWrap w:val="0"/>
            <w:vAlign w:val="top"/>
          </w:tcPr>
          <w:p w14:paraId="5EA2B6F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</w:tr>
      <w:tr w14:paraId="6B4F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B9F0A4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  <w:tc>
          <w:tcPr>
            <w:tcW w:w="3519" w:type="dxa"/>
            <w:noWrap w:val="0"/>
            <w:vAlign w:val="top"/>
          </w:tcPr>
          <w:p w14:paraId="558B4114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江西神彩贸易有限公司</w:t>
            </w:r>
          </w:p>
        </w:tc>
        <w:tc>
          <w:tcPr>
            <w:tcW w:w="1276" w:type="dxa"/>
            <w:noWrap w:val="0"/>
            <w:vAlign w:val="top"/>
          </w:tcPr>
          <w:p w14:paraId="16E22966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33.57</w:t>
            </w:r>
          </w:p>
        </w:tc>
        <w:tc>
          <w:tcPr>
            <w:tcW w:w="1276" w:type="dxa"/>
            <w:noWrap w:val="0"/>
            <w:vAlign w:val="top"/>
          </w:tcPr>
          <w:p w14:paraId="206FECCA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4</w:t>
            </w:r>
          </w:p>
        </w:tc>
      </w:tr>
    </w:tbl>
    <w:p w14:paraId="199DC6BC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  <w:lang w:val="en-US" w:eastAsia="zh-CN"/>
        </w:rPr>
        <w:t>3.</w:t>
      </w:r>
      <w:r>
        <w:rPr>
          <w:rFonts w:hint="eastAsia" w:cs="宋体"/>
          <w:kern w:val="0"/>
        </w:rPr>
        <w:t>中标供应商评审总得分：51.73</w:t>
      </w:r>
    </w:p>
    <w:p w14:paraId="6905DA0D">
      <w:pPr>
        <w:spacing w:line="380" w:lineRule="exact"/>
        <w:ind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2</w:t>
      </w:r>
    </w:p>
    <w:p w14:paraId="1FECD5A4">
      <w:pPr>
        <w:spacing w:line="380" w:lineRule="exact"/>
        <w:ind w:firstLine="420" w:firstLineChars="200"/>
        <w:rPr>
          <w:rFonts w:hint="eastAsia" w:eastAsia="宋体" w:cs="宋体"/>
          <w:kern w:val="0"/>
          <w:lang w:eastAsia="zh-CN"/>
        </w:rPr>
      </w:pPr>
      <w:r>
        <w:rPr>
          <w:rFonts w:hint="eastAsia" w:cs="宋体"/>
          <w:kern w:val="0"/>
        </w:rPr>
        <w:t>1. 未通过资格审查的投标单位及原因：南宁康颜半岛医疗设备有限公司未提供财务状况报表中的附注</w:t>
      </w:r>
      <w:r>
        <w:rPr>
          <w:rFonts w:hint="eastAsia" w:cs="宋体"/>
          <w:kern w:val="0"/>
          <w:lang w:eastAsia="zh-CN"/>
        </w:rPr>
        <w:t>。</w:t>
      </w:r>
    </w:p>
    <w:p w14:paraId="22C6F0FC">
      <w:pPr>
        <w:spacing w:line="380" w:lineRule="exact"/>
        <w:ind w:firstLine="420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2. 未中标的供应商得分与排名：</w:t>
      </w:r>
    </w:p>
    <w:tbl>
      <w:tblPr>
        <w:tblStyle w:val="2"/>
        <w:tblW w:w="6888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76"/>
        <w:gridCol w:w="1276"/>
      </w:tblGrid>
      <w:tr w14:paraId="0DE8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E5F6A1B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3519" w:type="dxa"/>
            <w:noWrap w:val="0"/>
            <w:vAlign w:val="top"/>
          </w:tcPr>
          <w:p w14:paraId="0534F12B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供应商名称</w:t>
            </w:r>
          </w:p>
        </w:tc>
        <w:tc>
          <w:tcPr>
            <w:tcW w:w="1276" w:type="dxa"/>
            <w:noWrap w:val="0"/>
            <w:vAlign w:val="top"/>
          </w:tcPr>
          <w:p w14:paraId="7A0B411F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得分</w:t>
            </w:r>
          </w:p>
        </w:tc>
        <w:tc>
          <w:tcPr>
            <w:tcW w:w="1276" w:type="dxa"/>
            <w:noWrap w:val="0"/>
            <w:vAlign w:val="top"/>
          </w:tcPr>
          <w:p w14:paraId="1A99F769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排名</w:t>
            </w:r>
          </w:p>
        </w:tc>
      </w:tr>
      <w:tr w14:paraId="0421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AFFBA1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3519" w:type="dxa"/>
            <w:noWrap w:val="0"/>
            <w:vAlign w:val="top"/>
          </w:tcPr>
          <w:p w14:paraId="30340830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南宁杰麦康商贸有限公司</w:t>
            </w:r>
          </w:p>
        </w:tc>
        <w:tc>
          <w:tcPr>
            <w:tcW w:w="1276" w:type="dxa"/>
            <w:noWrap w:val="0"/>
            <w:vAlign w:val="top"/>
          </w:tcPr>
          <w:p w14:paraId="0776548F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45.77</w:t>
            </w:r>
          </w:p>
        </w:tc>
        <w:tc>
          <w:tcPr>
            <w:tcW w:w="1276" w:type="dxa"/>
            <w:noWrap w:val="0"/>
            <w:vAlign w:val="top"/>
          </w:tcPr>
          <w:p w14:paraId="0FCD54FE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</w:tr>
      <w:tr w14:paraId="7465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E5CAEDD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3519" w:type="dxa"/>
            <w:noWrap w:val="0"/>
            <w:vAlign w:val="top"/>
          </w:tcPr>
          <w:p w14:paraId="5084F315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江西知满医疗器械有限公司</w:t>
            </w:r>
          </w:p>
        </w:tc>
        <w:tc>
          <w:tcPr>
            <w:tcW w:w="1276" w:type="dxa"/>
            <w:noWrap w:val="0"/>
            <w:vAlign w:val="top"/>
          </w:tcPr>
          <w:p w14:paraId="182296EE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41.84</w:t>
            </w:r>
          </w:p>
        </w:tc>
        <w:tc>
          <w:tcPr>
            <w:tcW w:w="1276" w:type="dxa"/>
            <w:noWrap w:val="0"/>
            <w:vAlign w:val="top"/>
          </w:tcPr>
          <w:p w14:paraId="332346F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</w:tr>
    </w:tbl>
    <w:p w14:paraId="62DEC576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3. 中标供应商评审总得分：64.00</w:t>
      </w:r>
    </w:p>
    <w:p w14:paraId="1AAB5758">
      <w:pPr>
        <w:spacing w:line="380" w:lineRule="exact"/>
        <w:ind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3</w:t>
      </w:r>
    </w:p>
    <w:p w14:paraId="29D87D41">
      <w:pPr>
        <w:spacing w:line="380" w:lineRule="exact"/>
        <w:ind w:firstLine="420" w:firstLineChars="200"/>
        <w:rPr>
          <w:rFonts w:hint="eastAsia" w:eastAsia="微软雅黑" w:cs="宋体"/>
          <w:kern w:val="0"/>
          <w:lang w:eastAsia="zh-CN"/>
        </w:rPr>
      </w:pPr>
      <w:r>
        <w:rPr>
          <w:rFonts w:hint="eastAsia" w:cs="宋体"/>
          <w:kern w:val="0"/>
        </w:rPr>
        <w:t>未通过资格审查的投标单位及原因：</w:t>
      </w:r>
      <w:r>
        <w:rPr>
          <w:rFonts w:hint="eastAsia" w:ascii="Times New Roman" w:hAnsi="Times New Roman" w:eastAsia="宋体" w:cs="宋体"/>
          <w:kern w:val="0"/>
        </w:rPr>
        <w:t>南宁远景医疗器械有限公司未提供财务状况报表中的附注</w:t>
      </w:r>
      <w:r>
        <w:rPr>
          <w:rFonts w:hint="eastAsia" w:ascii="Times New Roman" w:hAnsi="Times New Roman" w:eastAsia="宋体" w:cs="宋体"/>
          <w:kern w:val="0"/>
          <w:lang w:eastAsia="zh-CN"/>
        </w:rPr>
        <w:t>；</w:t>
      </w:r>
      <w:r>
        <w:rPr>
          <w:rFonts w:hint="eastAsia" w:ascii="Times New Roman" w:hAnsi="Times New Roman" w:eastAsia="宋体" w:cs="宋体"/>
          <w:kern w:val="0"/>
        </w:rPr>
        <w:t>广西墨煊医疗科技有限公司未提供财务状况报表中的附注</w:t>
      </w:r>
      <w:r>
        <w:rPr>
          <w:rFonts w:hint="eastAsia" w:ascii="Times New Roman" w:hAnsi="Times New Roman" w:eastAsia="宋体" w:cs="宋体"/>
          <w:kern w:val="0"/>
          <w:lang w:eastAsia="zh-CN"/>
        </w:rPr>
        <w:t>。</w:t>
      </w:r>
    </w:p>
    <w:p w14:paraId="50E5204F">
      <w:pPr>
        <w:spacing w:line="380" w:lineRule="exact"/>
        <w:ind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4</w:t>
      </w:r>
    </w:p>
    <w:p w14:paraId="48D3659E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1. 未通过资格审查的投标单位及原因</w:t>
      </w:r>
      <w:r>
        <w:rPr>
          <w:rFonts w:hint="eastAsia" w:cs="宋体"/>
          <w:color w:val="auto"/>
          <w:kern w:val="0"/>
        </w:rPr>
        <w:t>：无</w:t>
      </w:r>
    </w:p>
    <w:p w14:paraId="4F9A82C1">
      <w:pPr>
        <w:spacing w:line="380" w:lineRule="exact"/>
        <w:ind w:firstLine="420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2. 未中标的供应商得分与排名：</w:t>
      </w:r>
    </w:p>
    <w:tbl>
      <w:tblPr>
        <w:tblStyle w:val="2"/>
        <w:tblW w:w="6888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76"/>
        <w:gridCol w:w="1276"/>
      </w:tblGrid>
      <w:tr w14:paraId="7EC3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770AF7B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3519" w:type="dxa"/>
            <w:noWrap w:val="0"/>
            <w:vAlign w:val="top"/>
          </w:tcPr>
          <w:p w14:paraId="0321D7EF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供应商名称</w:t>
            </w:r>
          </w:p>
        </w:tc>
        <w:tc>
          <w:tcPr>
            <w:tcW w:w="1276" w:type="dxa"/>
            <w:noWrap w:val="0"/>
            <w:vAlign w:val="top"/>
          </w:tcPr>
          <w:p w14:paraId="7CDEF623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得分</w:t>
            </w:r>
          </w:p>
        </w:tc>
        <w:tc>
          <w:tcPr>
            <w:tcW w:w="1276" w:type="dxa"/>
            <w:noWrap w:val="0"/>
            <w:vAlign w:val="top"/>
          </w:tcPr>
          <w:p w14:paraId="627F980F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排名</w:t>
            </w:r>
          </w:p>
        </w:tc>
      </w:tr>
      <w:tr w14:paraId="3232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EF1713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3519" w:type="dxa"/>
            <w:noWrap w:val="0"/>
            <w:vAlign w:val="top"/>
          </w:tcPr>
          <w:p w14:paraId="3B8E7FA5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开能康德威健康科技（北京）有限责任公司</w:t>
            </w:r>
          </w:p>
        </w:tc>
        <w:tc>
          <w:tcPr>
            <w:tcW w:w="1276" w:type="dxa"/>
            <w:noWrap w:val="0"/>
            <w:vAlign w:val="top"/>
          </w:tcPr>
          <w:p w14:paraId="6D0CBA0E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55.00</w:t>
            </w:r>
          </w:p>
        </w:tc>
        <w:tc>
          <w:tcPr>
            <w:tcW w:w="1276" w:type="dxa"/>
            <w:noWrap w:val="0"/>
            <w:vAlign w:val="top"/>
          </w:tcPr>
          <w:p w14:paraId="1159E25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</w:tr>
      <w:tr w14:paraId="4713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16D6485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3519" w:type="dxa"/>
            <w:noWrap w:val="0"/>
            <w:vAlign w:val="top"/>
          </w:tcPr>
          <w:p w14:paraId="1EA689DF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广西浩喆贸易有限公司</w:t>
            </w:r>
          </w:p>
        </w:tc>
        <w:tc>
          <w:tcPr>
            <w:tcW w:w="1276" w:type="dxa"/>
            <w:noWrap w:val="0"/>
            <w:vAlign w:val="top"/>
          </w:tcPr>
          <w:p w14:paraId="509FD047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43.99</w:t>
            </w:r>
          </w:p>
        </w:tc>
        <w:tc>
          <w:tcPr>
            <w:tcW w:w="1276" w:type="dxa"/>
            <w:noWrap w:val="0"/>
            <w:vAlign w:val="top"/>
          </w:tcPr>
          <w:p w14:paraId="30B7497E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</w:tr>
      <w:tr w14:paraId="2D10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C8DE7CC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  <w:tc>
          <w:tcPr>
            <w:tcW w:w="3519" w:type="dxa"/>
            <w:noWrap w:val="0"/>
            <w:vAlign w:val="top"/>
          </w:tcPr>
          <w:p w14:paraId="052F124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广西都市百姓医疗科技有限公司</w:t>
            </w:r>
          </w:p>
        </w:tc>
        <w:tc>
          <w:tcPr>
            <w:tcW w:w="1276" w:type="dxa"/>
            <w:noWrap w:val="0"/>
            <w:vAlign w:val="top"/>
          </w:tcPr>
          <w:p w14:paraId="1D68B09F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42.96</w:t>
            </w:r>
          </w:p>
        </w:tc>
        <w:tc>
          <w:tcPr>
            <w:tcW w:w="1276" w:type="dxa"/>
            <w:noWrap w:val="0"/>
            <w:vAlign w:val="top"/>
          </w:tcPr>
          <w:p w14:paraId="4B6C0242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4</w:t>
            </w:r>
          </w:p>
        </w:tc>
      </w:tr>
    </w:tbl>
    <w:p w14:paraId="0A632AF7">
      <w:pPr>
        <w:numPr>
          <w:ilvl w:val="0"/>
          <w:numId w:val="0"/>
        </w:num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ascii="Times New Roman" w:hAnsi="Times New Roman" w:cs="宋体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cs="宋体"/>
          <w:kern w:val="0"/>
        </w:rPr>
        <w:t>中标供应商评审总得分：62.05</w:t>
      </w:r>
    </w:p>
    <w:p w14:paraId="550919D8">
      <w:pPr>
        <w:numPr>
          <w:ilvl w:val="0"/>
          <w:numId w:val="0"/>
        </w:numPr>
        <w:spacing w:line="380" w:lineRule="exact"/>
        <w:ind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5</w:t>
      </w:r>
    </w:p>
    <w:p w14:paraId="05029569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1. 未通过资格审查的投标单位及原因</w:t>
      </w:r>
      <w:r>
        <w:rPr>
          <w:rFonts w:hint="eastAsia" w:cs="宋体"/>
          <w:color w:val="auto"/>
          <w:kern w:val="0"/>
        </w:rPr>
        <w:t>：无</w:t>
      </w:r>
    </w:p>
    <w:p w14:paraId="673EF0A3">
      <w:pPr>
        <w:spacing w:line="380" w:lineRule="exact"/>
        <w:ind w:firstLine="420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2. 未中标的供应商得分与排名：</w:t>
      </w:r>
    </w:p>
    <w:tbl>
      <w:tblPr>
        <w:tblStyle w:val="2"/>
        <w:tblW w:w="6888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76"/>
        <w:gridCol w:w="1276"/>
      </w:tblGrid>
      <w:tr w14:paraId="442D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58C3CDD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3519" w:type="dxa"/>
            <w:noWrap w:val="0"/>
            <w:vAlign w:val="top"/>
          </w:tcPr>
          <w:p w14:paraId="0DEA17DA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供应商名称</w:t>
            </w:r>
          </w:p>
        </w:tc>
        <w:tc>
          <w:tcPr>
            <w:tcW w:w="1276" w:type="dxa"/>
            <w:noWrap w:val="0"/>
            <w:vAlign w:val="top"/>
          </w:tcPr>
          <w:p w14:paraId="679078A3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得分</w:t>
            </w:r>
          </w:p>
        </w:tc>
        <w:tc>
          <w:tcPr>
            <w:tcW w:w="1276" w:type="dxa"/>
            <w:noWrap w:val="0"/>
            <w:vAlign w:val="top"/>
          </w:tcPr>
          <w:p w14:paraId="5869A5BD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排名</w:t>
            </w:r>
          </w:p>
        </w:tc>
      </w:tr>
      <w:tr w14:paraId="6FA4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294F035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3519" w:type="dxa"/>
            <w:noWrap w:val="0"/>
            <w:vAlign w:val="top"/>
          </w:tcPr>
          <w:p w14:paraId="1BBCB87C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广西普德净光商贸有限责任公司</w:t>
            </w:r>
          </w:p>
        </w:tc>
        <w:tc>
          <w:tcPr>
            <w:tcW w:w="1276" w:type="dxa"/>
            <w:noWrap w:val="0"/>
            <w:vAlign w:val="top"/>
          </w:tcPr>
          <w:p w14:paraId="29FCD070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51.29</w:t>
            </w:r>
          </w:p>
        </w:tc>
        <w:tc>
          <w:tcPr>
            <w:tcW w:w="1276" w:type="dxa"/>
            <w:noWrap w:val="0"/>
            <w:vAlign w:val="top"/>
          </w:tcPr>
          <w:p w14:paraId="2DBBDFFC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</w:tr>
      <w:tr w14:paraId="4046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4010D07C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3519" w:type="dxa"/>
            <w:noWrap w:val="0"/>
            <w:vAlign w:val="top"/>
          </w:tcPr>
          <w:p w14:paraId="0841FD9F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南宁市玄润医疗科技有限公司</w:t>
            </w:r>
          </w:p>
        </w:tc>
        <w:tc>
          <w:tcPr>
            <w:tcW w:w="1276" w:type="dxa"/>
            <w:noWrap w:val="0"/>
            <w:vAlign w:val="top"/>
          </w:tcPr>
          <w:p w14:paraId="21E48C5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51.05</w:t>
            </w:r>
          </w:p>
        </w:tc>
        <w:tc>
          <w:tcPr>
            <w:tcW w:w="1276" w:type="dxa"/>
            <w:noWrap w:val="0"/>
            <w:vAlign w:val="top"/>
          </w:tcPr>
          <w:p w14:paraId="3755CD59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</w:tr>
      <w:tr w14:paraId="758B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BB4C3B2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  <w:tc>
          <w:tcPr>
            <w:tcW w:w="3519" w:type="dxa"/>
            <w:noWrap w:val="0"/>
            <w:vAlign w:val="top"/>
          </w:tcPr>
          <w:p w14:paraId="7328D60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广西厚志贸易有限公司</w:t>
            </w:r>
          </w:p>
        </w:tc>
        <w:tc>
          <w:tcPr>
            <w:tcW w:w="1276" w:type="dxa"/>
            <w:noWrap w:val="0"/>
            <w:vAlign w:val="top"/>
          </w:tcPr>
          <w:p w14:paraId="5E6D235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41.54</w:t>
            </w:r>
          </w:p>
        </w:tc>
        <w:tc>
          <w:tcPr>
            <w:tcW w:w="1276" w:type="dxa"/>
            <w:noWrap w:val="0"/>
            <w:vAlign w:val="top"/>
          </w:tcPr>
          <w:p w14:paraId="5999FC1A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4</w:t>
            </w:r>
          </w:p>
        </w:tc>
      </w:tr>
    </w:tbl>
    <w:p w14:paraId="28C39106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3. 中标供应商评审总得分：70.00</w:t>
      </w:r>
    </w:p>
    <w:p w14:paraId="27B94F67">
      <w:pPr>
        <w:spacing w:line="380" w:lineRule="exact"/>
        <w:ind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6</w:t>
      </w:r>
    </w:p>
    <w:p w14:paraId="7D79A1D6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1. 未通过资格审查的投标单位及原因：</w:t>
      </w:r>
      <w:r>
        <w:rPr>
          <w:rFonts w:hint="eastAsia" w:cs="宋体"/>
          <w:color w:val="auto"/>
          <w:kern w:val="0"/>
        </w:rPr>
        <w:t>无</w:t>
      </w:r>
    </w:p>
    <w:p w14:paraId="0396D280">
      <w:pPr>
        <w:spacing w:line="380" w:lineRule="exact"/>
        <w:ind w:firstLine="420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2. 未中标的供应商得分与排名：</w:t>
      </w:r>
    </w:p>
    <w:tbl>
      <w:tblPr>
        <w:tblStyle w:val="2"/>
        <w:tblW w:w="6888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76"/>
        <w:gridCol w:w="1276"/>
      </w:tblGrid>
      <w:tr w14:paraId="5002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477BAB94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3519" w:type="dxa"/>
            <w:noWrap w:val="0"/>
            <w:vAlign w:val="top"/>
          </w:tcPr>
          <w:p w14:paraId="25ED57F0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供应商名称</w:t>
            </w:r>
          </w:p>
        </w:tc>
        <w:tc>
          <w:tcPr>
            <w:tcW w:w="1276" w:type="dxa"/>
            <w:noWrap w:val="0"/>
            <w:vAlign w:val="top"/>
          </w:tcPr>
          <w:p w14:paraId="14FA8C61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得分</w:t>
            </w:r>
          </w:p>
        </w:tc>
        <w:tc>
          <w:tcPr>
            <w:tcW w:w="1276" w:type="dxa"/>
            <w:noWrap w:val="0"/>
            <w:vAlign w:val="top"/>
          </w:tcPr>
          <w:p w14:paraId="74B04E14">
            <w:pPr>
              <w:spacing w:line="38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排名</w:t>
            </w:r>
          </w:p>
        </w:tc>
      </w:tr>
      <w:tr w14:paraId="51BE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2720D3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3519" w:type="dxa"/>
            <w:noWrap w:val="0"/>
            <w:vAlign w:val="top"/>
          </w:tcPr>
          <w:p w14:paraId="07945311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梁发医疗器械（淮安）有限公司</w:t>
            </w:r>
          </w:p>
        </w:tc>
        <w:tc>
          <w:tcPr>
            <w:tcW w:w="1276" w:type="dxa"/>
            <w:noWrap w:val="0"/>
            <w:vAlign w:val="top"/>
          </w:tcPr>
          <w:p w14:paraId="2A76A2B2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41.98</w:t>
            </w:r>
          </w:p>
        </w:tc>
        <w:tc>
          <w:tcPr>
            <w:tcW w:w="1276" w:type="dxa"/>
            <w:noWrap w:val="0"/>
            <w:vAlign w:val="top"/>
          </w:tcPr>
          <w:p w14:paraId="564C7CB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</w:tr>
      <w:tr w14:paraId="0AB8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31F6A57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3519" w:type="dxa"/>
            <w:noWrap w:val="0"/>
            <w:vAlign w:val="top"/>
          </w:tcPr>
          <w:p w14:paraId="320074C6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南宁市欣尔康医疗设备有限公司</w:t>
            </w:r>
          </w:p>
        </w:tc>
        <w:tc>
          <w:tcPr>
            <w:tcW w:w="1276" w:type="dxa"/>
            <w:noWrap w:val="0"/>
            <w:vAlign w:val="top"/>
          </w:tcPr>
          <w:p w14:paraId="2A7F5AAA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41.96</w:t>
            </w:r>
          </w:p>
        </w:tc>
        <w:tc>
          <w:tcPr>
            <w:tcW w:w="1276" w:type="dxa"/>
            <w:noWrap w:val="0"/>
            <w:vAlign w:val="top"/>
          </w:tcPr>
          <w:p w14:paraId="39D8C00D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</w:tr>
    </w:tbl>
    <w:p w14:paraId="7144FB36">
      <w:pPr>
        <w:numPr>
          <w:ilvl w:val="0"/>
          <w:numId w:val="0"/>
        </w:numPr>
        <w:spacing w:line="380" w:lineRule="exact"/>
        <w:ind w:left="0" w:leftChars="0"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  <w:sz w:val="21"/>
          <w:szCs w:val="21"/>
          <w:lang w:val="en-US" w:eastAsia="zh-CN" w:bidi="ar-SA"/>
        </w:rPr>
        <w:t>3</w:t>
      </w:r>
      <w:r>
        <w:rPr>
          <w:rFonts w:hint="eastAsia" w:ascii="Times New Roman" w:hAnsi="Times New Roman" w:cs="宋体"/>
          <w:kern w:val="0"/>
          <w:sz w:val="21"/>
          <w:szCs w:val="21"/>
          <w:lang w:val="en-US" w:eastAsia="zh-CN" w:bidi="ar-SA"/>
        </w:rPr>
        <w:t>.</w:t>
      </w:r>
      <w:r>
        <w:rPr>
          <w:rFonts w:hint="eastAsia" w:cs="宋体"/>
          <w:kern w:val="0"/>
        </w:rPr>
        <w:t>中标供应商评审总得分：52.00</w:t>
      </w:r>
    </w:p>
    <w:p w14:paraId="43249C18">
      <w:pPr>
        <w:numPr>
          <w:ilvl w:val="0"/>
          <w:numId w:val="0"/>
        </w:numPr>
        <w:spacing w:line="380" w:lineRule="exact"/>
        <w:ind w:left="0" w:leftChars="0"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</w:rPr>
        <w:t>分标</w:t>
      </w:r>
      <w:r>
        <w:rPr>
          <w:rFonts w:hint="eastAsia" w:hAnsi="宋体"/>
          <w:lang w:val="en-US" w:eastAsia="zh-CN"/>
        </w:rPr>
        <w:t>7</w:t>
      </w:r>
    </w:p>
    <w:p w14:paraId="0A6B20AC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1. 未通过资格审查的投标单位及原因：</w:t>
      </w:r>
      <w:r>
        <w:rPr>
          <w:rFonts w:hint="eastAsia" w:cs="宋体"/>
          <w:color w:val="auto"/>
          <w:kern w:val="0"/>
        </w:rPr>
        <w:t>无</w:t>
      </w:r>
    </w:p>
    <w:p w14:paraId="00240DBC">
      <w:pPr>
        <w:spacing w:line="380" w:lineRule="exact"/>
        <w:ind w:firstLine="420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2. 未中标的供应商得分与排名：</w:t>
      </w:r>
    </w:p>
    <w:tbl>
      <w:tblPr>
        <w:tblStyle w:val="2"/>
        <w:tblW w:w="6888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76"/>
        <w:gridCol w:w="1276"/>
      </w:tblGrid>
      <w:tr w14:paraId="4F3B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273737D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序号</w:t>
            </w:r>
          </w:p>
        </w:tc>
        <w:tc>
          <w:tcPr>
            <w:tcW w:w="3519" w:type="dxa"/>
            <w:noWrap w:val="0"/>
            <w:vAlign w:val="top"/>
          </w:tcPr>
          <w:p w14:paraId="67702A6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供应商名称</w:t>
            </w:r>
          </w:p>
        </w:tc>
        <w:tc>
          <w:tcPr>
            <w:tcW w:w="1276" w:type="dxa"/>
            <w:noWrap w:val="0"/>
            <w:vAlign w:val="top"/>
          </w:tcPr>
          <w:p w14:paraId="03D849C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得分</w:t>
            </w:r>
          </w:p>
        </w:tc>
        <w:tc>
          <w:tcPr>
            <w:tcW w:w="1276" w:type="dxa"/>
            <w:noWrap w:val="0"/>
            <w:vAlign w:val="top"/>
          </w:tcPr>
          <w:p w14:paraId="115039DB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排名</w:t>
            </w:r>
          </w:p>
        </w:tc>
      </w:tr>
      <w:tr w14:paraId="4386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5B3D856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3519" w:type="dxa"/>
            <w:noWrap w:val="0"/>
            <w:vAlign w:val="top"/>
          </w:tcPr>
          <w:p w14:paraId="13D1C8D0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广西厚志贸易有限公司</w:t>
            </w:r>
          </w:p>
        </w:tc>
        <w:tc>
          <w:tcPr>
            <w:tcW w:w="1276" w:type="dxa"/>
            <w:noWrap w:val="0"/>
            <w:vAlign w:val="top"/>
          </w:tcPr>
          <w:p w14:paraId="0C60C5B3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46.15</w:t>
            </w:r>
          </w:p>
        </w:tc>
        <w:tc>
          <w:tcPr>
            <w:tcW w:w="1276" w:type="dxa"/>
            <w:noWrap w:val="0"/>
            <w:vAlign w:val="top"/>
          </w:tcPr>
          <w:p w14:paraId="1F4FA023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</w:tr>
      <w:tr w14:paraId="2B55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28FBE55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3519" w:type="dxa"/>
            <w:noWrap w:val="0"/>
            <w:vAlign w:val="top"/>
          </w:tcPr>
          <w:p w14:paraId="261B4907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广西普德净光商贸有限责任公司</w:t>
            </w:r>
          </w:p>
        </w:tc>
        <w:tc>
          <w:tcPr>
            <w:tcW w:w="1276" w:type="dxa"/>
            <w:noWrap w:val="0"/>
            <w:vAlign w:val="top"/>
          </w:tcPr>
          <w:p w14:paraId="37F4BD48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</w:rPr>
              <w:t>38.00</w:t>
            </w:r>
          </w:p>
        </w:tc>
        <w:tc>
          <w:tcPr>
            <w:tcW w:w="1276" w:type="dxa"/>
            <w:noWrap w:val="0"/>
            <w:vAlign w:val="top"/>
          </w:tcPr>
          <w:p w14:paraId="3C96ABD7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kern w:val="0"/>
              </w:rPr>
            </w:pPr>
            <w:r>
              <w:rPr>
                <w:rFonts w:hint="eastAsia" w:ascii="Times New Roman" w:hAnsi="Times New Roman" w:eastAsia="宋体" w:cs="宋体"/>
                <w:kern w:val="0"/>
                <w:lang w:val="en-US" w:eastAsia="zh-CN"/>
              </w:rPr>
              <w:t>3</w:t>
            </w:r>
          </w:p>
        </w:tc>
      </w:tr>
    </w:tbl>
    <w:p w14:paraId="37D4D30B">
      <w:pPr>
        <w:spacing w:line="380" w:lineRule="exact"/>
        <w:ind w:firstLine="420" w:firstLineChars="200"/>
        <w:rPr>
          <w:rFonts w:hint="eastAsia" w:cs="宋体"/>
          <w:kern w:val="0"/>
        </w:rPr>
      </w:pPr>
      <w:r>
        <w:rPr>
          <w:rFonts w:hint="eastAsia" w:cs="宋体"/>
          <w:kern w:val="0"/>
        </w:rPr>
        <w:t>3. 中标供应商评审总得分：69.55</w:t>
      </w:r>
    </w:p>
    <w:p w14:paraId="326CFE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23B6"/>
    <w:rsid w:val="5C08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2025-10-13T03:49:00Z</dcterms:created>
  <dc:creator>R</dc:creator>
  <cp:lastModifiedBy>R</cp:lastModifiedBy>
  <dcterms:modified xsi:type="dcterms:W3CDTF">2025-10-13T03:49:59Z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67E4161632024D7B98712F85619AB74B_11</vt:lpwstr>
  </property>
  <property fmtid="{D5CDD505-2E9C-101B-9397-08002B2CF9AE}" pid="4" name="KSOTemplateDocerSaveRecord">
    <vt:lpwstr>eyJoZGlkIjoiMGU1NWE3NTA1OGNkNzFiNjUyMDI0YzNkYTI0NGRkN2YiLCJ1c2VySWQiOiIyNzM2ODIwNTYifQ==</vt:lpwstr>
  </property>
</Properties>
</file>