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340" w:after="330" w:line="578" w:lineRule="auto"/>
        <w:jc w:val="center"/>
        <w:outlineLvl w:val="0"/>
        <w:rPr>
          <w:rFonts w:ascii="Times New Roman" w:hAnsi="Times New Roman" w:eastAsia="宋体" w:cs="Times New Roman"/>
          <w:b/>
          <w:bCs/>
          <w:color w:val="auto"/>
          <w:kern w:val="44"/>
          <w:sz w:val="44"/>
          <w:szCs w:val="44"/>
          <w:highlight w:val="none"/>
          <w:lang w:val="zh-CN"/>
        </w:rPr>
      </w:pPr>
      <w:r>
        <w:rPr>
          <w:rFonts w:hint="eastAsia" w:ascii="Cambria" w:hAnsi="Cambria" w:eastAsia="宋体" w:cs="Times New Roman"/>
          <w:b/>
          <w:color w:val="auto"/>
          <w:kern w:val="44"/>
          <w:sz w:val="32"/>
          <w:szCs w:val="32"/>
          <w:highlight w:val="none"/>
          <w:lang w:val="zh-CN"/>
        </w:rPr>
        <w:t>第二章 采购需求</w:t>
      </w:r>
    </w:p>
    <w:p>
      <w:pPr>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bookmarkStart w:id="19" w:name="_GoBack"/>
      <w:bookmarkEnd w:id="19"/>
    </w:p>
    <w:p>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4"/>
          <w:highlight w:val="none"/>
        </w:rPr>
        <w:t>1. 为落实政府采购政策需满足的要求：</w:t>
      </w:r>
    </w:p>
    <w:p>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（1）本竞争性谈判文件所称中小企业必须符合《政府采购促进中小企业发展管理办法》（财库〔2020〕46号）的规定。</w:t>
      </w:r>
    </w:p>
    <w:p>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w:t>
      </w:r>
      <w:r>
        <w:rPr>
          <w:rFonts w:hint="eastAsia" w:ascii="宋体" w:hAnsi="宋体" w:eastAsia="宋体" w:cs="宋体"/>
          <w:b/>
          <w:bCs/>
          <w:color w:val="auto"/>
          <w:szCs w:val="21"/>
          <w:highlight w:val="none"/>
        </w:rPr>
        <w:t>供应商必须在响应文件中提供所竞标产品有效期内的节能产品认证证书复印件（加盖供应商公章），否则响应文件作无效处理</w:t>
      </w:r>
      <w:r>
        <w:rPr>
          <w:rFonts w:hint="eastAsia" w:ascii="宋体" w:hAnsi="宋体" w:eastAsia="宋体" w:cs="宋体"/>
          <w:color w:val="auto"/>
          <w:szCs w:val="21"/>
          <w:highlight w:val="none"/>
        </w:rPr>
        <w:t>。如本项目包含的配套货物属于品目清单内非标注“★”的产品时，应优先采购，具体详见“第四章 评审程序、评审方法和成交标准”。</w:t>
      </w:r>
    </w:p>
    <w:p>
      <w:pPr>
        <w:spacing w:line="440" w:lineRule="exact"/>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 </w:t>
      </w:r>
      <w:r>
        <w:rPr>
          <w:rFonts w:hint="eastAsia" w:ascii="宋体" w:hAnsi="宋体" w:eastAsia="宋体" w:cs="宋体"/>
          <w:b/>
          <w:bCs/>
          <w:color w:val="auto"/>
          <w:szCs w:val="21"/>
          <w:highlight w:val="none"/>
        </w:rPr>
        <w:t>“实质性要求”是指竞争性谈判文件中已经指明不满足则响应文件作无效响应处理的条款，或者不能负偏离的条款，或者采购需求中带“▲”的条款。</w:t>
      </w:r>
    </w:p>
    <w:p>
      <w:pPr>
        <w:tabs>
          <w:tab w:val="left" w:pos="180"/>
          <w:tab w:val="left" w:pos="1620"/>
        </w:tabs>
        <w:spacing w:line="440" w:lineRule="exact"/>
        <w:ind w:firstLine="420" w:firstLineChars="200"/>
        <w:jc w:val="left"/>
        <w:rPr>
          <w:rFonts w:hint="eastAsia" w:ascii="宋体" w:hAnsi="宋体" w:eastAsia="宋体" w:cs="宋体"/>
          <w:b/>
          <w:bCs/>
          <w:color w:val="auto"/>
          <w:highlight w:val="none"/>
        </w:rPr>
      </w:pPr>
      <w:bookmarkStart w:id="0" w:name="PO_3000001871_PM050"/>
      <w:r>
        <w:rPr>
          <w:rFonts w:hint="eastAsia" w:ascii="宋体" w:hAnsi="宋体" w:eastAsia="宋体" w:cs="宋体"/>
          <w:color w:val="auto"/>
          <w:highlight w:val="none"/>
        </w:rPr>
        <w:t>3.</w:t>
      </w:r>
      <w:r>
        <w:rPr>
          <w:rFonts w:hint="eastAsia" w:ascii="宋体" w:hAnsi="宋体" w:eastAsia="宋体" w:cs="宋体"/>
          <w:b/>
          <w:bCs/>
          <w:color w:val="auto"/>
          <w:highlight w:val="none"/>
        </w:rPr>
        <w:t>本项目为货物类采购项目。</w:t>
      </w:r>
    </w:p>
    <w:p>
      <w:pPr>
        <w:tabs>
          <w:tab w:val="left" w:pos="180"/>
          <w:tab w:val="left" w:pos="1620"/>
        </w:tabs>
        <w:spacing w:line="440" w:lineRule="exact"/>
        <w:ind w:left="420" w:leftChars="200" w:firstLine="0" w:firstLineChars="0"/>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序号</w:t>
      </w:r>
      <w:r>
        <w:rPr>
          <w:rFonts w:hint="eastAsia" w:ascii="宋体" w:hAnsi="宋体" w:eastAsia="宋体" w:cs="宋体"/>
          <w:b/>
          <w:bCs/>
          <w:color w:val="auto"/>
          <w:highlight w:val="none"/>
          <w:lang w:val="en-US" w:eastAsia="zh-CN"/>
        </w:rPr>
        <w:t>5</w:t>
      </w:r>
      <w:r>
        <w:rPr>
          <w:rFonts w:hint="eastAsia" w:ascii="宋体" w:hAnsi="宋体" w:eastAsia="宋体" w:cs="宋体"/>
          <w:b/>
          <w:bCs/>
          <w:color w:val="auto"/>
          <w:highlight w:val="none"/>
        </w:rPr>
        <w:t>采购标的对应的中小企业划分标准所属行业名称为建筑业，这1项标的不做中小企业划分要求。其余采购标的对应的中小企业划分标准所属行业名称为工业。</w:t>
      </w:r>
    </w:p>
    <w:p>
      <w:pPr>
        <w:widowControl w:val="0"/>
        <w:tabs>
          <w:tab w:val="center" w:pos="4153"/>
          <w:tab w:val="right" w:pos="8306"/>
        </w:tabs>
        <w:snapToGrid w:val="0"/>
        <w:jc w:val="left"/>
        <w:rPr>
          <w:rFonts w:hint="eastAsia" w:ascii="宋体" w:hAnsi="宋体" w:eastAsia="宋体" w:cs="宋体"/>
          <w:i/>
          <w:iCs/>
          <w:color w:val="auto"/>
          <w:kern w:val="0"/>
          <w:sz w:val="18"/>
          <w:szCs w:val="18"/>
          <w:highlight w:val="none"/>
          <w:u w:val="single"/>
          <w:lang w:val="en-US" w:eastAsia="zh-CN" w:bidi="ar-SA"/>
        </w:rPr>
      </w:pPr>
    </w:p>
    <w:bookmarkEnd w:id="0"/>
    <w:tbl>
      <w:tblPr>
        <w:tblStyle w:val="6"/>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545"/>
        <w:gridCol w:w="1296"/>
        <w:gridCol w:w="1044"/>
        <w:gridCol w:w="669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121" w:type="dxa"/>
            <w:gridSpan w:val="5"/>
            <w:tcBorders>
              <w:top w:val="single" w:color="auto" w:sz="4" w:space="0"/>
              <w:left w:val="single" w:color="auto" w:sz="4" w:space="0"/>
              <w:bottom w:val="nil"/>
              <w:right w:val="single" w:color="auto" w:sz="4" w:space="0"/>
            </w:tcBorders>
            <w:vAlign w:val="center"/>
          </w:tcPr>
          <w:p>
            <w:pPr>
              <w:spacing w:line="360"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分标：/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right w:val="single" w:color="auto" w:sz="4" w:space="0"/>
            </w:tcBorders>
          </w:tcPr>
          <w:p>
            <w:pPr>
              <w:spacing w:line="360" w:lineRule="auto"/>
              <w:jc w:val="center"/>
              <w:rPr>
                <w:rFonts w:hint="eastAsia" w:ascii="宋体" w:hAnsi="宋体" w:eastAsia="宋体" w:cs="宋体"/>
                <w:color w:val="auto"/>
                <w:szCs w:val="21"/>
                <w:highlight w:val="none"/>
              </w:rPr>
            </w:pPr>
          </w:p>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需求一览表</w:t>
            </w:r>
          </w:p>
        </w:tc>
        <w:tc>
          <w:tcPr>
            <w:tcW w:w="54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2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标的名称</w:t>
            </w:r>
          </w:p>
        </w:tc>
        <w:tc>
          <w:tcPr>
            <w:tcW w:w="10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数量及单位</w:t>
            </w:r>
          </w:p>
        </w:tc>
        <w:tc>
          <w:tcPr>
            <w:tcW w:w="6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技术参数及配置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vAlign w:val="center"/>
          </w:tcPr>
          <w:p>
            <w:pPr>
              <w:widowControl/>
              <w:spacing w:line="360" w:lineRule="auto"/>
              <w:jc w:val="left"/>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汽车座椅、车门、顶棚配套实训设备</w:t>
            </w:r>
          </w:p>
        </w:tc>
        <w:tc>
          <w:tcPr>
            <w:tcW w:w="10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1套</w:t>
            </w:r>
          </w:p>
        </w:tc>
        <w:tc>
          <w:tcPr>
            <w:tcW w:w="669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bookmarkStart w:id="1" w:name="OLE_LINK5"/>
            <w:r>
              <w:rPr>
                <w:rFonts w:hint="eastAsia" w:ascii="宋体" w:hAnsi="宋体" w:eastAsia="宋体" w:cs="宋体"/>
                <w:color w:val="auto"/>
                <w:szCs w:val="21"/>
                <w:highlight w:val="none"/>
              </w:rPr>
              <w:t>新能源纯电动实训整车</w:t>
            </w:r>
            <w:bookmarkEnd w:id="1"/>
            <w:r>
              <w:rPr>
                <w:rFonts w:hint="eastAsia" w:ascii="宋体" w:hAnsi="宋体" w:eastAsia="宋体" w:cs="宋体"/>
                <w:color w:val="auto"/>
                <w:szCs w:val="21"/>
                <w:highlight w:val="none"/>
              </w:rPr>
              <w:t>1（1辆）</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长*宽*高(mm)：约4752*1804*1520</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CLTC纯电续航里程(km)：≥410</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电池快充时间(小时)：约0.5</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电池慢充时间(小时)：≤7</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电池快充电量范围(%)：30-80</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最大功率(kW)：≥100</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最大扭矩(N·m)：≥180</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车身结构：4门5座三厢车</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电动机(Ps)：136</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最高车速(km/h)：≥150</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整车质保：四年或15万公里</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整备质量(kg)：约1570</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最大满载质量(kg)：约1977</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电机类型：永磁/同步</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电动机总功率(kW)：≥100</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电动机总马力(Ps)：≥136</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电动机总扭矩(N·m)：≥180</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前电动机最大功率(kW)：≥100</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前电动机最大扭矩(N·m)：≥180</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驱动电机数：单电机</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电机布局：前置</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（二）新能源纯电动实训整车2（3辆）</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长*宽*高(mm):约4765*1837*1515</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能源类型：纯电动</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纯电续航里程(km)：≥420</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电池快充时间(小时)：约0.5</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电池快充电量范围(%)：30-80</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最大功率(kW)：≥100</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最大扭矩(N-m)：≥180</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车身结构4门5座</w:t>
            </w:r>
          </w:p>
          <w:p>
            <w:pPr>
              <w:numPr>
                <w:ilvl w:val="0"/>
                <w:numId w:val="1"/>
              </w:numPr>
              <w:spacing w:line="360" w:lineRule="auto"/>
              <w:jc w:val="left"/>
              <w:rPr>
                <w:rFonts w:ascii="Calibri" w:hAnsi="Calibri" w:eastAsia="宋体" w:cs="Times New Roman"/>
                <w:color w:val="auto"/>
                <w:highlight w:val="none"/>
              </w:rPr>
            </w:pPr>
            <w:r>
              <w:rPr>
                <w:rFonts w:hint="eastAsia" w:ascii="宋体" w:hAnsi="宋体" w:eastAsia="宋体" w:cs="宋体"/>
                <w:color w:val="auto"/>
                <w:szCs w:val="21"/>
                <w:highlight w:val="none"/>
              </w:rPr>
              <w:t>新能源汽车专用检测工具组（4套）</w:t>
            </w:r>
          </w:p>
          <w:p>
            <w:pPr>
              <w:numPr>
                <w:ilvl w:val="255"/>
                <w:numId w:val="0"/>
              </w:numPr>
              <w:spacing w:line="360" w:lineRule="auto"/>
              <w:jc w:val="left"/>
              <w:rPr>
                <w:rFonts w:ascii="Calibri" w:hAnsi="Calibri" w:eastAsia="宋体" w:cs="Times New Roman"/>
                <w:color w:val="auto"/>
                <w:highlight w:val="none"/>
              </w:rPr>
            </w:pPr>
            <w:r>
              <w:rPr>
                <w:rFonts w:hint="eastAsia" w:ascii="Calibri" w:hAnsi="Calibri" w:eastAsia="宋体" w:cs="Times New Roman"/>
                <w:color w:val="auto"/>
                <w:highlight w:val="none"/>
              </w:rPr>
              <w:t>每套</w:t>
            </w:r>
            <w:r>
              <w:rPr>
                <w:rFonts w:hint="eastAsia" w:ascii="宋体" w:hAnsi="宋体" w:eastAsia="宋体" w:cs="宋体"/>
                <w:color w:val="auto"/>
                <w:szCs w:val="21"/>
                <w:highlight w:val="none"/>
              </w:rPr>
              <w:t>检测工具组包含：</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1.新能源专用万用表</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2.新能源专用钳形表</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3.绝缘电阻测试仪</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4.电池内阻测试仪</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5.示波器</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6.人员防护套装：</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人员防护套装包括绝缘手套、耐磨手套、绝缘鞋、护目镜、安全帽等各1套</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7.工位安全防护套装：</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工位安全防护套装包括警示牌、隔离带套装、绝缘防护垫等各1套</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8.万用接线盒</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包含各种规格的“T”型线，能满足竞赛整车系统的所有保险丝、继电器、元器件插接测量之用，要有足够的通流能力和可重复插接使用能力。</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9.检测工具车：</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采用六层工具车、设计EVA托放置对应仪器仪表，工具车配有可移动带刹车万向脚轮，方便移动和固定。</w:t>
            </w:r>
          </w:p>
          <w:p>
            <w:pPr>
              <w:numPr>
                <w:ilvl w:val="0"/>
                <w:numId w:val="1"/>
              </w:numPr>
              <w:spacing w:line="360" w:lineRule="auto"/>
              <w:jc w:val="left"/>
              <w:rPr>
                <w:rFonts w:ascii="Calibri" w:hAnsi="Calibri" w:eastAsia="宋体" w:cs="Times New Roman"/>
                <w:color w:val="auto"/>
                <w:highlight w:val="none"/>
              </w:rPr>
            </w:pPr>
            <w:r>
              <w:rPr>
                <w:rFonts w:hint="eastAsia" w:ascii="宋体" w:hAnsi="宋体" w:eastAsia="宋体" w:cs="宋体"/>
                <w:color w:val="auto"/>
                <w:szCs w:val="21"/>
                <w:highlight w:val="none"/>
              </w:rPr>
              <w:t>新能源汽车专用绝缘工具组（4套）</w:t>
            </w:r>
          </w:p>
          <w:p>
            <w:pPr>
              <w:numPr>
                <w:ilvl w:val="255"/>
                <w:numId w:val="0"/>
              </w:numPr>
              <w:spacing w:line="360" w:lineRule="auto"/>
              <w:jc w:val="left"/>
              <w:rPr>
                <w:rFonts w:ascii="Calibri" w:hAnsi="Calibri" w:eastAsia="宋体" w:cs="Times New Roman"/>
                <w:color w:val="auto"/>
                <w:highlight w:val="none"/>
              </w:rPr>
            </w:pPr>
            <w:r>
              <w:rPr>
                <w:rFonts w:hint="eastAsia" w:ascii="Calibri" w:hAnsi="Calibri" w:eastAsia="宋体" w:cs="Times New Roman"/>
                <w:color w:val="auto"/>
                <w:highlight w:val="none"/>
              </w:rPr>
              <w:t>每套</w:t>
            </w:r>
            <w:r>
              <w:rPr>
                <w:rFonts w:hint="eastAsia" w:ascii="宋体" w:hAnsi="宋体" w:eastAsia="宋体" w:cs="宋体"/>
                <w:color w:val="auto"/>
                <w:szCs w:val="21"/>
                <w:highlight w:val="none"/>
              </w:rPr>
              <w:t>绝缘工具组包含：</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1、工具车</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2、11件套绝缘工具组</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3、18件套绝缘螺丝起子组</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4、29件套绝缘棘轮套筒扳手组</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5、40件套绝缘棘轮套筒扳手组</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6、扭力扳手组</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（五）交流充电桩（2套）</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一、主要功能</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1、支持IC卡进行身份验证，完成充电交易，具有完备的卡片管理系统。</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2、支持以太网，扫二维码进入APP进行充电交易，支持扩展GPRS通讯。</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3、可根据用户需求，选择自动充满、按时间、按电量、按金额等充电操作模式。</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4、具有7寸显示屏，实时显示充电状态。</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5、具有电源、充电、故障三种状态指示。</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6、完善的安全防护功能，具有短路、过流、过压、漏电保护，防雷保护。</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（六）新能源汽车专用诊断仪（2套）</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1.新能源车专用综合性诊断设备，掩盖95%以上新能源车型，诊断精准度高。</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2.专注新能源车诊断，支持电池包诊断，电池包动态分析，新能源车诊断等功能。</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3.搭配全新升级版SmartLinkCV2.0诊断盒，可实现本地诊断和SmartLink远程诊断的双诊断模式。</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4.支持扩展模块:EM101新能源示波万用表，EG100新能源检测电流钳，ADAS.胎压诊断等扩展模块。</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5.安卓10.0系统，10.1英寸阳光可读大猩猩屏，4GB+64GB大存储:诊断效率高。</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6.大功率电池6300mAh @7.6V，续航能力大幅提升。</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7.全新工业设计，适合新能源汽车维修工作环境。</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（七）龙门举升机（3台）</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举升重量≥ 4000kg</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最低高度 100mm</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最大举升高度≥ 1920mm</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举升时间 50s</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下降时间 30s</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总高</w:t>
            </w:r>
            <w:bookmarkStart w:id="2" w:name="OLE_LINK4"/>
            <w:r>
              <w:rPr>
                <w:rFonts w:hint="eastAsia" w:ascii="宋体" w:hAnsi="宋体" w:eastAsia="宋体" w:cs="宋体"/>
                <w:color w:val="auto"/>
                <w:szCs w:val="21"/>
                <w:highlight w:val="none"/>
              </w:rPr>
              <w:t>约</w:t>
            </w:r>
            <w:bookmarkEnd w:id="2"/>
            <w:r>
              <w:rPr>
                <w:rFonts w:hint="eastAsia" w:ascii="宋体" w:hAnsi="宋体" w:eastAsia="宋体" w:cs="宋体"/>
                <w:color w:val="auto"/>
                <w:szCs w:val="21"/>
                <w:highlight w:val="none"/>
              </w:rPr>
              <w:t>4194mm</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柱内宽度约2900mm</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总宽约3756mm</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（八）精品课程制作</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精品课程制作</w:t>
            </w:r>
            <w:r>
              <w:rPr>
                <w:rFonts w:hint="eastAsia" w:ascii="宋体" w:hAnsi="宋体" w:eastAsia="宋体" w:cs="宋体"/>
                <w:color w:val="auto"/>
                <w:szCs w:val="21"/>
                <w:highlight w:val="none"/>
              </w:rPr>
              <w:tab/>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一、建设内容</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（1）制作慕课视频不少于200分钟时长的视频</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二、富媒体化内容</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▲（1）授课内容：以授课视频为主，还包括PPT+授课录音，PPT+录音等形式。支持通用流媒体视频格式，支持高清分辨率，视频支持mp4、AVI、FLV、mov 、ASF等主流高清格式。</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（2）参考文献：应提供课程的参考文献，提供电子版，学生与教师均可在线打开阅读，支持WORD、PPT等文档格式在线预览。</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（3）教学目标：课程应提供明确的教学目标。</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（4）教学大纲：课程应提供明确的教学大纲。</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（5）教学任务：应根据教学大纲制定教学任务，可包含授课视频播放、参考资料阅读、讨论、作业、考试等各种任务类型，根据需要选择。</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（6）考核办法：课程应提供明确的考核办法，分为知识单元考核与课程整体考核两种。</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（7）作业考试：课程应建设题库，用于作业及考试，考试题包括判断、选择等客观题，也可包含主观题。</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（8）课程素材：课程还应提供文本、音频、视频等课程参考素材，帮助学生理解所学课程内容。</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三、知识单元化</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（1）视频单元时长：将多个相关知识点融合入一个视频，视频时间以5</w:t>
            </w:r>
            <w:r>
              <w:rPr>
                <w:rFonts w:hint="eastAsia" w:ascii="Calibri" w:hAnsi="Calibri" w:eastAsia="宋体" w:cs="Times New Roman"/>
                <w:color w:val="auto"/>
                <w:highlight w:val="none"/>
              </w:rPr>
              <w:t>～</w:t>
            </w:r>
            <w:r>
              <w:rPr>
                <w:rFonts w:hint="eastAsia" w:ascii="宋体" w:hAnsi="宋体" w:eastAsia="宋体" w:cs="宋体"/>
                <w:color w:val="auto"/>
                <w:szCs w:val="21"/>
                <w:highlight w:val="none"/>
              </w:rPr>
              <w:t>15分钟。</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（2）知识单元篇头：知识单元授课内容之前加上课程篇头。</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（3）知识单元内容：每个知识单元包含这一个知识单元的视频（含授课视频等）、参考资料、作业题、考试题等内容。</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（4）知识单元任务：每个知识单元的内容可转化为学生的学习任务（可以选择）。</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（5）知识单元考核：每个知识单元设置考核点，包括作业、讨论等。</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四、学习流程管理</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▲课程具有完善的学习流程管理功能，实现学生在线学习、视频播放、讨论答疑、作业、考试等功能。</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五、精品课程建设中的图、文、音视频技术</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（1）能够实现在一个页面中同时展示多个视频；一个页面中同时展示视频、Word文档、PPT、图片、教参书等多种教学元素。</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（2）图、文、音视频可以在网页的任何位置原位插入和展示。Word和PPT可以原位实现放大、缩小、搜索、全屏、翻页。</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（3）一次转码，支持多终端、多码流的自动适配。</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（4）音视频傻瓜式在线剪辑技术。</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六、在线精品课程运维功能参数</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1.简洁操作：课程网站建设只需通过“选择模板、编辑课程信息、编辑课程章节”等几个简单的步骤，就可以快速地建成一门课程或符合精品资源共享课程要求的个性化课程网站。</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2.提供课程模板：提供多套精美网络课程建课模板，教师可依据个人资料的丰富程度及喜欢的风格进行个性化的设置，支持教师在建课程自动生成课程网站。</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课程编辑页面设置：课程编辑页面操作简单、灵活方便、原位编辑、所见即所得。可以发布通告、课程资料、任务、教学资源链接、教师简介等信息。可以任意编写和设置课程的介绍、封面、教学要求、教师团队等等，并支持模块的添加、删除和位置调整，支持是否公开显示的设置。</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4.支持克隆课程，克隆后将产生当前课程的一个副本，可以克隆本课程给他人或者自己。支持映射课程：映射的课程不允许对课程内容进行编辑。</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5.课程共建：课程负责人可指派其他人作为具有同等或者小于本身课程建设管理权限的课程建设者共建同一门课程，也可为自己指定助教辅助自己进行课程建设和教学管理。</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▲6.教材教参:教师可以从备课资源库中查找并添加课程相关的教学参考书，推荐给学生直接进行在线阅读。</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7.教学流程管理：支持课程教学流程管理，可在课程学习过程中任意位置添加随堂测验，可在单元学习完成后布置作业，可以在章节学习完成后安排考试。</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8.推荐视频：教师可以从备课资源库中查找并添加课程相关的学术视频，推荐给学生直接进行在线观看。 </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课堂投屏：支持只需在PC浏览器中输入简单的网址，填入为每堂课生成的专属“投屏码”，即可实现教学内容的无线投屏。通过投屏，可将PPT、文档等教学资料，以及签到、选人、抢答、投票、主题讨论等教学互动过程与结果，实现上墙展示。</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10.视频自动转码：支持rmvb、3gp、mpg、mpeg、mov、wmv、asf、avi、mkv、mp4、flv、vob、f4v等高清和网络格式视频上传，视频上传后自动转码，无需下载可以直接在线进行播放。</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▲11.自动转码阅读：支持多种文档格式的上传，包括DOC、PPT、PDF、TXT等，上传后自动转码，无需下载可以直接在线阅读。（需在响应文件中提供相应的证明材料并加盖供应商公章）。</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12.超大文件上传；支持超大文件（2G以上）上传并可断点续传。</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13.个人云盘：支持将资源先批量上传至个人云盘中，然后在课程中引用。</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▲14.在线虚拟剪辑：支持在线虚拟剪辑视频：上传视频后，可以在任意时间点在线标注，无需物理剪切视频，即可实现任意视频段落在任意章节播放。</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15.视频编辑：支持视频中任意时间点插入测验：上传视频后，可以在任意时间点插入测试题，包含单选题、多选题和对错题。</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16.视频集成: 支持视频中任意时间点插入图片或PPT：可以在任意时间点插入图片或PPT，同时支持对插入的内容在时间轴上随意拖动。插入的PPT可以任意拖动位置，并可以跟视频窗口进行切换。</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17.公式编辑器: 提供可视化的公式编辑器，可以在线进行公式的录入与编辑。</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18.支持扫描二维码、手势、定位、拍照等签到方式，提高签到效率。</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19.知识点拓展阅读: 知识点拓展阅读功能，可以根据一个关键词自动生成相关知识点的知识树，插入到课程单元中，并自动推送知识点相关的电子图书、期刊、学术视频等。</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20.支持生成试卷分析报告，报告中需至少包含试卷难度、区分度统计，成绩正态分布，成绩标准差、方差、试卷信度等分析数据项。</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21.发布考试支持自动随机组卷，组多套试卷时，可设置试卷试题重复率为0、不高于50%、不高于80%等，系统可自动检测组卷重复率是否达标，并给出提示。 </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22.支持设置试卷导出模板，可设置试卷装订线、试卷页头页尾、考试承诺书、试卷页码、打印效果（A3、A4、B4版式）等，导出试卷时可一并导出答题卡，答案解析等。</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23.支持不借助任何第三方投屏软件，通过移动端投屏功能把移动端图片、文档、课程相关图片、视频资源直接在投在电脑屏幕上展示。</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24.移动端和PC端均内置示范教学包，教师可使用教学示范包在移动端建课教学，示范教学包包含章节视频、课件、资料、试题库，可以根据学校属性选择、修改。</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25.支持在课程章节中插入直播教学，可对直播方式进行设置，包括pc客户端直播、app直播或推流直播等，所有已添加直播由个人直播管理后台统一管理。</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26.支持在线创建知识点，知识点支持手动创建与批量导入；支持一键引用其它课程知识点。（系统支持编辑知识点属性，设置教学目标；设置认知维度，如记忆维度、应用维度、创造维度等，支持设置前后关联知识点。）</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27.支持教师导出学生综合成绩，同时支持成绩分项导出，成绩分项至少支持讨论详情、作业详情、考试详情、音视频观看详情、章节测验详情等，并在线发放电子证书。</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28.教师通过点击课表中课程，可直接进入课程详情页面，支持编辑上课方式、上课地点，可在课表中直接发起课堂签到、课堂投票、选人、抢答等课堂活动；支持班级学生管理、教学日志编写、教案编写。</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29.支持课程资源编辑器，编辑器需适应教师使用word/wps等软件习惯，支持设置字体颜色修改、行距、格式设置，支持文本格式刷。</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30.支持教学视频任意时间点插入课程知识图谱中已建设完成的知识点，并拖动修改位置；支持教学视频任意时间点插入批注，批注可在线编辑。</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31.支持记录笔记功能：学生可以通过图片、录音、文字、链接、位置等方式记录学习内容，同时录音内容支持实时智能识别，转换成文字内容；并且支持打点记录学习或会议内容。（需在响应文件中提供相应的证明材料并加盖供应商公章）</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32.教师可对课程中的资源，包括视频、音频、文档、图书、章节测验等进行知识点标记，学生可在课程学习时查看到不同资源关联的知识点标签。教师可查看班级知识点掌握率分析统计，并支持查看知识点掌握率详情；可查看学生之间对于不同知识点掌握率对比分析，支持查看到某一位学生的知识点掌握详情统计，可以查看每个知识点的课程资源和系统推荐的拓展资源。</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33.支持自定义创建门户时，可选择平台提供的门户模板，至少提供20个不同风格模板供选择。支持管理员用户自定义设置门户访问权限，无需权限或必须登录后访问；可自定义设置学校门户域名。</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七、专业人员、设备技术条件</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▲（1）课程制作团队至</w:t>
            </w:r>
            <w:bookmarkStart w:id="3" w:name="OLE_LINK13"/>
            <w:r>
              <w:rPr>
                <w:rFonts w:hint="eastAsia" w:ascii="宋体" w:hAnsi="宋体" w:eastAsia="宋体" w:cs="宋体"/>
                <w:color w:val="auto"/>
                <w:szCs w:val="21"/>
                <w:highlight w:val="none"/>
              </w:rPr>
              <w:t>少包含</w:t>
            </w:r>
            <w:bookmarkEnd w:id="3"/>
            <w:r>
              <w:rPr>
                <w:rFonts w:hint="eastAsia" w:ascii="宋体" w:hAnsi="宋体" w:eastAsia="宋体" w:cs="宋体"/>
                <w:color w:val="auto"/>
                <w:szCs w:val="21"/>
                <w:highlight w:val="none"/>
              </w:rPr>
              <w:t>课程经理、课程顾问（编导）、视频工程师、课程专员各一名。</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（2）课程顾问须为教师提供混合式教学方法的在线视频学习指导。课程制作团队应与每个课程的教学团队进行深度沟通，为每门课程的建设提供个性化的设计和咨询服务。</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课程结构的设计：课程制作团队“多对一”与老师进行课程结构的设计研讨，为老师提供课程碎片化、层次化、主题化的设计指导，商定课程学时安排、章节结构、教学大纲、知识点、教学重点、教学课件、具体的拍摄单元等内容，形成各种工作表单和课程资源体系。</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（4）教学方法的设计：帮助老师进行适合在线课程的教学方法设计，包括课堂面授、直观教学、角色模拟、操作演示、讨论互动等教学方法设计。</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（5）教学风格的塑造：指导老师塑造理性严谨、情绪感染、自然朴素、风趣幽默等类型的教学风格。</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（6）教学仪态的设计：为教师提供教师形象、教学动作、教学语言等咨询与建议，辅导老师适应镜头，辅导老师进行着装选择。</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安排专人协助教师搜集各类课程资料和辅助资源，包括图片、视频、文档等。</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（7）指导老师美化加工PPT课件。</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（8）根据课程需要，拍摄基地须提供多种拍摄场地，进行教学场景的设计及布景。</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▲（9）根据课程性质，课程制作团队与教师一起确定课程最合理的拍摄方式，提供不少于以下几种的拍摄模式供老师选择，特殊课程可根据老师课程框架设计更多拍摄模式，一门课程可以采用多种拍摄模式：</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①PPT模式 ：在摄影棚内拍摄，全程PPT演示。</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②访谈模式 ：在摄影棚内拍摄，根据访谈人数，设定机位数，一般2-3机位，教学过程由多位老师交流讨论完成。适合启发性的、思维拓展和发散的学科课程。</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③演示模式 ：在摄影棚内多机位拍摄，通过实际操作演示、讲解，完成教学过程。</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④场景实操模式 ：根据老师课程需求，选择在特定拍摄场地，多机位拍摄。</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⑤随堂拍摄模式：随堂拍摄，多机位拍摄，记录老师讲课现场风采。</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（10）视频工程师与教师充分沟通并制定完善的课程拍摄计划。</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（11）结合老师的讲稿，编写拍摄脚本。</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（12）根据拍摄计划，按照不同的场景、要求，进行前期准备，配合老师进行特殊拍摄需求的准备，和老师确定准备材料。与老师沟通说明拍摄要求，并协助提供着装意见。</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（13）按照拍摄方案要求，设计拍摄场景并安排布景和调试灯光。</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八、后期制作技术要求</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（1）使用专业的非线性编辑系统对源视频进行最基本的处理（如抠像、颜色校正、双声道处理）。使用专业的视频编辑系统进行视频降噪、音频降噪。</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（2）按照拍摄方案，不同的拍摄模式采用不同的制作方式，例如，PPT模式需分章节剪辑，基地访谈模式按照老师讲解的内容变换机位等。</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片头：使用专业的后期合成软件进行片头设计：用平面设计+后期合成+3D渲染，根据每个课题的内容设计出相关联的内容元素，片头不超过10秒，包括:学校LOGO、课程名称、讲次、主讲教师姓名、专业技术职务、单位等信息。</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（4）课程内容剪辑：技术工程师通篇观看视频，按照章节框架、以及现场场记情况，分章节剪辑老师状态不佳、口误、出镜、停顿等片段。实操部分添加必要的背景音乐。</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（5）片花：使用专业的后期合成软件进行片花设计，片花长度为1-3分钟，保证制作的片花无错误、无硬伤，画面美观，排版规范、逻辑完整，能呈现课程特色。</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（6）使用专业的后期合成软件制作片尾：根据课程的版权信息，制定片尾，包括版权单位、制作单位、录制时间等信息。</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（7）使用专业非线性编辑系统渲染成片：所有内容编辑结束之后，生成成片，成品为高清制式。</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九、技术指标</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（1）视频信号源</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①稳定性：全片图像同步性能稳定，无失步现象，CTL同步控制信号必须连续；图像无抖动跳跃，色彩无突变，编辑点处图像稳定。</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②信噪比：图像信噪比不低于55dB，无明显杂波。</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③色调：白平衡正确，无明显偏色，多机拍摄的镜头衔接处无明显色差。</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④视频电平：视频全讯号幅度为1Vp-p，最大不超过1.1Vp-p。其中，消隐电平为0V时，白电平幅度0.7 Vp-p，同步信号-0.3V，色同步信号幅度0.3Vp-p （以消隐线上下对称），全片一致。</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（2）音频信号源</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①声道：中文内容音频信号记录于第1声道，音乐、音效、同期声记录于第2声道，若有其他文字解说记录于第3声道（如录音设备无第3声道，则录于第2声道）。</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②电平指标：-2dB— -8dB，声音应无明显失真、放音过冲、过弱。</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③音频信噪比不低于48dB。</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④声音和画面要求同步，无交流声或其他杂音等缺陷。</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⑤伴音清晰、饱满、圆润，无失真、噪声杂音干扰、音量忽大忽小现象。解说声与现场声无明显比例失调，解说声与背景音乐无明显比例失调。</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（3）视频文件格式</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①视频压缩采用H.264(MPEG-4Part10：profile=main,level=3.0)编码、使用二次编码、不包含字幕的 MP4格式。</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②视频码流率：动态码流的最高码率不高于2500 Kbps，最低码率不得低于1024Kbps。</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③▲视频分辨率：前期采用高清16:9拍摄，设定为 1280×720。在同一课程中，各讲的视频分辨率统一，统一高清。</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④视频画幅宽高比：分辨率设定为 1280×720的，选定为16:9。在同一课程中，各讲画幅的宽高比统一。</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⑤视频帧率为25帧/秒。扫描方式采用逐行扫描。</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⑥音频压缩格式及技术参数：音频压缩采用AAC(MPEG4 Part3)格式，采样率48KHz，音频码流率128Kbps (恒定)，必须是双声道，必须做混音处理。</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⑦视频格式采用MP4封装。</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十、其他服务：</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（1）在线精品课程培育和指导。</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（2）视频拍摄脚本、技巧培训和研讨。</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（3）课程推广协助，推荐到全国开发平台。</w:t>
            </w:r>
          </w:p>
          <w:p>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（4）课程运维平台技术支持。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vAlign w:val="center"/>
          </w:tcPr>
          <w:p>
            <w:pPr>
              <w:widowControl/>
              <w:spacing w:line="360" w:lineRule="auto"/>
              <w:jc w:val="left"/>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2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汽车后备箱、</w:t>
            </w:r>
            <w:bookmarkStart w:id="4" w:name="OLE_LINK3"/>
            <w:r>
              <w:rPr>
                <w:rFonts w:hint="eastAsia" w:ascii="宋体" w:hAnsi="宋体" w:eastAsia="宋体" w:cs="宋体"/>
                <w:color w:val="auto"/>
                <w:szCs w:val="21"/>
                <w:highlight w:val="none"/>
              </w:rPr>
              <w:t>安全气囊中</w:t>
            </w:r>
            <w:bookmarkEnd w:id="4"/>
            <w:r>
              <w:rPr>
                <w:rFonts w:hint="eastAsia" w:ascii="宋体" w:hAnsi="宋体" w:eastAsia="宋体" w:cs="宋体"/>
                <w:color w:val="auto"/>
                <w:szCs w:val="21"/>
                <w:highlight w:val="none"/>
              </w:rPr>
              <w:t>、脚垫配套实训设备</w:t>
            </w:r>
          </w:p>
        </w:tc>
        <w:tc>
          <w:tcPr>
            <w:tcW w:w="10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1套</w:t>
            </w:r>
          </w:p>
        </w:tc>
        <w:tc>
          <w:tcPr>
            <w:tcW w:w="6691" w:type="dxa"/>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（一）新能源纯电动实训整车（2辆）</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长*宽*高(mm):约4765*1837*1515</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能源类型：纯电动</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纯电续航里程(km)：≥420</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电池快充时间(小时)：约0.5</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电池快充电量范围(%)：30-80</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最大功率(kW)：≥100</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最大扭矩(N-m)：≥180</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车身结构4门5座</w:t>
            </w:r>
          </w:p>
          <w:p>
            <w:pPr>
              <w:snapToGrid w:val="0"/>
              <w:spacing w:line="360" w:lineRule="auto"/>
              <w:jc w:val="left"/>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w:t>
            </w:r>
            <w:bookmarkStart w:id="5" w:name="OLE_LINK15"/>
            <w:r>
              <w:rPr>
                <w:rFonts w:hint="eastAsia" w:ascii="Times New Roman" w:hAnsi="Times New Roman" w:eastAsia="宋体" w:cs="Times New Roman"/>
                <w:color w:val="auto"/>
                <w:szCs w:val="21"/>
                <w:highlight w:val="none"/>
              </w:rPr>
              <w:t>配套云服务平台中</w:t>
            </w:r>
            <w:bookmarkEnd w:id="5"/>
            <w:r>
              <w:rPr>
                <w:rFonts w:hint="eastAsia" w:ascii="Calibri" w:hAnsi="Calibri" w:eastAsia="宋体" w:cs="Times New Roman"/>
                <w:color w:val="auto"/>
                <w:highlight w:val="none"/>
              </w:rPr>
              <w:t>需</w:t>
            </w:r>
            <w:r>
              <w:rPr>
                <w:rFonts w:hint="eastAsia" w:ascii="Times New Roman" w:hAnsi="Times New Roman" w:eastAsia="宋体" w:cs="Times New Roman"/>
                <w:color w:val="auto"/>
                <w:szCs w:val="21"/>
                <w:highlight w:val="none"/>
              </w:rPr>
              <w:t>包含课程标准、进度计划、教学方案，PPT课件、物料清单、信息页、工作页等课程资源提供下载和打印功能；单个教学任务同时具备三种不同格式的资源呈现方式（文件夹式、鱼骨图式、时间轴式）。需在</w:t>
            </w:r>
            <w:r>
              <w:rPr>
                <w:rFonts w:hint="eastAsia" w:ascii="Calibri" w:hAnsi="Calibri" w:eastAsia="宋体" w:cs="Times New Roman"/>
                <w:color w:val="auto"/>
                <w:highlight w:val="none"/>
              </w:rPr>
              <w:t>首次响应文件中</w:t>
            </w:r>
            <w:r>
              <w:rPr>
                <w:rFonts w:hint="eastAsia" w:ascii="Times New Roman" w:hAnsi="Times New Roman" w:eastAsia="宋体" w:cs="Times New Roman"/>
                <w:color w:val="auto"/>
                <w:szCs w:val="21"/>
                <w:highlight w:val="none"/>
              </w:rPr>
              <w:t>提供</w:t>
            </w:r>
            <w:bookmarkStart w:id="6" w:name="OLE_LINK17"/>
            <w:r>
              <w:rPr>
                <w:rFonts w:hint="eastAsia" w:ascii="Times New Roman" w:hAnsi="Times New Roman" w:eastAsia="宋体" w:cs="Times New Roman"/>
                <w:color w:val="auto"/>
                <w:szCs w:val="21"/>
                <w:highlight w:val="none"/>
              </w:rPr>
              <w:t>相应的证明材料并加盖供应商公章</w:t>
            </w:r>
            <w:bookmarkEnd w:id="6"/>
            <w:r>
              <w:rPr>
                <w:rFonts w:hint="eastAsia" w:ascii="Times New Roman" w:hAnsi="Times New Roman" w:eastAsia="宋体" w:cs="Times New Roman"/>
                <w:color w:val="auto"/>
                <w:szCs w:val="21"/>
                <w:highlight w:val="none"/>
              </w:rPr>
              <w:t>。</w:t>
            </w:r>
          </w:p>
          <w:p>
            <w:pPr>
              <w:snapToGrid w:val="0"/>
              <w:spacing w:line="360" w:lineRule="auto"/>
              <w:jc w:val="left"/>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产品考核系统与教育部公布的汽车相关1+X证书评价机构（如北京卓创至诚技术有限公司、北京中车行高新技术有限公司、中德诺浩(北京)教育科技股份有限公司、国汽(北京)智能网联汽车研究院有限公司等）后台对接，有进行身份识别、线上评分、线上统分、自动提交等功能，系统能自动生成电子版1+X证书。需在</w:t>
            </w:r>
            <w:r>
              <w:rPr>
                <w:rFonts w:hint="eastAsia" w:ascii="Calibri" w:hAnsi="Calibri" w:eastAsia="宋体" w:cs="Times New Roman"/>
                <w:color w:val="auto"/>
                <w:highlight w:val="none"/>
              </w:rPr>
              <w:t>首次响应文件中</w:t>
            </w:r>
            <w:r>
              <w:rPr>
                <w:rFonts w:hint="eastAsia" w:ascii="Times New Roman" w:hAnsi="Times New Roman" w:eastAsia="宋体" w:cs="Times New Roman"/>
                <w:color w:val="auto"/>
                <w:szCs w:val="21"/>
                <w:highlight w:val="none"/>
              </w:rPr>
              <w:t>提供证明材料并加盖供应商公章。</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（二）新能源纯混动实训整车（2辆）</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级别：紧凑型车</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能源类型：插电式混合动力</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变速箱：E-CVT无级变速</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车身结构：4门5座三厢车</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发动机：1.5L 101马力 L4</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电动机(Ps)：163</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长*宽*高(mm)：约4780*1837*1515</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官方0-100km/h加速(s)：7.6</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轴距(mm)：约2718</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前轮距(mm)：约1580</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后轮距(mm)：约1590</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接近角(°)：13</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离去角(°)：16</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最小转弯半径(m)：5.5</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车身结构：三厢车</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车门开启方式：平开门</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每缸气门数(个)：4</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配气机构：DOHC</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最大马力(Ps)：≥101</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最大功率(kW)：≥74</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（三）信号实务平台（1套）</w:t>
            </w:r>
          </w:p>
          <w:p>
            <w:pPr>
              <w:tabs>
                <w:tab w:val="left" w:pos="101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轨道信号专用道岔转换设备</w:t>
            </w:r>
          </w:p>
          <w:p>
            <w:pPr>
              <w:tabs>
                <w:tab w:val="left" w:pos="101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转辙机</w:t>
            </w:r>
          </w:p>
          <w:p>
            <w:pPr>
              <w:tabs>
                <w:tab w:val="left" w:pos="101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具体技术参数如下：</w:t>
            </w:r>
          </w:p>
          <w:p>
            <w:pPr>
              <w:tabs>
                <w:tab w:val="left" w:pos="101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电源电压AC三相:380V；</w:t>
            </w:r>
          </w:p>
          <w:p>
            <w:pPr>
              <w:tabs>
                <w:tab w:val="left" w:pos="101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额定转换力：2.5/4.2kN；</w:t>
            </w:r>
          </w:p>
          <w:p>
            <w:pPr>
              <w:tabs>
                <w:tab w:val="left" w:pos="101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动程：220/150mm；</w:t>
            </w:r>
          </w:p>
          <w:p>
            <w:pPr>
              <w:tabs>
                <w:tab w:val="left" w:pos="101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工作电流：≤2A；</w:t>
            </w:r>
          </w:p>
          <w:p>
            <w:pPr>
              <w:tabs>
                <w:tab w:val="left" w:pos="101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动作时间:≤5.8s。</w:t>
            </w:r>
          </w:p>
          <w:p>
            <w:pPr>
              <w:tabs>
                <w:tab w:val="left" w:pos="101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信号机：</w:t>
            </w:r>
          </w:p>
          <w:p>
            <w:pPr>
              <w:tabs>
                <w:tab w:val="left" w:pos="101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信号机</w:t>
            </w:r>
          </w:p>
          <w:p>
            <w:pPr>
              <w:tabs>
                <w:tab w:val="left" w:pos="101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采用符合现场实际应用规范的真实信号机。矮柱型三显示色灯信号机。</w:t>
            </w:r>
          </w:p>
          <w:p>
            <w:pPr>
              <w:tabs>
                <w:tab w:val="left" w:pos="101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LED发光管额定工作电流：20mA；</w:t>
            </w:r>
          </w:p>
          <w:p>
            <w:pPr>
              <w:tabs>
                <w:tab w:val="left" w:pos="101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光源额定输入电流：120mA；</w:t>
            </w:r>
          </w:p>
          <w:p>
            <w:pPr>
              <w:tabs>
                <w:tab w:val="left" w:pos="101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光源额定输入电压：DC39.5V；</w:t>
            </w:r>
          </w:p>
          <w:p>
            <w:pPr>
              <w:tabs>
                <w:tab w:val="left" w:pos="101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光源额定功率：&lt;8w；</w:t>
            </w:r>
          </w:p>
          <w:p>
            <w:pPr>
              <w:tabs>
                <w:tab w:val="left" w:pos="101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光源供电电源调压范围AC：3V-52V；</w:t>
            </w:r>
          </w:p>
          <w:p>
            <w:pPr>
              <w:tabs>
                <w:tab w:val="left" w:pos="101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电快速瞬变脉冲群抗扰：3级；</w:t>
            </w:r>
          </w:p>
          <w:p>
            <w:pPr>
              <w:tabs>
                <w:tab w:val="left" w:pos="101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静电放电抗扰度：3级。</w:t>
            </w:r>
          </w:p>
          <w:p>
            <w:pPr>
              <w:tabs>
                <w:tab w:val="left" w:pos="101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3、钢轨（含岔尖）</w:t>
            </w:r>
          </w:p>
          <w:p>
            <w:pPr>
              <w:tabs>
                <w:tab w:val="left" w:pos="101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900mm轨距实物钢轨（含岔尖），能随转辙机动作，实现正位反位操作。</w:t>
            </w:r>
          </w:p>
          <w:p>
            <w:pPr>
              <w:tabs>
                <w:tab w:val="left" w:pos="101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4、道岔底座</w:t>
            </w:r>
          </w:p>
          <w:p>
            <w:pPr>
              <w:tabs>
                <w:tab w:val="left" w:pos="101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分为两部分，承载钢轨及转辙机。</w:t>
            </w:r>
          </w:p>
          <w:p>
            <w:pPr>
              <w:tabs>
                <w:tab w:val="left" w:pos="101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承载钢轨底座尺寸≤1400mm*2400mm， </w:t>
            </w:r>
          </w:p>
          <w:p>
            <w:pPr>
              <w:tabs>
                <w:tab w:val="left" w:pos="101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承载转辙机底座尺寸≤800mm*900mm</w:t>
            </w:r>
          </w:p>
          <w:p>
            <w:pPr>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两部分需拼接在一起，钢结构，底部带轮，便于移动。</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二、产品配置要求</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产品应由故障设置与检测连接平台金属台体、教学显示屏、电脑主机、测量面板、故障面板、故障配套器件、故障连接线束、桌面开关等组成。</w:t>
            </w:r>
          </w:p>
          <w:p>
            <w:pPr>
              <w:numPr>
                <w:ilvl w:val="255"/>
                <w:numId w:val="0"/>
              </w:numPr>
              <w:spacing w:line="360" w:lineRule="auto"/>
              <w:jc w:val="left"/>
              <w:rPr>
                <w:rFonts w:ascii="Calibri" w:hAnsi="Calibri" w:eastAsia="宋体" w:cs="Times New Roman"/>
                <w:color w:val="auto"/>
                <w:highlight w:val="none"/>
              </w:rPr>
            </w:pPr>
            <w:r>
              <w:rPr>
                <w:rFonts w:hint="eastAsia" w:ascii="宋体" w:hAnsi="宋体" w:eastAsia="宋体" w:cs="宋体"/>
                <w:color w:val="auto"/>
                <w:szCs w:val="21"/>
                <w:highlight w:val="none"/>
              </w:rPr>
              <w:t>（四）新能源汽车专用检测工具组（4套）</w:t>
            </w:r>
          </w:p>
          <w:p>
            <w:pPr>
              <w:numPr>
                <w:ilvl w:val="255"/>
                <w:numId w:val="0"/>
              </w:numPr>
              <w:spacing w:line="360" w:lineRule="auto"/>
              <w:jc w:val="left"/>
              <w:rPr>
                <w:rFonts w:ascii="Calibri" w:hAnsi="Calibri" w:eastAsia="宋体" w:cs="Times New Roman"/>
                <w:color w:val="auto"/>
                <w:highlight w:val="none"/>
              </w:rPr>
            </w:pPr>
            <w:r>
              <w:rPr>
                <w:rFonts w:hint="eastAsia" w:ascii="Calibri" w:hAnsi="Calibri" w:eastAsia="宋体" w:cs="Times New Roman"/>
                <w:color w:val="auto"/>
                <w:highlight w:val="none"/>
              </w:rPr>
              <w:t>每套</w:t>
            </w:r>
            <w:r>
              <w:rPr>
                <w:rFonts w:hint="eastAsia" w:ascii="宋体" w:hAnsi="宋体" w:eastAsia="宋体" w:cs="宋体"/>
                <w:color w:val="auto"/>
                <w:szCs w:val="21"/>
                <w:highlight w:val="none"/>
              </w:rPr>
              <w:t>检测工具组包含：</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1.新能源专用万用表：</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2.新能源专用钳形表：</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3.电池内阻测试仪：</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4.示波器：</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5.人员防护套装：</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人员防护套装包括绝缘手套、耐磨手套、绝缘鞋、护目镜、安全帽等各1套。</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6.工位安全防护套装：</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工位安全防护套装包括警示牌、隔离带套装、绝缘防护垫等各1套。</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7.万用接线盒：</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包含各种规格的“T”型线，能满足竞赛整车系统的所有保险丝、继电器、元器件插接测量之用，要有足够的通流能力和可重复插接使用能力。</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8.检测工具车：</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w:t>
            </w:r>
            <w:bookmarkStart w:id="7" w:name="OLE_LINK8"/>
            <w:r>
              <w:rPr>
                <w:rFonts w:hint="eastAsia" w:ascii="宋体" w:hAnsi="宋体" w:eastAsia="宋体" w:cs="宋体"/>
                <w:color w:val="auto"/>
                <w:szCs w:val="21"/>
                <w:highlight w:val="none"/>
              </w:rPr>
              <w:t>六层工具车</w:t>
            </w:r>
            <w:bookmarkEnd w:id="7"/>
            <w:r>
              <w:rPr>
                <w:rFonts w:hint="eastAsia" w:ascii="宋体" w:hAnsi="宋体" w:eastAsia="宋体" w:cs="宋体"/>
                <w:color w:val="auto"/>
                <w:szCs w:val="21"/>
                <w:highlight w:val="none"/>
              </w:rPr>
              <w:t>、设计EVA托放置对应仪器仪表，工具车配有可移动带刹车万向脚轮，方便移动和固定。</w:t>
            </w:r>
          </w:p>
          <w:p>
            <w:pPr>
              <w:numPr>
                <w:ilvl w:val="0"/>
                <w:numId w:val="1"/>
              </w:numPr>
              <w:spacing w:line="360" w:lineRule="auto"/>
              <w:jc w:val="left"/>
              <w:rPr>
                <w:rFonts w:ascii="Calibri" w:hAnsi="Calibri" w:eastAsia="宋体" w:cs="Times New Roman"/>
                <w:color w:val="auto"/>
                <w:highlight w:val="none"/>
              </w:rPr>
            </w:pPr>
            <w:r>
              <w:rPr>
                <w:rFonts w:hint="eastAsia" w:ascii="宋体" w:hAnsi="宋体" w:eastAsia="宋体" w:cs="宋体"/>
                <w:color w:val="auto"/>
                <w:szCs w:val="21"/>
                <w:highlight w:val="none"/>
              </w:rPr>
              <w:t>新能源汽车专用绝缘工具组（4套）</w:t>
            </w:r>
          </w:p>
          <w:p>
            <w:pPr>
              <w:numPr>
                <w:ilvl w:val="255"/>
                <w:numId w:val="0"/>
              </w:numPr>
              <w:spacing w:line="360" w:lineRule="auto"/>
              <w:jc w:val="left"/>
              <w:rPr>
                <w:rFonts w:ascii="Calibri" w:hAnsi="Calibri" w:eastAsia="宋体" w:cs="Times New Roman"/>
                <w:color w:val="auto"/>
                <w:highlight w:val="none"/>
              </w:rPr>
            </w:pPr>
            <w:r>
              <w:rPr>
                <w:rFonts w:hint="eastAsia" w:ascii="Calibri" w:hAnsi="Calibri" w:eastAsia="宋体" w:cs="Times New Roman"/>
                <w:color w:val="auto"/>
                <w:highlight w:val="none"/>
              </w:rPr>
              <w:t>每套</w:t>
            </w:r>
            <w:r>
              <w:rPr>
                <w:rFonts w:hint="eastAsia" w:ascii="宋体" w:hAnsi="宋体" w:eastAsia="宋体" w:cs="宋体"/>
                <w:color w:val="auto"/>
                <w:szCs w:val="21"/>
                <w:highlight w:val="none"/>
              </w:rPr>
              <w:t>绝缘工具组包含：</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1.工具车</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2.11件套绝缘工具组</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3.18件套绝缘螺丝起子组</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4.29件套绝缘棘轮套筒扳手组</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5.40件套绝缘棘轮套筒扳手组</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6.扭力扳手组</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（六）交流充电桩（2套）</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一、主要功能</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1.支持IC卡进行身份验证，完成充电交易，具有完备的卡片管理系统。</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2.支持以太网，扫二维码进入APP进行充电交易，支持扩展GPRS通讯。</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3.可根据用户需求，选择自动充满、按时间、按电量、按金额等充电操作模式。</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4.具有7寸显示屏，实时显示充电状态。</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5.具有电源、充电、故障三种状态指示。</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6.完善的安全防护功能，具有短路、过流、过压、漏电保护，防雷保护。</w:t>
            </w:r>
          </w:p>
          <w:p>
            <w:pPr>
              <w:widowControl/>
              <w:adjustRightInd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（七）新能源式叉车（1台）</w:t>
            </w:r>
          </w:p>
          <w:p>
            <w:pPr>
              <w:widowControl/>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具体参数：</w:t>
            </w:r>
          </w:p>
          <w:p>
            <w:pPr>
              <w:widowControl/>
              <w:numPr>
                <w:ilvl w:val="0"/>
                <w:numId w:val="2"/>
              </w:numPr>
              <w:adjustRightInd w:val="0"/>
              <w:snapToGrid w:val="0"/>
              <w:spacing w:line="360" w:lineRule="auto"/>
              <w:ind w:left="420" w:hanging="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1.叉车形式：电动；</w:t>
            </w:r>
          </w:p>
          <w:p>
            <w:pPr>
              <w:widowControl/>
              <w:numPr>
                <w:ilvl w:val="0"/>
                <w:numId w:val="2"/>
              </w:numPr>
              <w:adjustRightInd w:val="0"/>
              <w:snapToGrid w:val="0"/>
              <w:spacing w:line="360" w:lineRule="auto"/>
              <w:ind w:left="420" w:hanging="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2.操作形式：座驾式；</w:t>
            </w:r>
          </w:p>
          <w:p>
            <w:pPr>
              <w:widowControl/>
              <w:numPr>
                <w:ilvl w:val="0"/>
                <w:numId w:val="2"/>
              </w:numPr>
              <w:adjustRightInd w:val="0"/>
              <w:snapToGrid w:val="0"/>
              <w:spacing w:line="360" w:lineRule="auto"/>
              <w:ind w:left="420" w:hanging="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3.额定载重量：≥1700kg；</w:t>
            </w:r>
          </w:p>
          <w:p>
            <w:pPr>
              <w:widowControl/>
              <w:numPr>
                <w:ilvl w:val="0"/>
                <w:numId w:val="2"/>
              </w:numPr>
              <w:adjustRightInd w:val="0"/>
              <w:snapToGrid w:val="0"/>
              <w:spacing w:line="360" w:lineRule="auto"/>
              <w:ind w:left="420" w:hanging="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4.额定载荷中心距：≤500mm；</w:t>
            </w:r>
          </w:p>
          <w:p>
            <w:pPr>
              <w:widowControl/>
              <w:numPr>
                <w:ilvl w:val="0"/>
                <w:numId w:val="2"/>
              </w:numPr>
              <w:adjustRightInd w:val="0"/>
              <w:snapToGrid w:val="0"/>
              <w:spacing w:line="360" w:lineRule="auto"/>
              <w:ind w:left="420" w:hanging="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5.自重:≤3150 kg；</w:t>
            </w:r>
          </w:p>
          <w:p>
            <w:pPr>
              <w:widowControl/>
              <w:numPr>
                <w:ilvl w:val="0"/>
                <w:numId w:val="2"/>
              </w:numPr>
              <w:adjustRightInd w:val="0"/>
              <w:snapToGrid w:val="0"/>
              <w:spacing w:line="360" w:lineRule="auto"/>
              <w:ind w:left="420" w:hanging="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6.门架前后倾角（前/后）:6/10（°）；</w:t>
            </w:r>
          </w:p>
          <w:p>
            <w:pPr>
              <w:widowControl/>
              <w:numPr>
                <w:ilvl w:val="0"/>
                <w:numId w:val="2"/>
              </w:numPr>
              <w:adjustRightInd w:val="0"/>
              <w:snapToGrid w:val="0"/>
              <w:spacing w:line="360" w:lineRule="auto"/>
              <w:ind w:left="420" w:hanging="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7.门架静止高度:≤1995mm；</w:t>
            </w:r>
          </w:p>
          <w:p>
            <w:pPr>
              <w:widowControl/>
              <w:numPr>
                <w:ilvl w:val="0"/>
                <w:numId w:val="2"/>
              </w:numPr>
              <w:adjustRightInd w:val="0"/>
              <w:snapToGrid w:val="0"/>
              <w:spacing w:line="360" w:lineRule="auto"/>
              <w:ind w:left="420" w:hanging="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8.自由提升高度:≥155mm；</w:t>
            </w:r>
          </w:p>
          <w:p>
            <w:pPr>
              <w:widowControl/>
              <w:numPr>
                <w:ilvl w:val="0"/>
                <w:numId w:val="2"/>
              </w:numPr>
              <w:adjustRightInd w:val="0"/>
              <w:snapToGrid w:val="0"/>
              <w:spacing w:line="360" w:lineRule="auto"/>
              <w:ind w:left="420" w:hanging="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9.标配门架起升高度:3000mm；</w:t>
            </w:r>
          </w:p>
          <w:p>
            <w:pPr>
              <w:widowControl/>
              <w:numPr>
                <w:ilvl w:val="0"/>
                <w:numId w:val="2"/>
              </w:numPr>
              <w:adjustRightInd w:val="0"/>
              <w:snapToGrid w:val="0"/>
              <w:spacing w:line="360" w:lineRule="auto"/>
              <w:ind w:left="420" w:hanging="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10.门架起升时最大高度:≥3955mm；</w:t>
            </w:r>
          </w:p>
          <w:p>
            <w:pPr>
              <w:widowControl/>
              <w:numPr>
                <w:ilvl w:val="0"/>
                <w:numId w:val="2"/>
              </w:numPr>
              <w:adjustRightInd w:val="0"/>
              <w:snapToGrid w:val="0"/>
              <w:spacing w:line="360" w:lineRule="auto"/>
              <w:ind w:left="420" w:hanging="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11.标配护顶架高度:2070mm；</w:t>
            </w:r>
          </w:p>
          <w:p>
            <w:pPr>
              <w:widowControl/>
              <w:numPr>
                <w:ilvl w:val="0"/>
                <w:numId w:val="2"/>
              </w:numPr>
              <w:adjustRightInd w:val="0"/>
              <w:snapToGrid w:val="0"/>
              <w:spacing w:line="360" w:lineRule="auto"/>
              <w:ind w:left="420" w:hanging="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12.货叉尺寸s/e/l:35/100/920mm；</w:t>
            </w:r>
          </w:p>
          <w:p>
            <w:pPr>
              <w:widowControl/>
              <w:numPr>
                <w:ilvl w:val="0"/>
                <w:numId w:val="2"/>
              </w:numPr>
              <w:adjustRightInd w:val="0"/>
              <w:snapToGrid w:val="0"/>
              <w:spacing w:line="360" w:lineRule="auto"/>
              <w:ind w:left="420" w:hanging="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13.最小转弯半径:≤1900mm；</w:t>
            </w:r>
          </w:p>
          <w:p>
            <w:pPr>
              <w:widowControl/>
              <w:numPr>
                <w:ilvl w:val="0"/>
                <w:numId w:val="2"/>
              </w:numPr>
              <w:adjustRightInd w:val="0"/>
              <w:snapToGrid w:val="0"/>
              <w:spacing w:line="360" w:lineRule="auto"/>
              <w:ind w:left="420" w:hanging="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14.最大行驶速度（满载/空载）:≥16/17 km/h；</w:t>
            </w:r>
          </w:p>
          <w:p>
            <w:pPr>
              <w:widowControl/>
              <w:numPr>
                <w:ilvl w:val="0"/>
                <w:numId w:val="2"/>
              </w:numPr>
              <w:adjustRightInd w:val="0"/>
              <w:snapToGrid w:val="0"/>
              <w:spacing w:line="360" w:lineRule="auto"/>
              <w:ind w:left="420" w:hanging="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15.最大起升速度（满载/空载）:≥370/650 mm/s；</w:t>
            </w:r>
          </w:p>
          <w:p>
            <w:pPr>
              <w:widowControl/>
              <w:numPr>
                <w:ilvl w:val="0"/>
                <w:numId w:val="2"/>
              </w:numPr>
              <w:adjustRightInd w:val="0"/>
              <w:snapToGrid w:val="0"/>
              <w:spacing w:line="360" w:lineRule="auto"/>
              <w:ind w:left="420" w:hanging="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16.下降速度（满载/空载）:≥450/500 mm/s；</w:t>
            </w:r>
          </w:p>
          <w:p>
            <w:pPr>
              <w:widowControl/>
              <w:numPr>
                <w:ilvl w:val="0"/>
                <w:numId w:val="2"/>
              </w:numPr>
              <w:adjustRightInd w:val="0"/>
              <w:snapToGrid w:val="0"/>
              <w:spacing w:line="360" w:lineRule="auto"/>
              <w:ind w:left="420" w:hanging="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17.最大爬坡度（满载/空载）:≥19/20%；</w:t>
            </w:r>
          </w:p>
          <w:p>
            <w:pPr>
              <w:widowControl/>
              <w:numPr>
                <w:ilvl w:val="0"/>
                <w:numId w:val="2"/>
              </w:numPr>
              <w:adjustRightInd w:val="0"/>
              <w:snapToGrid w:val="0"/>
              <w:spacing w:line="360" w:lineRule="auto"/>
              <w:ind w:left="420" w:hanging="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18.标配蓄电池电压/容量:48/420V/Ah；</w:t>
            </w:r>
          </w:p>
          <w:p>
            <w:pPr>
              <w:numPr>
                <w:ilvl w:val="0"/>
                <w:numId w:val="2"/>
              </w:numPr>
              <w:spacing w:line="360" w:lineRule="auto"/>
              <w:ind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特设功能:教学版遥控制动系统。</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（八）龙门举升机（3台）</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举升重量 ≥4000kg</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最低高度 100mm</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最大举升高度 ≥1920mm</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举升时间 50s</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下降时间 30s</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总高约4194mm</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柱内宽度约2900mm</w:t>
            </w:r>
          </w:p>
          <w:p>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总宽约 3756mm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vAlign w:val="center"/>
          </w:tcPr>
          <w:p>
            <w:pPr>
              <w:widowControl/>
              <w:spacing w:line="360" w:lineRule="auto"/>
              <w:jc w:val="left"/>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en-US" w:eastAsia="zh-CN"/>
              </w:rPr>
              <w:t>3</w:t>
            </w:r>
          </w:p>
        </w:tc>
        <w:tc>
          <w:tcPr>
            <w:tcW w:w="129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整车内饰装配平台</w:t>
            </w:r>
          </w:p>
        </w:tc>
        <w:tc>
          <w:tcPr>
            <w:tcW w:w="104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1辆</w:t>
            </w:r>
          </w:p>
        </w:tc>
        <w:tc>
          <w:tcPr>
            <w:tcW w:w="669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1.发动机：汽油4缸发动机；</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2.最大</w:t>
            </w:r>
            <w:bookmarkStart w:id="8" w:name="OLE_LINK22"/>
            <w:r>
              <w:rPr>
                <w:rFonts w:hint="eastAsia" w:ascii="宋体" w:hAnsi="宋体" w:eastAsia="宋体" w:cs="宋体"/>
                <w:color w:val="auto"/>
                <w:szCs w:val="21"/>
                <w:highlight w:val="none"/>
              </w:rPr>
              <w:t>功率</w:t>
            </w:r>
            <w:bookmarkEnd w:id="8"/>
            <w:r>
              <w:rPr>
                <w:rFonts w:hint="eastAsia" w:ascii="宋体" w:hAnsi="宋体" w:eastAsia="宋体" w:cs="宋体"/>
                <w:color w:val="auto"/>
                <w:szCs w:val="21"/>
                <w:highlight w:val="none"/>
              </w:rPr>
              <w:t>：≥135kW；</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3.最大扭矩：≥300N·m；</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4.最大马力：≥184Ps；</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5.进气形式：涡轮增压；</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6.供油方式：直喷式；</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7.环保标准：不低于</w:t>
            </w:r>
            <w:bookmarkStart w:id="9" w:name="OLE_LINK23"/>
            <w:r>
              <w:rPr>
                <w:rFonts w:hint="eastAsia" w:ascii="宋体" w:hAnsi="宋体" w:eastAsia="宋体" w:cs="宋体"/>
                <w:color w:val="auto"/>
                <w:szCs w:val="21"/>
                <w:highlight w:val="none"/>
              </w:rPr>
              <w:t>国Ⅵ</w:t>
            </w:r>
            <w:bookmarkEnd w:id="9"/>
            <w:r>
              <w:rPr>
                <w:rFonts w:hint="eastAsia" w:ascii="宋体" w:hAnsi="宋体" w:eastAsia="宋体" w:cs="宋体"/>
                <w:color w:val="auto"/>
                <w:szCs w:val="21"/>
                <w:highlight w:val="none"/>
              </w:rPr>
              <w:t>；</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8.变速箱：6挡手自一体变速箱；</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9.轴距：≥2785mm；</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10.座椅个数：6座；</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11.助力方式：电动助力；</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12.主/被动安全装备：包含制动力分配 EBD/CBC、刹车辅助 EBA/BAS/BA、牵引力控制 ASR/TCS/TRC、车身稳定控制 ESC/ESP、自动驻车、定速巡航、上坡辅助、陡坡缓降；</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13.灯光配置：大灯高度可调节、大灯延时关闭；</w:t>
            </w:r>
          </w:p>
          <w:p>
            <w:pPr>
              <w:widowControl/>
              <w:spacing w:line="360" w:lineRule="auto"/>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14.内部配置：多功能方向盘、彩色行车电脑显示屏幕、全液晶仪表盘、液晶仪表尺寸不低于7寸、中控触控液晶屏不低于12.3寸、支持卫星导航系统；</w:t>
            </w:r>
          </w:p>
          <w:p>
            <w:pPr>
              <w:widowControl/>
              <w:spacing w:line="360" w:lineRule="auto"/>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15.需配套拆装工具1套。</w:t>
            </w:r>
          </w:p>
          <w:p>
            <w:pPr>
              <w:widowControl/>
              <w:spacing w:line="360" w:lineRule="auto"/>
              <w:jc w:val="left"/>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16.配套MR PDI仿真实训软件（接车25项标准检查）</w:t>
            </w:r>
          </w:p>
          <w:p>
            <w:pPr>
              <w:widowControl/>
              <w:spacing w:line="360" w:lineRule="auto"/>
              <w:jc w:val="left"/>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功能要求：</w:t>
            </w:r>
          </w:p>
          <w:p>
            <w:pPr>
              <w:widowControl/>
              <w:spacing w:line="360" w:lineRule="auto"/>
              <w:jc w:val="left"/>
              <w:textAlignment w:val="center"/>
              <w:rPr>
                <w:rFonts w:hint="eastAsia"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①</w:t>
            </w:r>
            <w:r>
              <w:rPr>
                <w:rFonts w:hint="eastAsia" w:ascii="宋体" w:hAnsi="宋体" w:eastAsia="宋体" w:cs="宋体"/>
                <w:color w:val="auto"/>
                <w:szCs w:val="21"/>
                <w:highlight w:val="none"/>
                <w:lang w:val="en-US" w:eastAsia="zh-CN"/>
              </w:rPr>
              <w:t>通过建立整车模型及对车厂指定的25个“接车标准检测流程”进行完整模拟，实现单人训练及双人训练的目的。</w:t>
            </w:r>
          </w:p>
          <w:p>
            <w:pPr>
              <w:widowControl/>
              <w:spacing w:line="360" w:lineRule="auto"/>
              <w:jc w:val="left"/>
              <w:textAlignment w:val="center"/>
              <w:rPr>
                <w:rFonts w:hint="eastAsia"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②</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接车25项标准检查：</w:t>
            </w:r>
          </w:p>
          <w:p>
            <w:pPr>
              <w:widowControl/>
              <w:spacing w:line="360" w:lineRule="auto"/>
              <w:jc w:val="left"/>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车门开关锁（4个步骤）、启动车辆（4个步骤）、开启雨刷器（2个步骤）、开启示宽灯（3个步骤）、开启大灯（2个步骤）、开启远光灯（3个步骤）、开启前雾灯（3个步骤）、开启后雾灯（3个步骤）、开启左转向灯（3个步骤）、开启右转向灯（3个步骤）、开启倒车灯（3个步骤）、开启刹车灯（2个步骤）、打开音响（2个步骤）、控制玻璃升降（2个步骤）、控制外后视镜折叠（2个步骤）、控制喇叭鸣笛（2个步骤）、调整电动座椅位置（4个步骤）、转动方向盘（4个步骤）、开启天窗（7个步骤）、开启车内灯（4个步骤）、检查车辆相关液面（4个步骤）、内饰件检查（6个步骤）、外观件检查（3个步骤）、底盘检查（3个步骤）、轮胎检查（3个步骤）。</w:t>
            </w:r>
            <w:r>
              <w:rPr>
                <w:rFonts w:hint="eastAsia" w:ascii="Calibri" w:hAnsi="Calibri" w:eastAsia="宋体" w:cs="Times New Roman"/>
                <w:color w:val="auto"/>
                <w:highlight w:val="none"/>
                <w:lang w:eastAsia="zh-CN"/>
              </w:rPr>
              <w:t>（</w:t>
            </w:r>
            <w:r>
              <w:rPr>
                <w:rFonts w:hint="eastAsia" w:ascii="宋体" w:hAnsi="宋体" w:eastAsia="宋体" w:cs="宋体"/>
                <w:color w:val="auto"/>
                <w:szCs w:val="21"/>
                <w:highlight w:val="none"/>
                <w:lang w:val="en-US" w:eastAsia="zh-CN"/>
              </w:rPr>
              <w:t>需在首次响应文件中提供相应的证明材料并加盖供应商公章</w:t>
            </w:r>
            <w:r>
              <w:rPr>
                <w:rFonts w:hint="eastAsia" w:ascii="Calibri" w:hAnsi="Calibri" w:eastAsia="宋体" w:cs="Times New Roman"/>
                <w:color w:val="auto"/>
                <w:highlight w:val="none"/>
                <w:lang w:eastAsia="zh-CN"/>
              </w:rPr>
              <w:t>）</w:t>
            </w:r>
          </w:p>
          <w:p>
            <w:pPr>
              <w:widowControl/>
              <w:spacing w:line="360" w:lineRule="auto"/>
              <w:jc w:val="left"/>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软件技术：</w:t>
            </w:r>
          </w:p>
          <w:p>
            <w:pPr>
              <w:widowControl/>
              <w:spacing w:line="360" w:lineRule="auto"/>
              <w:jc w:val="left"/>
              <w:textAlignment w:val="center"/>
              <w:rPr>
                <w:rFonts w:hint="eastAsia"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①</w:t>
            </w:r>
            <w:r>
              <w:rPr>
                <w:rFonts w:hint="eastAsia" w:ascii="宋体" w:hAnsi="宋体" w:eastAsia="宋体" w:cs="宋体"/>
                <w:color w:val="auto"/>
                <w:szCs w:val="21"/>
                <w:highlight w:val="none"/>
                <w:lang w:val="en-US" w:eastAsia="zh-CN"/>
              </w:rPr>
              <w:t>三维技术，可以快速制作出高质量、逼真的三维仿真汽车模型、零部件、工具、仪器和三维仿真场景；</w:t>
            </w:r>
          </w:p>
          <w:p>
            <w:pPr>
              <w:widowControl/>
              <w:spacing w:line="360" w:lineRule="auto"/>
              <w:jc w:val="left"/>
              <w:textAlignment w:val="center"/>
              <w:rPr>
                <w:rFonts w:hint="eastAsia"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②</w:t>
            </w:r>
            <w:r>
              <w:rPr>
                <w:rFonts w:hint="eastAsia" w:ascii="宋体" w:hAnsi="宋体" w:eastAsia="宋体" w:cs="宋体"/>
                <w:color w:val="auto"/>
                <w:szCs w:val="21"/>
                <w:highlight w:val="none"/>
                <w:lang w:val="en-US" w:eastAsia="zh-CN"/>
              </w:rPr>
              <w:t>交互技术，采用的先进的三维仿真开发技术来为三维仿真添加交互功能。通过三维引擎来模拟真实作业环境和实训场地。通过物理引擎来模拟真实的环境中的物体之间相互作用，如：重力和碰撞等。通过粒子系统来模拟真实环境中的特效，如：液体、电流等；</w:t>
            </w:r>
          </w:p>
          <w:p>
            <w:pPr>
              <w:widowControl/>
              <w:spacing w:line="360" w:lineRule="auto"/>
              <w:jc w:val="left"/>
              <w:textAlignment w:val="center"/>
              <w:rPr>
                <w:rFonts w:hint="eastAsia"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③</w:t>
            </w:r>
            <w:r>
              <w:rPr>
                <w:rFonts w:hint="eastAsia" w:ascii="宋体" w:hAnsi="宋体" w:eastAsia="宋体" w:cs="宋体"/>
                <w:color w:val="auto"/>
                <w:szCs w:val="21"/>
                <w:highlight w:val="none"/>
                <w:lang w:val="en-US" w:eastAsia="zh-CN"/>
              </w:rPr>
              <w:t xml:space="preserve"> 基于Windows混合现实软件基础之上打造，包括了从HoloLens到Windows Reality Viewer等应用，兼容多品牌Windows混合现实头显，包括宏碁、华硕、联想、惠普、三星等品牌。</w:t>
            </w:r>
          </w:p>
          <w:p>
            <w:pPr>
              <w:widowControl/>
              <w:spacing w:line="360" w:lineRule="auto"/>
              <w:jc w:val="left"/>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④</w:t>
            </w:r>
            <w:r>
              <w:rPr>
                <w:rFonts w:hint="eastAsia" w:ascii="宋体" w:hAnsi="宋体" w:eastAsia="宋体" w:cs="宋体"/>
                <w:color w:val="auto"/>
                <w:szCs w:val="21"/>
                <w:highlight w:val="none"/>
                <w:lang w:val="en-US" w:eastAsia="zh-CN"/>
              </w:rPr>
              <w:t>后台使用云数据库，支持Microsoft SQL、MySQL等常见数据库；</w:t>
            </w:r>
          </w:p>
          <w:p>
            <w:pPr>
              <w:widowControl/>
              <w:spacing w:line="360" w:lineRule="auto"/>
              <w:jc w:val="left"/>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⑤</w:t>
            </w:r>
            <w:r>
              <w:rPr>
                <w:rFonts w:hint="eastAsia" w:ascii="宋体" w:hAnsi="宋体" w:eastAsia="宋体" w:cs="宋体"/>
                <w:color w:val="auto"/>
                <w:szCs w:val="21"/>
                <w:highlight w:val="none"/>
                <w:lang w:val="en-US" w:eastAsia="zh-CN"/>
              </w:rPr>
              <w:t>建立 “学分银行”，可记录学员操作过程中积分和操作情况，教师可以在后台看到学员学习和使用情况，真正发挥了教学系统的作用；</w:t>
            </w:r>
          </w:p>
          <w:p>
            <w:pPr>
              <w:widowControl/>
              <w:spacing w:line="360" w:lineRule="auto"/>
              <w:jc w:val="left"/>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⑥</w:t>
            </w:r>
            <w:r>
              <w:rPr>
                <w:rFonts w:hint="eastAsia" w:ascii="宋体" w:hAnsi="宋体" w:eastAsia="宋体" w:cs="宋体"/>
                <w:color w:val="auto"/>
                <w:szCs w:val="21"/>
                <w:highlight w:val="none"/>
                <w:lang w:val="en-US" w:eastAsia="zh-CN"/>
              </w:rPr>
              <w:t>联机功能，可以多台设备联机使用，第一台设备为主机，其余接入设备为客户端，可以观看主设备的操作或者多终端互动；</w:t>
            </w:r>
          </w:p>
          <w:p>
            <w:pPr>
              <w:widowControl/>
              <w:spacing w:line="360" w:lineRule="auto"/>
              <w:jc w:val="left"/>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⑦</w:t>
            </w:r>
            <w:r>
              <w:rPr>
                <w:rFonts w:hint="eastAsia" w:ascii="宋体" w:hAnsi="宋体" w:eastAsia="宋体" w:cs="宋体"/>
                <w:color w:val="auto"/>
                <w:szCs w:val="21"/>
                <w:highlight w:val="none"/>
                <w:lang w:val="en-US" w:eastAsia="zh-CN"/>
              </w:rPr>
              <w:t xml:space="preserve"> 联机服务端支持私有云、公有云部署，公有云端方便升级维护，避免局域网服务端运行不稳定、不易维护的缺点，联机地址统一，不用每次在系统中配置IP地址。</w:t>
            </w:r>
          </w:p>
          <w:p>
            <w:pPr>
              <w:widowControl/>
              <w:spacing w:line="360" w:lineRule="auto"/>
              <w:jc w:val="left"/>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为避免产权纠纷，保证软件为原始取得，成交供应商供货前需要提供软件著作权证书核查。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vAlign w:val="center"/>
          </w:tcPr>
          <w:p>
            <w:pPr>
              <w:widowControl/>
              <w:spacing w:line="360" w:lineRule="auto"/>
              <w:jc w:val="left"/>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en-US" w:eastAsia="zh-CN"/>
              </w:rPr>
              <w:t>4</w:t>
            </w:r>
          </w:p>
        </w:tc>
        <w:tc>
          <w:tcPr>
            <w:tcW w:w="129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静音空压机</w:t>
            </w:r>
          </w:p>
        </w:tc>
        <w:tc>
          <w:tcPr>
            <w:tcW w:w="104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1套</w:t>
            </w:r>
          </w:p>
        </w:tc>
        <w:tc>
          <w:tcPr>
            <w:tcW w:w="6691"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1.电机功率：11KW</w:t>
            </w:r>
          </w:p>
          <w:p>
            <w:pPr>
              <w:widowControl/>
              <w:spacing w:line="360" w:lineRule="auto"/>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2.额定排气压力：0.8MPa</w:t>
            </w:r>
          </w:p>
          <w:p>
            <w:pPr>
              <w:widowControl/>
              <w:spacing w:line="360" w:lineRule="auto"/>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3.容积流量：1.6m</w:t>
            </w:r>
            <w:r>
              <w:rPr>
                <w:rFonts w:hint="eastAsia" w:ascii="宋体" w:hAnsi="宋体" w:eastAsia="宋体" w:cs="宋体"/>
                <w:color w:val="auto"/>
                <w:kern w:val="0"/>
                <w:szCs w:val="21"/>
                <w:highlight w:val="none"/>
                <w:vertAlign w:val="superscript"/>
                <w:lang w:bidi="ar"/>
              </w:rPr>
              <w:t>3</w:t>
            </w:r>
            <w:r>
              <w:rPr>
                <w:rFonts w:hint="eastAsia" w:ascii="宋体" w:hAnsi="宋体" w:eastAsia="宋体" w:cs="宋体"/>
                <w:color w:val="auto"/>
                <w:kern w:val="0"/>
                <w:szCs w:val="21"/>
                <w:highlight w:val="none"/>
                <w:lang w:bidi="ar"/>
              </w:rPr>
              <w:t>/min</w:t>
            </w:r>
          </w:p>
          <w:p>
            <w:pPr>
              <w:widowControl/>
              <w:spacing w:line="360" w:lineRule="auto"/>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4.启动方式：变频启动</w:t>
            </w:r>
          </w:p>
          <w:p>
            <w:pPr>
              <w:widowControl/>
              <w:spacing w:line="360" w:lineRule="auto"/>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5.冷却方式：风冷                     </w:t>
            </w:r>
          </w:p>
          <w:p>
            <w:pPr>
              <w:widowControl/>
              <w:spacing w:line="360" w:lineRule="auto"/>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附机配件及工具</w:t>
            </w:r>
          </w:p>
          <w:p>
            <w:pPr>
              <w:widowControl/>
              <w:spacing w:line="360" w:lineRule="auto"/>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1.高效冷冻式干燥机</w:t>
            </w:r>
          </w:p>
          <w:p>
            <w:pPr>
              <w:widowControl/>
              <w:spacing w:line="360" w:lineRule="auto"/>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2.主管路除尘过滤器</w:t>
            </w:r>
          </w:p>
          <w:p>
            <w:pPr>
              <w:widowControl/>
              <w:spacing w:line="360" w:lineRule="auto"/>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3.主管路油水过滤器</w:t>
            </w:r>
          </w:p>
          <w:p>
            <w:pPr>
              <w:widowControl/>
              <w:spacing w:line="360" w:lineRule="auto"/>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4.高效除油过滤器</w:t>
            </w:r>
          </w:p>
          <w:p>
            <w:pPr>
              <w:widowControl/>
              <w:spacing w:line="360" w:lineRule="auto"/>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5.0.8Mpa储气罐                         </w:t>
            </w:r>
          </w:p>
          <w:p>
            <w:pPr>
              <w:widowControl/>
              <w:spacing w:line="360" w:lineRule="auto"/>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施工</w:t>
            </w:r>
          </w:p>
          <w:p>
            <w:pPr>
              <w:widowControl/>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包含新能源汽车实训中心的气管铺设工程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vAlign w:val="center"/>
          </w:tcPr>
          <w:p>
            <w:pPr>
              <w:widowControl/>
              <w:spacing w:line="360" w:lineRule="auto"/>
              <w:jc w:val="left"/>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w:t>
            </w:r>
          </w:p>
        </w:tc>
        <w:tc>
          <w:tcPr>
            <w:tcW w:w="129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实训室环境及文化建设</w:t>
            </w:r>
          </w:p>
        </w:tc>
        <w:tc>
          <w:tcPr>
            <w:tcW w:w="104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1套</w:t>
            </w:r>
          </w:p>
        </w:tc>
        <w:tc>
          <w:tcPr>
            <w:tcW w:w="669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1.外墙、过道打磨，再重新刷腻子涂漆等（2 号实训楼）；</w:t>
            </w:r>
          </w:p>
          <w:p>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2.改建：地板打磨涂地平漆、吊顶、窗帘、灯光照明等（金工综合实训基地、新能源汽车实训中心（新））；</w:t>
            </w:r>
          </w:p>
          <w:p>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bookmarkStart w:id="10" w:name="OLE_LINK21"/>
            <w:r>
              <w:rPr>
                <w:rFonts w:hint="eastAsia" w:ascii="宋体" w:hAnsi="宋体" w:eastAsia="宋体" w:cs="宋体"/>
                <w:color w:val="auto"/>
                <w:szCs w:val="21"/>
                <w:highlight w:val="none"/>
              </w:rPr>
              <w:t>设备搬迁</w:t>
            </w:r>
            <w:bookmarkEnd w:id="10"/>
            <w:r>
              <w:rPr>
                <w:rFonts w:hint="eastAsia" w:ascii="宋体" w:hAnsi="宋体" w:eastAsia="宋体" w:cs="宋体"/>
                <w:color w:val="auto"/>
                <w:szCs w:val="21"/>
                <w:highlight w:val="none"/>
              </w:rPr>
              <w:t>、安装调试、加装油盘。（金工综合实训基地）。</w:t>
            </w:r>
          </w:p>
          <w:p>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4.文化建设。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54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color w:val="auto"/>
                <w:szCs w:val="21"/>
                <w:highlight w:val="none"/>
              </w:rPr>
            </w:pPr>
          </w:p>
          <w:p>
            <w:pPr>
              <w:spacing w:line="360" w:lineRule="auto"/>
              <w:jc w:val="center"/>
              <w:rPr>
                <w:rFonts w:hint="eastAsia" w:ascii="宋体" w:hAnsi="宋体" w:eastAsia="宋体" w:cs="宋体"/>
                <w:color w:val="auto"/>
                <w:szCs w:val="21"/>
                <w:highlight w:val="none"/>
              </w:rPr>
            </w:pPr>
          </w:p>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商务条款</w:t>
            </w:r>
          </w:p>
        </w:tc>
        <w:tc>
          <w:tcPr>
            <w:tcW w:w="9576" w:type="dxa"/>
            <w:gridSpan w:val="4"/>
            <w:tcBorders>
              <w:top w:val="single" w:color="auto" w:sz="4" w:space="0"/>
              <w:left w:val="single" w:color="auto" w:sz="4" w:space="0"/>
              <w:bottom w:val="single" w:color="auto" w:sz="4" w:space="0"/>
              <w:right w:val="single" w:color="auto" w:sz="4" w:space="0"/>
            </w:tcBorders>
          </w:tcPr>
          <w:p>
            <w:pPr>
              <w:widowControl/>
              <w:shd w:val="clear" w:color="auto" w:fill="FFFFFF"/>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一、合同签订期：自成交通知书发出之日起</w:t>
            </w:r>
            <w:r>
              <w:rPr>
                <w:rFonts w:hint="eastAsia" w:ascii="宋体" w:hAnsi="宋体" w:eastAsia="宋体" w:cs="宋体"/>
                <w:color w:val="auto"/>
                <w:szCs w:val="21"/>
                <w:highlight w:val="none"/>
                <w:u w:val="single"/>
              </w:rPr>
              <w:t xml:space="preserve">  25　</w:t>
            </w:r>
            <w:r>
              <w:rPr>
                <w:rFonts w:hint="eastAsia" w:ascii="宋体" w:hAnsi="宋体" w:eastAsia="宋体" w:cs="宋体"/>
                <w:color w:val="auto"/>
                <w:szCs w:val="21"/>
                <w:highlight w:val="none"/>
              </w:rPr>
              <w:t>日内。</w:t>
            </w:r>
          </w:p>
          <w:p>
            <w:pPr>
              <w:widowControl/>
              <w:shd w:val="clear" w:color="auto" w:fill="FFFFFF"/>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二、交货</w:t>
            </w:r>
            <w:r>
              <w:rPr>
                <w:rFonts w:hint="eastAsia" w:ascii="宋体" w:hAnsi="宋体" w:eastAsia="宋体" w:cs="宋体"/>
                <w:bCs/>
                <w:color w:val="auto"/>
                <w:szCs w:val="21"/>
                <w:highlight w:val="none"/>
              </w:rPr>
              <w:t>时间：</w:t>
            </w:r>
            <w:r>
              <w:rPr>
                <w:rFonts w:hint="eastAsia" w:ascii="宋体" w:hAnsi="宋体" w:eastAsia="宋体" w:cs="宋体"/>
                <w:color w:val="auto"/>
                <w:szCs w:val="21"/>
                <w:highlight w:val="none"/>
                <w:u w:val="single"/>
              </w:rPr>
              <w:t xml:space="preserve">  </w:t>
            </w:r>
            <w:bookmarkStart w:id="11" w:name="OLE_LINK7"/>
            <w:r>
              <w:rPr>
                <w:rFonts w:hint="eastAsia" w:ascii="宋体" w:hAnsi="宋体" w:eastAsia="宋体" w:cs="宋体"/>
                <w:color w:val="auto"/>
                <w:szCs w:val="21"/>
                <w:highlight w:val="none"/>
                <w:u w:val="single"/>
              </w:rPr>
              <w:t>自合同签订之日起30日内交货完毕</w:t>
            </w:r>
            <w:bookmarkEnd w:id="11"/>
            <w:r>
              <w:rPr>
                <w:rFonts w:hint="eastAsia" w:ascii="宋体" w:hAnsi="宋体" w:eastAsia="宋体" w:cs="宋体"/>
                <w:color w:val="auto"/>
                <w:szCs w:val="21"/>
                <w:highlight w:val="none"/>
                <w:u w:val="single"/>
              </w:rPr>
              <w:t xml:space="preserve">。   </w:t>
            </w:r>
          </w:p>
          <w:p>
            <w:pPr>
              <w:widowControl/>
              <w:shd w:val="clear" w:color="auto" w:fill="FFFFFF"/>
              <w:spacing w:line="360" w:lineRule="auto"/>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三、交货地点：</w:t>
            </w:r>
            <w:r>
              <w:rPr>
                <w:rFonts w:hint="eastAsia" w:ascii="宋体" w:hAnsi="宋体" w:eastAsia="宋体" w:cs="宋体"/>
                <w:bCs/>
                <w:color w:val="auto"/>
                <w:szCs w:val="21"/>
                <w:highlight w:val="none"/>
                <w:u w:val="single"/>
              </w:rPr>
              <w:t xml:space="preserve"> 南宁市内采购人指定地点  </w:t>
            </w:r>
          </w:p>
          <w:p>
            <w:pPr>
              <w:widowControl/>
              <w:shd w:val="clear" w:color="auto" w:fill="FFFFFF"/>
              <w:spacing w:line="360" w:lineRule="auto"/>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四、</w:t>
            </w:r>
            <w:r>
              <w:rPr>
                <w:rFonts w:hint="eastAsia" w:ascii="宋体" w:hAnsi="宋体" w:eastAsia="宋体" w:cs="宋体"/>
                <w:color w:val="auto"/>
                <w:szCs w:val="21"/>
                <w:highlight w:val="none"/>
              </w:rPr>
              <w:t>验收标准、规范：</w:t>
            </w:r>
          </w:p>
          <w:p>
            <w:pPr>
              <w:widowControl/>
              <w:shd w:val="clear" w:color="auto" w:fill="FFFFFF"/>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对照采购文件的功能目标及技术指标全面核对检验，验收时对所有要求出具的证明文件的原件进行核查，如不符合采购文件的技术需求及要求以及提供虚假承诺的，按相关规定做退货处理及违约处理，成交供应商承担所有责任和费用，采购人保留进一步追究责任的权利。验收过程中所产生的一切费用均由成交供应商承担。</w:t>
            </w:r>
          </w:p>
          <w:p>
            <w:pPr>
              <w:widowControl/>
              <w:shd w:val="clear" w:color="auto" w:fill="FFFFFF"/>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2.其他未尽事宜应严格按照《关于印发广西壮族自治区政府采购项目履约验收管理办法的通知》[桂财</w:t>
            </w:r>
          </w:p>
          <w:p>
            <w:pPr>
              <w:widowControl/>
              <w:shd w:val="clear" w:color="auto" w:fill="FFFFFF"/>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采(2015)22号]以及《财政部关于进一步加强政府采购需求和履约验收管理的指导意见》[财库(2016)</w:t>
            </w:r>
          </w:p>
          <w:p>
            <w:pPr>
              <w:widowControl/>
              <w:shd w:val="clear" w:color="auto" w:fill="FFFFFF"/>
              <w:spacing w:line="360" w:lineRule="auto"/>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205号]规定执行。</w:t>
            </w:r>
          </w:p>
          <w:p>
            <w:pPr>
              <w:widowControl/>
              <w:shd w:val="clear" w:color="auto" w:fill="FFFFFF"/>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五、售后服务要求：</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(1)竞标产品及有关备件必须是具备厂家合法渠道的全新正品，产品的售后服务承诺不低于原厂商标准服务承诺。</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(2)质保期从项目验收合格之日起计算，所有标的质保期均为1年（采购需求有约定的从其约定），且不得少于国家“三包”中规定的期限。</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bookmarkStart w:id="12" w:name="OLE_LINK24"/>
            <w:r>
              <w:rPr>
                <w:rFonts w:hint="eastAsia" w:ascii="宋体" w:hAnsi="宋体" w:eastAsia="宋体" w:cs="宋体"/>
                <w:color w:val="auto"/>
                <w:szCs w:val="21"/>
                <w:highlight w:val="none"/>
              </w:rPr>
              <w:t>售后服务承诺</w:t>
            </w:r>
            <w:bookmarkEnd w:id="12"/>
            <w:r>
              <w:rPr>
                <w:rFonts w:hint="eastAsia" w:ascii="宋体" w:hAnsi="宋体" w:eastAsia="宋体" w:cs="宋体"/>
                <w:color w:val="auto"/>
                <w:szCs w:val="21"/>
                <w:highlight w:val="none"/>
              </w:rPr>
              <w:t>需至少包含以下内容：①故障响应时间：售后服务时间为7X24小时，接到故障通知后30分钟内响应，3小时内安排工程师</w:t>
            </w:r>
            <w:bookmarkStart w:id="13" w:name="OLE_LINK25"/>
            <w:r>
              <w:rPr>
                <w:rFonts w:hint="eastAsia" w:ascii="宋体" w:hAnsi="宋体" w:eastAsia="宋体" w:cs="宋体"/>
                <w:color w:val="auto"/>
                <w:szCs w:val="21"/>
                <w:highlight w:val="none"/>
              </w:rPr>
              <w:t>到达现场</w:t>
            </w:r>
            <w:bookmarkEnd w:id="13"/>
            <w:r>
              <w:rPr>
                <w:rFonts w:hint="eastAsia" w:ascii="宋体" w:hAnsi="宋体" w:eastAsia="宋体" w:cs="宋体"/>
                <w:color w:val="auto"/>
                <w:szCs w:val="21"/>
                <w:highlight w:val="none"/>
              </w:rPr>
              <w:t>，48小时内解决问题，48小时内仍无法解决问题的，提供相同性能参数的备件替用；②所有设备部件均为原厂部件；③为用户提供培训服务，并向受训人员提供技术资料、参考材料、配置手册等，</w:t>
            </w:r>
            <w:bookmarkStart w:id="14" w:name="OLE_LINK36"/>
            <w:r>
              <w:rPr>
                <w:rFonts w:hint="eastAsia" w:ascii="宋体" w:hAnsi="宋体" w:eastAsia="宋体" w:cs="宋体"/>
                <w:color w:val="auto"/>
                <w:szCs w:val="21"/>
                <w:highlight w:val="none"/>
              </w:rPr>
              <w:t>由此产生的全部费用由成交供应商承担</w:t>
            </w:r>
            <w:bookmarkEnd w:id="14"/>
            <w:r>
              <w:rPr>
                <w:rFonts w:hint="eastAsia" w:ascii="宋体" w:hAnsi="宋体" w:eastAsia="宋体" w:cs="宋体"/>
                <w:color w:val="auto"/>
                <w:szCs w:val="21"/>
                <w:highlight w:val="none"/>
              </w:rPr>
              <w:t>。在安装调试过程应安排采购人操作人员参与，并进行现场培训，并确保有2～3 人具备熟练操作设备、了解设备结构及工作原理，并能排除一般故障的能力。</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六、其他要求：</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1.本项目采用总价包干的方式进行报价，报</w:t>
            </w:r>
            <w:bookmarkStart w:id="15" w:name="OLE_LINK26"/>
            <w:r>
              <w:rPr>
                <w:rFonts w:hint="eastAsia" w:ascii="宋体" w:hAnsi="宋体" w:eastAsia="宋体" w:cs="宋体"/>
                <w:color w:val="auto"/>
                <w:szCs w:val="21"/>
                <w:highlight w:val="none"/>
              </w:rPr>
              <w:t>价必须</w:t>
            </w:r>
            <w:bookmarkEnd w:id="15"/>
            <w:r>
              <w:rPr>
                <w:rFonts w:hint="eastAsia" w:ascii="宋体" w:hAnsi="宋体" w:eastAsia="宋体" w:cs="宋体"/>
                <w:color w:val="auto"/>
                <w:szCs w:val="21"/>
                <w:highlight w:val="none"/>
              </w:rPr>
              <w:t>含以下部分，包括：</w:t>
            </w:r>
          </w:p>
          <w:p>
            <w:pPr>
              <w:tabs>
                <w:tab w:val="left" w:pos="3490"/>
                <w:tab w:val="left" w:pos="3670"/>
                <w:tab w:val="left" w:pos="3895"/>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(1)货物(含服务)的价格。</w:t>
            </w:r>
          </w:p>
          <w:p>
            <w:pPr>
              <w:tabs>
                <w:tab w:val="left" w:pos="3490"/>
                <w:tab w:val="left" w:pos="3670"/>
                <w:tab w:val="left" w:pos="3895"/>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(2)货物的标准附件、备品备件、专用工具的价格。</w:t>
            </w:r>
          </w:p>
          <w:p>
            <w:pPr>
              <w:tabs>
                <w:tab w:val="left" w:pos="3490"/>
                <w:tab w:val="left" w:pos="3670"/>
                <w:tab w:val="left" w:pos="3895"/>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(3)运输、装卸、调试、用户培训、技术支持、售后服务、质保期内维护等费用。</w:t>
            </w:r>
          </w:p>
          <w:p>
            <w:pPr>
              <w:tabs>
                <w:tab w:val="left" w:pos="3490"/>
                <w:tab w:val="left" w:pos="3670"/>
                <w:tab w:val="left" w:pos="3895"/>
              </w:tabs>
              <w:spacing w:line="360" w:lineRule="auto"/>
              <w:rPr>
                <w:rFonts w:hint="eastAsia" w:ascii="宋体" w:hAnsi="宋体" w:eastAsia="宋体" w:cs="宋体"/>
                <w:b/>
                <w:bCs/>
                <w:i/>
                <w:iCs/>
                <w:color w:val="auto"/>
                <w:szCs w:val="21"/>
                <w:highlight w:val="none"/>
              </w:rPr>
            </w:pPr>
            <w:r>
              <w:rPr>
                <w:rFonts w:hint="eastAsia" w:ascii="宋体" w:hAnsi="宋体" w:eastAsia="宋体" w:cs="宋体"/>
                <w:color w:val="auto"/>
                <w:szCs w:val="21"/>
                <w:highlight w:val="none"/>
              </w:rPr>
              <w:t>(4)必要的检测、保险费用和各项税金。</w:t>
            </w:r>
          </w:p>
          <w:p>
            <w:pPr>
              <w:tabs>
                <w:tab w:val="left" w:pos="3490"/>
                <w:tab w:val="left" w:pos="3670"/>
                <w:tab w:val="left" w:pos="3895"/>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付款方式：签订合同之日起10个工作日内，采购人支付合同款的40%作为预付款；成交供应商交货完毕，全部货物安装调试完毕并验收合格之日起10个工作日内，采购人支付合同款的60%给成交供应商。采购人付款前，成交供应商在10个工作日内向采购人提供等额有效的合格发票。采购人未收到发票的，有权不予支付相应款项并不承担延迟付款责任。成交供应商需开具相应的发票给采购人。如未按国家要求开具增值税发票，一旦发现成交供应商提供虚假发票，除须向采购人补开合法发票外，须赔偿采购人发票票面金额一倍的违约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6"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其他说明</w:t>
            </w:r>
          </w:p>
        </w:tc>
        <w:tc>
          <w:tcPr>
            <w:tcW w:w="9576" w:type="dxa"/>
            <w:gridSpan w:val="4"/>
            <w:tcBorders>
              <w:top w:val="single" w:color="auto" w:sz="4" w:space="0"/>
              <w:left w:val="single" w:color="auto" w:sz="4" w:space="0"/>
              <w:bottom w:val="single" w:color="auto" w:sz="4" w:space="0"/>
              <w:right w:val="single" w:color="auto" w:sz="4" w:space="0"/>
            </w:tcBorders>
          </w:tcPr>
          <w:p>
            <w:pPr>
              <w:widowControl/>
              <w:tabs>
                <w:tab w:val="left" w:pos="180"/>
                <w:tab w:val="left" w:pos="1620"/>
              </w:tabs>
              <w:spacing w:line="360" w:lineRule="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一、进口产品说明</w:t>
            </w:r>
            <w:r>
              <w:rPr>
                <w:rFonts w:hint="eastAsia" w:ascii="宋体" w:hAnsi="宋体" w:eastAsia="宋体" w:cs="宋体"/>
                <w:color w:val="auto"/>
                <w:szCs w:val="21"/>
                <w:highlight w:val="none"/>
              </w:rPr>
              <w:t>：</w:t>
            </w:r>
          </w:p>
          <w:p>
            <w:pPr>
              <w:tabs>
                <w:tab w:val="left" w:pos="180"/>
                <w:tab w:val="left" w:pos="1620"/>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本项目货物所涉及的货物不接受进口产品（即通过中国海关报关验放进入中国境内且产自关境外的产品）参与竞标，</w:t>
            </w:r>
            <w:r>
              <w:rPr>
                <w:rFonts w:hint="eastAsia" w:ascii="宋体" w:hAnsi="宋体" w:eastAsia="宋体" w:cs="宋体"/>
                <w:b/>
                <w:color w:val="auto"/>
                <w:szCs w:val="21"/>
                <w:highlight w:val="none"/>
              </w:rPr>
              <w:t>如有进口产品参与竞标的，其响应文件按无效处理</w:t>
            </w:r>
            <w:r>
              <w:rPr>
                <w:rFonts w:hint="eastAsia" w:ascii="宋体" w:hAnsi="宋体" w:eastAsia="宋体" w:cs="宋体"/>
                <w:color w:val="auto"/>
                <w:szCs w:val="21"/>
                <w:highlight w:val="none"/>
              </w:rPr>
              <w:t>。</w:t>
            </w:r>
          </w:p>
          <w:p>
            <w:pPr>
              <w:tabs>
                <w:tab w:val="left" w:pos="180"/>
                <w:tab w:val="left" w:pos="1620"/>
              </w:tabs>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二、核心产品：</w:t>
            </w:r>
          </w:p>
          <w:p>
            <w:pPr>
              <w:widowControl/>
              <w:tabs>
                <w:tab w:val="left" w:pos="180"/>
                <w:tab w:val="left" w:pos="1620"/>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本项目的核心产品为“需求一览表”中第1项产品</w:t>
            </w:r>
            <w:r>
              <w:rPr>
                <w:rFonts w:hint="eastAsia" w:ascii="宋体" w:hAnsi="宋体" w:eastAsia="宋体" w:cs="宋体"/>
                <w:color w:val="auto"/>
                <w:szCs w:val="21"/>
                <w:highlight w:val="none"/>
                <w:u w:val="single"/>
              </w:rPr>
              <w:t>：</w:t>
            </w:r>
            <w:bookmarkStart w:id="16" w:name="OLE_LINK27"/>
            <w:r>
              <w:rPr>
                <w:rFonts w:hint="eastAsia" w:ascii="宋体" w:hAnsi="宋体" w:eastAsia="宋体" w:cs="宋体"/>
                <w:color w:val="auto"/>
                <w:szCs w:val="21"/>
                <w:highlight w:val="none"/>
                <w:u w:val="single"/>
              </w:rPr>
              <w:t>汽车座椅、车门、顶棚配套实训设备</w:t>
            </w:r>
            <w:bookmarkEnd w:id="16"/>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napToGrid w:val="0"/>
              <w:spacing w:line="360"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三、现场勘查：</w:t>
            </w:r>
          </w:p>
          <w:p>
            <w:pPr>
              <w:spacing w:line="360" w:lineRule="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本项目统一组织现场考察，供应商可根据自身情况决定是否参加采购人统一组织的现场考察，具体如下：</w:t>
            </w:r>
          </w:p>
          <w:p>
            <w:pPr>
              <w:spacing w:line="360" w:lineRule="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①现场勘查须携带的资料：供应商代表持单位介绍信原件或法人授权委托书原件、个人身份证原件、现</w:t>
            </w:r>
          </w:p>
          <w:p>
            <w:pPr>
              <w:spacing w:line="360" w:lineRule="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场勘查申请书原件及报名并获取本项目采购文件的截图；</w:t>
            </w:r>
          </w:p>
          <w:p>
            <w:pPr>
              <w:spacing w:line="360" w:lineRule="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②现场勘查集合时间</w:t>
            </w:r>
            <w:r>
              <w:rPr>
                <w:rFonts w:hint="eastAsia" w:ascii="Calibri" w:hAnsi="Calibri" w:eastAsia="宋体" w:cs="Times New Roman"/>
                <w:color w:val="auto"/>
                <w:highlight w:val="none"/>
              </w:rPr>
              <w:t>（北京时间）</w:t>
            </w:r>
            <w:r>
              <w:rPr>
                <w:rFonts w:hint="eastAsia" w:ascii="Times New Roman" w:hAnsi="Times New Roman" w:eastAsia="宋体" w:cs="Times New Roman"/>
                <w:color w:val="auto"/>
                <w:szCs w:val="21"/>
                <w:highlight w:val="none"/>
              </w:rPr>
              <w:t>：2025年</w:t>
            </w:r>
            <w:r>
              <w:rPr>
                <w:rFonts w:hint="eastAsia" w:ascii="Times New Roman" w:hAnsi="Times New Roman" w:eastAsia="宋体" w:cs="Times New Roman"/>
                <w:color w:val="auto"/>
                <w:szCs w:val="21"/>
                <w:highlight w:val="none"/>
                <w:lang w:val="en-US" w:eastAsia="zh-CN"/>
              </w:rPr>
              <w:t>6</w:t>
            </w:r>
            <w:r>
              <w:rPr>
                <w:rFonts w:hint="eastAsia" w:ascii="Times New Roman" w:hAnsi="Times New Roman" w:eastAsia="宋体" w:cs="Times New Roman"/>
                <w:color w:val="auto"/>
                <w:szCs w:val="21"/>
                <w:highlight w:val="none"/>
              </w:rPr>
              <w:t>月</w:t>
            </w:r>
            <w:r>
              <w:rPr>
                <w:rFonts w:hint="eastAsia" w:ascii="Times New Roman" w:hAnsi="Times New Roman" w:eastAsia="宋体" w:cs="Times New Roman"/>
                <w:color w:val="auto"/>
                <w:szCs w:val="21"/>
                <w:highlight w:val="none"/>
                <w:lang w:val="en-US" w:eastAsia="zh-CN"/>
              </w:rPr>
              <w:t>11</w:t>
            </w:r>
            <w:r>
              <w:rPr>
                <w:rFonts w:hint="eastAsia" w:ascii="Times New Roman" w:hAnsi="Times New Roman" w:eastAsia="宋体" w:cs="Times New Roman"/>
                <w:color w:val="auto"/>
                <w:szCs w:val="21"/>
                <w:highlight w:val="none"/>
              </w:rPr>
              <w:t>日（9时00分为集合时间，超过9时00分的不予接待（以到达现场勘查集合地址为准），后果由供应商自行负责）；</w:t>
            </w:r>
          </w:p>
          <w:p>
            <w:pPr>
              <w:spacing w:line="360" w:lineRule="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③现场勘查集合地址：广西纺织工业学校；</w:t>
            </w:r>
          </w:p>
          <w:p>
            <w:pPr>
              <w:spacing w:line="360" w:lineRule="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④采购人联系方式：黄老师，0771-3240015；</w:t>
            </w:r>
          </w:p>
          <w:p>
            <w:pPr>
              <w:spacing w:line="360" w:lineRule="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⑤勘查供应商应自行前往项目所在地（广西纺织工业学校）进行实地考察（费用自理），经实地考察后因自身原因考察不详细而导致</w:t>
            </w:r>
            <w:bookmarkStart w:id="17" w:name="OLE_LINK28"/>
            <w:r>
              <w:rPr>
                <w:rFonts w:hint="eastAsia" w:ascii="Times New Roman" w:hAnsi="Times New Roman" w:eastAsia="宋体" w:cs="Times New Roman"/>
                <w:color w:val="auto"/>
                <w:szCs w:val="21"/>
                <w:highlight w:val="none"/>
              </w:rPr>
              <w:t>响应文件</w:t>
            </w:r>
            <w:bookmarkEnd w:id="17"/>
            <w:r>
              <w:rPr>
                <w:rFonts w:hint="eastAsia" w:ascii="Times New Roman" w:hAnsi="Times New Roman" w:eastAsia="宋体" w:cs="Times New Roman"/>
                <w:color w:val="auto"/>
                <w:szCs w:val="21"/>
                <w:highlight w:val="none"/>
              </w:rPr>
              <w:t>编制产生偏差、成交后不能履约等一切责任由供应商自行承担；</w:t>
            </w:r>
          </w:p>
          <w:p>
            <w:pPr>
              <w:spacing w:line="360" w:lineRule="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⑥如采购人向供应商提供的有关现场的数据和资料，是采购人现有的能被供应商利用的资料。采购人对</w:t>
            </w:r>
          </w:p>
          <w:p>
            <w:pPr>
              <w:spacing w:line="360" w:lineRule="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供应商做出的任何推论、理解和结论均不负责任；</w:t>
            </w:r>
          </w:p>
          <w:p>
            <w:pPr>
              <w:widowControl/>
              <w:tabs>
                <w:tab w:val="left" w:pos="180"/>
                <w:tab w:val="left" w:pos="1620"/>
              </w:tabs>
              <w:spacing w:line="360" w:lineRule="auto"/>
              <w:rPr>
                <w:rFonts w:hint="eastAsia" w:ascii="宋体" w:hAnsi="宋体" w:eastAsia="宋体" w:cs="宋体"/>
                <w:color w:val="auto"/>
                <w:szCs w:val="21"/>
                <w:highlight w:val="none"/>
              </w:rPr>
            </w:pPr>
            <w:r>
              <w:rPr>
                <w:rFonts w:hint="eastAsia" w:ascii="Times New Roman" w:hAnsi="Times New Roman" w:eastAsia="宋体" w:cs="Times New Roman"/>
                <w:color w:val="auto"/>
                <w:szCs w:val="21"/>
                <w:highlight w:val="none"/>
              </w:rPr>
              <w:t>⑦供应商可为勘查目的进入采购人的项目现场，但供应商不得因此使采购人承担有关的责任和蒙受损失。供应商自行承担现场勘查的安全责任和风险。</w:t>
            </w:r>
          </w:p>
        </w:tc>
      </w:tr>
    </w:tbl>
    <w:p>
      <w:pPr>
        <w:spacing w:line="428" w:lineRule="exact"/>
        <w:rPr>
          <w:rFonts w:hint="eastAsia" w:ascii="Arial Unicode MS" w:hAnsi="Arial Unicode MS" w:eastAsia="Arial Unicode MS" w:cs="Arial Unicode MS"/>
          <w:color w:val="auto"/>
          <w:sz w:val="32"/>
          <w:szCs w:val="32"/>
          <w:highlight w:val="none"/>
        </w:rPr>
      </w:pPr>
    </w:p>
    <w:p>
      <w:pPr>
        <w:spacing w:line="428" w:lineRule="exact"/>
        <w:rPr>
          <w:rFonts w:hint="eastAsia" w:ascii="Arial Unicode MS" w:hAnsi="Arial Unicode MS" w:eastAsia="Arial Unicode MS" w:cs="Arial Unicode MS"/>
          <w:sz w:val="32"/>
          <w:szCs w:val="32"/>
        </w:rPr>
      </w:pPr>
    </w:p>
    <w:p>
      <w:pPr>
        <w:spacing w:line="428" w:lineRule="exact"/>
        <w:rPr>
          <w:rFonts w:hint="eastAsia" w:ascii="Arial Unicode MS" w:hAnsi="Arial Unicode MS" w:eastAsia="Arial Unicode MS" w:cs="Arial Unicode MS"/>
          <w:sz w:val="32"/>
          <w:szCs w:val="32"/>
        </w:rPr>
        <w:sectPr>
          <w:pgSz w:w="11910" w:h="16840"/>
          <w:pgMar w:top="1134" w:right="1134" w:bottom="1134" w:left="1134" w:header="720" w:footer="720" w:gutter="0"/>
          <w:cols w:space="720" w:num="1"/>
        </w:sectPr>
      </w:pPr>
    </w:p>
    <w:p>
      <w:pPr>
        <w:spacing w:line="428" w:lineRule="exact"/>
        <w:rPr>
          <w:rFonts w:hint="eastAsia" w:ascii="Arial Unicode MS" w:hAnsi="Arial Unicode MS" w:eastAsia="Arial Unicode MS" w:cs="Arial Unicode MS"/>
          <w:sz w:val="17"/>
          <w:szCs w:val="17"/>
        </w:rPr>
      </w:pPr>
      <w:r>
        <w:rPr>
          <w:rFonts w:hint="eastAsia" w:ascii="Arial Unicode MS" w:hAnsi="Arial Unicode MS" w:eastAsia="Arial Unicode MS" w:cs="Arial Unicode MS"/>
          <w:sz w:val="32"/>
          <w:szCs w:val="32"/>
        </w:rPr>
        <w:t>附件1：</w:t>
      </w:r>
    </w:p>
    <w:p>
      <w:pPr>
        <w:widowControl/>
        <w:spacing w:before="120" w:beforeLines="50" w:after="120" w:afterLines="50" w:line="280" w:lineRule="exact"/>
        <w:jc w:val="center"/>
        <w:rPr>
          <w:rFonts w:hint="eastAsia" w:ascii="宋体" w:hAnsi="宋体" w:eastAsia="宋体" w:cs="宋体"/>
          <w:b/>
          <w:bCs/>
          <w:kern w:val="0"/>
          <w:sz w:val="30"/>
          <w:szCs w:val="30"/>
        </w:rPr>
      </w:pPr>
      <w:bookmarkStart w:id="18" w:name="_Toc28361_WPSOffice_Level2"/>
      <w:r>
        <w:rPr>
          <w:rFonts w:hint="eastAsia" w:ascii="宋体" w:hAnsi="宋体" w:eastAsia="宋体" w:cs="宋体"/>
          <w:b/>
          <w:bCs/>
          <w:kern w:val="0"/>
          <w:sz w:val="30"/>
          <w:szCs w:val="30"/>
        </w:rPr>
        <w:t>统计上大中小微型企业划分标准</w:t>
      </w:r>
      <w:bookmarkEnd w:id="18"/>
    </w:p>
    <w:tbl>
      <w:tblPr>
        <w:tblStyle w:val="6"/>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vAlign w:val="center"/>
          </w:tcPr>
          <w:p>
            <w:pPr>
              <w:widowControl/>
              <w:spacing w:line="280" w:lineRule="exact"/>
              <w:jc w:val="center"/>
              <w:rPr>
                <w:rFonts w:hint="eastAsia" w:ascii="宋体" w:hAnsi="宋体" w:eastAsia="宋体" w:cs="宋体"/>
                <w:b/>
                <w:bCs/>
                <w:kern w:val="0"/>
                <w:sz w:val="18"/>
                <w:szCs w:val="21"/>
              </w:rPr>
            </w:pPr>
            <w:r>
              <w:rPr>
                <w:rFonts w:hint="eastAsia" w:ascii="宋体" w:hAnsi="宋体" w:eastAsia="宋体" w:cs="宋体"/>
                <w:b/>
                <w:bCs/>
                <w:kern w:val="0"/>
                <w:sz w:val="18"/>
                <w:szCs w:val="21"/>
              </w:rPr>
              <w:t>行业名称</w:t>
            </w:r>
          </w:p>
        </w:tc>
        <w:tc>
          <w:tcPr>
            <w:tcW w:w="1369" w:type="dxa"/>
            <w:shd w:val="clear" w:color="auto" w:fill="8DB3E2"/>
            <w:vAlign w:val="center"/>
          </w:tcPr>
          <w:p>
            <w:pPr>
              <w:widowControl/>
              <w:spacing w:line="280" w:lineRule="exact"/>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指标名称</w:t>
            </w:r>
          </w:p>
        </w:tc>
        <w:tc>
          <w:tcPr>
            <w:tcW w:w="709" w:type="dxa"/>
            <w:shd w:val="clear" w:color="auto" w:fill="8DB3E2"/>
            <w:vAlign w:val="center"/>
          </w:tcPr>
          <w:p>
            <w:pPr>
              <w:widowControl/>
              <w:spacing w:line="280" w:lineRule="exact"/>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计量</w:t>
            </w:r>
          </w:p>
          <w:p>
            <w:pPr>
              <w:widowControl/>
              <w:spacing w:line="280" w:lineRule="exact"/>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单位</w:t>
            </w:r>
          </w:p>
        </w:tc>
        <w:tc>
          <w:tcPr>
            <w:tcW w:w="1125" w:type="dxa"/>
            <w:shd w:val="clear" w:color="auto" w:fill="8DB3E2"/>
            <w:vAlign w:val="center"/>
          </w:tcPr>
          <w:p>
            <w:pPr>
              <w:widowControl/>
              <w:spacing w:line="280" w:lineRule="exact"/>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大型</w:t>
            </w:r>
          </w:p>
        </w:tc>
        <w:tc>
          <w:tcPr>
            <w:tcW w:w="1701" w:type="dxa"/>
            <w:shd w:val="clear" w:color="auto" w:fill="8DB3E2"/>
            <w:vAlign w:val="center"/>
          </w:tcPr>
          <w:p>
            <w:pPr>
              <w:widowControl/>
              <w:spacing w:line="280" w:lineRule="exact"/>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中型</w:t>
            </w:r>
          </w:p>
        </w:tc>
        <w:tc>
          <w:tcPr>
            <w:tcW w:w="1426" w:type="dxa"/>
            <w:shd w:val="clear" w:color="auto" w:fill="8DB3E2"/>
            <w:vAlign w:val="center"/>
          </w:tcPr>
          <w:p>
            <w:pPr>
              <w:widowControl/>
              <w:spacing w:line="280" w:lineRule="exact"/>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小型</w:t>
            </w:r>
          </w:p>
        </w:tc>
        <w:tc>
          <w:tcPr>
            <w:tcW w:w="992" w:type="dxa"/>
            <w:shd w:val="clear" w:color="auto" w:fill="8DB3E2"/>
            <w:vAlign w:val="center"/>
          </w:tcPr>
          <w:p>
            <w:pPr>
              <w:widowControl/>
              <w:spacing w:line="280" w:lineRule="exact"/>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pPr>
              <w:widowControl/>
              <w:spacing w:line="28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农、林、牧、渔业</w:t>
            </w:r>
          </w:p>
        </w:tc>
        <w:tc>
          <w:tcPr>
            <w:tcW w:w="1369"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709"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125"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Y≥20000</w:t>
            </w:r>
          </w:p>
        </w:tc>
        <w:tc>
          <w:tcPr>
            <w:tcW w:w="1701"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500≤Y＜20000</w:t>
            </w:r>
          </w:p>
        </w:tc>
        <w:tc>
          <w:tcPr>
            <w:tcW w:w="1426"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50≤Y＜500</w:t>
            </w:r>
          </w:p>
        </w:tc>
        <w:tc>
          <w:tcPr>
            <w:tcW w:w="992"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工业 *</w:t>
            </w:r>
          </w:p>
        </w:tc>
        <w:tc>
          <w:tcPr>
            <w:tcW w:w="1369"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从业人员(X)</w:t>
            </w:r>
          </w:p>
        </w:tc>
        <w:tc>
          <w:tcPr>
            <w:tcW w:w="709"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125"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X≥1000</w:t>
            </w:r>
          </w:p>
        </w:tc>
        <w:tc>
          <w:tcPr>
            <w:tcW w:w="1701"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300≤X＜1000</w:t>
            </w:r>
          </w:p>
        </w:tc>
        <w:tc>
          <w:tcPr>
            <w:tcW w:w="1426"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20≤X＜300</w:t>
            </w:r>
          </w:p>
        </w:tc>
        <w:tc>
          <w:tcPr>
            <w:tcW w:w="992"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hint="eastAsia" w:ascii="宋体" w:hAnsi="宋体" w:eastAsia="宋体" w:cs="宋体"/>
                <w:kern w:val="0"/>
                <w:sz w:val="18"/>
                <w:szCs w:val="18"/>
              </w:rPr>
            </w:pPr>
          </w:p>
        </w:tc>
        <w:tc>
          <w:tcPr>
            <w:tcW w:w="1369"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709"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125"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Y≥40000</w:t>
            </w:r>
          </w:p>
        </w:tc>
        <w:tc>
          <w:tcPr>
            <w:tcW w:w="1701"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2000≤Y＜40000</w:t>
            </w:r>
          </w:p>
        </w:tc>
        <w:tc>
          <w:tcPr>
            <w:tcW w:w="1426"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300≤Y＜2000</w:t>
            </w:r>
          </w:p>
        </w:tc>
        <w:tc>
          <w:tcPr>
            <w:tcW w:w="992"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建筑业</w:t>
            </w:r>
          </w:p>
        </w:tc>
        <w:tc>
          <w:tcPr>
            <w:tcW w:w="1369"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709"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125"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Y≥80000</w:t>
            </w:r>
          </w:p>
        </w:tc>
        <w:tc>
          <w:tcPr>
            <w:tcW w:w="1701"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6000≤Y＜80000</w:t>
            </w:r>
          </w:p>
        </w:tc>
        <w:tc>
          <w:tcPr>
            <w:tcW w:w="1426"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300≤Y＜6000</w:t>
            </w:r>
          </w:p>
        </w:tc>
        <w:tc>
          <w:tcPr>
            <w:tcW w:w="992"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hint="eastAsia" w:ascii="宋体" w:hAnsi="宋体" w:eastAsia="宋体" w:cs="宋体"/>
                <w:kern w:val="0"/>
                <w:sz w:val="18"/>
                <w:szCs w:val="18"/>
              </w:rPr>
            </w:pPr>
          </w:p>
        </w:tc>
        <w:tc>
          <w:tcPr>
            <w:tcW w:w="1369"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资产总额(Z)</w:t>
            </w:r>
          </w:p>
        </w:tc>
        <w:tc>
          <w:tcPr>
            <w:tcW w:w="709"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125"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Z≥80000</w:t>
            </w:r>
          </w:p>
        </w:tc>
        <w:tc>
          <w:tcPr>
            <w:tcW w:w="1701"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5000≤Z＜80000</w:t>
            </w:r>
          </w:p>
        </w:tc>
        <w:tc>
          <w:tcPr>
            <w:tcW w:w="1426"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300≤Z＜5000</w:t>
            </w:r>
          </w:p>
        </w:tc>
        <w:tc>
          <w:tcPr>
            <w:tcW w:w="992"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批发业</w:t>
            </w:r>
          </w:p>
        </w:tc>
        <w:tc>
          <w:tcPr>
            <w:tcW w:w="1369"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从业人员(X)</w:t>
            </w:r>
          </w:p>
        </w:tc>
        <w:tc>
          <w:tcPr>
            <w:tcW w:w="709"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125"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X≥200</w:t>
            </w:r>
          </w:p>
        </w:tc>
        <w:tc>
          <w:tcPr>
            <w:tcW w:w="1701"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20≤X＜200</w:t>
            </w:r>
          </w:p>
        </w:tc>
        <w:tc>
          <w:tcPr>
            <w:tcW w:w="1426"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5≤X＜20</w:t>
            </w:r>
          </w:p>
        </w:tc>
        <w:tc>
          <w:tcPr>
            <w:tcW w:w="992"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hint="eastAsia" w:ascii="宋体" w:hAnsi="宋体" w:eastAsia="宋体" w:cs="宋体"/>
                <w:kern w:val="0"/>
                <w:sz w:val="18"/>
                <w:szCs w:val="18"/>
              </w:rPr>
            </w:pPr>
          </w:p>
        </w:tc>
        <w:tc>
          <w:tcPr>
            <w:tcW w:w="1369"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709"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125"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Y≥40000</w:t>
            </w:r>
          </w:p>
        </w:tc>
        <w:tc>
          <w:tcPr>
            <w:tcW w:w="1701"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5000≤Y＜40000</w:t>
            </w:r>
          </w:p>
        </w:tc>
        <w:tc>
          <w:tcPr>
            <w:tcW w:w="1426" w:type="dxa"/>
            <w:vAlign w:val="center"/>
          </w:tcPr>
          <w:p>
            <w:pPr>
              <w:widowControl/>
              <w:spacing w:line="280" w:lineRule="exact"/>
              <w:ind w:left="-1" w:leftChars="-1" w:hanging="1"/>
              <w:jc w:val="center"/>
              <w:rPr>
                <w:rFonts w:hint="eastAsia" w:ascii="宋体" w:hAnsi="宋体" w:eastAsia="宋体" w:cs="宋体"/>
                <w:kern w:val="0"/>
                <w:sz w:val="18"/>
                <w:szCs w:val="18"/>
              </w:rPr>
            </w:pPr>
            <w:r>
              <w:rPr>
                <w:rFonts w:hint="eastAsia" w:ascii="宋体" w:hAnsi="宋体" w:eastAsia="宋体" w:cs="宋体"/>
                <w:kern w:val="0"/>
                <w:sz w:val="18"/>
                <w:szCs w:val="18"/>
              </w:rPr>
              <w:t>1000≤Y＜5000</w:t>
            </w:r>
          </w:p>
        </w:tc>
        <w:tc>
          <w:tcPr>
            <w:tcW w:w="992"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零售业</w:t>
            </w:r>
          </w:p>
        </w:tc>
        <w:tc>
          <w:tcPr>
            <w:tcW w:w="1369"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从业人员(X)</w:t>
            </w:r>
          </w:p>
        </w:tc>
        <w:tc>
          <w:tcPr>
            <w:tcW w:w="709"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125"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X≥300</w:t>
            </w:r>
          </w:p>
        </w:tc>
        <w:tc>
          <w:tcPr>
            <w:tcW w:w="1701"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50≤X＜300</w:t>
            </w:r>
          </w:p>
        </w:tc>
        <w:tc>
          <w:tcPr>
            <w:tcW w:w="1426" w:type="dxa"/>
            <w:vAlign w:val="center"/>
          </w:tcPr>
          <w:p>
            <w:pPr>
              <w:widowControl/>
              <w:spacing w:line="280" w:lineRule="exact"/>
              <w:ind w:left="-1" w:leftChars="-1" w:hanging="1"/>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10≤X＜50 </w:t>
            </w:r>
          </w:p>
        </w:tc>
        <w:tc>
          <w:tcPr>
            <w:tcW w:w="992"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hint="eastAsia" w:ascii="宋体" w:hAnsi="宋体" w:eastAsia="宋体" w:cs="宋体"/>
                <w:kern w:val="0"/>
                <w:sz w:val="18"/>
                <w:szCs w:val="18"/>
              </w:rPr>
            </w:pPr>
          </w:p>
        </w:tc>
        <w:tc>
          <w:tcPr>
            <w:tcW w:w="1369"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709"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125"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Y≥20000</w:t>
            </w:r>
          </w:p>
        </w:tc>
        <w:tc>
          <w:tcPr>
            <w:tcW w:w="1701"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500≤Y＜20000</w:t>
            </w:r>
          </w:p>
        </w:tc>
        <w:tc>
          <w:tcPr>
            <w:tcW w:w="1426" w:type="dxa"/>
            <w:vAlign w:val="center"/>
          </w:tcPr>
          <w:p>
            <w:pPr>
              <w:widowControl/>
              <w:spacing w:line="280" w:lineRule="exact"/>
              <w:ind w:left="-1" w:leftChars="-1" w:hanging="1"/>
              <w:jc w:val="center"/>
              <w:rPr>
                <w:rFonts w:hint="eastAsia" w:ascii="宋体" w:hAnsi="宋体" w:eastAsia="宋体" w:cs="宋体"/>
                <w:kern w:val="0"/>
                <w:sz w:val="18"/>
                <w:szCs w:val="18"/>
              </w:rPr>
            </w:pPr>
            <w:r>
              <w:rPr>
                <w:rFonts w:hint="eastAsia" w:ascii="宋体" w:hAnsi="宋体" w:eastAsia="宋体" w:cs="宋体"/>
                <w:kern w:val="0"/>
                <w:sz w:val="18"/>
                <w:szCs w:val="18"/>
              </w:rPr>
              <w:t>100≤Y＜500</w:t>
            </w:r>
          </w:p>
        </w:tc>
        <w:tc>
          <w:tcPr>
            <w:tcW w:w="992"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交通运输业 *</w:t>
            </w:r>
          </w:p>
        </w:tc>
        <w:tc>
          <w:tcPr>
            <w:tcW w:w="1369"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从业人员(X)</w:t>
            </w:r>
          </w:p>
        </w:tc>
        <w:tc>
          <w:tcPr>
            <w:tcW w:w="709"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125"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X≥1000</w:t>
            </w:r>
          </w:p>
        </w:tc>
        <w:tc>
          <w:tcPr>
            <w:tcW w:w="1701"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300≤X＜1000</w:t>
            </w:r>
          </w:p>
        </w:tc>
        <w:tc>
          <w:tcPr>
            <w:tcW w:w="1426"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20≤X＜300</w:t>
            </w:r>
          </w:p>
        </w:tc>
        <w:tc>
          <w:tcPr>
            <w:tcW w:w="992"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hint="eastAsia" w:ascii="宋体" w:hAnsi="宋体" w:eastAsia="宋体" w:cs="宋体"/>
                <w:kern w:val="0"/>
                <w:sz w:val="18"/>
                <w:szCs w:val="18"/>
              </w:rPr>
            </w:pPr>
          </w:p>
        </w:tc>
        <w:tc>
          <w:tcPr>
            <w:tcW w:w="1369"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709"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125"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Y≥30000</w:t>
            </w:r>
          </w:p>
        </w:tc>
        <w:tc>
          <w:tcPr>
            <w:tcW w:w="1701"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3000≤Y＜30000</w:t>
            </w:r>
          </w:p>
        </w:tc>
        <w:tc>
          <w:tcPr>
            <w:tcW w:w="1426"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200≤Y＜3000</w:t>
            </w:r>
          </w:p>
        </w:tc>
        <w:tc>
          <w:tcPr>
            <w:tcW w:w="992"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仓储业*</w:t>
            </w:r>
          </w:p>
        </w:tc>
        <w:tc>
          <w:tcPr>
            <w:tcW w:w="1369"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从业人员(X)</w:t>
            </w:r>
          </w:p>
        </w:tc>
        <w:tc>
          <w:tcPr>
            <w:tcW w:w="709"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125"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X≥200</w:t>
            </w:r>
          </w:p>
        </w:tc>
        <w:tc>
          <w:tcPr>
            <w:tcW w:w="1701" w:type="dxa"/>
            <w:vAlign w:val="center"/>
          </w:tcPr>
          <w:p>
            <w:pPr>
              <w:widowControl/>
              <w:spacing w:line="280" w:lineRule="exact"/>
              <w:ind w:left="1" w:leftChars="-51" w:hanging="108" w:hangingChars="60"/>
              <w:jc w:val="center"/>
              <w:rPr>
                <w:rFonts w:hint="eastAsia" w:ascii="宋体" w:hAnsi="宋体" w:eastAsia="宋体" w:cs="宋体"/>
                <w:kern w:val="0"/>
                <w:sz w:val="18"/>
                <w:szCs w:val="18"/>
              </w:rPr>
            </w:pPr>
            <w:r>
              <w:rPr>
                <w:rFonts w:hint="eastAsia" w:ascii="宋体" w:hAnsi="宋体" w:eastAsia="宋体" w:cs="宋体"/>
                <w:kern w:val="0"/>
                <w:sz w:val="18"/>
                <w:szCs w:val="18"/>
              </w:rPr>
              <w:t>100≤X＜200</w:t>
            </w:r>
          </w:p>
        </w:tc>
        <w:tc>
          <w:tcPr>
            <w:tcW w:w="1426"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20≤X＜100</w:t>
            </w:r>
          </w:p>
        </w:tc>
        <w:tc>
          <w:tcPr>
            <w:tcW w:w="992"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hint="eastAsia" w:ascii="宋体" w:hAnsi="宋体" w:eastAsia="宋体" w:cs="宋体"/>
                <w:kern w:val="0"/>
                <w:sz w:val="18"/>
                <w:szCs w:val="18"/>
              </w:rPr>
            </w:pPr>
          </w:p>
        </w:tc>
        <w:tc>
          <w:tcPr>
            <w:tcW w:w="1369"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709"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125"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Y≥30000</w:t>
            </w:r>
          </w:p>
        </w:tc>
        <w:tc>
          <w:tcPr>
            <w:tcW w:w="1701"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1000≤Y＜30000</w:t>
            </w:r>
          </w:p>
        </w:tc>
        <w:tc>
          <w:tcPr>
            <w:tcW w:w="1426"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100≤Y＜1000</w:t>
            </w:r>
          </w:p>
        </w:tc>
        <w:tc>
          <w:tcPr>
            <w:tcW w:w="992"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邮政业</w:t>
            </w:r>
          </w:p>
        </w:tc>
        <w:tc>
          <w:tcPr>
            <w:tcW w:w="1369"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从业人员(X)</w:t>
            </w:r>
          </w:p>
        </w:tc>
        <w:tc>
          <w:tcPr>
            <w:tcW w:w="709"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125"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X≥1000</w:t>
            </w:r>
          </w:p>
        </w:tc>
        <w:tc>
          <w:tcPr>
            <w:tcW w:w="1701"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300≤X＜1000</w:t>
            </w:r>
          </w:p>
        </w:tc>
        <w:tc>
          <w:tcPr>
            <w:tcW w:w="1426"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20≤X＜300</w:t>
            </w:r>
          </w:p>
        </w:tc>
        <w:tc>
          <w:tcPr>
            <w:tcW w:w="992"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hint="eastAsia" w:ascii="宋体" w:hAnsi="宋体" w:eastAsia="宋体" w:cs="宋体"/>
                <w:kern w:val="0"/>
                <w:sz w:val="18"/>
                <w:szCs w:val="18"/>
              </w:rPr>
            </w:pPr>
          </w:p>
        </w:tc>
        <w:tc>
          <w:tcPr>
            <w:tcW w:w="1369"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709"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125"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Y≥30000</w:t>
            </w:r>
          </w:p>
        </w:tc>
        <w:tc>
          <w:tcPr>
            <w:tcW w:w="1701"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2000≤Y＜30000</w:t>
            </w:r>
          </w:p>
        </w:tc>
        <w:tc>
          <w:tcPr>
            <w:tcW w:w="1426"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100≤Y＜2000</w:t>
            </w:r>
          </w:p>
        </w:tc>
        <w:tc>
          <w:tcPr>
            <w:tcW w:w="992"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住宿业</w:t>
            </w:r>
          </w:p>
        </w:tc>
        <w:tc>
          <w:tcPr>
            <w:tcW w:w="1369"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从业人员(X)</w:t>
            </w:r>
          </w:p>
        </w:tc>
        <w:tc>
          <w:tcPr>
            <w:tcW w:w="709"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125"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X≥300</w:t>
            </w:r>
          </w:p>
        </w:tc>
        <w:tc>
          <w:tcPr>
            <w:tcW w:w="1701" w:type="dxa"/>
            <w:vAlign w:val="center"/>
          </w:tcPr>
          <w:p>
            <w:pPr>
              <w:widowControl/>
              <w:spacing w:line="280" w:lineRule="exact"/>
              <w:ind w:left="1" w:leftChars="-51" w:hanging="108" w:hangingChars="60"/>
              <w:jc w:val="center"/>
              <w:rPr>
                <w:rFonts w:hint="eastAsia" w:ascii="宋体" w:hAnsi="宋体" w:eastAsia="宋体" w:cs="宋体"/>
                <w:kern w:val="0"/>
                <w:sz w:val="18"/>
                <w:szCs w:val="18"/>
              </w:rPr>
            </w:pPr>
            <w:r>
              <w:rPr>
                <w:rFonts w:hint="eastAsia" w:ascii="宋体" w:hAnsi="宋体" w:eastAsia="宋体" w:cs="宋体"/>
                <w:kern w:val="0"/>
                <w:sz w:val="18"/>
                <w:szCs w:val="18"/>
              </w:rPr>
              <w:t>100≤X＜300</w:t>
            </w:r>
          </w:p>
        </w:tc>
        <w:tc>
          <w:tcPr>
            <w:tcW w:w="1426"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10≤X＜100</w:t>
            </w:r>
          </w:p>
        </w:tc>
        <w:tc>
          <w:tcPr>
            <w:tcW w:w="992"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hint="eastAsia" w:ascii="宋体" w:hAnsi="宋体" w:eastAsia="宋体" w:cs="宋体"/>
                <w:kern w:val="0"/>
                <w:sz w:val="18"/>
                <w:szCs w:val="18"/>
              </w:rPr>
            </w:pPr>
          </w:p>
        </w:tc>
        <w:tc>
          <w:tcPr>
            <w:tcW w:w="1369"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709"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125"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Y≥10000</w:t>
            </w:r>
          </w:p>
        </w:tc>
        <w:tc>
          <w:tcPr>
            <w:tcW w:w="1701"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2000≤Y＜10000</w:t>
            </w:r>
          </w:p>
        </w:tc>
        <w:tc>
          <w:tcPr>
            <w:tcW w:w="1426"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100≤Y＜2000</w:t>
            </w:r>
          </w:p>
        </w:tc>
        <w:tc>
          <w:tcPr>
            <w:tcW w:w="992"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餐饮业</w:t>
            </w:r>
          </w:p>
        </w:tc>
        <w:tc>
          <w:tcPr>
            <w:tcW w:w="1369"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从业人员(X)</w:t>
            </w:r>
          </w:p>
        </w:tc>
        <w:tc>
          <w:tcPr>
            <w:tcW w:w="709"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125"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X≥300</w:t>
            </w:r>
          </w:p>
        </w:tc>
        <w:tc>
          <w:tcPr>
            <w:tcW w:w="1701" w:type="dxa"/>
            <w:vAlign w:val="center"/>
          </w:tcPr>
          <w:p>
            <w:pPr>
              <w:widowControl/>
              <w:spacing w:line="280" w:lineRule="exact"/>
              <w:ind w:left="1" w:leftChars="-51" w:hanging="108" w:hangingChars="60"/>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100≤X＜300 </w:t>
            </w:r>
          </w:p>
        </w:tc>
        <w:tc>
          <w:tcPr>
            <w:tcW w:w="1426"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10≤X＜100</w:t>
            </w:r>
          </w:p>
        </w:tc>
        <w:tc>
          <w:tcPr>
            <w:tcW w:w="992"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hint="eastAsia" w:ascii="宋体" w:hAnsi="宋体" w:eastAsia="宋体" w:cs="宋体"/>
                <w:kern w:val="0"/>
                <w:sz w:val="18"/>
                <w:szCs w:val="18"/>
              </w:rPr>
            </w:pPr>
          </w:p>
        </w:tc>
        <w:tc>
          <w:tcPr>
            <w:tcW w:w="1369"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709"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125"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Y≥10000</w:t>
            </w:r>
          </w:p>
        </w:tc>
        <w:tc>
          <w:tcPr>
            <w:tcW w:w="1701"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2000≤Y＜10000</w:t>
            </w:r>
          </w:p>
        </w:tc>
        <w:tc>
          <w:tcPr>
            <w:tcW w:w="1426"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100≤Y＜2000</w:t>
            </w:r>
          </w:p>
        </w:tc>
        <w:tc>
          <w:tcPr>
            <w:tcW w:w="992"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信息传输业 *</w:t>
            </w:r>
          </w:p>
        </w:tc>
        <w:tc>
          <w:tcPr>
            <w:tcW w:w="1369"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从业人员(X)</w:t>
            </w:r>
          </w:p>
        </w:tc>
        <w:tc>
          <w:tcPr>
            <w:tcW w:w="709"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125"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X≥2000</w:t>
            </w:r>
          </w:p>
        </w:tc>
        <w:tc>
          <w:tcPr>
            <w:tcW w:w="1701"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100≤X＜2000</w:t>
            </w:r>
          </w:p>
        </w:tc>
        <w:tc>
          <w:tcPr>
            <w:tcW w:w="1426"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10≤X＜100</w:t>
            </w:r>
          </w:p>
        </w:tc>
        <w:tc>
          <w:tcPr>
            <w:tcW w:w="992"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hint="eastAsia" w:ascii="宋体" w:hAnsi="宋体" w:eastAsia="宋体" w:cs="宋体"/>
                <w:kern w:val="0"/>
                <w:sz w:val="18"/>
                <w:szCs w:val="18"/>
              </w:rPr>
            </w:pPr>
          </w:p>
        </w:tc>
        <w:tc>
          <w:tcPr>
            <w:tcW w:w="1369"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709"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125"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Y≥100000</w:t>
            </w:r>
          </w:p>
        </w:tc>
        <w:tc>
          <w:tcPr>
            <w:tcW w:w="1701"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1000≤Y＜100000</w:t>
            </w:r>
          </w:p>
        </w:tc>
        <w:tc>
          <w:tcPr>
            <w:tcW w:w="1426"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100≤Y＜1000</w:t>
            </w:r>
          </w:p>
        </w:tc>
        <w:tc>
          <w:tcPr>
            <w:tcW w:w="992"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hint="eastAsia" w:ascii="宋体" w:hAnsi="宋体" w:eastAsia="宋体" w:cs="宋体"/>
                <w:spacing w:val="-12"/>
                <w:kern w:val="0"/>
                <w:sz w:val="18"/>
                <w:szCs w:val="18"/>
              </w:rPr>
            </w:pPr>
            <w:r>
              <w:rPr>
                <w:rFonts w:hint="eastAsia" w:ascii="宋体" w:hAnsi="宋体" w:eastAsia="宋体" w:cs="宋体"/>
                <w:spacing w:val="-12"/>
                <w:kern w:val="0"/>
                <w:sz w:val="18"/>
                <w:szCs w:val="18"/>
              </w:rPr>
              <w:t>软件和信息技术服</w:t>
            </w:r>
            <w:r>
              <w:rPr>
                <w:rFonts w:hint="eastAsia" w:ascii="宋体" w:hAnsi="宋体" w:eastAsia="宋体" w:cs="宋体"/>
                <w:kern w:val="0"/>
                <w:sz w:val="18"/>
                <w:szCs w:val="18"/>
              </w:rPr>
              <w:t>务业</w:t>
            </w:r>
          </w:p>
        </w:tc>
        <w:tc>
          <w:tcPr>
            <w:tcW w:w="1369"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从业人员(X)</w:t>
            </w:r>
          </w:p>
        </w:tc>
        <w:tc>
          <w:tcPr>
            <w:tcW w:w="709"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125"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X≥300</w:t>
            </w:r>
          </w:p>
        </w:tc>
        <w:tc>
          <w:tcPr>
            <w:tcW w:w="1701" w:type="dxa"/>
            <w:vAlign w:val="center"/>
          </w:tcPr>
          <w:p>
            <w:pPr>
              <w:widowControl/>
              <w:spacing w:line="280" w:lineRule="exact"/>
              <w:ind w:left="1" w:leftChars="-51" w:hanging="108" w:hangingChars="60"/>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100≤X＜300 </w:t>
            </w:r>
          </w:p>
        </w:tc>
        <w:tc>
          <w:tcPr>
            <w:tcW w:w="1426"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10≤X＜100</w:t>
            </w:r>
          </w:p>
        </w:tc>
        <w:tc>
          <w:tcPr>
            <w:tcW w:w="992"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widowControl/>
              <w:spacing w:line="280" w:lineRule="exact"/>
              <w:jc w:val="left"/>
              <w:rPr>
                <w:rFonts w:hint="eastAsia" w:ascii="宋体" w:hAnsi="宋体" w:eastAsia="宋体" w:cs="宋体"/>
                <w:spacing w:val="-12"/>
                <w:kern w:val="0"/>
                <w:sz w:val="18"/>
                <w:szCs w:val="18"/>
              </w:rPr>
            </w:pPr>
          </w:p>
        </w:tc>
        <w:tc>
          <w:tcPr>
            <w:tcW w:w="1369"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709"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125"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Y≥10000</w:t>
            </w:r>
          </w:p>
        </w:tc>
        <w:tc>
          <w:tcPr>
            <w:tcW w:w="1701"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1000≤Y＜10000</w:t>
            </w:r>
          </w:p>
        </w:tc>
        <w:tc>
          <w:tcPr>
            <w:tcW w:w="1426"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50≤Y＜1000</w:t>
            </w:r>
          </w:p>
        </w:tc>
        <w:tc>
          <w:tcPr>
            <w:tcW w:w="992"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房地产开发经营</w:t>
            </w:r>
          </w:p>
        </w:tc>
        <w:tc>
          <w:tcPr>
            <w:tcW w:w="1369"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709"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125"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Y≥200000</w:t>
            </w:r>
          </w:p>
        </w:tc>
        <w:tc>
          <w:tcPr>
            <w:tcW w:w="1701"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1000≤Y＜200000</w:t>
            </w:r>
          </w:p>
        </w:tc>
        <w:tc>
          <w:tcPr>
            <w:tcW w:w="1426"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100≤Y＜1000</w:t>
            </w:r>
          </w:p>
        </w:tc>
        <w:tc>
          <w:tcPr>
            <w:tcW w:w="992"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widowControl/>
              <w:spacing w:line="280" w:lineRule="exact"/>
              <w:jc w:val="left"/>
              <w:rPr>
                <w:rFonts w:hint="eastAsia" w:ascii="宋体" w:hAnsi="宋体" w:eastAsia="宋体" w:cs="宋体"/>
                <w:kern w:val="0"/>
                <w:sz w:val="18"/>
                <w:szCs w:val="18"/>
              </w:rPr>
            </w:pPr>
          </w:p>
        </w:tc>
        <w:tc>
          <w:tcPr>
            <w:tcW w:w="1369"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资产总额(Z)</w:t>
            </w:r>
          </w:p>
        </w:tc>
        <w:tc>
          <w:tcPr>
            <w:tcW w:w="709"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125"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Z≥10000</w:t>
            </w:r>
          </w:p>
        </w:tc>
        <w:tc>
          <w:tcPr>
            <w:tcW w:w="1701"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5000≤Z＜10000</w:t>
            </w:r>
          </w:p>
        </w:tc>
        <w:tc>
          <w:tcPr>
            <w:tcW w:w="1426"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2000≤Z＜5000</w:t>
            </w:r>
          </w:p>
        </w:tc>
        <w:tc>
          <w:tcPr>
            <w:tcW w:w="992"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物业管理</w:t>
            </w:r>
          </w:p>
        </w:tc>
        <w:tc>
          <w:tcPr>
            <w:tcW w:w="1369"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从业人员(X)</w:t>
            </w:r>
          </w:p>
        </w:tc>
        <w:tc>
          <w:tcPr>
            <w:tcW w:w="709"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125"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X≥1000</w:t>
            </w:r>
          </w:p>
        </w:tc>
        <w:tc>
          <w:tcPr>
            <w:tcW w:w="1701"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300≤X＜1000</w:t>
            </w:r>
          </w:p>
        </w:tc>
        <w:tc>
          <w:tcPr>
            <w:tcW w:w="1426"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100≤X＜300</w:t>
            </w:r>
          </w:p>
        </w:tc>
        <w:tc>
          <w:tcPr>
            <w:tcW w:w="992"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widowControl/>
              <w:spacing w:line="280" w:lineRule="exact"/>
              <w:jc w:val="left"/>
              <w:rPr>
                <w:rFonts w:hint="eastAsia" w:ascii="宋体" w:hAnsi="宋体" w:eastAsia="宋体" w:cs="宋体"/>
                <w:kern w:val="0"/>
                <w:sz w:val="18"/>
                <w:szCs w:val="18"/>
              </w:rPr>
            </w:pPr>
          </w:p>
        </w:tc>
        <w:tc>
          <w:tcPr>
            <w:tcW w:w="1369"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709"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125"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Y≥5000</w:t>
            </w:r>
          </w:p>
        </w:tc>
        <w:tc>
          <w:tcPr>
            <w:tcW w:w="1701" w:type="dxa"/>
            <w:vAlign w:val="center"/>
          </w:tcPr>
          <w:p>
            <w:pPr>
              <w:widowControl/>
              <w:spacing w:line="280" w:lineRule="exact"/>
              <w:ind w:left="1" w:leftChars="-51" w:hanging="108" w:hangingChars="60"/>
              <w:jc w:val="center"/>
              <w:rPr>
                <w:rFonts w:hint="eastAsia" w:ascii="宋体" w:hAnsi="宋体" w:eastAsia="宋体" w:cs="宋体"/>
                <w:kern w:val="0"/>
                <w:sz w:val="18"/>
                <w:szCs w:val="18"/>
              </w:rPr>
            </w:pPr>
            <w:r>
              <w:rPr>
                <w:rFonts w:hint="eastAsia" w:ascii="宋体" w:hAnsi="宋体" w:eastAsia="宋体" w:cs="宋体"/>
                <w:kern w:val="0"/>
                <w:sz w:val="18"/>
                <w:szCs w:val="18"/>
              </w:rPr>
              <w:t>1000≤Y＜5000</w:t>
            </w:r>
          </w:p>
        </w:tc>
        <w:tc>
          <w:tcPr>
            <w:tcW w:w="1426"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500≤Y＜1000</w:t>
            </w:r>
          </w:p>
        </w:tc>
        <w:tc>
          <w:tcPr>
            <w:tcW w:w="992"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租赁和商务服务业</w:t>
            </w:r>
          </w:p>
        </w:tc>
        <w:tc>
          <w:tcPr>
            <w:tcW w:w="1369"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从业人员(X)</w:t>
            </w:r>
          </w:p>
        </w:tc>
        <w:tc>
          <w:tcPr>
            <w:tcW w:w="709"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125"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X≥300</w:t>
            </w:r>
          </w:p>
        </w:tc>
        <w:tc>
          <w:tcPr>
            <w:tcW w:w="1701" w:type="dxa"/>
            <w:vAlign w:val="center"/>
          </w:tcPr>
          <w:p>
            <w:pPr>
              <w:widowControl/>
              <w:spacing w:line="280" w:lineRule="exact"/>
              <w:ind w:left="1" w:leftChars="-51" w:hanging="108" w:hangingChars="60"/>
              <w:jc w:val="center"/>
              <w:rPr>
                <w:rFonts w:hint="eastAsia" w:ascii="宋体" w:hAnsi="宋体" w:eastAsia="宋体" w:cs="宋体"/>
                <w:kern w:val="0"/>
                <w:sz w:val="18"/>
                <w:szCs w:val="18"/>
              </w:rPr>
            </w:pPr>
            <w:r>
              <w:rPr>
                <w:rFonts w:hint="eastAsia" w:ascii="宋体" w:hAnsi="宋体" w:eastAsia="宋体" w:cs="宋体"/>
                <w:kern w:val="0"/>
                <w:sz w:val="18"/>
                <w:szCs w:val="18"/>
              </w:rPr>
              <w:t>100≤X＜300</w:t>
            </w:r>
          </w:p>
        </w:tc>
        <w:tc>
          <w:tcPr>
            <w:tcW w:w="1426"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10≤X＜100</w:t>
            </w:r>
          </w:p>
        </w:tc>
        <w:tc>
          <w:tcPr>
            <w:tcW w:w="992"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widowControl/>
              <w:spacing w:line="280" w:lineRule="exact"/>
              <w:jc w:val="left"/>
              <w:rPr>
                <w:rFonts w:hint="eastAsia" w:ascii="宋体" w:hAnsi="宋体" w:eastAsia="宋体" w:cs="宋体"/>
                <w:kern w:val="0"/>
                <w:sz w:val="18"/>
                <w:szCs w:val="18"/>
              </w:rPr>
            </w:pPr>
          </w:p>
        </w:tc>
        <w:tc>
          <w:tcPr>
            <w:tcW w:w="1369"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资产总额(Z)</w:t>
            </w:r>
          </w:p>
        </w:tc>
        <w:tc>
          <w:tcPr>
            <w:tcW w:w="709"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125"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Z≥120000</w:t>
            </w:r>
          </w:p>
        </w:tc>
        <w:tc>
          <w:tcPr>
            <w:tcW w:w="1701"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8000≤Z＜120000</w:t>
            </w:r>
          </w:p>
        </w:tc>
        <w:tc>
          <w:tcPr>
            <w:tcW w:w="1426"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100≤Z＜8000</w:t>
            </w:r>
          </w:p>
        </w:tc>
        <w:tc>
          <w:tcPr>
            <w:tcW w:w="992"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pPr>
              <w:widowControl/>
              <w:spacing w:line="28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其他未列明行业 *</w:t>
            </w:r>
          </w:p>
        </w:tc>
        <w:tc>
          <w:tcPr>
            <w:tcW w:w="1369"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从业人员(X)</w:t>
            </w:r>
          </w:p>
        </w:tc>
        <w:tc>
          <w:tcPr>
            <w:tcW w:w="709"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125"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X≥300</w:t>
            </w:r>
          </w:p>
        </w:tc>
        <w:tc>
          <w:tcPr>
            <w:tcW w:w="1701" w:type="dxa"/>
            <w:vAlign w:val="center"/>
          </w:tcPr>
          <w:p>
            <w:pPr>
              <w:widowControl/>
              <w:spacing w:line="280" w:lineRule="exact"/>
              <w:ind w:left="1" w:leftChars="-51" w:hanging="108" w:hangingChars="60"/>
              <w:jc w:val="center"/>
              <w:rPr>
                <w:rFonts w:hint="eastAsia" w:ascii="宋体" w:hAnsi="宋体" w:eastAsia="宋体" w:cs="宋体"/>
                <w:kern w:val="0"/>
                <w:sz w:val="18"/>
                <w:szCs w:val="18"/>
              </w:rPr>
            </w:pPr>
            <w:r>
              <w:rPr>
                <w:rFonts w:hint="eastAsia" w:ascii="宋体" w:hAnsi="宋体" w:eastAsia="宋体" w:cs="宋体"/>
                <w:kern w:val="0"/>
                <w:sz w:val="18"/>
                <w:szCs w:val="18"/>
              </w:rPr>
              <w:t>100≤X＜300</w:t>
            </w:r>
          </w:p>
        </w:tc>
        <w:tc>
          <w:tcPr>
            <w:tcW w:w="1426"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10≤X＜100</w:t>
            </w:r>
          </w:p>
        </w:tc>
        <w:tc>
          <w:tcPr>
            <w:tcW w:w="992" w:type="dxa"/>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X＜10</w:t>
            </w:r>
          </w:p>
        </w:tc>
      </w:tr>
    </w:tbl>
    <w:p>
      <w:pPr>
        <w:widowControl/>
        <w:spacing w:line="280" w:lineRule="exact"/>
        <w:rPr>
          <w:rFonts w:hint="eastAsia" w:ascii="宋体" w:hAnsi="宋体" w:eastAsia="宋体" w:cs="宋体"/>
          <w:spacing w:val="8"/>
          <w:kern w:val="0"/>
          <w:sz w:val="24"/>
        </w:rPr>
      </w:pPr>
    </w:p>
    <w:p>
      <w:pPr>
        <w:widowControl/>
        <w:spacing w:line="360" w:lineRule="auto"/>
        <w:rPr>
          <w:rFonts w:hint="eastAsia" w:ascii="宋体" w:hAnsi="宋体" w:eastAsia="宋体" w:cs="宋体"/>
          <w:spacing w:val="8"/>
          <w:kern w:val="0"/>
          <w:szCs w:val="21"/>
        </w:rPr>
      </w:pPr>
      <w:r>
        <w:rPr>
          <w:rFonts w:hint="eastAsia" w:ascii="宋体" w:hAnsi="宋体" w:eastAsia="宋体" w:cs="宋体"/>
          <w:spacing w:val="8"/>
          <w:kern w:val="0"/>
          <w:szCs w:val="21"/>
        </w:rPr>
        <w:t>说明：</w:t>
      </w:r>
    </w:p>
    <w:p>
      <w:pPr>
        <w:widowControl w:val="0"/>
        <w:adjustRightInd w:val="0"/>
        <w:spacing w:line="360" w:lineRule="auto"/>
        <w:ind w:firstLine="452" w:firstLineChars="200"/>
        <w:contextualSpacing/>
        <w:jc w:val="both"/>
        <w:rPr>
          <w:rFonts w:hint="eastAsia" w:ascii="宋体" w:hAnsi="宋体" w:eastAsia="宋体" w:cs="宋体"/>
          <w:spacing w:val="8"/>
          <w:kern w:val="0"/>
          <w:sz w:val="21"/>
          <w:szCs w:val="21"/>
          <w:lang w:val="zh-CN" w:eastAsia="zh-CN" w:bidi="ar-SA"/>
        </w:rPr>
      </w:pPr>
      <w:r>
        <w:rPr>
          <w:rFonts w:hint="eastAsia" w:ascii="宋体" w:hAnsi="宋体" w:eastAsia="宋体" w:cs="宋体"/>
          <w:spacing w:val="8"/>
          <w:kern w:val="0"/>
          <w:sz w:val="21"/>
          <w:szCs w:val="21"/>
          <w:lang w:val="zh-CN" w:eastAsia="zh-CN" w:bidi="ar-SA"/>
        </w:rPr>
        <w:t>1.大型、中型和小型企业须同时满足所列指标的下限，否则下划一档；微型企业只须满足所列指标中的一项即可。</w:t>
      </w:r>
    </w:p>
    <w:p>
      <w:pPr>
        <w:widowControl w:val="0"/>
        <w:adjustRightInd w:val="0"/>
        <w:spacing w:line="360" w:lineRule="auto"/>
        <w:ind w:firstLine="452" w:firstLineChars="200"/>
        <w:contextualSpacing/>
        <w:jc w:val="both"/>
        <w:rPr>
          <w:rFonts w:hint="eastAsia" w:ascii="宋体" w:hAnsi="宋体" w:eastAsia="宋体" w:cs="宋体"/>
          <w:spacing w:val="8"/>
          <w:kern w:val="0"/>
          <w:sz w:val="21"/>
          <w:szCs w:val="21"/>
          <w:lang w:val="zh-CN" w:eastAsia="zh-CN" w:bidi="ar-SA"/>
        </w:rPr>
      </w:pPr>
      <w:r>
        <w:rPr>
          <w:rFonts w:hint="eastAsia" w:ascii="宋体" w:hAnsi="宋体" w:eastAsia="宋体" w:cs="宋体"/>
          <w:spacing w:val="8"/>
          <w:kern w:val="0"/>
          <w:sz w:val="21"/>
          <w:szCs w:val="21"/>
          <w:lang w:val="zh-CN" w:eastAsia="zh-CN" w:bidi="ar-SA"/>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val="0"/>
        <w:spacing w:line="360" w:lineRule="auto"/>
        <w:ind w:firstLine="452" w:firstLineChars="200"/>
        <w:jc w:val="both"/>
        <w:rPr>
          <w:rFonts w:hint="eastAsia" w:ascii="宋体" w:hAnsi="宋体" w:eastAsia="宋体" w:cs="宋体"/>
          <w:spacing w:val="8"/>
          <w:kern w:val="0"/>
          <w:sz w:val="21"/>
          <w:szCs w:val="21"/>
          <w:lang w:val="zh-CN" w:eastAsia="zh-CN" w:bidi="ar-SA"/>
        </w:rPr>
      </w:pPr>
      <w:r>
        <w:rPr>
          <w:rFonts w:hint="eastAsia" w:ascii="宋体" w:hAnsi="宋体" w:eastAsia="宋体" w:cs="宋体"/>
          <w:spacing w:val="8"/>
          <w:kern w:val="0"/>
          <w:sz w:val="21"/>
          <w:szCs w:val="21"/>
          <w:lang w:val="zh-CN" w:eastAsia="zh-CN" w:bidi="ar-SA"/>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8A2C66"/>
    <w:multiLevelType w:val="singleLevel"/>
    <w:tmpl w:val="208A2C66"/>
    <w:lvl w:ilvl="0" w:tentative="0">
      <w:start w:val="3"/>
      <w:numFmt w:val="chineseCounting"/>
      <w:suff w:val="nothing"/>
      <w:lvlText w:val="（%1）"/>
      <w:lvlJc w:val="left"/>
      <w:rPr>
        <w:rFonts w:hint="eastAsia"/>
      </w:rPr>
    </w:lvl>
  </w:abstractNum>
  <w:abstractNum w:abstractNumId="1">
    <w:nsid w:val="375B6F27"/>
    <w:multiLevelType w:val="multilevel"/>
    <w:tmpl w:val="375B6F2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zYThhNWU0YTNjMzU4MTAzNDRmOTAwYWQ1NGYwOWMifQ=="/>
  </w:docVars>
  <w:rsids>
    <w:rsidRoot w:val="592D188E"/>
    <w:rsid w:val="592D188E"/>
    <w:rsid w:val="75764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ind w:left="2940"/>
    </w:pPr>
  </w:style>
  <w:style w:type="paragraph" w:styleId="3">
    <w:name w:val="annotation text"/>
    <w:basedOn w:val="1"/>
    <w:qFormat/>
    <w:uiPriority w:val="0"/>
    <w:pPr>
      <w:jc w:val="left"/>
    </w:pPr>
    <w:rPr>
      <w:rFonts w:ascii="Times New Roman" w:hAnsi="Times New Roman" w:eastAsia="宋体" w:cs="Times New Roman"/>
      <w:szCs w:val="24"/>
      <w:lang w:val="zh-CN"/>
    </w:rPr>
  </w:style>
  <w:style w:type="paragraph" w:styleId="4">
    <w:name w:val="Plain Text"/>
    <w:basedOn w:val="1"/>
    <w:next w:val="2"/>
    <w:qFormat/>
    <w:uiPriority w:val="0"/>
    <w:rPr>
      <w:rFonts w:ascii="宋体" w:hAnsi="Courier New" w:eastAsia="宋体" w:cs="Times New Roman"/>
      <w:kern w:val="0"/>
      <w:sz w:val="20"/>
      <w:szCs w:val="21"/>
      <w:lang w:val="zh-CN"/>
    </w:rPr>
  </w:style>
  <w:style w:type="paragraph" w:styleId="5">
    <w:name w:val="footer"/>
    <w:basedOn w:val="1"/>
    <w:next w:val="1"/>
    <w:unhideWhenUsed/>
    <w:qFormat/>
    <w:uiPriority w:val="0"/>
    <w:pPr>
      <w:tabs>
        <w:tab w:val="center" w:pos="4153"/>
        <w:tab w:val="right" w:pos="8306"/>
      </w:tabs>
      <w:snapToGrid w:val="0"/>
      <w:jc w:val="left"/>
    </w:pPr>
    <w:rPr>
      <w:rFonts w:ascii="Times New Roman" w:hAnsi="Times New Roman" w:eastAsia="宋体" w:cs="Times New Roman"/>
      <w:kern w:val="0"/>
      <w:sz w:val="18"/>
      <w:szCs w:val="18"/>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11858</Words>
  <Characters>13069</Characters>
  <Lines>0</Lines>
  <Paragraphs>0</Paragraphs>
  <TotalTime>0</TotalTime>
  <ScaleCrop>false</ScaleCrop>
  <LinksUpToDate>false</LinksUpToDate>
  <CharactersWithSpaces>13186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2025-06-04T12:19:00Z</dcterms:created>
  <dc:creator>kl</dc:creator>
  <cp:lastModifiedBy>kl</cp:lastModifiedBy>
  <dcterms:modified xsi:type="dcterms:W3CDTF">2025-06-05T00:33:09Z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683BBAEADB0E4E469B6B675FE15001FF_11</vt:lpwstr>
  </property>
</Properties>
</file>