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EAA2A">
      <w:pPr>
        <w:widowControl/>
        <w:spacing w:line="450" w:lineRule="atLeast"/>
        <w:jc w:val="center"/>
        <w:rPr>
          <w:rFonts w:hint="eastAsia" w:ascii="微软雅黑" w:hAnsi="微软雅黑" w:eastAsia="微软雅黑" w:cs="微软雅黑"/>
          <w:b/>
          <w:bCs/>
          <w:color w:val="000000"/>
          <w:sz w:val="30"/>
          <w:szCs w:val="30"/>
          <w:highlight w:val="none"/>
          <w:lang w:eastAsia="zh-CN"/>
        </w:rPr>
      </w:pPr>
      <w:r>
        <w:rPr>
          <w:rFonts w:hint="eastAsia" w:ascii="微软雅黑" w:hAnsi="微软雅黑" w:eastAsia="微软雅黑" w:cs="微软雅黑"/>
          <w:b/>
          <w:bCs/>
          <w:color w:val="000000"/>
          <w:kern w:val="0"/>
          <w:sz w:val="30"/>
          <w:szCs w:val="30"/>
          <w:highlight w:val="none"/>
        </w:rPr>
        <w:t>中兴桂（北京）国际招标有限公司关于北山镇梅洞村至拉塞屯糖料蔗基地产业道路硬化项目、刘三姐镇中和村上劳屯水利渠道项目、安马乡北关村坡尧屯产业路硬化、水利渠道项目（重）成交公告</w:t>
      </w:r>
      <w:r>
        <w:rPr>
          <w:rFonts w:hint="eastAsia" w:ascii="微软雅黑" w:hAnsi="微软雅黑" w:eastAsia="微软雅黑" w:cs="微软雅黑"/>
          <w:b/>
          <w:bCs/>
          <w:color w:val="000000"/>
          <w:kern w:val="0"/>
          <w:sz w:val="30"/>
          <w:szCs w:val="30"/>
          <w:highlight w:val="none"/>
          <w:lang w:val="en-US" w:eastAsia="zh-CN"/>
        </w:rPr>
        <w:t xml:space="preserve"> </w:t>
      </w:r>
    </w:p>
    <w:p w14:paraId="0AFE5688">
      <w:pPr>
        <w:pStyle w:val="8"/>
        <w:widowControl/>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b/>
          <w:bCs/>
          <w:color w:val="000000"/>
          <w:kern w:val="2"/>
          <w:sz w:val="24"/>
          <w:szCs w:val="24"/>
          <w:highlight w:val="none"/>
        </w:rPr>
        <w:t>一、项目编号：</w:t>
      </w:r>
      <w:r>
        <w:rPr>
          <w:rFonts w:hint="eastAsia" w:ascii="宋体" w:hAnsi="宋体" w:eastAsia="宋体" w:cs="宋体"/>
          <w:color w:val="000000"/>
          <w:kern w:val="2"/>
          <w:sz w:val="24"/>
          <w:szCs w:val="24"/>
          <w:highlight w:val="none"/>
          <w:lang w:eastAsia="zh-CN"/>
        </w:rPr>
        <w:t>HCZC2025-C2-810067-ZXGB</w:t>
      </w:r>
    </w:p>
    <w:p w14:paraId="6AC6C7CB">
      <w:pPr>
        <w:pStyle w:val="8"/>
        <w:widowControl/>
        <w:spacing w:after="225" w:afterAutospacing="0"/>
        <w:rPr>
          <w:rFonts w:hint="eastAsia" w:ascii="宋体" w:hAnsi="宋体" w:eastAsia="宋体" w:cs="宋体"/>
          <w:color w:val="000000"/>
          <w:kern w:val="2"/>
          <w:sz w:val="24"/>
          <w:szCs w:val="24"/>
          <w:highlight w:val="none"/>
          <w:lang w:eastAsia="zh-CN"/>
        </w:rPr>
      </w:pPr>
      <w:r>
        <w:rPr>
          <w:rFonts w:hint="eastAsia" w:ascii="宋体" w:hAnsi="宋体" w:eastAsia="宋体" w:cs="宋体"/>
          <w:b/>
          <w:bCs/>
          <w:color w:val="000000"/>
          <w:kern w:val="2"/>
          <w:sz w:val="24"/>
          <w:szCs w:val="24"/>
          <w:highlight w:val="none"/>
        </w:rPr>
        <w:t>二、项目名称：</w:t>
      </w:r>
      <w:r>
        <w:rPr>
          <w:rFonts w:hint="eastAsia" w:ascii="宋体" w:hAnsi="宋体" w:eastAsia="宋体" w:cs="宋体"/>
          <w:color w:val="000000"/>
          <w:kern w:val="2"/>
          <w:sz w:val="24"/>
          <w:szCs w:val="24"/>
          <w:highlight w:val="none"/>
          <w:lang w:eastAsia="zh-CN"/>
        </w:rPr>
        <w:t>北山镇梅洞村至拉塞屯糖料蔗基地产业道路硬化项目、刘三姐镇中和村上劳屯水利渠道项目、安马乡北关村坡尧屯产业路硬化、水利渠道项目（重）</w:t>
      </w:r>
    </w:p>
    <w:p w14:paraId="0787B965">
      <w:pPr>
        <w:pStyle w:val="8"/>
        <w:widowControl/>
        <w:spacing w:after="225" w:afterAutospacing="0"/>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三、中标（成交）信息</w:t>
      </w:r>
    </w:p>
    <w:p w14:paraId="13A91491">
      <w:pPr>
        <w:pStyle w:val="8"/>
        <w:widowControl/>
        <w:ind w:firstLine="42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1.中标结果：</w:t>
      </w:r>
    </w:p>
    <w:tbl>
      <w:tblPr>
        <w:tblStyle w:val="10"/>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6"/>
        <w:gridCol w:w="3271"/>
        <w:gridCol w:w="3366"/>
        <w:gridCol w:w="2493"/>
      </w:tblGrid>
      <w:tr w14:paraId="7CB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tblHeader/>
          <w:jc w:val="center"/>
        </w:trPr>
        <w:tc>
          <w:tcPr>
            <w:tcW w:w="956" w:type="dxa"/>
            <w:shd w:val="clear" w:color="auto" w:fill="FFFFFF"/>
            <w:tcMar>
              <w:top w:w="75" w:type="dxa"/>
              <w:left w:w="150" w:type="dxa"/>
              <w:bottom w:w="75" w:type="dxa"/>
              <w:right w:w="150" w:type="dxa"/>
            </w:tcMar>
            <w:vAlign w:val="center"/>
          </w:tcPr>
          <w:p w14:paraId="1EF86404">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271" w:type="dxa"/>
            <w:shd w:val="clear" w:color="auto" w:fill="FFFFFF"/>
            <w:tcMar>
              <w:top w:w="75" w:type="dxa"/>
              <w:left w:w="150" w:type="dxa"/>
              <w:bottom w:w="75" w:type="dxa"/>
              <w:right w:w="150" w:type="dxa"/>
            </w:tcMar>
            <w:vAlign w:val="center"/>
          </w:tcPr>
          <w:p w14:paraId="5B0B24D8">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中标供应商名称</w:t>
            </w:r>
          </w:p>
        </w:tc>
        <w:tc>
          <w:tcPr>
            <w:tcW w:w="3366" w:type="dxa"/>
            <w:shd w:val="clear" w:color="auto" w:fill="FFFFFF"/>
            <w:tcMar>
              <w:top w:w="75" w:type="dxa"/>
              <w:left w:w="150" w:type="dxa"/>
              <w:bottom w:w="75" w:type="dxa"/>
              <w:right w:w="150" w:type="dxa"/>
            </w:tcMar>
            <w:vAlign w:val="center"/>
          </w:tcPr>
          <w:p w14:paraId="5656216E">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中标供应商地址</w:t>
            </w:r>
          </w:p>
        </w:tc>
        <w:tc>
          <w:tcPr>
            <w:tcW w:w="2493" w:type="dxa"/>
            <w:shd w:val="clear" w:color="auto" w:fill="FFFFFF"/>
            <w:tcMar>
              <w:top w:w="75" w:type="dxa"/>
              <w:left w:w="150" w:type="dxa"/>
              <w:bottom w:w="75" w:type="dxa"/>
              <w:right w:w="150" w:type="dxa"/>
            </w:tcMar>
            <w:vAlign w:val="center"/>
          </w:tcPr>
          <w:p w14:paraId="1B110FFD">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中标金额(元)</w:t>
            </w:r>
          </w:p>
        </w:tc>
      </w:tr>
      <w:tr w14:paraId="2BD9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956" w:type="dxa"/>
            <w:shd w:val="clear" w:color="auto" w:fill="auto"/>
            <w:tcMar>
              <w:top w:w="75" w:type="dxa"/>
              <w:left w:w="150" w:type="dxa"/>
              <w:bottom w:w="75" w:type="dxa"/>
              <w:right w:w="150" w:type="dxa"/>
            </w:tcMar>
            <w:vAlign w:val="center"/>
          </w:tcPr>
          <w:p w14:paraId="2D1057C3">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271" w:type="dxa"/>
            <w:shd w:val="clear" w:color="auto" w:fill="auto"/>
            <w:tcMar>
              <w:top w:w="75" w:type="dxa"/>
              <w:left w:w="150" w:type="dxa"/>
              <w:bottom w:w="75" w:type="dxa"/>
              <w:right w:w="150" w:type="dxa"/>
            </w:tcMar>
            <w:vAlign w:val="center"/>
          </w:tcPr>
          <w:p w14:paraId="1F7531CB">
            <w:pPr>
              <w:widowControl/>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广西启兴建设工程有限公司</w:t>
            </w:r>
          </w:p>
        </w:tc>
        <w:tc>
          <w:tcPr>
            <w:tcW w:w="3366" w:type="dxa"/>
            <w:shd w:val="clear" w:color="auto" w:fill="auto"/>
            <w:tcMar>
              <w:top w:w="75" w:type="dxa"/>
              <w:left w:w="150" w:type="dxa"/>
              <w:bottom w:w="75" w:type="dxa"/>
              <w:right w:w="150" w:type="dxa"/>
            </w:tcMar>
            <w:vAlign w:val="center"/>
          </w:tcPr>
          <w:p w14:paraId="46A538E5">
            <w:pPr>
              <w:widowControl/>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河池市宜州区月山路168号</w:t>
            </w:r>
          </w:p>
        </w:tc>
        <w:tc>
          <w:tcPr>
            <w:tcW w:w="2493" w:type="dxa"/>
            <w:shd w:val="clear" w:color="auto" w:fill="auto"/>
            <w:tcMar>
              <w:top w:w="75" w:type="dxa"/>
              <w:left w:w="150" w:type="dxa"/>
              <w:bottom w:w="75" w:type="dxa"/>
              <w:right w:w="150" w:type="dxa"/>
            </w:tcMar>
            <w:vAlign w:val="center"/>
          </w:tcPr>
          <w:p w14:paraId="623A1106">
            <w:pPr>
              <w:widowControl/>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1001384.82</w:t>
            </w:r>
          </w:p>
        </w:tc>
      </w:tr>
    </w:tbl>
    <w:p w14:paraId="5F47B01A">
      <w:pPr>
        <w:pStyle w:val="8"/>
        <w:widowControl/>
        <w:ind w:firstLine="42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2.废标结果:  </w:t>
      </w:r>
    </w:p>
    <w:p w14:paraId="0CB915D8">
      <w:pPr>
        <w:pStyle w:val="8"/>
        <w:widowControl/>
        <w:spacing w:after="75" w:afterAutospacing="0"/>
        <w:rPr>
          <w:rFonts w:hint="eastAsia" w:ascii="宋体" w:hAnsi="宋体" w:eastAsia="宋体" w:cs="宋体"/>
          <w:color w:val="000000"/>
          <w:kern w:val="2"/>
          <w:sz w:val="24"/>
          <w:szCs w:val="24"/>
          <w:highlight w:val="none"/>
        </w:rPr>
      </w:pPr>
    </w:p>
    <w:tbl>
      <w:tblPr>
        <w:tblStyle w:val="10"/>
        <w:tblW w:w="4813" w:type="pct"/>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437"/>
        <w:gridCol w:w="2626"/>
        <w:gridCol w:w="2626"/>
        <w:gridCol w:w="2424"/>
      </w:tblGrid>
      <w:tr w14:paraId="3793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05" w:type="pct"/>
            <w:shd w:val="clear" w:color="auto" w:fill="auto"/>
            <w:tcMar>
              <w:top w:w="75" w:type="dxa"/>
              <w:left w:w="150" w:type="dxa"/>
              <w:bottom w:w="75" w:type="dxa"/>
              <w:right w:w="150" w:type="dxa"/>
            </w:tcMar>
            <w:vAlign w:val="center"/>
          </w:tcPr>
          <w:p w14:paraId="1817AA7D">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298" w:type="pct"/>
            <w:shd w:val="clear" w:color="auto" w:fill="auto"/>
            <w:tcMar>
              <w:top w:w="75" w:type="dxa"/>
              <w:left w:w="150" w:type="dxa"/>
              <w:bottom w:w="75" w:type="dxa"/>
              <w:right w:w="150" w:type="dxa"/>
            </w:tcMar>
            <w:vAlign w:val="center"/>
          </w:tcPr>
          <w:p w14:paraId="4179ADEC">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标项名称</w:t>
            </w:r>
          </w:p>
        </w:tc>
        <w:tc>
          <w:tcPr>
            <w:tcW w:w="1298" w:type="pct"/>
            <w:shd w:val="clear" w:color="auto" w:fill="auto"/>
            <w:tcMar>
              <w:top w:w="75" w:type="dxa"/>
              <w:left w:w="150" w:type="dxa"/>
              <w:bottom w:w="75" w:type="dxa"/>
              <w:right w:w="150" w:type="dxa"/>
            </w:tcMar>
            <w:vAlign w:val="center"/>
          </w:tcPr>
          <w:p w14:paraId="58B8A618">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废标理由</w:t>
            </w:r>
          </w:p>
        </w:tc>
        <w:tc>
          <w:tcPr>
            <w:tcW w:w="1198" w:type="pct"/>
            <w:shd w:val="clear" w:color="auto" w:fill="auto"/>
            <w:tcMar>
              <w:top w:w="75" w:type="dxa"/>
              <w:left w:w="150" w:type="dxa"/>
              <w:bottom w:w="75" w:type="dxa"/>
              <w:right w:w="150" w:type="dxa"/>
            </w:tcMar>
            <w:vAlign w:val="center"/>
          </w:tcPr>
          <w:p w14:paraId="6FDA5D2A">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w:t>
            </w:r>
          </w:p>
        </w:tc>
      </w:tr>
      <w:tr w14:paraId="4476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05" w:type="pct"/>
            <w:shd w:val="clear" w:color="auto" w:fill="auto"/>
            <w:tcMar>
              <w:top w:w="75" w:type="dxa"/>
              <w:left w:w="150" w:type="dxa"/>
              <w:bottom w:w="75" w:type="dxa"/>
              <w:right w:w="150" w:type="dxa"/>
            </w:tcMar>
            <w:vAlign w:val="center"/>
          </w:tcPr>
          <w:p w14:paraId="60E86530">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298" w:type="pct"/>
            <w:shd w:val="clear" w:color="auto" w:fill="auto"/>
            <w:tcMar>
              <w:top w:w="75" w:type="dxa"/>
              <w:left w:w="150" w:type="dxa"/>
              <w:bottom w:w="75" w:type="dxa"/>
              <w:right w:w="150" w:type="dxa"/>
            </w:tcMar>
            <w:vAlign w:val="center"/>
          </w:tcPr>
          <w:p w14:paraId="325549F5">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298" w:type="pct"/>
            <w:shd w:val="clear" w:color="auto" w:fill="auto"/>
            <w:tcMar>
              <w:top w:w="75" w:type="dxa"/>
              <w:left w:w="150" w:type="dxa"/>
              <w:bottom w:w="75" w:type="dxa"/>
              <w:right w:w="150" w:type="dxa"/>
            </w:tcMar>
            <w:vAlign w:val="center"/>
          </w:tcPr>
          <w:p w14:paraId="32EA069E">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1198" w:type="pct"/>
            <w:shd w:val="clear" w:color="auto" w:fill="auto"/>
            <w:tcMar>
              <w:top w:w="75" w:type="dxa"/>
              <w:left w:w="150" w:type="dxa"/>
              <w:bottom w:w="75" w:type="dxa"/>
              <w:right w:w="150" w:type="dxa"/>
            </w:tcMar>
            <w:vAlign w:val="center"/>
          </w:tcPr>
          <w:p w14:paraId="1476717B">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r>
    </w:tbl>
    <w:p w14:paraId="105622F6">
      <w:pPr>
        <w:widowControl/>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14:paraId="6B447E23">
      <w:pPr>
        <w:pStyle w:val="8"/>
        <w:widowControl/>
        <w:spacing w:before="255" w:beforeAutospacing="0" w:after="255" w:afterAutospacing="0"/>
        <w:jc w:val="both"/>
        <w:rPr>
          <w:rFonts w:hint="eastAsia" w:ascii="宋体" w:hAnsi="宋体" w:eastAsia="宋体" w:cs="宋体"/>
          <w:color w:val="000000"/>
          <w:kern w:val="2"/>
          <w:sz w:val="24"/>
          <w:szCs w:val="24"/>
          <w:highlight w:val="none"/>
        </w:rPr>
      </w:pPr>
      <w:r>
        <w:rPr>
          <w:rFonts w:hint="eastAsia" w:ascii="宋体" w:hAnsi="宋体" w:eastAsia="宋体" w:cs="宋体"/>
          <w:b/>
          <w:bCs/>
          <w:color w:val="000000"/>
          <w:kern w:val="2"/>
          <w:sz w:val="24"/>
          <w:szCs w:val="24"/>
          <w:highlight w:val="none"/>
        </w:rPr>
        <w:t>四、主要标的信息  </w:t>
      </w:r>
      <w:r>
        <w:rPr>
          <w:rFonts w:hint="eastAsia" w:ascii="宋体" w:hAnsi="宋体" w:eastAsia="宋体" w:cs="宋体"/>
          <w:color w:val="000000"/>
          <w:kern w:val="2"/>
          <w:sz w:val="24"/>
          <w:szCs w:val="24"/>
          <w:highlight w:val="none"/>
        </w:rPr>
        <w:t xml:space="preserve">                  </w:t>
      </w:r>
    </w:p>
    <w:p w14:paraId="2D4FA5D7">
      <w:pPr>
        <w:pStyle w:val="8"/>
        <w:widowControl/>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w:t>
      </w:r>
      <w:r>
        <w:rPr>
          <w:rFonts w:hint="eastAsia" w:ascii="宋体" w:hAnsi="宋体" w:eastAsia="宋体" w:cs="宋体"/>
          <w:color w:val="000000"/>
          <w:sz w:val="24"/>
          <w:szCs w:val="24"/>
          <w:highlight w:val="none"/>
        </w:rPr>
        <w:t>工程类</w:t>
      </w:r>
      <w:r>
        <w:rPr>
          <w:rFonts w:hint="eastAsia" w:ascii="宋体" w:hAnsi="宋体" w:eastAsia="宋体" w:cs="宋体"/>
          <w:color w:val="000000"/>
          <w:kern w:val="2"/>
          <w:sz w:val="24"/>
          <w:szCs w:val="24"/>
          <w:highlight w:val="none"/>
        </w:rPr>
        <w:t>主要标的信息：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85"/>
        <w:gridCol w:w="1486"/>
        <w:gridCol w:w="1619"/>
        <w:gridCol w:w="2763"/>
        <w:gridCol w:w="1335"/>
        <w:gridCol w:w="1205"/>
        <w:gridCol w:w="1413"/>
      </w:tblGrid>
      <w:tr w14:paraId="68A0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26" w:type="pct"/>
            <w:shd w:val="clear" w:color="auto" w:fill="auto"/>
            <w:tcMar>
              <w:top w:w="75" w:type="dxa"/>
              <w:left w:w="150" w:type="dxa"/>
              <w:bottom w:w="75" w:type="dxa"/>
              <w:right w:w="150" w:type="dxa"/>
            </w:tcMar>
            <w:vAlign w:val="center"/>
          </w:tcPr>
          <w:p w14:paraId="010228A2">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序号</w:t>
            </w:r>
          </w:p>
        </w:tc>
        <w:tc>
          <w:tcPr>
            <w:tcW w:w="707" w:type="pct"/>
            <w:shd w:val="clear" w:color="auto" w:fill="auto"/>
            <w:tcMar>
              <w:top w:w="75" w:type="dxa"/>
              <w:left w:w="150" w:type="dxa"/>
              <w:bottom w:w="75" w:type="dxa"/>
              <w:right w:w="150" w:type="dxa"/>
            </w:tcMar>
            <w:vAlign w:val="center"/>
          </w:tcPr>
          <w:p w14:paraId="11CECFCD">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标项名称</w:t>
            </w:r>
          </w:p>
        </w:tc>
        <w:tc>
          <w:tcPr>
            <w:tcW w:w="770" w:type="pct"/>
            <w:shd w:val="clear" w:color="auto" w:fill="auto"/>
            <w:tcMar>
              <w:top w:w="75" w:type="dxa"/>
              <w:left w:w="150" w:type="dxa"/>
              <w:bottom w:w="75" w:type="dxa"/>
              <w:right w:w="150" w:type="dxa"/>
            </w:tcMar>
            <w:vAlign w:val="center"/>
          </w:tcPr>
          <w:p w14:paraId="3CDD4D45">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标的名称</w:t>
            </w:r>
          </w:p>
        </w:tc>
        <w:tc>
          <w:tcPr>
            <w:tcW w:w="1314" w:type="pct"/>
            <w:shd w:val="clear" w:color="auto" w:fill="auto"/>
            <w:tcMar>
              <w:top w:w="75" w:type="dxa"/>
              <w:left w:w="150" w:type="dxa"/>
              <w:bottom w:w="75" w:type="dxa"/>
              <w:right w:w="150" w:type="dxa"/>
            </w:tcMar>
            <w:vAlign w:val="center"/>
          </w:tcPr>
          <w:p w14:paraId="1B313283">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施工范围</w:t>
            </w:r>
          </w:p>
        </w:tc>
        <w:tc>
          <w:tcPr>
            <w:tcW w:w="635" w:type="pct"/>
            <w:shd w:val="clear" w:color="auto" w:fill="auto"/>
            <w:tcMar>
              <w:top w:w="75" w:type="dxa"/>
              <w:left w:w="150" w:type="dxa"/>
              <w:bottom w:w="75" w:type="dxa"/>
              <w:right w:w="150" w:type="dxa"/>
            </w:tcMar>
            <w:vAlign w:val="center"/>
          </w:tcPr>
          <w:p w14:paraId="2185418B">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施工工期</w:t>
            </w:r>
          </w:p>
        </w:tc>
        <w:tc>
          <w:tcPr>
            <w:tcW w:w="573" w:type="pct"/>
            <w:shd w:val="clear" w:color="auto" w:fill="auto"/>
            <w:tcMar>
              <w:top w:w="75" w:type="dxa"/>
              <w:left w:w="150" w:type="dxa"/>
              <w:bottom w:w="75" w:type="dxa"/>
              <w:right w:w="150" w:type="dxa"/>
            </w:tcMar>
            <w:vAlign w:val="center"/>
          </w:tcPr>
          <w:p w14:paraId="70BAA26F">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项目经理</w:t>
            </w:r>
          </w:p>
        </w:tc>
        <w:tc>
          <w:tcPr>
            <w:tcW w:w="672" w:type="pct"/>
            <w:shd w:val="clear" w:color="auto" w:fill="auto"/>
            <w:tcMar>
              <w:top w:w="75" w:type="dxa"/>
              <w:left w:w="150" w:type="dxa"/>
              <w:bottom w:w="75" w:type="dxa"/>
              <w:right w:w="150" w:type="dxa"/>
            </w:tcMar>
            <w:vAlign w:val="center"/>
          </w:tcPr>
          <w:p w14:paraId="51B896DE">
            <w:pPr>
              <w:widowControl/>
              <w:wordWrap w:val="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执业证书信息</w:t>
            </w:r>
          </w:p>
        </w:tc>
      </w:tr>
      <w:tr w14:paraId="09AF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trPr>
        <w:tc>
          <w:tcPr>
            <w:tcW w:w="326" w:type="pct"/>
            <w:vMerge w:val="restart"/>
            <w:shd w:val="clear" w:color="auto" w:fill="auto"/>
            <w:tcMar>
              <w:top w:w="75" w:type="dxa"/>
              <w:left w:w="150" w:type="dxa"/>
              <w:bottom w:w="75" w:type="dxa"/>
              <w:right w:w="150" w:type="dxa"/>
            </w:tcMar>
            <w:vAlign w:val="center"/>
          </w:tcPr>
          <w:p w14:paraId="45BA9BE5">
            <w:pPr>
              <w:widowControl/>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707" w:type="pct"/>
            <w:vMerge w:val="restart"/>
            <w:shd w:val="clear" w:color="auto" w:fill="auto"/>
            <w:tcMar>
              <w:top w:w="75" w:type="dxa"/>
              <w:left w:w="150" w:type="dxa"/>
              <w:bottom w:w="75" w:type="dxa"/>
              <w:right w:w="150" w:type="dxa"/>
            </w:tcMar>
            <w:vAlign w:val="center"/>
          </w:tcPr>
          <w:p w14:paraId="6DA428B1">
            <w:pPr>
              <w:widowControl/>
              <w:spacing w:before="255" w:beforeAutospacing="0" w:after="255" w:afterAutospacing="0"/>
              <w:jc w:val="both"/>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北山镇梅洞村至拉塞屯糖料蔗基地产业道路硬化项目、刘三姐镇中和村上劳屯水利渠道项目、安马乡北关村坡尧屯产业路硬化、水利渠道项目（重）</w:t>
            </w:r>
          </w:p>
        </w:tc>
        <w:tc>
          <w:tcPr>
            <w:tcW w:w="770" w:type="pct"/>
            <w:shd w:val="clear" w:color="auto" w:fill="auto"/>
            <w:tcMar>
              <w:top w:w="75" w:type="dxa"/>
              <w:left w:w="150" w:type="dxa"/>
              <w:bottom w:w="75" w:type="dxa"/>
              <w:right w:w="150" w:type="dxa"/>
            </w:tcMar>
            <w:vAlign w:val="center"/>
          </w:tcPr>
          <w:p w14:paraId="77037A37">
            <w:pPr>
              <w:keepNext w:val="0"/>
              <w:keepLines w:val="0"/>
              <w:widowControl/>
              <w:suppressLineNumbers w:val="0"/>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北山镇梅洞村至拉塞屯糖料蔗基地产业道路硬化项目</w:t>
            </w:r>
          </w:p>
        </w:tc>
        <w:tc>
          <w:tcPr>
            <w:tcW w:w="1314" w:type="pct"/>
            <w:shd w:val="clear" w:color="auto" w:fill="auto"/>
            <w:tcMar>
              <w:top w:w="75" w:type="dxa"/>
              <w:left w:w="150" w:type="dxa"/>
              <w:bottom w:w="75" w:type="dxa"/>
              <w:right w:w="150" w:type="dxa"/>
            </w:tcMar>
            <w:vAlign w:val="center"/>
          </w:tcPr>
          <w:p w14:paraId="7D0D183F">
            <w:pPr>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b w:val="0"/>
                <w:bCs/>
                <w:color w:val="auto"/>
                <w:sz w:val="24"/>
                <w:szCs w:val="24"/>
                <w:highlight w:val="none"/>
                <w:lang w:val="en-US" w:eastAsia="zh-CN"/>
              </w:rPr>
              <w:t>道路全线总1246.65米，厚18cm水泥混凝土面层4483.28平方米，设置错车道2处，布置过水圆管涵 4 座,</w:t>
            </w:r>
            <w:r>
              <w:rPr>
                <w:rFonts w:hint="eastAsia" w:ascii="宋体" w:hAnsi="宋体" w:eastAsia="宋体" w:cs="宋体"/>
                <w:b w:val="0"/>
                <w:bCs/>
                <w:color w:val="auto"/>
                <w:sz w:val="24"/>
                <w:szCs w:val="24"/>
                <w:highlight w:val="none"/>
              </w:rPr>
              <w:t>具体详见工程量清单。</w:t>
            </w:r>
          </w:p>
        </w:tc>
        <w:tc>
          <w:tcPr>
            <w:tcW w:w="635" w:type="pct"/>
            <w:vMerge w:val="restart"/>
            <w:shd w:val="clear" w:color="auto" w:fill="auto"/>
            <w:tcMar>
              <w:top w:w="75" w:type="dxa"/>
              <w:left w:w="150" w:type="dxa"/>
              <w:bottom w:w="75" w:type="dxa"/>
              <w:right w:w="150" w:type="dxa"/>
            </w:tcMar>
            <w:vAlign w:val="center"/>
          </w:tcPr>
          <w:p w14:paraId="2532A37A">
            <w:pPr>
              <w:widowControl/>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90</w:t>
            </w:r>
            <w:r>
              <w:rPr>
                <w:rFonts w:hint="eastAsia" w:ascii="宋体" w:hAnsi="宋体" w:eastAsia="宋体" w:cs="宋体"/>
                <w:color w:val="000000"/>
                <w:sz w:val="24"/>
                <w:szCs w:val="24"/>
                <w:highlight w:val="none"/>
              </w:rPr>
              <w:t>日历天</w:t>
            </w:r>
          </w:p>
        </w:tc>
        <w:tc>
          <w:tcPr>
            <w:tcW w:w="573" w:type="pct"/>
            <w:vMerge w:val="restart"/>
            <w:shd w:val="clear" w:color="auto" w:fill="auto"/>
            <w:tcMar>
              <w:top w:w="75" w:type="dxa"/>
              <w:left w:w="150" w:type="dxa"/>
              <w:bottom w:w="75" w:type="dxa"/>
              <w:right w:w="150" w:type="dxa"/>
            </w:tcMar>
            <w:vAlign w:val="center"/>
          </w:tcPr>
          <w:p w14:paraId="512D93E2">
            <w:pPr>
              <w:widowControl/>
              <w:wordWrap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梁万全 </w:t>
            </w:r>
          </w:p>
        </w:tc>
        <w:tc>
          <w:tcPr>
            <w:tcW w:w="672" w:type="pct"/>
            <w:vMerge w:val="restart"/>
            <w:shd w:val="clear" w:color="auto" w:fill="auto"/>
            <w:tcMar>
              <w:top w:w="75" w:type="dxa"/>
              <w:left w:w="150" w:type="dxa"/>
              <w:bottom w:w="75" w:type="dxa"/>
              <w:right w:w="150" w:type="dxa"/>
            </w:tcMar>
            <w:vAlign w:val="center"/>
          </w:tcPr>
          <w:p w14:paraId="644AA3EE">
            <w:pPr>
              <w:widowControl/>
              <w:wordWrap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桂245080907653</w:t>
            </w:r>
          </w:p>
        </w:tc>
      </w:tr>
      <w:tr w14:paraId="1BF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trPr>
        <w:tc>
          <w:tcPr>
            <w:tcW w:w="326" w:type="pct"/>
            <w:vMerge w:val="continue"/>
            <w:tcBorders/>
            <w:shd w:val="clear" w:color="auto" w:fill="auto"/>
            <w:tcMar>
              <w:top w:w="75" w:type="dxa"/>
              <w:left w:w="150" w:type="dxa"/>
              <w:bottom w:w="75" w:type="dxa"/>
              <w:right w:w="150" w:type="dxa"/>
            </w:tcMar>
            <w:vAlign w:val="center"/>
          </w:tcPr>
          <w:p w14:paraId="46B44F4D">
            <w:pPr>
              <w:widowControl/>
              <w:jc w:val="center"/>
              <w:rPr>
                <w:rFonts w:hint="eastAsia" w:ascii="宋体" w:hAnsi="宋体" w:eastAsia="宋体" w:cs="宋体"/>
                <w:color w:val="000000"/>
                <w:sz w:val="24"/>
                <w:szCs w:val="24"/>
                <w:highlight w:val="none"/>
              </w:rPr>
            </w:pPr>
          </w:p>
        </w:tc>
        <w:tc>
          <w:tcPr>
            <w:tcW w:w="707" w:type="pct"/>
            <w:vMerge w:val="continue"/>
            <w:tcBorders/>
            <w:shd w:val="clear" w:color="auto" w:fill="auto"/>
            <w:tcMar>
              <w:top w:w="75" w:type="dxa"/>
              <w:left w:w="150" w:type="dxa"/>
              <w:bottom w:w="75" w:type="dxa"/>
              <w:right w:w="150" w:type="dxa"/>
            </w:tcMar>
            <w:vAlign w:val="center"/>
          </w:tcPr>
          <w:p w14:paraId="6BCAC641">
            <w:pPr>
              <w:widowControl/>
              <w:spacing w:before="255" w:beforeAutospacing="0" w:after="255" w:afterAutospacing="0"/>
              <w:jc w:val="both"/>
              <w:rPr>
                <w:rFonts w:hint="eastAsia" w:ascii="宋体" w:hAnsi="宋体" w:eastAsia="宋体" w:cs="宋体"/>
                <w:b w:val="0"/>
                <w:bCs/>
                <w:i w:val="0"/>
                <w:iCs w:val="0"/>
                <w:color w:val="auto"/>
                <w:sz w:val="24"/>
                <w:szCs w:val="24"/>
                <w:highlight w:val="none"/>
                <w:u w:val="none"/>
                <w:lang w:eastAsia="zh-CN"/>
              </w:rPr>
            </w:pPr>
          </w:p>
        </w:tc>
        <w:tc>
          <w:tcPr>
            <w:tcW w:w="770" w:type="pct"/>
            <w:shd w:val="clear" w:color="auto" w:fill="auto"/>
            <w:tcMar>
              <w:top w:w="75" w:type="dxa"/>
              <w:left w:w="150" w:type="dxa"/>
              <w:bottom w:w="75" w:type="dxa"/>
              <w:right w:w="150" w:type="dxa"/>
            </w:tcMar>
            <w:vAlign w:val="center"/>
          </w:tcPr>
          <w:p w14:paraId="7C40815E">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刘三姐镇中和村上劳屯水利渠道项目</w:t>
            </w:r>
          </w:p>
        </w:tc>
        <w:tc>
          <w:tcPr>
            <w:tcW w:w="1314" w:type="pct"/>
            <w:shd w:val="clear" w:color="auto" w:fill="auto"/>
            <w:tcMar>
              <w:top w:w="75" w:type="dxa"/>
              <w:left w:w="150" w:type="dxa"/>
              <w:bottom w:w="75" w:type="dxa"/>
              <w:right w:w="150" w:type="dxa"/>
            </w:tcMar>
            <w:vAlign w:val="center"/>
          </w:tcPr>
          <w:p w14:paraId="1FC6411C">
            <w:pPr>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auto"/>
                <w:sz w:val="24"/>
                <w:szCs w:val="24"/>
                <w:highlight w:val="none"/>
                <w:lang w:val="en-US" w:eastAsia="zh-CN"/>
              </w:rPr>
              <w:t>灌溉沟渠均采用C20砼结构，渠道开挖后须先对基础进行原土夯实，然后在渠底进行现浇C20混凝土，厚度为100mm，再浇筑边墙，边墙采用C20砼结构。渠道每间隔15m设置一道沉降缝，沉降缝与伸缩缝结合布置并以沥青木板填缝止水，缝宽2cm，</w:t>
            </w:r>
            <w:r>
              <w:rPr>
                <w:rFonts w:hint="eastAsia" w:ascii="宋体" w:hAnsi="宋体" w:eastAsia="宋体" w:cs="宋体"/>
                <w:b w:val="0"/>
                <w:bCs/>
                <w:color w:val="auto"/>
                <w:sz w:val="24"/>
                <w:szCs w:val="24"/>
                <w:highlight w:val="none"/>
              </w:rPr>
              <w:t>具体详见工程量清单。</w:t>
            </w:r>
          </w:p>
        </w:tc>
        <w:tc>
          <w:tcPr>
            <w:tcW w:w="635" w:type="pct"/>
            <w:vMerge w:val="continue"/>
            <w:tcBorders/>
            <w:shd w:val="clear" w:color="auto" w:fill="auto"/>
            <w:tcMar>
              <w:top w:w="75" w:type="dxa"/>
              <w:left w:w="150" w:type="dxa"/>
              <w:bottom w:w="75" w:type="dxa"/>
              <w:right w:w="150" w:type="dxa"/>
            </w:tcMar>
            <w:vAlign w:val="center"/>
          </w:tcPr>
          <w:p w14:paraId="43FBFEF3">
            <w:pPr>
              <w:widowControl/>
              <w:wordWrap w:val="0"/>
              <w:jc w:val="center"/>
              <w:rPr>
                <w:rFonts w:hint="eastAsia" w:ascii="宋体" w:hAnsi="宋体" w:eastAsia="宋体" w:cs="宋体"/>
                <w:color w:val="000000"/>
                <w:sz w:val="24"/>
                <w:szCs w:val="24"/>
                <w:highlight w:val="none"/>
                <w:lang w:val="en-US" w:eastAsia="zh-CN"/>
              </w:rPr>
            </w:pPr>
          </w:p>
        </w:tc>
        <w:tc>
          <w:tcPr>
            <w:tcW w:w="573" w:type="pct"/>
            <w:vMerge w:val="continue"/>
            <w:tcBorders/>
            <w:shd w:val="clear" w:color="auto" w:fill="auto"/>
            <w:tcMar>
              <w:top w:w="75" w:type="dxa"/>
              <w:left w:w="150" w:type="dxa"/>
              <w:bottom w:w="75" w:type="dxa"/>
              <w:right w:w="150" w:type="dxa"/>
            </w:tcMar>
            <w:vAlign w:val="center"/>
          </w:tcPr>
          <w:p w14:paraId="3B878402">
            <w:pPr>
              <w:widowControl/>
              <w:wordWrap w:val="0"/>
              <w:jc w:val="center"/>
              <w:rPr>
                <w:rFonts w:hint="eastAsia" w:ascii="宋体" w:hAnsi="宋体" w:eastAsia="宋体" w:cs="宋体"/>
                <w:i w:val="0"/>
                <w:iCs w:val="0"/>
                <w:caps w:val="0"/>
                <w:color w:val="000000"/>
                <w:spacing w:val="0"/>
                <w:sz w:val="24"/>
                <w:szCs w:val="24"/>
              </w:rPr>
            </w:pPr>
          </w:p>
        </w:tc>
        <w:tc>
          <w:tcPr>
            <w:tcW w:w="672" w:type="pct"/>
            <w:vMerge w:val="continue"/>
            <w:tcBorders/>
            <w:shd w:val="clear" w:color="auto" w:fill="auto"/>
            <w:tcMar>
              <w:top w:w="75" w:type="dxa"/>
              <w:left w:w="150" w:type="dxa"/>
              <w:bottom w:w="75" w:type="dxa"/>
              <w:right w:w="150" w:type="dxa"/>
            </w:tcMar>
            <w:vAlign w:val="center"/>
          </w:tcPr>
          <w:p w14:paraId="44CF89D1">
            <w:pPr>
              <w:widowControl/>
              <w:wordWrap w:val="0"/>
              <w:jc w:val="center"/>
              <w:rPr>
                <w:rFonts w:hint="eastAsia" w:ascii="宋体" w:hAnsi="宋体" w:eastAsia="宋体" w:cs="宋体"/>
                <w:color w:val="000000"/>
                <w:sz w:val="24"/>
                <w:szCs w:val="24"/>
                <w:highlight w:val="none"/>
                <w:lang w:val="en-US" w:eastAsia="zh-CN"/>
              </w:rPr>
            </w:pPr>
          </w:p>
        </w:tc>
      </w:tr>
      <w:tr w14:paraId="08FE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trPr>
        <w:tc>
          <w:tcPr>
            <w:tcW w:w="326" w:type="pct"/>
            <w:vMerge w:val="continue"/>
            <w:tcBorders/>
            <w:shd w:val="clear" w:color="auto" w:fill="auto"/>
            <w:tcMar>
              <w:top w:w="75" w:type="dxa"/>
              <w:left w:w="150" w:type="dxa"/>
              <w:bottom w:w="75" w:type="dxa"/>
              <w:right w:w="150" w:type="dxa"/>
            </w:tcMar>
            <w:vAlign w:val="center"/>
          </w:tcPr>
          <w:p w14:paraId="2F379C05">
            <w:pPr>
              <w:widowControl/>
              <w:jc w:val="center"/>
              <w:rPr>
                <w:rFonts w:hint="eastAsia" w:ascii="宋体" w:hAnsi="宋体" w:eastAsia="宋体" w:cs="宋体"/>
                <w:color w:val="000000"/>
                <w:sz w:val="24"/>
                <w:szCs w:val="24"/>
                <w:highlight w:val="none"/>
              </w:rPr>
            </w:pPr>
          </w:p>
        </w:tc>
        <w:tc>
          <w:tcPr>
            <w:tcW w:w="707" w:type="pct"/>
            <w:vMerge w:val="continue"/>
            <w:tcBorders/>
            <w:shd w:val="clear" w:color="auto" w:fill="auto"/>
            <w:tcMar>
              <w:top w:w="75" w:type="dxa"/>
              <w:left w:w="150" w:type="dxa"/>
              <w:bottom w:w="75" w:type="dxa"/>
              <w:right w:w="150" w:type="dxa"/>
            </w:tcMar>
            <w:vAlign w:val="center"/>
          </w:tcPr>
          <w:p w14:paraId="078B4635">
            <w:pPr>
              <w:widowControl/>
              <w:spacing w:before="255" w:beforeAutospacing="0" w:after="255" w:afterAutospacing="0"/>
              <w:jc w:val="both"/>
              <w:rPr>
                <w:rFonts w:hint="eastAsia" w:ascii="宋体" w:hAnsi="宋体" w:eastAsia="宋体" w:cs="宋体"/>
                <w:b w:val="0"/>
                <w:bCs/>
                <w:i w:val="0"/>
                <w:iCs w:val="0"/>
                <w:color w:val="auto"/>
                <w:sz w:val="24"/>
                <w:szCs w:val="24"/>
                <w:highlight w:val="none"/>
                <w:u w:val="none"/>
                <w:lang w:eastAsia="zh-CN"/>
              </w:rPr>
            </w:pPr>
          </w:p>
        </w:tc>
        <w:tc>
          <w:tcPr>
            <w:tcW w:w="770" w:type="pct"/>
            <w:shd w:val="clear" w:color="auto" w:fill="auto"/>
            <w:tcMar>
              <w:top w:w="75" w:type="dxa"/>
              <w:left w:w="150" w:type="dxa"/>
              <w:bottom w:w="75" w:type="dxa"/>
              <w:right w:w="150" w:type="dxa"/>
            </w:tcMar>
            <w:vAlign w:val="center"/>
          </w:tcPr>
          <w:p w14:paraId="6791FF08">
            <w:pPr>
              <w:keepNext w:val="0"/>
              <w:keepLines w:val="0"/>
              <w:widowControl/>
              <w:suppressLineNumbers w:val="0"/>
              <w:spacing w:line="360" w:lineRule="auto"/>
              <w:jc w:val="center"/>
              <w:textAlignment w:val="center"/>
              <w:rPr>
                <w:rFonts w:hint="eastAsia" w:ascii="宋体" w:hAnsi="宋体" w:eastAsia="宋体" w:cs="宋体"/>
                <w:b w:val="0"/>
                <w:bCs/>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安马乡北关村坡尧屯产业路硬化、水利渠道项目</w:t>
            </w:r>
          </w:p>
        </w:tc>
        <w:tc>
          <w:tcPr>
            <w:tcW w:w="1314" w:type="pct"/>
            <w:shd w:val="clear" w:color="auto" w:fill="auto"/>
            <w:tcMar>
              <w:top w:w="75" w:type="dxa"/>
              <w:left w:w="150" w:type="dxa"/>
              <w:bottom w:w="75" w:type="dxa"/>
              <w:right w:w="150" w:type="dxa"/>
            </w:tcMar>
            <w:vAlign w:val="center"/>
          </w:tcPr>
          <w:p w14:paraId="2622C23F">
            <w:pPr>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auto"/>
                <w:sz w:val="24"/>
                <w:szCs w:val="24"/>
                <w:highlight w:val="none"/>
                <w:lang w:val="en-US" w:eastAsia="zh-CN"/>
              </w:rPr>
              <w:t>两段道路全线总390.72米，厚18cm水泥混凝土面层1367.52平方米，设置错车道0处，布置过水圆管涵 1 座，</w:t>
            </w:r>
            <w:r>
              <w:rPr>
                <w:rFonts w:hint="eastAsia" w:ascii="宋体" w:hAnsi="宋体" w:eastAsia="宋体" w:cs="宋体"/>
                <w:b w:val="0"/>
                <w:bCs/>
                <w:color w:val="auto"/>
                <w:sz w:val="24"/>
                <w:szCs w:val="24"/>
                <w:highlight w:val="none"/>
              </w:rPr>
              <w:t>具体详见工程量清单。</w:t>
            </w:r>
          </w:p>
        </w:tc>
        <w:tc>
          <w:tcPr>
            <w:tcW w:w="635" w:type="pct"/>
            <w:vMerge w:val="continue"/>
            <w:tcBorders/>
            <w:shd w:val="clear" w:color="auto" w:fill="auto"/>
            <w:tcMar>
              <w:top w:w="75" w:type="dxa"/>
              <w:left w:w="150" w:type="dxa"/>
              <w:bottom w:w="75" w:type="dxa"/>
              <w:right w:w="150" w:type="dxa"/>
            </w:tcMar>
            <w:vAlign w:val="center"/>
          </w:tcPr>
          <w:p w14:paraId="642F0C3E">
            <w:pPr>
              <w:widowControl/>
              <w:wordWrap w:val="0"/>
              <w:jc w:val="center"/>
              <w:rPr>
                <w:rFonts w:hint="eastAsia" w:ascii="宋体" w:hAnsi="宋体" w:eastAsia="宋体" w:cs="宋体"/>
                <w:color w:val="000000"/>
                <w:sz w:val="24"/>
                <w:szCs w:val="24"/>
                <w:highlight w:val="none"/>
                <w:lang w:val="en-US" w:eastAsia="zh-CN"/>
              </w:rPr>
            </w:pPr>
          </w:p>
        </w:tc>
        <w:tc>
          <w:tcPr>
            <w:tcW w:w="573" w:type="pct"/>
            <w:vMerge w:val="continue"/>
            <w:tcBorders/>
            <w:shd w:val="clear" w:color="auto" w:fill="auto"/>
            <w:tcMar>
              <w:top w:w="75" w:type="dxa"/>
              <w:left w:w="150" w:type="dxa"/>
              <w:bottom w:w="75" w:type="dxa"/>
              <w:right w:w="150" w:type="dxa"/>
            </w:tcMar>
            <w:vAlign w:val="center"/>
          </w:tcPr>
          <w:p w14:paraId="70701750">
            <w:pPr>
              <w:widowControl/>
              <w:wordWrap w:val="0"/>
              <w:jc w:val="center"/>
              <w:rPr>
                <w:rFonts w:hint="eastAsia" w:ascii="宋体" w:hAnsi="宋体" w:eastAsia="宋体" w:cs="宋体"/>
                <w:i w:val="0"/>
                <w:iCs w:val="0"/>
                <w:caps w:val="0"/>
                <w:color w:val="000000"/>
                <w:spacing w:val="0"/>
                <w:sz w:val="24"/>
                <w:szCs w:val="24"/>
              </w:rPr>
            </w:pPr>
          </w:p>
        </w:tc>
        <w:tc>
          <w:tcPr>
            <w:tcW w:w="672" w:type="pct"/>
            <w:vMerge w:val="continue"/>
            <w:tcBorders/>
            <w:shd w:val="clear" w:color="auto" w:fill="auto"/>
            <w:tcMar>
              <w:top w:w="75" w:type="dxa"/>
              <w:left w:w="150" w:type="dxa"/>
              <w:bottom w:w="75" w:type="dxa"/>
              <w:right w:w="150" w:type="dxa"/>
            </w:tcMar>
            <w:vAlign w:val="center"/>
          </w:tcPr>
          <w:p w14:paraId="0E70C455">
            <w:pPr>
              <w:widowControl/>
              <w:wordWrap w:val="0"/>
              <w:jc w:val="center"/>
              <w:rPr>
                <w:rFonts w:hint="eastAsia" w:ascii="宋体" w:hAnsi="宋体" w:eastAsia="宋体" w:cs="宋体"/>
                <w:color w:val="000000"/>
                <w:sz w:val="24"/>
                <w:szCs w:val="24"/>
                <w:highlight w:val="none"/>
                <w:lang w:val="en-US" w:eastAsia="zh-CN"/>
              </w:rPr>
            </w:pPr>
          </w:p>
        </w:tc>
      </w:tr>
    </w:tbl>
    <w:p w14:paraId="74BAE118">
      <w:pPr>
        <w:pStyle w:val="8"/>
        <w:widowControl/>
        <w:spacing w:before="255" w:beforeAutospacing="0" w:after="255" w:afterAutospacing="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梁香（自行抽取），钟祥顺（自行抽取），黄必庆（自行抽取）                      </w:t>
      </w:r>
    </w:p>
    <w:p w14:paraId="74936C24">
      <w:pPr>
        <w:pStyle w:val="8"/>
        <w:widowControl/>
        <w:spacing w:before="255" w:beforeAutospacing="0" w:after="255" w:afterAutospacing="0"/>
        <w:jc w:val="both"/>
        <w:rPr>
          <w:rFonts w:hint="eastAsia" w:ascii="宋体" w:hAnsi="宋体" w:eastAsia="宋体" w:cs="宋体"/>
          <w:color w:val="000000"/>
          <w:kern w:val="2"/>
          <w:sz w:val="24"/>
          <w:szCs w:val="24"/>
          <w:highlight w:val="none"/>
        </w:rPr>
      </w:pPr>
      <w:r>
        <w:rPr>
          <w:rFonts w:hint="eastAsia" w:ascii="宋体" w:hAnsi="宋体" w:eastAsia="宋体" w:cs="宋体"/>
          <w:b/>
          <w:bCs/>
          <w:color w:val="000000"/>
          <w:kern w:val="2"/>
          <w:sz w:val="24"/>
          <w:szCs w:val="24"/>
          <w:highlight w:val="none"/>
        </w:rPr>
        <w:t>五、代理服务收费标准及金额：</w:t>
      </w:r>
      <w:r>
        <w:rPr>
          <w:rFonts w:hint="eastAsia" w:ascii="宋体" w:hAnsi="宋体" w:eastAsia="宋体" w:cs="宋体"/>
          <w:color w:val="000000"/>
          <w:kern w:val="2"/>
          <w:sz w:val="24"/>
          <w:szCs w:val="24"/>
          <w:highlight w:val="none"/>
        </w:rPr>
        <w:t>                 </w:t>
      </w:r>
    </w:p>
    <w:p w14:paraId="4AA3CDD0">
      <w:pPr>
        <w:pStyle w:val="8"/>
        <w:widowControl/>
        <w:ind w:firstLine="42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1.代理服务收费标准：按国家发展计划委员会计价格[2002]1980号《招标代理服务费管理暂行办法》工程类收费标准。                    </w:t>
      </w:r>
    </w:p>
    <w:p w14:paraId="4528FE53">
      <w:pPr>
        <w:pStyle w:val="8"/>
        <w:widowControl/>
        <w:ind w:firstLine="42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2.代理服务收费金额（元）：</w:t>
      </w:r>
      <w:r>
        <w:rPr>
          <w:rFonts w:hint="eastAsia" w:ascii="宋体" w:hAnsi="宋体" w:eastAsia="宋体" w:cs="宋体"/>
          <w:color w:val="000000"/>
          <w:kern w:val="2"/>
          <w:sz w:val="24"/>
          <w:szCs w:val="24"/>
          <w:highlight w:val="none"/>
          <w:lang w:val="en-US" w:eastAsia="zh-CN"/>
        </w:rPr>
        <w:t>10009</w:t>
      </w:r>
      <w:r>
        <w:rPr>
          <w:rFonts w:hint="eastAsia" w:ascii="宋体" w:hAnsi="宋体" w:eastAsia="宋体" w:cs="宋体"/>
          <w:color w:val="000000"/>
          <w:kern w:val="2"/>
          <w:sz w:val="24"/>
          <w:szCs w:val="24"/>
          <w:highlight w:val="none"/>
        </w:rPr>
        <w:t xml:space="preserve">.00元 </w:t>
      </w:r>
    </w:p>
    <w:p w14:paraId="2AED0EBA">
      <w:pPr>
        <w:pStyle w:val="8"/>
        <w:widowControl/>
        <w:spacing w:before="255" w:beforeAutospacing="0" w:after="255" w:afterAutospacing="0"/>
        <w:jc w:val="both"/>
        <w:rPr>
          <w:rFonts w:hint="eastAsia" w:ascii="宋体" w:hAnsi="宋体" w:eastAsia="宋体" w:cs="宋体"/>
          <w:color w:val="000000"/>
          <w:kern w:val="2"/>
          <w:sz w:val="24"/>
          <w:szCs w:val="24"/>
          <w:highlight w:val="none"/>
        </w:rPr>
      </w:pPr>
      <w:r>
        <w:rPr>
          <w:rFonts w:hint="eastAsia" w:ascii="宋体" w:hAnsi="宋体" w:eastAsia="宋体" w:cs="宋体"/>
          <w:b/>
          <w:bCs/>
          <w:color w:val="000000"/>
          <w:kern w:val="2"/>
          <w:sz w:val="24"/>
          <w:szCs w:val="24"/>
          <w:highlight w:val="none"/>
        </w:rPr>
        <w:t>六、公告期限  </w:t>
      </w:r>
      <w:r>
        <w:rPr>
          <w:rFonts w:hint="eastAsia" w:ascii="宋体" w:hAnsi="宋体" w:eastAsia="宋体" w:cs="宋体"/>
          <w:color w:val="000000"/>
          <w:kern w:val="2"/>
          <w:sz w:val="24"/>
          <w:szCs w:val="24"/>
          <w:highlight w:val="none"/>
        </w:rPr>
        <w:t xml:space="preserve">                  </w:t>
      </w:r>
    </w:p>
    <w:p w14:paraId="39764B01">
      <w:pPr>
        <w:pStyle w:val="8"/>
        <w:widowControl/>
        <w:ind w:firstLine="42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自本公告发布之日起1个工作日。                    </w:t>
      </w:r>
    </w:p>
    <w:p w14:paraId="1FA1E8B6">
      <w:pPr>
        <w:pStyle w:val="8"/>
        <w:widowControl/>
        <w:spacing w:before="255" w:beforeAutospacing="0" w:after="255" w:afterAutospacing="0"/>
        <w:jc w:val="both"/>
        <w:rPr>
          <w:rFonts w:hint="eastAsia" w:ascii="宋体" w:hAnsi="宋体" w:eastAsia="宋体" w:cs="宋体"/>
          <w:color w:val="000000"/>
          <w:kern w:val="2"/>
          <w:sz w:val="24"/>
          <w:szCs w:val="24"/>
          <w:highlight w:val="none"/>
        </w:rPr>
      </w:pPr>
      <w:r>
        <w:rPr>
          <w:rFonts w:hint="eastAsia" w:ascii="宋体" w:hAnsi="宋体" w:eastAsia="宋体" w:cs="宋体"/>
          <w:b/>
          <w:bCs/>
          <w:color w:val="000000"/>
          <w:kern w:val="2"/>
          <w:sz w:val="24"/>
          <w:szCs w:val="24"/>
          <w:highlight w:val="none"/>
        </w:rPr>
        <w:t xml:space="preserve">七、其他补充事宜  </w:t>
      </w:r>
      <w:r>
        <w:rPr>
          <w:rFonts w:hint="eastAsia" w:ascii="宋体" w:hAnsi="宋体" w:eastAsia="宋体" w:cs="宋体"/>
          <w:color w:val="000000"/>
          <w:kern w:val="2"/>
          <w:sz w:val="24"/>
          <w:szCs w:val="24"/>
          <w:highlight w:val="none"/>
        </w:rPr>
        <w:t>                                   </w:t>
      </w:r>
    </w:p>
    <w:p w14:paraId="0AD7B888">
      <w:pPr>
        <w:widowControl/>
        <w:spacing w:line="360" w:lineRule="auto"/>
        <w:ind w:firstLine="480" w:firstLineChars="200"/>
        <w:textAlignment w:val="baseline"/>
        <w:rPr>
          <w:rFonts w:hint="eastAsia" w:ascii="宋体" w:hAnsi="宋体" w:eastAsia="宋体" w:cs="宋体"/>
          <w:color w:val="000000"/>
          <w:kern w:val="0"/>
          <w:sz w:val="24"/>
          <w:szCs w:val="24"/>
          <w:highlight w:val="none"/>
        </w:rPr>
      </w:pPr>
      <w:bookmarkStart w:id="0" w:name="_Hlk37429674"/>
      <w:bookmarkEnd w:id="0"/>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网上查询地址:中国政府采购网（www.ccgp.gov.cn）,广西壮族自治区政府采购网（http://zfcg.gxzf.gov.cn/），全国公共资源交易平台（广西·河池）（http://ggzy.jgswj.gxzf.gov.cn/hcggzy/）</w:t>
      </w:r>
    </w:p>
    <w:p w14:paraId="0D634936">
      <w:pPr>
        <w:widowControl/>
        <w:spacing w:line="360" w:lineRule="auto"/>
        <w:ind w:firstLine="480" w:firstLineChars="200"/>
        <w:textAlignment w:val="baseline"/>
        <w:rPr>
          <w:rStyle w:val="13"/>
          <w:rFonts w:hint="eastAsia" w:ascii="宋体" w:hAnsi="宋体" w:eastAsia="宋体" w:cs="宋体"/>
          <w:i w:val="0"/>
          <w:iCs w:val="0"/>
          <w:caps w:val="0"/>
          <w:color w:val="000000"/>
          <w:spacing w:val="0"/>
          <w:sz w:val="24"/>
          <w:szCs w:val="24"/>
          <w:highlight w:val="none"/>
        </w:rPr>
      </w:pPr>
      <w:r>
        <w:rPr>
          <w:rStyle w:val="13"/>
          <w:rFonts w:hint="eastAsia" w:ascii="宋体" w:hAnsi="宋体" w:eastAsia="宋体" w:cs="宋体"/>
          <w:i w:val="0"/>
          <w:iCs w:val="0"/>
          <w:caps w:val="0"/>
          <w:color w:val="000000"/>
          <w:spacing w:val="0"/>
          <w:sz w:val="24"/>
          <w:szCs w:val="24"/>
          <w:highlight w:val="none"/>
        </w:rPr>
        <w:t>2</w:t>
      </w:r>
      <w:r>
        <w:rPr>
          <w:rStyle w:val="13"/>
          <w:rFonts w:hint="eastAsia" w:ascii="宋体" w:hAnsi="宋体" w:eastAsia="宋体" w:cs="宋体"/>
          <w:i w:val="0"/>
          <w:iCs w:val="0"/>
          <w:caps w:val="0"/>
          <w:color w:val="000000"/>
          <w:spacing w:val="0"/>
          <w:sz w:val="24"/>
          <w:szCs w:val="24"/>
          <w:highlight w:val="none"/>
          <w:lang w:val="en-US" w:eastAsia="zh-CN"/>
        </w:rPr>
        <w:t>.</w:t>
      </w:r>
      <w:r>
        <w:rPr>
          <w:rStyle w:val="13"/>
          <w:rFonts w:hint="eastAsia" w:ascii="宋体" w:hAnsi="宋体" w:eastAsia="宋体" w:cs="宋体"/>
          <w:i w:val="0"/>
          <w:iCs w:val="0"/>
          <w:caps w:val="0"/>
          <w:color w:val="000000"/>
          <w:spacing w:val="0"/>
          <w:sz w:val="24"/>
          <w:szCs w:val="24"/>
          <w:highlight w:val="none"/>
        </w:rPr>
        <w:t>供应商认为成交结果使自己的权益受到损害的，可以在成交结果公告期限届满之日起七个工作日内以书面形式向</w:t>
      </w:r>
      <w:r>
        <w:rPr>
          <w:rStyle w:val="13"/>
          <w:rFonts w:hint="eastAsia" w:ascii="宋体" w:hAnsi="宋体" w:eastAsia="宋体" w:cs="宋体"/>
          <w:i w:val="0"/>
          <w:iCs w:val="0"/>
          <w:caps w:val="0"/>
          <w:color w:val="000000"/>
          <w:spacing w:val="0"/>
          <w:sz w:val="24"/>
          <w:szCs w:val="24"/>
          <w:highlight w:val="none"/>
          <w:lang w:eastAsia="zh-CN"/>
        </w:rPr>
        <w:t>中国共产党河池市宜州区委员会统一战线工作部</w:t>
      </w:r>
      <w:r>
        <w:rPr>
          <w:rStyle w:val="13"/>
          <w:rFonts w:hint="eastAsia" w:ascii="宋体" w:hAnsi="宋体" w:eastAsia="宋体" w:cs="宋体"/>
          <w:i w:val="0"/>
          <w:iCs w:val="0"/>
          <w:caps w:val="0"/>
          <w:color w:val="000000"/>
          <w:spacing w:val="0"/>
          <w:sz w:val="24"/>
          <w:szCs w:val="24"/>
          <w:highlight w:val="none"/>
        </w:rPr>
        <w:t>或中兴桂（北京）国际招标有限公司提出质疑，逾期将不再受理。</w:t>
      </w:r>
    </w:p>
    <w:p w14:paraId="79512A72">
      <w:pPr>
        <w:widowControl/>
        <w:spacing w:line="360" w:lineRule="auto"/>
        <w:ind w:firstLine="480" w:firstLineChars="200"/>
        <w:jc w:val="left"/>
        <w:textAlignment w:val="baseline"/>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3.成交供应商评审总得分：85.97</w:t>
      </w:r>
    </w:p>
    <w:p w14:paraId="5046C235">
      <w:pPr>
        <w:widowControl/>
        <w:spacing w:line="360" w:lineRule="auto"/>
        <w:ind w:firstLine="482" w:firstLineChars="200"/>
        <w:jc w:val="left"/>
        <w:textAlignment w:val="baseline"/>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highlight w:val="none"/>
          <w:lang w:val="en-US" w:eastAsia="zh-CN"/>
        </w:rPr>
        <w:t>八</w:t>
      </w:r>
      <w:r>
        <w:rPr>
          <w:rFonts w:hint="eastAsia" w:ascii="宋体" w:hAnsi="宋体" w:eastAsia="宋体" w:cs="宋体"/>
          <w:b/>
          <w:bCs/>
          <w:color w:val="000000"/>
          <w:kern w:val="2"/>
          <w:sz w:val="24"/>
          <w:szCs w:val="24"/>
          <w:highlight w:val="none"/>
        </w:rPr>
        <w:t>、对本次公告内容提出询问，请按以下方式联系　</w:t>
      </w:r>
      <w:r>
        <w:rPr>
          <w:rFonts w:hint="eastAsia" w:ascii="宋体" w:hAnsi="宋体" w:eastAsia="宋体" w:cs="宋体"/>
          <w:color w:val="000000"/>
          <w:kern w:val="2"/>
          <w:sz w:val="24"/>
          <w:szCs w:val="24"/>
          <w:highlight w:val="none"/>
        </w:rPr>
        <w:t>　</w:t>
      </w:r>
      <w:r>
        <w:rPr>
          <w:rFonts w:hint="eastAsia" w:ascii="宋体" w:hAnsi="宋体" w:eastAsia="宋体" w:cs="宋体"/>
          <w:color w:val="000000"/>
          <w:sz w:val="24"/>
          <w:szCs w:val="24"/>
          <w:highlight w:val="none"/>
        </w:rPr>
        <w:t>　           </w:t>
      </w:r>
    </w:p>
    <w:p w14:paraId="46F7EAD1">
      <w:pPr>
        <w:spacing w:line="360" w:lineRule="auto"/>
        <w:ind w:firstLine="840" w:firstLineChars="350"/>
        <w:rPr>
          <w:rFonts w:hint="eastAsia" w:ascii="宋体" w:hAnsi="宋体" w:eastAsia="宋体" w:cs="宋体"/>
          <w:color w:val="000000"/>
          <w:sz w:val="24"/>
          <w:szCs w:val="24"/>
          <w:highlight w:val="none"/>
          <w:lang w:eastAsia="zh-CN"/>
        </w:rPr>
      </w:pPr>
      <w:bookmarkStart w:id="1" w:name="_Hlk37429595"/>
      <w:bookmarkEnd w:id="1"/>
      <w:r>
        <w:rPr>
          <w:rFonts w:hint="eastAsia" w:ascii="宋体" w:hAnsi="宋体" w:eastAsia="宋体" w:cs="宋体"/>
          <w:color w:val="000000"/>
          <w:sz w:val="24"/>
          <w:szCs w:val="24"/>
          <w:highlight w:val="none"/>
          <w:lang w:eastAsia="zh-CN"/>
        </w:rPr>
        <w:t>名    称：中国共产党河池市宜州区委员会统一战线工作部</w:t>
      </w:r>
    </w:p>
    <w:p w14:paraId="3BDB9640">
      <w:pPr>
        <w:spacing w:line="360" w:lineRule="auto"/>
        <w:ind w:firstLine="840" w:firstLineChars="3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地    址：宜州区区直单位第一办公区422室</w:t>
      </w:r>
    </w:p>
    <w:p w14:paraId="72214C13">
      <w:pPr>
        <w:spacing w:line="360" w:lineRule="auto"/>
        <w:ind w:firstLine="840" w:firstLineChars="35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联系方式：李思意</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0778-3188076</w:t>
      </w:r>
      <w:r>
        <w:rPr>
          <w:rFonts w:hint="eastAsia" w:ascii="宋体" w:hAnsi="宋体" w:eastAsia="宋体" w:cs="宋体"/>
          <w:color w:val="000000"/>
          <w:sz w:val="24"/>
          <w:szCs w:val="24"/>
          <w:highlight w:val="none"/>
          <w:lang w:val="en-US" w:eastAsia="zh-CN"/>
        </w:rPr>
        <w:t xml:space="preserve"> </w:t>
      </w:r>
    </w:p>
    <w:p w14:paraId="793801E7">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2.采购代理机构信息        </w:t>
      </w:r>
    </w:p>
    <w:p w14:paraId="3D50234C">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lang w:eastAsia="zh-CN"/>
        </w:rPr>
        <w:t>中兴桂（北京）国际招标有限公司</w:t>
      </w:r>
      <w:r>
        <w:rPr>
          <w:rFonts w:hint="eastAsia" w:ascii="宋体" w:hAnsi="宋体" w:eastAsia="宋体" w:cs="宋体"/>
          <w:color w:val="000000"/>
          <w:sz w:val="24"/>
          <w:szCs w:val="24"/>
          <w:highlight w:val="none"/>
        </w:rPr>
        <w:t>        </w:t>
      </w:r>
    </w:p>
    <w:p w14:paraId="2CF80515">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eastAsia="zh-CN"/>
        </w:rPr>
        <w:t>广西壮族自治区河池市金城江区上任中路一巷23号四楼</w:t>
      </w:r>
      <w:r>
        <w:rPr>
          <w:rFonts w:hint="eastAsia" w:ascii="宋体" w:hAnsi="宋体" w:eastAsia="宋体" w:cs="宋体"/>
          <w:color w:val="000000"/>
          <w:sz w:val="24"/>
          <w:szCs w:val="24"/>
          <w:highlight w:val="none"/>
        </w:rPr>
        <w:t xml:space="preserve">     </w:t>
      </w:r>
    </w:p>
    <w:p w14:paraId="5BA855B4">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r>
        <w:rPr>
          <w:rFonts w:hint="eastAsia" w:ascii="宋体" w:hAnsi="宋体" w:eastAsia="宋体" w:cs="宋体"/>
          <w:color w:val="000000"/>
          <w:sz w:val="24"/>
          <w:szCs w:val="24"/>
          <w:highlight w:val="none"/>
          <w:lang w:eastAsia="zh-CN"/>
        </w:rPr>
        <w:t>15778802331</w:t>
      </w:r>
    </w:p>
    <w:p w14:paraId="1DC695B0">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3.项目联系方式</w:t>
      </w:r>
    </w:p>
    <w:p w14:paraId="1A289391">
      <w:pPr>
        <w:spacing w:line="360" w:lineRule="auto"/>
        <w:ind w:firstLine="840" w:firstLineChars="350"/>
        <w:rPr>
          <w:rFonts w:hint="eastAsia" w:ascii="宋体" w:hAnsi="宋体" w:eastAsia="宋体" w:cs="宋体"/>
          <w:color w:val="000000"/>
          <w:sz w:val="24"/>
          <w:szCs w:val="24"/>
          <w:highlight w:val="none"/>
          <w:lang w:eastAsia="zh-CN"/>
        </w:rPr>
      </w:pPr>
      <w:bookmarkStart w:id="2" w:name="_GoBack"/>
      <w:bookmarkEnd w:id="2"/>
      <w:r>
        <w:rPr>
          <w:rFonts w:hint="eastAsia" w:ascii="宋体" w:hAnsi="宋体" w:eastAsia="宋体" w:cs="宋体"/>
          <w:color w:val="000000"/>
          <w:sz w:val="24"/>
          <w:szCs w:val="24"/>
          <w:highlight w:val="none"/>
        </w:rPr>
        <w:t>项目联系人：</w:t>
      </w:r>
      <w:r>
        <w:rPr>
          <w:rFonts w:hint="eastAsia" w:ascii="宋体" w:hAnsi="宋体" w:eastAsia="宋体" w:cs="宋体"/>
          <w:color w:val="000000"/>
          <w:sz w:val="24"/>
          <w:szCs w:val="24"/>
          <w:highlight w:val="none"/>
          <w:lang w:eastAsia="zh-CN"/>
        </w:rPr>
        <w:t>覃月朗</w:t>
      </w:r>
    </w:p>
    <w:p w14:paraId="74F9C378">
      <w:pPr>
        <w:spacing w:line="360" w:lineRule="auto"/>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eastAsia="zh-CN"/>
        </w:rPr>
        <w:t>15778802331</w:t>
      </w:r>
      <w:r>
        <w:rPr>
          <w:rFonts w:hint="eastAsia" w:ascii="宋体" w:hAnsi="宋体" w:eastAsia="宋体" w:cs="宋体"/>
          <w:color w:val="000000"/>
          <w:sz w:val="24"/>
          <w:szCs w:val="24"/>
          <w:highlight w:val="none"/>
        </w:rPr>
        <w:t xml:space="preserve">  </w:t>
      </w:r>
    </w:p>
    <w:p w14:paraId="37F3AD07">
      <w:pPr>
        <w:spacing w:line="360" w:lineRule="auto"/>
        <w:ind w:firstLine="840" w:firstLineChars="350"/>
        <w:rPr>
          <w:rFonts w:hint="eastAsia" w:ascii="宋体" w:hAnsi="宋体" w:eastAsia="宋体" w:cs="宋体"/>
          <w:color w:val="000000"/>
          <w:sz w:val="24"/>
          <w:szCs w:val="24"/>
          <w:highlight w:val="none"/>
        </w:rPr>
      </w:pPr>
    </w:p>
    <w:p w14:paraId="1F712DF6">
      <w:pPr>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中兴桂（北京）国际招标有限公司</w:t>
      </w:r>
    </w:p>
    <w:p w14:paraId="22591A0F">
      <w:pPr>
        <w:spacing w:line="360" w:lineRule="auto"/>
        <w:ind w:firstLine="240" w:firstLineChars="100"/>
        <w:jc w:val="righ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07</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29</w:t>
      </w:r>
      <w:r>
        <w:rPr>
          <w:rFonts w:hint="eastAsia" w:ascii="宋体" w:hAnsi="宋体" w:eastAsia="宋体" w:cs="宋体"/>
          <w:color w:val="000000"/>
          <w:sz w:val="24"/>
          <w:szCs w:val="24"/>
          <w:highlight w:val="none"/>
        </w:rPr>
        <w:t>日</w:t>
      </w:r>
    </w:p>
    <w:sectPr>
      <w:foot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9EE3">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660E809C">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Y3NGU1ZTdjODJlMjUyYjM5YmE5OTU0NzNmZDdmMGYifQ=="/>
  </w:docVars>
  <w:rsids>
    <w:rsidRoot w:val="009E153C"/>
    <w:rsid w:val="00026577"/>
    <w:rsid w:val="002F415D"/>
    <w:rsid w:val="00441E32"/>
    <w:rsid w:val="00652763"/>
    <w:rsid w:val="006815A7"/>
    <w:rsid w:val="00691A73"/>
    <w:rsid w:val="009E153C"/>
    <w:rsid w:val="00C67268"/>
    <w:rsid w:val="023A54C3"/>
    <w:rsid w:val="03C643A6"/>
    <w:rsid w:val="06680D08"/>
    <w:rsid w:val="087F5C23"/>
    <w:rsid w:val="0E2F4C4F"/>
    <w:rsid w:val="0E626CA5"/>
    <w:rsid w:val="0F3A6403"/>
    <w:rsid w:val="11356A6F"/>
    <w:rsid w:val="12DF26F9"/>
    <w:rsid w:val="14D84512"/>
    <w:rsid w:val="1790643F"/>
    <w:rsid w:val="18D87C58"/>
    <w:rsid w:val="18ED2570"/>
    <w:rsid w:val="1AAA1874"/>
    <w:rsid w:val="1B4C61A9"/>
    <w:rsid w:val="1CA04CB7"/>
    <w:rsid w:val="1D880AB9"/>
    <w:rsid w:val="22050727"/>
    <w:rsid w:val="22782BC9"/>
    <w:rsid w:val="264B034F"/>
    <w:rsid w:val="288A1B89"/>
    <w:rsid w:val="29FD62DA"/>
    <w:rsid w:val="2CAF5C38"/>
    <w:rsid w:val="2CCE2260"/>
    <w:rsid w:val="2DDE403D"/>
    <w:rsid w:val="2EEF69BA"/>
    <w:rsid w:val="33DE5F26"/>
    <w:rsid w:val="34184347"/>
    <w:rsid w:val="346B2521"/>
    <w:rsid w:val="348E47AF"/>
    <w:rsid w:val="35EE7350"/>
    <w:rsid w:val="371F3DE4"/>
    <w:rsid w:val="39704507"/>
    <w:rsid w:val="3B78270C"/>
    <w:rsid w:val="44FC00F3"/>
    <w:rsid w:val="47411BA5"/>
    <w:rsid w:val="492E3FDE"/>
    <w:rsid w:val="539232B3"/>
    <w:rsid w:val="587F428B"/>
    <w:rsid w:val="59116031"/>
    <w:rsid w:val="596E27D3"/>
    <w:rsid w:val="5FE00138"/>
    <w:rsid w:val="63815CD3"/>
    <w:rsid w:val="65FF4C5D"/>
    <w:rsid w:val="69DC083A"/>
    <w:rsid w:val="7D5151A3"/>
    <w:rsid w:val="7EAE6E6C"/>
    <w:rsid w:val="7F333A0C"/>
    <w:rsid w:val="7FEF46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0"/>
    <w:pPr>
      <w:widowControl/>
      <w:spacing w:before="100" w:beforeAutospacing="1" w:after="100" w:afterAutospacing="1" w:line="360" w:lineRule="auto"/>
      <w:ind w:left="420" w:firstLine="62"/>
      <w:jc w:val="left"/>
    </w:pPr>
    <w:rPr>
      <w:color w:val="FF0000"/>
      <w:kern w:val="0"/>
      <w:sz w:val="24"/>
    </w:rPr>
  </w:style>
  <w:style w:type="paragraph" w:styleId="3">
    <w:name w:val="Body Text"/>
    <w:basedOn w:val="1"/>
    <w:next w:val="1"/>
    <w:autoRedefine/>
    <w:unhideWhenUsed/>
    <w:qFormat/>
    <w:uiPriority w:val="99"/>
    <w:pPr>
      <w:spacing w:after="120"/>
    </w:pPr>
  </w:style>
  <w:style w:type="paragraph" w:styleId="4">
    <w:name w:val="Plain Text"/>
    <w:basedOn w:val="1"/>
    <w:next w:val="2"/>
    <w:autoRedefine/>
    <w:qFormat/>
    <w:uiPriority w:val="99"/>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w:basedOn w:val="3"/>
    <w:autoRedefine/>
    <w:qFormat/>
    <w:uiPriority w:val="0"/>
    <w:pPr>
      <w:ind w:firstLine="420" w:firstLineChars="100"/>
    </w:pPr>
  </w:style>
  <w:style w:type="character" w:styleId="12">
    <w:name w:val="Strong"/>
    <w:basedOn w:val="11"/>
    <w:autoRedefine/>
    <w:qFormat/>
    <w:uiPriority w:val="0"/>
    <w:rPr>
      <w:b/>
    </w:rPr>
  </w:style>
  <w:style w:type="character" w:styleId="13">
    <w:name w:val="HTML Sample"/>
    <w:basedOn w:val="11"/>
    <w:autoRedefine/>
    <w:qFormat/>
    <w:uiPriority w:val="0"/>
    <w:rPr>
      <w:rFonts w:ascii="Courier New" w:hAnsi="Courier New"/>
    </w:rPr>
  </w:style>
  <w:style w:type="paragraph" w:customStyle="1" w:styleId="14">
    <w:name w:val="表格文字"/>
    <w:basedOn w:val="1"/>
    <w:autoRedefine/>
    <w:qFormat/>
    <w:uiPriority w:val="0"/>
    <w:pPr>
      <w:adjustRightInd w:val="0"/>
      <w:spacing w:line="420" w:lineRule="atLeast"/>
      <w:jc w:val="left"/>
      <w:textAlignment w:val="baseline"/>
    </w:pPr>
    <w:rPr>
      <w:kern w:val="0"/>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框文本 Char"/>
    <w:basedOn w:val="11"/>
    <w:link w:val="5"/>
    <w:autoRedefine/>
    <w:qFormat/>
    <w:uiPriority w:val="0"/>
    <w:rPr>
      <w:rFonts w:asciiTheme="minorHAnsi" w:hAnsiTheme="minorHAnsi" w:eastAsiaTheme="minorEastAsia" w:cstheme="minorBidi"/>
      <w:kern w:val="2"/>
      <w:sz w:val="18"/>
      <w:szCs w:val="18"/>
    </w:rPr>
  </w:style>
  <w:style w:type="character" w:customStyle="1" w:styleId="17">
    <w:name w:val="页眉 Char"/>
    <w:basedOn w:val="11"/>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3</Pages>
  <Words>1125</Words>
  <Characters>1354</Characters>
  <Lines>8</Lines>
  <Paragraphs>2</Paragraphs>
  <TotalTime>0</TotalTime>
  <ScaleCrop>false</ScaleCrop>
  <LinksUpToDate>false</LinksUpToDate>
  <CharactersWithSpaces>1580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2023-03-03T06:49:00Z</dcterms:created>
  <dc:creator>Administrator</dc:creator>
  <cp:lastModifiedBy>小月</cp:lastModifiedBy>
  <dcterms:modified xsi:type="dcterms:W3CDTF">2025-07-29T02:09:36Z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6C11D5A63A884D55A324CB430357F06B</vt:lpwstr>
  </property>
  <property fmtid="{D5CDD505-2E9C-101B-9397-08002B2CF9AE}" pid="4" name="KSOTemplateDocerSaveRecord">
    <vt:lpwstr>eyJoZGlkIjoiNzY3NGU1ZTdjODJlMjUyYjM5YmE5OTU0NzNmZDdmMGYiLCJ1c2VySWQiOiI3Mzc2OTY0NzkifQ==</vt:lpwstr>
  </property>
</Properties>
</file>