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line="360" w:lineRule="auto"/>
        <w:jc w:val="center"/>
        <w:rPr>
          <w:rFonts w:ascii="宋体" w:hAnsi="宋体" w:cs="宋体"/>
          <w:color w:val="auto"/>
          <w:sz w:val="52"/>
          <w:szCs w:val="52"/>
          <w:highlight w:val="none"/>
        </w:rPr>
      </w:pPr>
    </w:p>
    <w:p>
      <w:pPr>
        <w:spacing w:beforeLines="50" w:line="360" w:lineRule="auto"/>
        <w:jc w:val="center"/>
        <w:rPr>
          <w:rFonts w:ascii="宋体" w:hAnsi="宋体" w:cs="宋体"/>
          <w:color w:val="auto"/>
          <w:sz w:val="52"/>
          <w:szCs w:val="52"/>
          <w:highlight w:val="none"/>
        </w:rPr>
      </w:pPr>
      <w:r>
        <w:rPr>
          <w:rFonts w:hint="eastAsia" w:ascii="宋体" w:hAnsi="宋体" w:cs="宋体"/>
          <w:color w:val="auto"/>
          <w:sz w:val="52"/>
          <w:szCs w:val="52"/>
          <w:highlight w:val="none"/>
        </w:rPr>
        <w:t>广西科联招标中心有限公司</w:t>
      </w:r>
    </w:p>
    <w:p>
      <w:pPr>
        <w:spacing w:beforeLines="50" w:line="360" w:lineRule="auto"/>
        <w:jc w:val="center"/>
        <w:rPr>
          <w:rFonts w:ascii="宋体" w:hAnsi="宋体" w:cs="宋体"/>
          <w:b/>
          <w:color w:val="auto"/>
          <w:sz w:val="48"/>
          <w:szCs w:val="48"/>
          <w:highlight w:val="none"/>
        </w:rPr>
      </w:pPr>
    </w:p>
    <w:p>
      <w:pPr>
        <w:spacing w:beforeLines="50" w:line="360" w:lineRule="auto"/>
        <w:jc w:val="center"/>
        <w:rPr>
          <w:rFonts w:ascii="宋体" w:hAnsi="宋体" w:cs="宋体"/>
          <w:b/>
          <w:color w:val="auto"/>
          <w:sz w:val="48"/>
          <w:szCs w:val="48"/>
          <w:highlight w:val="none"/>
        </w:rPr>
      </w:pPr>
    </w:p>
    <w:p>
      <w:pPr>
        <w:snapToGrid w:val="0"/>
        <w:spacing w:beforeLines="50" w:line="360" w:lineRule="auto"/>
        <w:jc w:val="center"/>
        <w:rPr>
          <w:rFonts w:ascii="宋体" w:hAnsi="宋体" w:cs="宋体"/>
          <w:color w:val="auto"/>
          <w:sz w:val="72"/>
          <w:szCs w:val="72"/>
          <w:highlight w:val="none"/>
        </w:rPr>
      </w:pPr>
      <w:r>
        <w:rPr>
          <w:rFonts w:hint="eastAsia" w:ascii="宋体" w:hAnsi="宋体" w:cs="宋体"/>
          <w:color w:val="auto"/>
          <w:sz w:val="72"/>
          <w:szCs w:val="72"/>
          <w:highlight w:val="none"/>
        </w:rPr>
        <w:t>招 标 文 件</w:t>
      </w:r>
    </w:p>
    <w:p>
      <w:pPr>
        <w:snapToGrid w:val="0"/>
        <w:spacing w:beforeLines="50" w:line="360" w:lineRule="auto"/>
        <w:jc w:val="center"/>
        <w:rPr>
          <w:rFonts w:ascii="宋体" w:hAnsi="宋体" w:cs="宋体"/>
          <w:color w:val="auto"/>
          <w:sz w:val="30"/>
          <w:szCs w:val="72"/>
          <w:highlight w:val="none"/>
        </w:rPr>
      </w:pPr>
      <w:r>
        <w:rPr>
          <w:rFonts w:hint="eastAsia" w:ascii="宋体" w:hAnsi="宋体" w:cs="宋体"/>
          <w:color w:val="auto"/>
          <w:sz w:val="30"/>
          <w:szCs w:val="72"/>
          <w:highlight w:val="none"/>
        </w:rPr>
        <w:t>（全流程电子化评标）</w:t>
      </w:r>
    </w:p>
    <w:p>
      <w:pPr>
        <w:snapToGrid w:val="0"/>
        <w:spacing w:beforeLines="50" w:line="360" w:lineRule="auto"/>
        <w:jc w:val="center"/>
        <w:rPr>
          <w:rFonts w:ascii="宋体" w:hAnsi="宋体" w:cs="宋体"/>
          <w:color w:val="auto"/>
          <w:sz w:val="30"/>
          <w:szCs w:val="72"/>
          <w:highlight w:val="none"/>
        </w:rPr>
      </w:pPr>
    </w:p>
    <w:p>
      <w:pPr>
        <w:pStyle w:val="17"/>
        <w:snapToGrid w:val="0"/>
        <w:spacing w:before="50" w:after="120" w:line="360" w:lineRule="auto"/>
        <w:jc w:val="center"/>
        <w:rPr>
          <w:rFonts w:hint="eastAsia" w:hAnsi="宋体" w:eastAsia="宋体" w:cs="宋体"/>
          <w:b/>
          <w:bCs/>
          <w:color w:val="auto"/>
          <w:sz w:val="30"/>
          <w:szCs w:val="30"/>
          <w:highlight w:val="none"/>
          <w:lang w:eastAsia="zh-CN"/>
        </w:rPr>
      </w:pPr>
      <w:r>
        <w:rPr>
          <w:rFonts w:hint="eastAsia" w:hAnsi="宋体" w:cs="宋体"/>
          <w:b/>
          <w:bCs/>
          <w:color w:val="auto"/>
          <w:sz w:val="30"/>
          <w:szCs w:val="30"/>
          <w:highlight w:val="none"/>
        </w:rPr>
        <w:t>项目名称：</w:t>
      </w:r>
      <w:bookmarkStart w:id="0" w:name="OLE_LINK1"/>
      <w:r>
        <w:rPr>
          <w:rFonts w:hint="eastAsia" w:hAnsi="宋体" w:cs="宋体"/>
          <w:b/>
          <w:bCs/>
          <w:color w:val="auto"/>
          <w:sz w:val="30"/>
          <w:szCs w:val="30"/>
          <w:highlight w:val="none"/>
          <w:lang w:eastAsia="zh-CN"/>
        </w:rPr>
        <w:t>自治区本级生活救助类物资采购</w:t>
      </w:r>
      <w:bookmarkEnd w:id="0"/>
    </w:p>
    <w:p>
      <w:pPr>
        <w:snapToGrid w:val="0"/>
        <w:spacing w:beforeLines="50" w:line="360" w:lineRule="auto"/>
        <w:jc w:val="center"/>
        <w:rPr>
          <w:rFonts w:hint="eastAsia" w:ascii="宋体" w:hAnsi="宋体" w:eastAsia="宋体" w:cs="宋体"/>
          <w:b/>
          <w:color w:val="auto"/>
          <w:sz w:val="30"/>
          <w:szCs w:val="48"/>
          <w:highlight w:val="none"/>
          <w:lang w:eastAsia="zh-CN"/>
        </w:rPr>
      </w:pPr>
      <w:r>
        <w:rPr>
          <w:rFonts w:hint="eastAsia" w:ascii="宋体" w:hAnsi="宋体" w:cs="宋体"/>
          <w:b/>
          <w:bCs/>
          <w:color w:val="auto"/>
          <w:sz w:val="30"/>
          <w:szCs w:val="30"/>
          <w:highlight w:val="none"/>
        </w:rPr>
        <w:t>项目编号：</w:t>
      </w:r>
      <w:r>
        <w:rPr>
          <w:rFonts w:hint="eastAsia" w:ascii="宋体" w:hAnsi="宋体" w:cs="宋体"/>
          <w:b/>
          <w:bCs/>
          <w:color w:val="auto"/>
          <w:sz w:val="30"/>
          <w:szCs w:val="30"/>
          <w:highlight w:val="none"/>
          <w:lang w:eastAsia="zh-CN"/>
        </w:rPr>
        <w:t>GXZC2025-G1-000836-GXKL</w:t>
      </w:r>
    </w:p>
    <w:p>
      <w:pPr>
        <w:pStyle w:val="17"/>
        <w:snapToGrid w:val="0"/>
        <w:spacing w:before="50" w:after="120" w:line="360" w:lineRule="auto"/>
        <w:jc w:val="center"/>
        <w:rPr>
          <w:rFonts w:hAnsi="宋体" w:cs="宋体"/>
          <w:b/>
          <w:bCs/>
          <w:color w:val="auto"/>
          <w:w w:val="95"/>
          <w:sz w:val="30"/>
          <w:szCs w:val="30"/>
          <w:highlight w:val="none"/>
        </w:rPr>
      </w:pPr>
    </w:p>
    <w:p>
      <w:pPr>
        <w:pStyle w:val="17"/>
        <w:snapToGrid w:val="0"/>
        <w:spacing w:before="50" w:after="120" w:line="360" w:lineRule="auto"/>
        <w:jc w:val="center"/>
        <w:rPr>
          <w:rFonts w:hAnsi="宋体" w:cs="宋体"/>
          <w:b/>
          <w:bCs/>
          <w:color w:val="auto"/>
          <w:w w:val="95"/>
          <w:sz w:val="30"/>
          <w:szCs w:val="30"/>
          <w:highlight w:val="none"/>
        </w:rPr>
      </w:pPr>
    </w:p>
    <w:p>
      <w:pPr>
        <w:pStyle w:val="17"/>
        <w:snapToGrid w:val="0"/>
        <w:spacing w:before="50" w:after="120" w:line="360" w:lineRule="auto"/>
        <w:jc w:val="center"/>
        <w:rPr>
          <w:rFonts w:hAnsi="宋体" w:cs="宋体"/>
          <w:b/>
          <w:bCs/>
          <w:color w:val="auto"/>
          <w:w w:val="95"/>
          <w:sz w:val="30"/>
          <w:szCs w:val="30"/>
          <w:highlight w:val="none"/>
        </w:rPr>
      </w:pPr>
    </w:p>
    <w:p>
      <w:pPr>
        <w:pStyle w:val="17"/>
        <w:snapToGrid w:val="0"/>
        <w:spacing w:before="50" w:after="120" w:line="360" w:lineRule="auto"/>
        <w:jc w:val="center"/>
        <w:rPr>
          <w:rFonts w:hint="eastAsia" w:hAnsi="宋体" w:eastAsia="宋体" w:cs="宋体"/>
          <w:b/>
          <w:bCs/>
          <w:color w:val="auto"/>
          <w:sz w:val="30"/>
          <w:szCs w:val="30"/>
          <w:highlight w:val="none"/>
          <w:lang w:eastAsia="zh-CN"/>
        </w:rPr>
      </w:pPr>
      <w:r>
        <w:rPr>
          <w:rFonts w:hint="eastAsia" w:hAnsi="宋体" w:cs="宋体"/>
          <w:b/>
          <w:bCs/>
          <w:color w:val="auto"/>
          <w:sz w:val="30"/>
          <w:szCs w:val="30"/>
          <w:highlight w:val="none"/>
        </w:rPr>
        <w:t>采购人：</w:t>
      </w:r>
      <w:r>
        <w:rPr>
          <w:rFonts w:hint="eastAsia" w:hAnsi="宋体" w:cs="宋体"/>
          <w:b/>
          <w:bCs/>
          <w:color w:val="auto"/>
          <w:sz w:val="30"/>
          <w:szCs w:val="30"/>
          <w:highlight w:val="none"/>
          <w:lang w:eastAsia="zh-CN"/>
        </w:rPr>
        <w:t>广西壮族自治区救灾物资储备中心</w:t>
      </w:r>
    </w:p>
    <w:p>
      <w:pPr>
        <w:pStyle w:val="17"/>
        <w:snapToGrid w:val="0"/>
        <w:spacing w:before="50" w:after="120" w:line="360" w:lineRule="auto"/>
        <w:jc w:val="center"/>
        <w:rPr>
          <w:rFonts w:hAnsi="宋体" w:cs="宋体"/>
          <w:b/>
          <w:bCs/>
          <w:color w:val="auto"/>
          <w:sz w:val="30"/>
          <w:szCs w:val="30"/>
          <w:highlight w:val="none"/>
        </w:rPr>
      </w:pPr>
      <w:r>
        <w:rPr>
          <w:rFonts w:hint="eastAsia" w:hAnsi="宋体" w:cs="宋体"/>
          <w:b/>
          <w:bCs/>
          <w:color w:val="auto"/>
          <w:sz w:val="30"/>
          <w:szCs w:val="30"/>
          <w:highlight w:val="none"/>
        </w:rPr>
        <w:t>采购代理机构：</w:t>
      </w:r>
      <w:bookmarkStart w:id="1" w:name="PO_3000001867_PM031"/>
      <w:r>
        <w:rPr>
          <w:rFonts w:hint="eastAsia" w:hAnsi="宋体" w:cs="宋体"/>
          <w:b/>
          <w:bCs/>
          <w:color w:val="auto"/>
          <w:sz w:val="30"/>
          <w:szCs w:val="30"/>
          <w:highlight w:val="none"/>
        </w:rPr>
        <w:t>广西科联招标中心有限公司</w:t>
      </w:r>
      <w:bookmarkEnd w:id="1"/>
    </w:p>
    <w:p>
      <w:pPr>
        <w:pStyle w:val="17"/>
        <w:snapToGrid w:val="0"/>
        <w:spacing w:before="50" w:after="120" w:line="360" w:lineRule="auto"/>
        <w:jc w:val="center"/>
        <w:rPr>
          <w:rFonts w:hint="eastAsia" w:hAnsi="宋体" w:eastAsia="宋体" w:cs="宋体"/>
          <w:b/>
          <w:bCs/>
          <w:color w:val="auto"/>
          <w:w w:val="95"/>
          <w:sz w:val="30"/>
          <w:szCs w:val="30"/>
          <w:highlight w:val="none"/>
          <w:lang w:eastAsia="zh-CN"/>
        </w:rPr>
      </w:pPr>
      <w:r>
        <w:rPr>
          <w:rFonts w:hint="eastAsia" w:hAnsi="宋体" w:cs="宋体"/>
          <w:b/>
          <w:bCs/>
          <w:color w:val="auto"/>
          <w:w w:val="95"/>
          <w:sz w:val="30"/>
          <w:szCs w:val="30"/>
          <w:highlight w:val="none"/>
          <w:lang w:eastAsia="zh-CN"/>
        </w:rPr>
        <w:t>2025年</w:t>
      </w:r>
      <w:r>
        <w:rPr>
          <w:rFonts w:hint="eastAsia" w:hAnsi="宋体" w:cs="宋体"/>
          <w:b/>
          <w:bCs/>
          <w:color w:val="auto"/>
          <w:w w:val="95"/>
          <w:sz w:val="30"/>
          <w:szCs w:val="30"/>
          <w:highlight w:val="none"/>
          <w:lang w:val="en-US" w:eastAsia="zh-CN"/>
        </w:rPr>
        <w:t>5</w:t>
      </w:r>
      <w:r>
        <w:rPr>
          <w:rFonts w:hint="eastAsia" w:hAnsi="宋体" w:cs="宋体"/>
          <w:b/>
          <w:bCs/>
          <w:color w:val="auto"/>
          <w:w w:val="95"/>
          <w:sz w:val="30"/>
          <w:szCs w:val="30"/>
          <w:highlight w:val="none"/>
          <w:lang w:eastAsia="zh-CN"/>
        </w:rPr>
        <w:t>月</w:t>
      </w:r>
      <w:r>
        <w:rPr>
          <w:rFonts w:hint="eastAsia" w:hAnsi="宋体" w:cs="宋体"/>
          <w:b/>
          <w:bCs/>
          <w:color w:val="auto"/>
          <w:w w:val="95"/>
          <w:sz w:val="30"/>
          <w:szCs w:val="30"/>
          <w:highlight w:val="none"/>
          <w:lang w:val="en-US" w:eastAsia="zh-CN"/>
        </w:rPr>
        <w:t>7</w:t>
      </w:r>
      <w:r>
        <w:rPr>
          <w:rFonts w:hint="eastAsia" w:hAnsi="宋体" w:cs="宋体"/>
          <w:b/>
          <w:bCs/>
          <w:color w:val="auto"/>
          <w:w w:val="95"/>
          <w:sz w:val="30"/>
          <w:szCs w:val="30"/>
          <w:highlight w:val="none"/>
          <w:lang w:eastAsia="zh-CN"/>
        </w:rPr>
        <w:t>日</w:t>
      </w:r>
    </w:p>
    <w:p>
      <w:pPr>
        <w:pStyle w:val="17"/>
        <w:jc w:val="both"/>
        <w:rPr>
          <w:rFonts w:hAnsi="宋体" w:cs="宋体"/>
          <w:b/>
          <w:color w:val="auto"/>
          <w:sz w:val="48"/>
          <w:szCs w:val="48"/>
          <w:highlight w:val="none"/>
        </w:rPr>
        <w:sectPr>
          <w:footerReference r:id="rId3" w:type="first"/>
          <w:pgSz w:w="11905" w:h="16838"/>
          <w:pgMar w:top="1134" w:right="1134" w:bottom="1134" w:left="1134" w:header="850" w:footer="850" w:gutter="0"/>
          <w:pgNumType w:start="1"/>
          <w:cols w:space="720" w:num="1"/>
          <w:docGrid w:linePitch="331" w:charSpace="0"/>
        </w:sectPr>
      </w:pPr>
    </w:p>
    <w:p>
      <w:pPr>
        <w:pStyle w:val="17"/>
        <w:jc w:val="center"/>
        <w:rPr>
          <w:rFonts w:hAnsi="宋体" w:cs="宋体"/>
          <w:b/>
          <w:color w:val="auto"/>
          <w:sz w:val="48"/>
          <w:szCs w:val="48"/>
          <w:highlight w:val="none"/>
        </w:rPr>
      </w:pPr>
      <w:r>
        <w:rPr>
          <w:rFonts w:hint="eastAsia" w:hAnsi="宋体" w:cs="宋体"/>
          <w:b/>
          <w:color w:val="auto"/>
          <w:sz w:val="48"/>
          <w:szCs w:val="48"/>
          <w:highlight w:val="none"/>
        </w:rPr>
        <w:t>目     录</w:t>
      </w:r>
    </w:p>
    <w:p>
      <w:pPr>
        <w:pStyle w:val="24"/>
        <w:tabs>
          <w:tab w:val="right" w:leader="dot" w:pos="9638"/>
        </w:tabs>
        <w:spacing w:line="320" w:lineRule="exact"/>
        <w:rPr>
          <w:color w:val="auto"/>
          <w:highlight w:val="none"/>
        </w:rPr>
      </w:pPr>
      <w:r>
        <w:rPr>
          <w:rFonts w:hint="eastAsia" w:ascii="宋体" w:hAnsi="宋体" w:cs="宋体"/>
          <w:b w:val="0"/>
          <w:bCs w:val="0"/>
          <w:caps w:val="0"/>
          <w:color w:val="auto"/>
          <w:sz w:val="28"/>
          <w:szCs w:val="28"/>
          <w:highlight w:val="none"/>
        </w:rPr>
        <w:fldChar w:fldCharType="begin"/>
      </w:r>
      <w:r>
        <w:rPr>
          <w:rFonts w:hint="eastAsia" w:ascii="宋体" w:hAnsi="宋体" w:cs="宋体"/>
          <w:b w:val="0"/>
          <w:bCs w:val="0"/>
          <w:caps w:val="0"/>
          <w:color w:val="auto"/>
          <w:sz w:val="28"/>
          <w:szCs w:val="28"/>
          <w:highlight w:val="none"/>
        </w:rPr>
        <w:instrText xml:space="preserve"> TOC \o "1-3" \h \z \u </w:instrText>
      </w:r>
      <w:r>
        <w:rPr>
          <w:rFonts w:hint="eastAsia" w:ascii="宋体" w:hAnsi="宋体" w:cs="宋体"/>
          <w:b w:val="0"/>
          <w:bCs w:val="0"/>
          <w:caps w:val="0"/>
          <w:color w:val="auto"/>
          <w:sz w:val="28"/>
          <w:szCs w:val="28"/>
          <w:highlight w:val="none"/>
        </w:rPr>
        <w:fldChar w:fldCharType="separate"/>
      </w:r>
      <w:r>
        <w:rPr>
          <w:rFonts w:hint="eastAsia" w:ascii="宋体" w:hAnsi="宋体" w:cs="宋体"/>
          <w:b w:val="0"/>
          <w:bCs w:val="0"/>
          <w:caps w:val="0"/>
          <w:color w:val="auto"/>
          <w:sz w:val="28"/>
          <w:szCs w:val="28"/>
          <w:highlight w:val="none"/>
        </w:rPr>
        <w:fldChar w:fldCharType="begin"/>
      </w:r>
      <w:r>
        <w:rPr>
          <w:rFonts w:hint="eastAsia" w:ascii="宋体" w:hAnsi="宋体" w:cs="宋体"/>
          <w:b w:val="0"/>
          <w:bCs w:val="0"/>
          <w:caps w:val="0"/>
          <w:color w:val="auto"/>
          <w:sz w:val="28"/>
          <w:szCs w:val="28"/>
          <w:highlight w:val="none"/>
        </w:rPr>
        <w:instrText xml:space="preserve"> TOC \o "1-3" \h \z \u </w:instrText>
      </w:r>
      <w:r>
        <w:rPr>
          <w:rFonts w:hint="eastAsia" w:ascii="宋体" w:hAnsi="宋体" w:cs="宋体"/>
          <w:b w:val="0"/>
          <w:bCs w:val="0"/>
          <w:caps w:val="0"/>
          <w:color w:val="auto"/>
          <w:sz w:val="28"/>
          <w:szCs w:val="28"/>
          <w:highlight w:val="none"/>
        </w:rPr>
        <w:fldChar w:fldCharType="separate"/>
      </w:r>
      <w:r>
        <w:rPr>
          <w:color w:val="auto"/>
          <w:highlight w:val="none"/>
        </w:rPr>
        <w:fldChar w:fldCharType="begin"/>
      </w:r>
      <w:r>
        <w:rPr>
          <w:color w:val="auto"/>
          <w:highlight w:val="none"/>
        </w:rPr>
        <w:instrText xml:space="preserve"> HYPERLINK \l "_Toc12135" </w:instrText>
      </w:r>
      <w:r>
        <w:rPr>
          <w:color w:val="auto"/>
          <w:highlight w:val="none"/>
        </w:rPr>
        <w:fldChar w:fldCharType="separate"/>
      </w:r>
      <w:r>
        <w:rPr>
          <w:rFonts w:hint="eastAsia" w:ascii="宋体" w:hAnsi="宋体" w:cs="宋体"/>
          <w:color w:val="auto"/>
          <w:highlight w:val="none"/>
        </w:rPr>
        <w:t>第一章  招标公告</w:t>
      </w:r>
      <w:r>
        <w:rPr>
          <w:color w:val="auto"/>
          <w:highlight w:val="none"/>
        </w:rPr>
        <w:tab/>
      </w:r>
      <w:r>
        <w:rPr>
          <w:color w:val="auto"/>
          <w:highlight w:val="none"/>
        </w:rPr>
        <w:fldChar w:fldCharType="end"/>
      </w:r>
      <w:r>
        <w:rPr>
          <w:rFonts w:hint="eastAsia"/>
          <w:color w:val="auto"/>
          <w:highlight w:val="none"/>
        </w:rPr>
        <w:t>2</w:t>
      </w:r>
    </w:p>
    <w:p>
      <w:pPr>
        <w:tabs>
          <w:tab w:val="right" w:leader="dot" w:pos="9638"/>
        </w:tabs>
        <w:spacing w:before="360" w:after="360" w:line="320" w:lineRule="exact"/>
        <w:jc w:val="left"/>
        <w:rPr>
          <w:rFonts w:ascii="Calibri" w:hAnsi="Calibri"/>
          <w:b/>
          <w:bCs/>
          <w:caps/>
          <w:color w:val="auto"/>
          <w:sz w:val="22"/>
          <w:szCs w:val="22"/>
          <w:highlight w:val="none"/>
          <w:u w:val="single"/>
        </w:rPr>
      </w:pPr>
      <w:r>
        <w:rPr>
          <w:color w:val="auto"/>
          <w:highlight w:val="none"/>
        </w:rPr>
        <w:fldChar w:fldCharType="begin"/>
      </w:r>
      <w:r>
        <w:rPr>
          <w:color w:val="auto"/>
          <w:highlight w:val="none"/>
        </w:rPr>
        <w:instrText xml:space="preserve"> HYPERLINK \l "_Toc28626" </w:instrText>
      </w:r>
      <w:r>
        <w:rPr>
          <w:color w:val="auto"/>
          <w:highlight w:val="none"/>
        </w:rPr>
        <w:fldChar w:fldCharType="separate"/>
      </w:r>
      <w:r>
        <w:rPr>
          <w:rFonts w:hint="eastAsia" w:ascii="宋体" w:hAnsi="宋体" w:cs="宋体"/>
          <w:b/>
          <w:bCs/>
          <w:caps/>
          <w:color w:val="auto"/>
          <w:sz w:val="22"/>
          <w:szCs w:val="22"/>
          <w:highlight w:val="none"/>
          <w:u w:val="single"/>
        </w:rPr>
        <w:t>第二章  采购需</w:t>
      </w:r>
      <w:bookmarkStart w:id="2" w:name="_Hlt131415395"/>
      <w:bookmarkStart w:id="3" w:name="_Hlt131415584"/>
      <w:r>
        <w:rPr>
          <w:rFonts w:hint="eastAsia" w:ascii="宋体" w:hAnsi="宋体" w:cs="宋体"/>
          <w:b/>
          <w:bCs/>
          <w:caps/>
          <w:color w:val="auto"/>
          <w:sz w:val="22"/>
          <w:szCs w:val="22"/>
          <w:highlight w:val="none"/>
          <w:u w:val="single"/>
        </w:rPr>
        <w:t>求</w:t>
      </w:r>
      <w:bookmarkEnd w:id="2"/>
      <w:bookmarkEnd w:id="3"/>
      <w:r>
        <w:rPr>
          <w:rFonts w:ascii="Calibri" w:hAnsi="Calibri"/>
          <w:b/>
          <w:bCs/>
          <w:caps/>
          <w:color w:val="auto"/>
          <w:sz w:val="22"/>
          <w:szCs w:val="22"/>
          <w:highlight w:val="none"/>
          <w:u w:val="single"/>
        </w:rPr>
        <w:tab/>
      </w:r>
      <w:r>
        <w:rPr>
          <w:rFonts w:ascii="Calibri" w:hAnsi="Calibri"/>
          <w:b/>
          <w:bCs/>
          <w:caps/>
          <w:color w:val="auto"/>
          <w:sz w:val="22"/>
          <w:szCs w:val="22"/>
          <w:highlight w:val="none"/>
          <w:u w:val="single"/>
        </w:rPr>
        <w:fldChar w:fldCharType="begin"/>
      </w:r>
      <w:r>
        <w:rPr>
          <w:rFonts w:ascii="Calibri" w:hAnsi="Calibri"/>
          <w:b/>
          <w:bCs/>
          <w:caps/>
          <w:color w:val="auto"/>
          <w:sz w:val="22"/>
          <w:szCs w:val="22"/>
          <w:highlight w:val="none"/>
          <w:u w:val="single"/>
        </w:rPr>
        <w:instrText xml:space="preserve"> PAGEREF _Toc28626 </w:instrText>
      </w:r>
      <w:r>
        <w:rPr>
          <w:rFonts w:ascii="Calibri" w:hAnsi="Calibri"/>
          <w:b/>
          <w:bCs/>
          <w:caps/>
          <w:color w:val="auto"/>
          <w:sz w:val="22"/>
          <w:szCs w:val="22"/>
          <w:highlight w:val="none"/>
          <w:u w:val="single"/>
        </w:rPr>
        <w:fldChar w:fldCharType="separate"/>
      </w:r>
      <w:r>
        <w:rPr>
          <w:rFonts w:ascii="Calibri" w:hAnsi="Calibri"/>
          <w:b/>
          <w:bCs/>
          <w:caps/>
          <w:color w:val="auto"/>
          <w:sz w:val="22"/>
          <w:szCs w:val="22"/>
          <w:highlight w:val="none"/>
          <w:u w:val="single"/>
        </w:rPr>
        <w:t>6</w:t>
      </w:r>
      <w:r>
        <w:rPr>
          <w:rFonts w:ascii="Calibri" w:hAnsi="Calibri"/>
          <w:b/>
          <w:bCs/>
          <w:caps/>
          <w:color w:val="auto"/>
          <w:sz w:val="22"/>
          <w:szCs w:val="22"/>
          <w:highlight w:val="none"/>
          <w:u w:val="single"/>
        </w:rPr>
        <w:fldChar w:fldCharType="end"/>
      </w:r>
      <w:r>
        <w:rPr>
          <w:rFonts w:ascii="Calibri" w:hAnsi="Calibri"/>
          <w:b/>
          <w:bCs/>
          <w:caps/>
          <w:color w:val="auto"/>
          <w:sz w:val="22"/>
          <w:szCs w:val="22"/>
          <w:highlight w:val="none"/>
          <w:u w:val="single"/>
        </w:rPr>
        <w:fldChar w:fldCharType="end"/>
      </w:r>
    </w:p>
    <w:p>
      <w:pPr>
        <w:tabs>
          <w:tab w:val="right" w:leader="dot" w:pos="9638"/>
        </w:tabs>
        <w:spacing w:before="360" w:after="360" w:line="320" w:lineRule="exact"/>
        <w:jc w:val="left"/>
        <w:rPr>
          <w:rFonts w:ascii="Calibri" w:hAnsi="Calibri"/>
          <w:b/>
          <w:bCs/>
          <w:caps/>
          <w:color w:val="auto"/>
          <w:sz w:val="22"/>
          <w:szCs w:val="22"/>
          <w:highlight w:val="none"/>
          <w:u w:val="single"/>
        </w:rPr>
      </w:pPr>
      <w:r>
        <w:rPr>
          <w:color w:val="auto"/>
          <w:highlight w:val="none"/>
        </w:rPr>
        <w:fldChar w:fldCharType="begin"/>
      </w:r>
      <w:r>
        <w:rPr>
          <w:color w:val="auto"/>
          <w:highlight w:val="none"/>
        </w:rPr>
        <w:instrText xml:space="preserve"> HYPERLINK \l "_Toc15229" </w:instrText>
      </w:r>
      <w:r>
        <w:rPr>
          <w:color w:val="auto"/>
          <w:highlight w:val="none"/>
        </w:rPr>
        <w:fldChar w:fldCharType="separate"/>
      </w:r>
      <w:r>
        <w:rPr>
          <w:rFonts w:hint="eastAsia" w:ascii="宋体" w:hAnsi="宋体" w:cs="宋体"/>
          <w:b/>
          <w:bCs/>
          <w:caps/>
          <w:color w:val="auto"/>
          <w:sz w:val="22"/>
          <w:szCs w:val="22"/>
          <w:highlight w:val="none"/>
          <w:u w:val="single"/>
        </w:rPr>
        <w:t>第三章  投标人须知</w:t>
      </w:r>
      <w:r>
        <w:rPr>
          <w:rFonts w:ascii="Calibri" w:hAnsi="Calibri"/>
          <w:b/>
          <w:bCs/>
          <w:caps/>
          <w:color w:val="auto"/>
          <w:sz w:val="22"/>
          <w:szCs w:val="22"/>
          <w:highlight w:val="none"/>
          <w:u w:val="single"/>
        </w:rPr>
        <w:tab/>
      </w:r>
      <w:r>
        <w:rPr>
          <w:rFonts w:ascii="Calibri" w:hAnsi="Calibri"/>
          <w:b/>
          <w:bCs/>
          <w:caps/>
          <w:color w:val="auto"/>
          <w:sz w:val="22"/>
          <w:szCs w:val="22"/>
          <w:highlight w:val="none"/>
          <w:u w:val="single"/>
        </w:rPr>
        <w:fldChar w:fldCharType="begin"/>
      </w:r>
      <w:r>
        <w:rPr>
          <w:rFonts w:ascii="Calibri" w:hAnsi="Calibri"/>
          <w:b/>
          <w:bCs/>
          <w:caps/>
          <w:color w:val="auto"/>
          <w:sz w:val="22"/>
          <w:szCs w:val="22"/>
          <w:highlight w:val="none"/>
          <w:u w:val="single"/>
        </w:rPr>
        <w:instrText xml:space="preserve"> PAGEREF _Toc15229 </w:instrText>
      </w:r>
      <w:r>
        <w:rPr>
          <w:rFonts w:ascii="Calibri" w:hAnsi="Calibri"/>
          <w:b/>
          <w:bCs/>
          <w:caps/>
          <w:color w:val="auto"/>
          <w:sz w:val="22"/>
          <w:szCs w:val="22"/>
          <w:highlight w:val="none"/>
          <w:u w:val="single"/>
        </w:rPr>
        <w:fldChar w:fldCharType="separate"/>
      </w:r>
      <w:r>
        <w:rPr>
          <w:rFonts w:ascii="Calibri" w:hAnsi="Calibri"/>
          <w:b/>
          <w:bCs/>
          <w:caps/>
          <w:color w:val="auto"/>
          <w:sz w:val="22"/>
          <w:szCs w:val="22"/>
          <w:highlight w:val="none"/>
          <w:u w:val="single"/>
        </w:rPr>
        <w:t>26</w:t>
      </w:r>
      <w:r>
        <w:rPr>
          <w:rFonts w:ascii="Calibri" w:hAnsi="Calibri"/>
          <w:b/>
          <w:bCs/>
          <w:caps/>
          <w:color w:val="auto"/>
          <w:sz w:val="22"/>
          <w:szCs w:val="22"/>
          <w:highlight w:val="none"/>
          <w:u w:val="single"/>
        </w:rPr>
        <w:fldChar w:fldCharType="end"/>
      </w:r>
      <w:r>
        <w:rPr>
          <w:rFonts w:ascii="Calibri" w:hAnsi="Calibri"/>
          <w:b/>
          <w:bCs/>
          <w:caps/>
          <w:color w:val="auto"/>
          <w:sz w:val="22"/>
          <w:szCs w:val="22"/>
          <w:highlight w:val="none"/>
          <w:u w:val="single"/>
        </w:rPr>
        <w:fldChar w:fldCharType="end"/>
      </w:r>
    </w:p>
    <w:p>
      <w:pPr>
        <w:tabs>
          <w:tab w:val="right" w:leader="dot" w:pos="9638"/>
        </w:tabs>
        <w:jc w:val="left"/>
        <w:rPr>
          <w:rFonts w:ascii="Calibri" w:hAnsi="Calibri"/>
          <w:b/>
          <w:bCs/>
          <w:smallCaps/>
          <w:color w:val="auto"/>
          <w:sz w:val="22"/>
          <w:szCs w:val="22"/>
          <w:highlight w:val="none"/>
        </w:rPr>
      </w:pPr>
      <w:r>
        <w:rPr>
          <w:color w:val="auto"/>
          <w:highlight w:val="none"/>
        </w:rPr>
        <w:fldChar w:fldCharType="begin"/>
      </w:r>
      <w:r>
        <w:rPr>
          <w:color w:val="auto"/>
          <w:highlight w:val="none"/>
        </w:rPr>
        <w:instrText xml:space="preserve"> HYPERLINK \l "_Toc992" </w:instrText>
      </w:r>
      <w:r>
        <w:rPr>
          <w:color w:val="auto"/>
          <w:highlight w:val="none"/>
        </w:rPr>
        <w:fldChar w:fldCharType="separate"/>
      </w:r>
      <w:r>
        <w:rPr>
          <w:rFonts w:hint="eastAsia" w:ascii="宋体" w:hAnsi="宋体" w:cs="宋体"/>
          <w:b/>
          <w:bCs/>
          <w:smallCaps/>
          <w:color w:val="auto"/>
          <w:sz w:val="22"/>
          <w:szCs w:val="30"/>
          <w:highlight w:val="none"/>
        </w:rPr>
        <w:t>第一节 投标人须知</w:t>
      </w:r>
      <w:bookmarkStart w:id="4" w:name="_Hlt130461265"/>
      <w:bookmarkStart w:id="5" w:name="_Hlt130461266"/>
      <w:r>
        <w:rPr>
          <w:rFonts w:hint="eastAsia" w:ascii="宋体" w:hAnsi="宋体" w:cs="宋体"/>
          <w:b/>
          <w:bCs/>
          <w:smallCaps/>
          <w:color w:val="auto"/>
          <w:sz w:val="22"/>
          <w:szCs w:val="30"/>
          <w:highlight w:val="none"/>
        </w:rPr>
        <w:t>前</w:t>
      </w:r>
      <w:bookmarkEnd w:id="4"/>
      <w:bookmarkEnd w:id="5"/>
      <w:r>
        <w:rPr>
          <w:rFonts w:hint="eastAsia" w:ascii="宋体" w:hAnsi="宋体" w:cs="宋体"/>
          <w:b/>
          <w:bCs/>
          <w:smallCaps/>
          <w:color w:val="auto"/>
          <w:sz w:val="22"/>
          <w:szCs w:val="30"/>
          <w:highlight w:val="none"/>
        </w:rPr>
        <w:t>附表</w:t>
      </w:r>
      <w:r>
        <w:rPr>
          <w:rFonts w:ascii="Calibri" w:hAnsi="Calibri"/>
          <w:b/>
          <w:bCs/>
          <w:smallCaps/>
          <w:color w:val="auto"/>
          <w:sz w:val="22"/>
          <w:szCs w:val="22"/>
          <w:highlight w:val="none"/>
        </w:rPr>
        <w:tab/>
      </w:r>
      <w:r>
        <w:rPr>
          <w:rFonts w:ascii="Calibri" w:hAnsi="Calibri"/>
          <w:b/>
          <w:bCs/>
          <w:smallCaps/>
          <w:color w:val="auto"/>
          <w:sz w:val="22"/>
          <w:szCs w:val="22"/>
          <w:highlight w:val="none"/>
        </w:rPr>
        <w:fldChar w:fldCharType="begin"/>
      </w:r>
      <w:r>
        <w:rPr>
          <w:rFonts w:ascii="Calibri" w:hAnsi="Calibri"/>
          <w:b/>
          <w:bCs/>
          <w:smallCaps/>
          <w:color w:val="auto"/>
          <w:sz w:val="22"/>
          <w:szCs w:val="22"/>
          <w:highlight w:val="none"/>
        </w:rPr>
        <w:instrText xml:space="preserve"> PAGEREF _Toc992 </w:instrText>
      </w:r>
      <w:r>
        <w:rPr>
          <w:rFonts w:ascii="Calibri" w:hAnsi="Calibri"/>
          <w:b/>
          <w:bCs/>
          <w:smallCaps/>
          <w:color w:val="auto"/>
          <w:sz w:val="22"/>
          <w:szCs w:val="22"/>
          <w:highlight w:val="none"/>
        </w:rPr>
        <w:fldChar w:fldCharType="separate"/>
      </w:r>
      <w:r>
        <w:rPr>
          <w:rFonts w:ascii="Calibri" w:hAnsi="Calibri"/>
          <w:b/>
          <w:bCs/>
          <w:smallCaps/>
          <w:color w:val="auto"/>
          <w:sz w:val="22"/>
          <w:szCs w:val="22"/>
          <w:highlight w:val="none"/>
        </w:rPr>
        <w:t>26</w:t>
      </w:r>
      <w:r>
        <w:rPr>
          <w:rFonts w:ascii="Calibri" w:hAnsi="Calibri"/>
          <w:b/>
          <w:bCs/>
          <w:smallCaps/>
          <w:color w:val="auto"/>
          <w:sz w:val="22"/>
          <w:szCs w:val="22"/>
          <w:highlight w:val="none"/>
        </w:rPr>
        <w:fldChar w:fldCharType="end"/>
      </w:r>
      <w:r>
        <w:rPr>
          <w:rFonts w:ascii="Calibri" w:hAnsi="Calibri"/>
          <w:b/>
          <w:bCs/>
          <w:smallCaps/>
          <w:color w:val="auto"/>
          <w:sz w:val="22"/>
          <w:szCs w:val="22"/>
          <w:highlight w:val="none"/>
        </w:rPr>
        <w:fldChar w:fldCharType="end"/>
      </w:r>
    </w:p>
    <w:p>
      <w:pPr>
        <w:tabs>
          <w:tab w:val="right" w:leader="dot" w:pos="9638"/>
        </w:tabs>
        <w:jc w:val="left"/>
        <w:rPr>
          <w:rFonts w:ascii="Calibri" w:hAnsi="Calibri"/>
          <w:b/>
          <w:bCs/>
          <w:smallCaps/>
          <w:color w:val="auto"/>
          <w:sz w:val="22"/>
          <w:szCs w:val="22"/>
          <w:highlight w:val="none"/>
        </w:rPr>
      </w:pPr>
      <w:r>
        <w:rPr>
          <w:color w:val="auto"/>
          <w:highlight w:val="none"/>
        </w:rPr>
        <w:fldChar w:fldCharType="begin"/>
      </w:r>
      <w:r>
        <w:rPr>
          <w:color w:val="auto"/>
          <w:highlight w:val="none"/>
        </w:rPr>
        <w:instrText xml:space="preserve"> HYPERLINK \l "_Toc29181" </w:instrText>
      </w:r>
      <w:r>
        <w:rPr>
          <w:color w:val="auto"/>
          <w:highlight w:val="none"/>
        </w:rPr>
        <w:fldChar w:fldCharType="separate"/>
      </w:r>
      <w:r>
        <w:rPr>
          <w:rFonts w:hint="eastAsia" w:ascii="宋体" w:hAnsi="宋体" w:cs="宋体"/>
          <w:b/>
          <w:bCs/>
          <w:smallCaps/>
          <w:color w:val="auto"/>
          <w:sz w:val="22"/>
          <w:szCs w:val="22"/>
          <w:highlight w:val="none"/>
        </w:rPr>
        <w:t>第二节 投标人须知正文</w:t>
      </w:r>
      <w:r>
        <w:rPr>
          <w:rFonts w:ascii="Calibri" w:hAnsi="Calibri"/>
          <w:b/>
          <w:bCs/>
          <w:smallCaps/>
          <w:color w:val="auto"/>
          <w:sz w:val="22"/>
          <w:szCs w:val="22"/>
          <w:highlight w:val="none"/>
        </w:rPr>
        <w:tab/>
      </w:r>
      <w:r>
        <w:rPr>
          <w:rFonts w:ascii="Calibri" w:hAnsi="Calibri"/>
          <w:b/>
          <w:bCs/>
          <w:smallCaps/>
          <w:color w:val="auto"/>
          <w:sz w:val="22"/>
          <w:szCs w:val="22"/>
          <w:highlight w:val="none"/>
        </w:rPr>
        <w:fldChar w:fldCharType="begin"/>
      </w:r>
      <w:r>
        <w:rPr>
          <w:rFonts w:ascii="Calibri" w:hAnsi="Calibri"/>
          <w:b/>
          <w:bCs/>
          <w:smallCaps/>
          <w:color w:val="auto"/>
          <w:sz w:val="22"/>
          <w:szCs w:val="22"/>
          <w:highlight w:val="none"/>
        </w:rPr>
        <w:instrText xml:space="preserve"> PAGEREF _Toc29181 </w:instrText>
      </w:r>
      <w:r>
        <w:rPr>
          <w:rFonts w:ascii="Calibri" w:hAnsi="Calibri"/>
          <w:b/>
          <w:bCs/>
          <w:smallCaps/>
          <w:color w:val="auto"/>
          <w:sz w:val="22"/>
          <w:szCs w:val="22"/>
          <w:highlight w:val="none"/>
        </w:rPr>
        <w:fldChar w:fldCharType="separate"/>
      </w:r>
      <w:r>
        <w:rPr>
          <w:rFonts w:ascii="Calibri" w:hAnsi="Calibri"/>
          <w:b/>
          <w:bCs/>
          <w:smallCaps/>
          <w:color w:val="auto"/>
          <w:sz w:val="22"/>
          <w:szCs w:val="22"/>
          <w:highlight w:val="none"/>
        </w:rPr>
        <w:t>32</w:t>
      </w:r>
      <w:r>
        <w:rPr>
          <w:rFonts w:ascii="Calibri" w:hAnsi="Calibri"/>
          <w:b/>
          <w:bCs/>
          <w:smallCaps/>
          <w:color w:val="auto"/>
          <w:sz w:val="22"/>
          <w:szCs w:val="22"/>
          <w:highlight w:val="none"/>
        </w:rPr>
        <w:fldChar w:fldCharType="end"/>
      </w:r>
      <w:r>
        <w:rPr>
          <w:rFonts w:ascii="Calibri" w:hAnsi="Calibri"/>
          <w:b/>
          <w:bCs/>
          <w:smallCaps/>
          <w:color w:val="auto"/>
          <w:sz w:val="22"/>
          <w:szCs w:val="22"/>
          <w:highlight w:val="none"/>
        </w:rPr>
        <w:fldChar w:fldCharType="end"/>
      </w:r>
    </w:p>
    <w:p>
      <w:pPr>
        <w:tabs>
          <w:tab w:val="right" w:leader="dot" w:pos="9638"/>
        </w:tabs>
        <w:jc w:val="left"/>
        <w:rPr>
          <w:rFonts w:ascii="Calibri" w:hAnsi="Calibri"/>
          <w:smallCaps/>
          <w:color w:val="auto"/>
          <w:sz w:val="22"/>
          <w:szCs w:val="22"/>
          <w:highlight w:val="none"/>
        </w:rPr>
      </w:pPr>
      <w:r>
        <w:rPr>
          <w:color w:val="auto"/>
          <w:highlight w:val="none"/>
        </w:rPr>
        <w:fldChar w:fldCharType="begin"/>
      </w:r>
      <w:r>
        <w:rPr>
          <w:color w:val="auto"/>
          <w:highlight w:val="none"/>
        </w:rPr>
        <w:instrText xml:space="preserve"> HYPERLINK \l "_Toc13703" </w:instrText>
      </w:r>
      <w:r>
        <w:rPr>
          <w:color w:val="auto"/>
          <w:highlight w:val="none"/>
        </w:rPr>
        <w:fldChar w:fldCharType="separate"/>
      </w:r>
      <w:r>
        <w:rPr>
          <w:rFonts w:hint="eastAsia" w:ascii="宋体" w:hAnsi="宋体" w:cs="宋体"/>
          <w:smallCaps/>
          <w:color w:val="auto"/>
          <w:sz w:val="22"/>
          <w:szCs w:val="22"/>
          <w:highlight w:val="none"/>
        </w:rPr>
        <w:t>一、总则</w:t>
      </w:r>
      <w:r>
        <w:rPr>
          <w:rFonts w:ascii="Calibri" w:hAnsi="Calibri"/>
          <w:smallCaps/>
          <w:color w:val="auto"/>
          <w:sz w:val="22"/>
          <w:szCs w:val="22"/>
          <w:highlight w:val="none"/>
        </w:rPr>
        <w:tab/>
      </w:r>
      <w:r>
        <w:rPr>
          <w:rFonts w:ascii="Calibri" w:hAnsi="Calibri"/>
          <w:smallCaps/>
          <w:color w:val="auto"/>
          <w:sz w:val="22"/>
          <w:szCs w:val="22"/>
          <w:highlight w:val="none"/>
        </w:rPr>
        <w:fldChar w:fldCharType="begin"/>
      </w:r>
      <w:r>
        <w:rPr>
          <w:rFonts w:ascii="Calibri" w:hAnsi="Calibri"/>
          <w:smallCaps/>
          <w:color w:val="auto"/>
          <w:sz w:val="22"/>
          <w:szCs w:val="22"/>
          <w:highlight w:val="none"/>
        </w:rPr>
        <w:instrText xml:space="preserve"> PAGEREF _Toc13703 </w:instrText>
      </w:r>
      <w:r>
        <w:rPr>
          <w:rFonts w:ascii="Calibri" w:hAnsi="Calibri"/>
          <w:smallCaps/>
          <w:color w:val="auto"/>
          <w:sz w:val="22"/>
          <w:szCs w:val="22"/>
          <w:highlight w:val="none"/>
        </w:rPr>
        <w:fldChar w:fldCharType="separate"/>
      </w:r>
      <w:r>
        <w:rPr>
          <w:rFonts w:ascii="Calibri" w:hAnsi="Calibri"/>
          <w:smallCaps/>
          <w:color w:val="auto"/>
          <w:sz w:val="22"/>
          <w:szCs w:val="22"/>
          <w:highlight w:val="none"/>
        </w:rPr>
        <w:t>32</w:t>
      </w:r>
      <w:r>
        <w:rPr>
          <w:rFonts w:ascii="Calibri" w:hAnsi="Calibri"/>
          <w:smallCaps/>
          <w:color w:val="auto"/>
          <w:sz w:val="22"/>
          <w:szCs w:val="22"/>
          <w:highlight w:val="none"/>
        </w:rPr>
        <w:fldChar w:fldCharType="end"/>
      </w:r>
      <w:r>
        <w:rPr>
          <w:rFonts w:ascii="Calibri" w:hAnsi="Calibri"/>
          <w:smallCaps/>
          <w:color w:val="auto"/>
          <w:sz w:val="22"/>
          <w:szCs w:val="22"/>
          <w:highlight w:val="none"/>
        </w:rPr>
        <w:fldChar w:fldCharType="end"/>
      </w:r>
    </w:p>
    <w:p>
      <w:pPr>
        <w:tabs>
          <w:tab w:val="right" w:leader="dot" w:pos="9638"/>
        </w:tabs>
        <w:jc w:val="left"/>
        <w:rPr>
          <w:rFonts w:ascii="Calibri" w:hAnsi="Calibri"/>
          <w:smallCaps/>
          <w:color w:val="auto"/>
          <w:sz w:val="22"/>
          <w:szCs w:val="22"/>
          <w:highlight w:val="none"/>
        </w:rPr>
      </w:pPr>
      <w:r>
        <w:rPr>
          <w:color w:val="auto"/>
          <w:highlight w:val="none"/>
        </w:rPr>
        <w:fldChar w:fldCharType="begin"/>
      </w:r>
      <w:r>
        <w:rPr>
          <w:color w:val="auto"/>
          <w:highlight w:val="none"/>
        </w:rPr>
        <w:instrText xml:space="preserve"> HYPERLINK \l "_Toc22070" </w:instrText>
      </w:r>
      <w:r>
        <w:rPr>
          <w:color w:val="auto"/>
          <w:highlight w:val="none"/>
        </w:rPr>
        <w:fldChar w:fldCharType="separate"/>
      </w:r>
      <w:r>
        <w:rPr>
          <w:rFonts w:hint="eastAsia" w:ascii="宋体" w:hAnsi="宋体" w:cs="宋体"/>
          <w:smallCaps/>
          <w:color w:val="auto"/>
          <w:sz w:val="22"/>
          <w:szCs w:val="22"/>
          <w:highlight w:val="none"/>
        </w:rPr>
        <w:t>二、招标文件</w:t>
      </w:r>
      <w:r>
        <w:rPr>
          <w:rFonts w:ascii="Calibri" w:hAnsi="Calibri"/>
          <w:smallCaps/>
          <w:color w:val="auto"/>
          <w:sz w:val="22"/>
          <w:szCs w:val="22"/>
          <w:highlight w:val="none"/>
        </w:rPr>
        <w:tab/>
      </w:r>
      <w:r>
        <w:rPr>
          <w:rFonts w:ascii="Calibri" w:hAnsi="Calibri"/>
          <w:smallCaps/>
          <w:color w:val="auto"/>
          <w:sz w:val="22"/>
          <w:szCs w:val="22"/>
          <w:highlight w:val="none"/>
        </w:rPr>
        <w:fldChar w:fldCharType="begin"/>
      </w:r>
      <w:r>
        <w:rPr>
          <w:rFonts w:ascii="Calibri" w:hAnsi="Calibri"/>
          <w:smallCaps/>
          <w:color w:val="auto"/>
          <w:sz w:val="22"/>
          <w:szCs w:val="22"/>
          <w:highlight w:val="none"/>
        </w:rPr>
        <w:instrText xml:space="preserve"> PAGEREF _Toc22070 </w:instrText>
      </w:r>
      <w:r>
        <w:rPr>
          <w:rFonts w:ascii="Calibri" w:hAnsi="Calibri"/>
          <w:smallCaps/>
          <w:color w:val="auto"/>
          <w:sz w:val="22"/>
          <w:szCs w:val="22"/>
          <w:highlight w:val="none"/>
        </w:rPr>
        <w:fldChar w:fldCharType="separate"/>
      </w:r>
      <w:r>
        <w:rPr>
          <w:rFonts w:ascii="Calibri" w:hAnsi="Calibri"/>
          <w:smallCaps/>
          <w:color w:val="auto"/>
          <w:sz w:val="22"/>
          <w:szCs w:val="22"/>
          <w:highlight w:val="none"/>
        </w:rPr>
        <w:t>34</w:t>
      </w:r>
      <w:r>
        <w:rPr>
          <w:rFonts w:ascii="Calibri" w:hAnsi="Calibri"/>
          <w:smallCaps/>
          <w:color w:val="auto"/>
          <w:sz w:val="22"/>
          <w:szCs w:val="22"/>
          <w:highlight w:val="none"/>
        </w:rPr>
        <w:fldChar w:fldCharType="end"/>
      </w:r>
      <w:r>
        <w:rPr>
          <w:rFonts w:ascii="Calibri" w:hAnsi="Calibri"/>
          <w:smallCaps/>
          <w:color w:val="auto"/>
          <w:sz w:val="22"/>
          <w:szCs w:val="22"/>
          <w:highlight w:val="none"/>
        </w:rPr>
        <w:fldChar w:fldCharType="end"/>
      </w:r>
    </w:p>
    <w:p>
      <w:pPr>
        <w:tabs>
          <w:tab w:val="right" w:leader="dot" w:pos="9638"/>
        </w:tabs>
        <w:jc w:val="left"/>
        <w:rPr>
          <w:rFonts w:ascii="Calibri" w:hAnsi="Calibri"/>
          <w:smallCaps/>
          <w:color w:val="auto"/>
          <w:sz w:val="22"/>
          <w:szCs w:val="22"/>
          <w:highlight w:val="none"/>
        </w:rPr>
      </w:pPr>
      <w:r>
        <w:rPr>
          <w:color w:val="auto"/>
          <w:highlight w:val="none"/>
        </w:rPr>
        <w:fldChar w:fldCharType="begin"/>
      </w:r>
      <w:r>
        <w:rPr>
          <w:color w:val="auto"/>
          <w:highlight w:val="none"/>
        </w:rPr>
        <w:instrText xml:space="preserve"> HYPERLINK \l "_Toc13166" </w:instrText>
      </w:r>
      <w:r>
        <w:rPr>
          <w:color w:val="auto"/>
          <w:highlight w:val="none"/>
        </w:rPr>
        <w:fldChar w:fldCharType="separate"/>
      </w:r>
      <w:r>
        <w:rPr>
          <w:rFonts w:hint="eastAsia" w:ascii="宋体" w:hAnsi="宋体" w:cs="宋体"/>
          <w:smallCaps/>
          <w:color w:val="auto"/>
          <w:sz w:val="22"/>
          <w:szCs w:val="22"/>
          <w:highlight w:val="none"/>
        </w:rPr>
        <w:t>三、投标文件的编制</w:t>
      </w:r>
      <w:r>
        <w:rPr>
          <w:rFonts w:ascii="Calibri" w:hAnsi="Calibri"/>
          <w:smallCaps/>
          <w:color w:val="auto"/>
          <w:sz w:val="22"/>
          <w:szCs w:val="22"/>
          <w:highlight w:val="none"/>
        </w:rPr>
        <w:tab/>
      </w:r>
      <w:r>
        <w:rPr>
          <w:rFonts w:ascii="Calibri" w:hAnsi="Calibri"/>
          <w:smallCaps/>
          <w:color w:val="auto"/>
          <w:sz w:val="22"/>
          <w:szCs w:val="22"/>
          <w:highlight w:val="none"/>
        </w:rPr>
        <w:fldChar w:fldCharType="begin"/>
      </w:r>
      <w:r>
        <w:rPr>
          <w:rFonts w:ascii="Calibri" w:hAnsi="Calibri"/>
          <w:smallCaps/>
          <w:color w:val="auto"/>
          <w:sz w:val="22"/>
          <w:szCs w:val="22"/>
          <w:highlight w:val="none"/>
        </w:rPr>
        <w:instrText xml:space="preserve"> PAGEREF _Toc13166 </w:instrText>
      </w:r>
      <w:r>
        <w:rPr>
          <w:rFonts w:ascii="Calibri" w:hAnsi="Calibri"/>
          <w:smallCaps/>
          <w:color w:val="auto"/>
          <w:sz w:val="22"/>
          <w:szCs w:val="22"/>
          <w:highlight w:val="none"/>
        </w:rPr>
        <w:fldChar w:fldCharType="separate"/>
      </w:r>
      <w:r>
        <w:rPr>
          <w:rFonts w:ascii="Calibri" w:hAnsi="Calibri"/>
          <w:smallCaps/>
          <w:color w:val="auto"/>
          <w:sz w:val="22"/>
          <w:szCs w:val="22"/>
          <w:highlight w:val="none"/>
        </w:rPr>
        <w:t>35</w:t>
      </w:r>
      <w:r>
        <w:rPr>
          <w:rFonts w:ascii="Calibri" w:hAnsi="Calibri"/>
          <w:smallCaps/>
          <w:color w:val="auto"/>
          <w:sz w:val="22"/>
          <w:szCs w:val="22"/>
          <w:highlight w:val="none"/>
        </w:rPr>
        <w:fldChar w:fldCharType="end"/>
      </w:r>
      <w:r>
        <w:rPr>
          <w:rFonts w:ascii="Calibri" w:hAnsi="Calibri"/>
          <w:smallCaps/>
          <w:color w:val="auto"/>
          <w:sz w:val="22"/>
          <w:szCs w:val="22"/>
          <w:highlight w:val="none"/>
        </w:rPr>
        <w:fldChar w:fldCharType="end"/>
      </w:r>
    </w:p>
    <w:p>
      <w:pPr>
        <w:tabs>
          <w:tab w:val="right" w:leader="dot" w:pos="9638"/>
        </w:tabs>
        <w:jc w:val="left"/>
        <w:rPr>
          <w:rFonts w:ascii="Calibri" w:hAnsi="Calibri"/>
          <w:smallCaps/>
          <w:color w:val="auto"/>
          <w:sz w:val="22"/>
          <w:szCs w:val="22"/>
          <w:highlight w:val="none"/>
        </w:rPr>
      </w:pPr>
      <w:r>
        <w:rPr>
          <w:color w:val="auto"/>
          <w:highlight w:val="none"/>
        </w:rPr>
        <w:fldChar w:fldCharType="begin"/>
      </w:r>
      <w:r>
        <w:rPr>
          <w:color w:val="auto"/>
          <w:highlight w:val="none"/>
        </w:rPr>
        <w:instrText xml:space="preserve"> HYPERLINK \l "_Toc6762" </w:instrText>
      </w:r>
      <w:r>
        <w:rPr>
          <w:color w:val="auto"/>
          <w:highlight w:val="none"/>
        </w:rPr>
        <w:fldChar w:fldCharType="separate"/>
      </w:r>
      <w:r>
        <w:rPr>
          <w:rFonts w:hint="eastAsia" w:ascii="宋体" w:hAnsi="宋体" w:cs="宋体"/>
          <w:smallCaps/>
          <w:color w:val="auto"/>
          <w:sz w:val="22"/>
          <w:szCs w:val="22"/>
          <w:highlight w:val="none"/>
        </w:rPr>
        <w:t>四、开标</w:t>
      </w:r>
      <w:r>
        <w:rPr>
          <w:rFonts w:ascii="Calibri" w:hAnsi="Calibri"/>
          <w:smallCaps/>
          <w:color w:val="auto"/>
          <w:sz w:val="22"/>
          <w:szCs w:val="22"/>
          <w:highlight w:val="none"/>
        </w:rPr>
        <w:tab/>
      </w:r>
      <w:r>
        <w:rPr>
          <w:rFonts w:ascii="Calibri" w:hAnsi="Calibri"/>
          <w:smallCaps/>
          <w:color w:val="auto"/>
          <w:sz w:val="22"/>
          <w:szCs w:val="22"/>
          <w:highlight w:val="none"/>
        </w:rPr>
        <w:fldChar w:fldCharType="begin"/>
      </w:r>
      <w:r>
        <w:rPr>
          <w:rFonts w:ascii="Calibri" w:hAnsi="Calibri"/>
          <w:smallCaps/>
          <w:color w:val="auto"/>
          <w:sz w:val="22"/>
          <w:szCs w:val="22"/>
          <w:highlight w:val="none"/>
        </w:rPr>
        <w:instrText xml:space="preserve"> PAGEREF _Toc6762 </w:instrText>
      </w:r>
      <w:r>
        <w:rPr>
          <w:rFonts w:ascii="Calibri" w:hAnsi="Calibri"/>
          <w:smallCaps/>
          <w:color w:val="auto"/>
          <w:sz w:val="22"/>
          <w:szCs w:val="22"/>
          <w:highlight w:val="none"/>
        </w:rPr>
        <w:fldChar w:fldCharType="separate"/>
      </w:r>
      <w:r>
        <w:rPr>
          <w:rFonts w:ascii="Calibri" w:hAnsi="Calibri"/>
          <w:smallCaps/>
          <w:color w:val="auto"/>
          <w:sz w:val="22"/>
          <w:szCs w:val="22"/>
          <w:highlight w:val="none"/>
        </w:rPr>
        <w:t>38</w:t>
      </w:r>
      <w:r>
        <w:rPr>
          <w:rFonts w:ascii="Calibri" w:hAnsi="Calibri"/>
          <w:smallCaps/>
          <w:color w:val="auto"/>
          <w:sz w:val="22"/>
          <w:szCs w:val="22"/>
          <w:highlight w:val="none"/>
        </w:rPr>
        <w:fldChar w:fldCharType="end"/>
      </w:r>
      <w:r>
        <w:rPr>
          <w:rFonts w:ascii="Calibri" w:hAnsi="Calibri"/>
          <w:smallCaps/>
          <w:color w:val="auto"/>
          <w:sz w:val="22"/>
          <w:szCs w:val="22"/>
          <w:highlight w:val="none"/>
        </w:rPr>
        <w:fldChar w:fldCharType="end"/>
      </w:r>
    </w:p>
    <w:p>
      <w:pPr>
        <w:tabs>
          <w:tab w:val="right" w:leader="dot" w:pos="9638"/>
        </w:tabs>
        <w:jc w:val="left"/>
        <w:rPr>
          <w:rFonts w:ascii="Calibri" w:hAnsi="Calibri"/>
          <w:smallCaps/>
          <w:color w:val="auto"/>
          <w:sz w:val="22"/>
          <w:szCs w:val="22"/>
          <w:highlight w:val="none"/>
        </w:rPr>
      </w:pPr>
      <w:r>
        <w:rPr>
          <w:color w:val="auto"/>
          <w:highlight w:val="none"/>
        </w:rPr>
        <w:fldChar w:fldCharType="begin"/>
      </w:r>
      <w:r>
        <w:rPr>
          <w:color w:val="auto"/>
          <w:highlight w:val="none"/>
        </w:rPr>
        <w:instrText xml:space="preserve"> HYPERLINK \l "_Toc29757" </w:instrText>
      </w:r>
      <w:r>
        <w:rPr>
          <w:color w:val="auto"/>
          <w:highlight w:val="none"/>
        </w:rPr>
        <w:fldChar w:fldCharType="separate"/>
      </w:r>
      <w:r>
        <w:rPr>
          <w:rFonts w:hint="eastAsia" w:ascii="宋体" w:hAnsi="宋体" w:cs="宋体"/>
          <w:smallCaps/>
          <w:color w:val="auto"/>
          <w:sz w:val="22"/>
          <w:szCs w:val="22"/>
          <w:highlight w:val="none"/>
        </w:rPr>
        <w:t>五、资格审查</w:t>
      </w:r>
      <w:r>
        <w:rPr>
          <w:rFonts w:ascii="Calibri" w:hAnsi="Calibri"/>
          <w:smallCaps/>
          <w:color w:val="auto"/>
          <w:sz w:val="22"/>
          <w:szCs w:val="22"/>
          <w:highlight w:val="none"/>
        </w:rPr>
        <w:tab/>
      </w:r>
      <w:r>
        <w:rPr>
          <w:rFonts w:ascii="Calibri" w:hAnsi="Calibri"/>
          <w:smallCaps/>
          <w:color w:val="auto"/>
          <w:sz w:val="22"/>
          <w:szCs w:val="22"/>
          <w:highlight w:val="none"/>
        </w:rPr>
        <w:fldChar w:fldCharType="begin"/>
      </w:r>
      <w:r>
        <w:rPr>
          <w:rFonts w:ascii="Calibri" w:hAnsi="Calibri"/>
          <w:smallCaps/>
          <w:color w:val="auto"/>
          <w:sz w:val="22"/>
          <w:szCs w:val="22"/>
          <w:highlight w:val="none"/>
        </w:rPr>
        <w:instrText xml:space="preserve"> PAGEREF _Toc29757 </w:instrText>
      </w:r>
      <w:r>
        <w:rPr>
          <w:rFonts w:ascii="Calibri" w:hAnsi="Calibri"/>
          <w:smallCaps/>
          <w:color w:val="auto"/>
          <w:sz w:val="22"/>
          <w:szCs w:val="22"/>
          <w:highlight w:val="none"/>
        </w:rPr>
        <w:fldChar w:fldCharType="separate"/>
      </w:r>
      <w:r>
        <w:rPr>
          <w:rFonts w:ascii="Calibri" w:hAnsi="Calibri"/>
          <w:smallCaps/>
          <w:color w:val="auto"/>
          <w:sz w:val="22"/>
          <w:szCs w:val="22"/>
          <w:highlight w:val="none"/>
        </w:rPr>
        <w:t>38</w:t>
      </w:r>
      <w:r>
        <w:rPr>
          <w:rFonts w:ascii="Calibri" w:hAnsi="Calibri"/>
          <w:smallCaps/>
          <w:color w:val="auto"/>
          <w:sz w:val="22"/>
          <w:szCs w:val="22"/>
          <w:highlight w:val="none"/>
        </w:rPr>
        <w:fldChar w:fldCharType="end"/>
      </w:r>
      <w:r>
        <w:rPr>
          <w:rFonts w:ascii="Calibri" w:hAnsi="Calibri"/>
          <w:smallCaps/>
          <w:color w:val="auto"/>
          <w:sz w:val="22"/>
          <w:szCs w:val="22"/>
          <w:highlight w:val="none"/>
        </w:rPr>
        <w:fldChar w:fldCharType="end"/>
      </w:r>
    </w:p>
    <w:p>
      <w:pPr>
        <w:tabs>
          <w:tab w:val="right" w:leader="dot" w:pos="9638"/>
        </w:tabs>
        <w:jc w:val="left"/>
        <w:rPr>
          <w:rFonts w:ascii="Calibri" w:hAnsi="Calibri"/>
          <w:smallCaps/>
          <w:color w:val="auto"/>
          <w:sz w:val="22"/>
          <w:szCs w:val="22"/>
          <w:highlight w:val="none"/>
        </w:rPr>
      </w:pPr>
      <w:r>
        <w:rPr>
          <w:color w:val="auto"/>
          <w:highlight w:val="none"/>
        </w:rPr>
        <w:fldChar w:fldCharType="begin"/>
      </w:r>
      <w:r>
        <w:rPr>
          <w:color w:val="auto"/>
          <w:highlight w:val="none"/>
        </w:rPr>
        <w:instrText xml:space="preserve"> HYPERLINK \l "_Toc23135" </w:instrText>
      </w:r>
      <w:r>
        <w:rPr>
          <w:color w:val="auto"/>
          <w:highlight w:val="none"/>
        </w:rPr>
        <w:fldChar w:fldCharType="separate"/>
      </w:r>
      <w:r>
        <w:rPr>
          <w:rFonts w:hint="eastAsia" w:ascii="宋体" w:hAnsi="宋体" w:cs="宋体"/>
          <w:smallCaps/>
          <w:color w:val="auto"/>
          <w:sz w:val="22"/>
          <w:szCs w:val="22"/>
          <w:highlight w:val="none"/>
        </w:rPr>
        <w:t>六、评标</w:t>
      </w:r>
      <w:bookmarkStart w:id="6" w:name="_Hlt131517382"/>
      <w:bookmarkStart w:id="7" w:name="_Hlt131517381"/>
      <w:r>
        <w:rPr>
          <w:rFonts w:ascii="Calibri" w:hAnsi="Calibri"/>
          <w:smallCaps/>
          <w:color w:val="auto"/>
          <w:sz w:val="22"/>
          <w:szCs w:val="22"/>
          <w:highlight w:val="none"/>
        </w:rPr>
        <w:tab/>
      </w:r>
      <w:bookmarkEnd w:id="6"/>
      <w:bookmarkEnd w:id="7"/>
      <w:r>
        <w:rPr>
          <w:rFonts w:ascii="Calibri" w:hAnsi="Calibri"/>
          <w:smallCaps/>
          <w:color w:val="auto"/>
          <w:sz w:val="22"/>
          <w:szCs w:val="22"/>
          <w:highlight w:val="none"/>
        </w:rPr>
        <w:fldChar w:fldCharType="begin"/>
      </w:r>
      <w:r>
        <w:rPr>
          <w:rFonts w:ascii="Calibri" w:hAnsi="Calibri"/>
          <w:smallCaps/>
          <w:color w:val="auto"/>
          <w:sz w:val="22"/>
          <w:szCs w:val="22"/>
          <w:highlight w:val="none"/>
        </w:rPr>
        <w:instrText xml:space="preserve"> PAGEREF _Toc23135 </w:instrText>
      </w:r>
      <w:r>
        <w:rPr>
          <w:rFonts w:ascii="Calibri" w:hAnsi="Calibri"/>
          <w:smallCaps/>
          <w:color w:val="auto"/>
          <w:sz w:val="22"/>
          <w:szCs w:val="22"/>
          <w:highlight w:val="none"/>
        </w:rPr>
        <w:fldChar w:fldCharType="separate"/>
      </w:r>
      <w:r>
        <w:rPr>
          <w:rFonts w:ascii="Calibri" w:hAnsi="Calibri"/>
          <w:smallCaps/>
          <w:color w:val="auto"/>
          <w:sz w:val="22"/>
          <w:szCs w:val="22"/>
          <w:highlight w:val="none"/>
        </w:rPr>
        <w:t>39</w:t>
      </w:r>
      <w:r>
        <w:rPr>
          <w:rFonts w:ascii="Calibri" w:hAnsi="Calibri"/>
          <w:smallCaps/>
          <w:color w:val="auto"/>
          <w:sz w:val="22"/>
          <w:szCs w:val="22"/>
          <w:highlight w:val="none"/>
        </w:rPr>
        <w:fldChar w:fldCharType="end"/>
      </w:r>
      <w:r>
        <w:rPr>
          <w:rFonts w:ascii="Calibri" w:hAnsi="Calibri"/>
          <w:smallCaps/>
          <w:color w:val="auto"/>
          <w:sz w:val="22"/>
          <w:szCs w:val="22"/>
          <w:highlight w:val="none"/>
        </w:rPr>
        <w:fldChar w:fldCharType="end"/>
      </w:r>
    </w:p>
    <w:p>
      <w:pPr>
        <w:tabs>
          <w:tab w:val="right" w:leader="dot" w:pos="9638"/>
        </w:tabs>
        <w:jc w:val="left"/>
        <w:rPr>
          <w:rFonts w:ascii="Calibri" w:hAnsi="Calibri"/>
          <w:smallCaps/>
          <w:color w:val="auto"/>
          <w:sz w:val="22"/>
          <w:szCs w:val="22"/>
          <w:highlight w:val="none"/>
        </w:rPr>
      </w:pPr>
      <w:r>
        <w:rPr>
          <w:color w:val="auto"/>
          <w:highlight w:val="none"/>
        </w:rPr>
        <w:fldChar w:fldCharType="begin"/>
      </w:r>
      <w:r>
        <w:rPr>
          <w:color w:val="auto"/>
          <w:highlight w:val="none"/>
        </w:rPr>
        <w:instrText xml:space="preserve"> HYPERLINK \l "_Toc11609" </w:instrText>
      </w:r>
      <w:r>
        <w:rPr>
          <w:color w:val="auto"/>
          <w:highlight w:val="none"/>
        </w:rPr>
        <w:fldChar w:fldCharType="separate"/>
      </w:r>
      <w:r>
        <w:rPr>
          <w:rFonts w:hint="eastAsia" w:ascii="宋体" w:hAnsi="宋体" w:cs="宋体"/>
          <w:smallCaps/>
          <w:color w:val="auto"/>
          <w:sz w:val="22"/>
          <w:szCs w:val="22"/>
          <w:highlight w:val="none"/>
        </w:rPr>
        <w:t>七、中标和合同</w:t>
      </w:r>
      <w:r>
        <w:rPr>
          <w:rFonts w:ascii="Calibri" w:hAnsi="Calibri"/>
          <w:smallCaps/>
          <w:color w:val="auto"/>
          <w:sz w:val="22"/>
          <w:szCs w:val="22"/>
          <w:highlight w:val="none"/>
        </w:rPr>
        <w:tab/>
      </w:r>
      <w:r>
        <w:rPr>
          <w:rFonts w:ascii="Calibri" w:hAnsi="Calibri"/>
          <w:smallCaps/>
          <w:color w:val="auto"/>
          <w:sz w:val="22"/>
          <w:szCs w:val="22"/>
          <w:highlight w:val="none"/>
        </w:rPr>
        <w:fldChar w:fldCharType="begin"/>
      </w:r>
      <w:r>
        <w:rPr>
          <w:rFonts w:ascii="Calibri" w:hAnsi="Calibri"/>
          <w:smallCaps/>
          <w:color w:val="auto"/>
          <w:sz w:val="22"/>
          <w:szCs w:val="22"/>
          <w:highlight w:val="none"/>
        </w:rPr>
        <w:instrText xml:space="preserve"> PAGEREF _Toc11609 </w:instrText>
      </w:r>
      <w:r>
        <w:rPr>
          <w:rFonts w:ascii="Calibri" w:hAnsi="Calibri"/>
          <w:smallCaps/>
          <w:color w:val="auto"/>
          <w:sz w:val="22"/>
          <w:szCs w:val="22"/>
          <w:highlight w:val="none"/>
        </w:rPr>
        <w:fldChar w:fldCharType="separate"/>
      </w:r>
      <w:r>
        <w:rPr>
          <w:rFonts w:ascii="Calibri" w:hAnsi="Calibri"/>
          <w:smallCaps/>
          <w:color w:val="auto"/>
          <w:sz w:val="22"/>
          <w:szCs w:val="22"/>
          <w:highlight w:val="none"/>
        </w:rPr>
        <w:t>40</w:t>
      </w:r>
      <w:r>
        <w:rPr>
          <w:rFonts w:ascii="Calibri" w:hAnsi="Calibri"/>
          <w:smallCaps/>
          <w:color w:val="auto"/>
          <w:sz w:val="22"/>
          <w:szCs w:val="22"/>
          <w:highlight w:val="none"/>
        </w:rPr>
        <w:fldChar w:fldCharType="end"/>
      </w:r>
      <w:r>
        <w:rPr>
          <w:rFonts w:ascii="Calibri" w:hAnsi="Calibri"/>
          <w:smallCaps/>
          <w:color w:val="auto"/>
          <w:sz w:val="22"/>
          <w:szCs w:val="22"/>
          <w:highlight w:val="none"/>
        </w:rPr>
        <w:fldChar w:fldCharType="end"/>
      </w:r>
    </w:p>
    <w:p>
      <w:pPr>
        <w:tabs>
          <w:tab w:val="right" w:leader="dot" w:pos="9638"/>
        </w:tabs>
        <w:jc w:val="left"/>
        <w:rPr>
          <w:rFonts w:ascii="Calibri" w:hAnsi="Calibri"/>
          <w:smallCaps/>
          <w:color w:val="auto"/>
          <w:sz w:val="22"/>
          <w:szCs w:val="22"/>
          <w:highlight w:val="none"/>
        </w:rPr>
      </w:pPr>
      <w:r>
        <w:rPr>
          <w:color w:val="auto"/>
          <w:highlight w:val="none"/>
        </w:rPr>
        <w:fldChar w:fldCharType="begin"/>
      </w:r>
      <w:r>
        <w:rPr>
          <w:color w:val="auto"/>
          <w:highlight w:val="none"/>
        </w:rPr>
        <w:instrText xml:space="preserve"> HYPERLINK \l "_Toc17335" </w:instrText>
      </w:r>
      <w:r>
        <w:rPr>
          <w:color w:val="auto"/>
          <w:highlight w:val="none"/>
        </w:rPr>
        <w:fldChar w:fldCharType="separate"/>
      </w:r>
      <w:r>
        <w:rPr>
          <w:rFonts w:hint="eastAsia" w:ascii="宋体" w:hAnsi="宋体" w:cs="宋体"/>
          <w:smallCaps/>
          <w:color w:val="auto"/>
          <w:sz w:val="22"/>
          <w:szCs w:val="22"/>
          <w:highlight w:val="none"/>
        </w:rPr>
        <w:t>八、验收</w:t>
      </w:r>
      <w:r>
        <w:rPr>
          <w:rFonts w:ascii="Calibri" w:hAnsi="Calibri"/>
          <w:smallCaps/>
          <w:color w:val="auto"/>
          <w:sz w:val="22"/>
          <w:szCs w:val="22"/>
          <w:highlight w:val="none"/>
        </w:rPr>
        <w:tab/>
      </w:r>
      <w:r>
        <w:rPr>
          <w:rFonts w:ascii="Calibri" w:hAnsi="Calibri"/>
          <w:smallCaps/>
          <w:color w:val="auto"/>
          <w:sz w:val="22"/>
          <w:szCs w:val="22"/>
          <w:highlight w:val="none"/>
        </w:rPr>
        <w:fldChar w:fldCharType="begin"/>
      </w:r>
      <w:r>
        <w:rPr>
          <w:rFonts w:ascii="Calibri" w:hAnsi="Calibri"/>
          <w:smallCaps/>
          <w:color w:val="auto"/>
          <w:sz w:val="22"/>
          <w:szCs w:val="22"/>
          <w:highlight w:val="none"/>
        </w:rPr>
        <w:instrText xml:space="preserve"> PAGEREF _Toc17335 </w:instrText>
      </w:r>
      <w:r>
        <w:rPr>
          <w:rFonts w:ascii="Calibri" w:hAnsi="Calibri"/>
          <w:smallCaps/>
          <w:color w:val="auto"/>
          <w:sz w:val="22"/>
          <w:szCs w:val="22"/>
          <w:highlight w:val="none"/>
        </w:rPr>
        <w:fldChar w:fldCharType="separate"/>
      </w:r>
      <w:r>
        <w:rPr>
          <w:rFonts w:ascii="Calibri" w:hAnsi="Calibri"/>
          <w:smallCaps/>
          <w:color w:val="auto"/>
          <w:sz w:val="22"/>
          <w:szCs w:val="22"/>
          <w:highlight w:val="none"/>
        </w:rPr>
        <w:t>44</w:t>
      </w:r>
      <w:r>
        <w:rPr>
          <w:rFonts w:ascii="Calibri" w:hAnsi="Calibri"/>
          <w:smallCaps/>
          <w:color w:val="auto"/>
          <w:sz w:val="22"/>
          <w:szCs w:val="22"/>
          <w:highlight w:val="none"/>
        </w:rPr>
        <w:fldChar w:fldCharType="end"/>
      </w:r>
      <w:r>
        <w:rPr>
          <w:rFonts w:ascii="Calibri" w:hAnsi="Calibri"/>
          <w:smallCaps/>
          <w:color w:val="auto"/>
          <w:sz w:val="22"/>
          <w:szCs w:val="22"/>
          <w:highlight w:val="none"/>
        </w:rPr>
        <w:fldChar w:fldCharType="end"/>
      </w:r>
    </w:p>
    <w:p>
      <w:pPr>
        <w:tabs>
          <w:tab w:val="right" w:leader="dot" w:pos="9638"/>
        </w:tabs>
        <w:jc w:val="left"/>
        <w:rPr>
          <w:rFonts w:ascii="Calibri" w:hAnsi="Calibri"/>
          <w:smallCaps/>
          <w:color w:val="auto"/>
          <w:sz w:val="22"/>
          <w:szCs w:val="22"/>
          <w:highlight w:val="none"/>
        </w:rPr>
      </w:pPr>
      <w:r>
        <w:rPr>
          <w:color w:val="auto"/>
          <w:highlight w:val="none"/>
        </w:rPr>
        <w:fldChar w:fldCharType="begin"/>
      </w:r>
      <w:r>
        <w:rPr>
          <w:color w:val="auto"/>
          <w:highlight w:val="none"/>
        </w:rPr>
        <w:instrText xml:space="preserve"> HYPERLINK \l "_Toc13415" </w:instrText>
      </w:r>
      <w:r>
        <w:rPr>
          <w:color w:val="auto"/>
          <w:highlight w:val="none"/>
        </w:rPr>
        <w:fldChar w:fldCharType="separate"/>
      </w:r>
      <w:r>
        <w:rPr>
          <w:rFonts w:hint="eastAsia" w:ascii="宋体" w:hAnsi="宋体" w:cs="宋体"/>
          <w:smallCaps/>
          <w:color w:val="auto"/>
          <w:sz w:val="22"/>
          <w:szCs w:val="22"/>
          <w:highlight w:val="none"/>
        </w:rPr>
        <w:t>九、其他事项</w:t>
      </w:r>
      <w:r>
        <w:rPr>
          <w:rFonts w:ascii="Calibri" w:hAnsi="Calibri"/>
          <w:smallCaps/>
          <w:color w:val="auto"/>
          <w:sz w:val="22"/>
          <w:szCs w:val="22"/>
          <w:highlight w:val="none"/>
        </w:rPr>
        <w:tab/>
      </w:r>
      <w:r>
        <w:rPr>
          <w:rFonts w:ascii="Calibri" w:hAnsi="Calibri"/>
          <w:smallCaps/>
          <w:color w:val="auto"/>
          <w:sz w:val="22"/>
          <w:szCs w:val="22"/>
          <w:highlight w:val="none"/>
        </w:rPr>
        <w:fldChar w:fldCharType="begin"/>
      </w:r>
      <w:r>
        <w:rPr>
          <w:rFonts w:ascii="Calibri" w:hAnsi="Calibri"/>
          <w:smallCaps/>
          <w:color w:val="auto"/>
          <w:sz w:val="22"/>
          <w:szCs w:val="22"/>
          <w:highlight w:val="none"/>
        </w:rPr>
        <w:instrText xml:space="preserve"> PAGEREF _Toc13415 </w:instrText>
      </w:r>
      <w:r>
        <w:rPr>
          <w:rFonts w:ascii="Calibri" w:hAnsi="Calibri"/>
          <w:smallCaps/>
          <w:color w:val="auto"/>
          <w:sz w:val="22"/>
          <w:szCs w:val="22"/>
          <w:highlight w:val="none"/>
        </w:rPr>
        <w:fldChar w:fldCharType="separate"/>
      </w:r>
      <w:r>
        <w:rPr>
          <w:rFonts w:ascii="Calibri" w:hAnsi="Calibri"/>
          <w:smallCaps/>
          <w:color w:val="auto"/>
          <w:sz w:val="22"/>
          <w:szCs w:val="22"/>
          <w:highlight w:val="none"/>
        </w:rPr>
        <w:t>44</w:t>
      </w:r>
      <w:r>
        <w:rPr>
          <w:rFonts w:ascii="Calibri" w:hAnsi="Calibri"/>
          <w:smallCaps/>
          <w:color w:val="auto"/>
          <w:sz w:val="22"/>
          <w:szCs w:val="22"/>
          <w:highlight w:val="none"/>
        </w:rPr>
        <w:fldChar w:fldCharType="end"/>
      </w:r>
      <w:r>
        <w:rPr>
          <w:rFonts w:ascii="Calibri" w:hAnsi="Calibri"/>
          <w:smallCaps/>
          <w:color w:val="auto"/>
          <w:sz w:val="22"/>
          <w:szCs w:val="22"/>
          <w:highlight w:val="none"/>
        </w:rPr>
        <w:fldChar w:fldCharType="end"/>
      </w:r>
    </w:p>
    <w:p>
      <w:pPr>
        <w:tabs>
          <w:tab w:val="right" w:leader="dot" w:pos="9638"/>
        </w:tabs>
        <w:spacing w:before="360" w:after="360"/>
        <w:jc w:val="left"/>
        <w:rPr>
          <w:rFonts w:ascii="Calibri" w:hAnsi="Calibri"/>
          <w:b/>
          <w:bCs/>
          <w:caps/>
          <w:color w:val="auto"/>
          <w:sz w:val="22"/>
          <w:szCs w:val="22"/>
          <w:highlight w:val="none"/>
          <w:u w:val="single"/>
        </w:rPr>
      </w:pPr>
      <w:r>
        <w:rPr>
          <w:color w:val="auto"/>
          <w:highlight w:val="none"/>
        </w:rPr>
        <w:fldChar w:fldCharType="begin"/>
      </w:r>
      <w:r>
        <w:rPr>
          <w:color w:val="auto"/>
          <w:highlight w:val="none"/>
        </w:rPr>
        <w:instrText xml:space="preserve"> HYPERLINK \l "_Toc25066" </w:instrText>
      </w:r>
      <w:r>
        <w:rPr>
          <w:color w:val="auto"/>
          <w:highlight w:val="none"/>
        </w:rPr>
        <w:fldChar w:fldCharType="separate"/>
      </w:r>
      <w:r>
        <w:rPr>
          <w:rFonts w:hint="eastAsia" w:ascii="宋体" w:hAnsi="宋体" w:cs="宋体"/>
          <w:b/>
          <w:bCs/>
          <w:caps/>
          <w:color w:val="auto"/>
          <w:sz w:val="22"/>
          <w:szCs w:val="22"/>
          <w:highlight w:val="none"/>
          <w:u w:val="single"/>
        </w:rPr>
        <w:t xml:space="preserve">第四章  </w:t>
      </w:r>
      <w:r>
        <w:rPr>
          <w:rFonts w:hint="eastAsia" w:ascii="Calibri" w:hAnsi="宋体" w:cs="宋体"/>
          <w:b/>
          <w:bCs/>
          <w:caps/>
          <w:color w:val="auto"/>
          <w:sz w:val="22"/>
          <w:szCs w:val="22"/>
          <w:highlight w:val="none"/>
          <w:u w:val="single"/>
        </w:rPr>
        <w:t>评标方法和评标标准</w:t>
      </w:r>
      <w:r>
        <w:rPr>
          <w:rFonts w:ascii="Calibri" w:hAnsi="Calibri"/>
          <w:b/>
          <w:bCs/>
          <w:caps/>
          <w:color w:val="auto"/>
          <w:sz w:val="22"/>
          <w:szCs w:val="22"/>
          <w:highlight w:val="none"/>
          <w:u w:val="single"/>
        </w:rPr>
        <w:tab/>
      </w:r>
      <w:r>
        <w:rPr>
          <w:rFonts w:ascii="Calibri" w:hAnsi="Calibri"/>
          <w:b/>
          <w:bCs/>
          <w:caps/>
          <w:color w:val="auto"/>
          <w:sz w:val="22"/>
          <w:szCs w:val="22"/>
          <w:highlight w:val="none"/>
          <w:u w:val="single"/>
        </w:rPr>
        <w:fldChar w:fldCharType="begin"/>
      </w:r>
      <w:r>
        <w:rPr>
          <w:rFonts w:ascii="Calibri" w:hAnsi="Calibri"/>
          <w:b/>
          <w:bCs/>
          <w:caps/>
          <w:color w:val="auto"/>
          <w:sz w:val="22"/>
          <w:szCs w:val="22"/>
          <w:highlight w:val="none"/>
          <w:u w:val="single"/>
        </w:rPr>
        <w:instrText xml:space="preserve"> PAGEREF _Toc25066 </w:instrText>
      </w:r>
      <w:r>
        <w:rPr>
          <w:rFonts w:ascii="Calibri" w:hAnsi="Calibri"/>
          <w:b/>
          <w:bCs/>
          <w:caps/>
          <w:color w:val="auto"/>
          <w:sz w:val="22"/>
          <w:szCs w:val="22"/>
          <w:highlight w:val="none"/>
          <w:u w:val="single"/>
        </w:rPr>
        <w:fldChar w:fldCharType="separate"/>
      </w:r>
      <w:r>
        <w:rPr>
          <w:rFonts w:ascii="Calibri" w:hAnsi="Calibri"/>
          <w:b/>
          <w:bCs/>
          <w:caps/>
          <w:color w:val="auto"/>
          <w:sz w:val="22"/>
          <w:szCs w:val="22"/>
          <w:highlight w:val="none"/>
          <w:u w:val="single"/>
        </w:rPr>
        <w:t>47</w:t>
      </w:r>
      <w:r>
        <w:rPr>
          <w:rFonts w:ascii="Calibri" w:hAnsi="Calibri"/>
          <w:b/>
          <w:bCs/>
          <w:caps/>
          <w:color w:val="auto"/>
          <w:sz w:val="22"/>
          <w:szCs w:val="22"/>
          <w:highlight w:val="none"/>
          <w:u w:val="single"/>
        </w:rPr>
        <w:fldChar w:fldCharType="end"/>
      </w:r>
      <w:r>
        <w:rPr>
          <w:rFonts w:ascii="Calibri" w:hAnsi="Calibri"/>
          <w:b/>
          <w:bCs/>
          <w:caps/>
          <w:color w:val="auto"/>
          <w:sz w:val="22"/>
          <w:szCs w:val="22"/>
          <w:highlight w:val="none"/>
          <w:u w:val="single"/>
        </w:rPr>
        <w:fldChar w:fldCharType="end"/>
      </w:r>
    </w:p>
    <w:p>
      <w:pPr>
        <w:tabs>
          <w:tab w:val="right" w:leader="dot" w:pos="9638"/>
        </w:tabs>
        <w:jc w:val="left"/>
        <w:rPr>
          <w:rFonts w:ascii="Calibri" w:hAnsi="Calibri"/>
          <w:b/>
          <w:bCs/>
          <w:smallCaps/>
          <w:color w:val="auto"/>
          <w:sz w:val="22"/>
          <w:szCs w:val="22"/>
          <w:highlight w:val="none"/>
        </w:rPr>
      </w:pPr>
      <w:r>
        <w:rPr>
          <w:color w:val="auto"/>
          <w:highlight w:val="none"/>
        </w:rPr>
        <w:fldChar w:fldCharType="begin"/>
      </w:r>
      <w:r>
        <w:rPr>
          <w:color w:val="auto"/>
          <w:highlight w:val="none"/>
        </w:rPr>
        <w:instrText xml:space="preserve"> HYPERLINK \l "_Toc18908" </w:instrText>
      </w:r>
      <w:r>
        <w:rPr>
          <w:color w:val="auto"/>
          <w:highlight w:val="none"/>
        </w:rPr>
        <w:fldChar w:fldCharType="separate"/>
      </w:r>
      <w:r>
        <w:rPr>
          <w:rFonts w:hint="eastAsia" w:ascii="宋体" w:hAnsi="宋体" w:cs="宋体"/>
          <w:b/>
          <w:bCs/>
          <w:smallCaps/>
          <w:color w:val="auto"/>
          <w:sz w:val="22"/>
          <w:szCs w:val="32"/>
          <w:highlight w:val="none"/>
        </w:rPr>
        <w:t>第一节 评标方法</w:t>
      </w:r>
      <w:r>
        <w:rPr>
          <w:rFonts w:ascii="Calibri" w:hAnsi="Calibri"/>
          <w:b/>
          <w:bCs/>
          <w:smallCaps/>
          <w:color w:val="auto"/>
          <w:sz w:val="22"/>
          <w:szCs w:val="22"/>
          <w:highlight w:val="none"/>
        </w:rPr>
        <w:tab/>
      </w:r>
      <w:r>
        <w:rPr>
          <w:rFonts w:ascii="Calibri" w:hAnsi="Calibri"/>
          <w:b/>
          <w:bCs/>
          <w:smallCaps/>
          <w:color w:val="auto"/>
          <w:sz w:val="22"/>
          <w:szCs w:val="22"/>
          <w:highlight w:val="none"/>
        </w:rPr>
        <w:fldChar w:fldCharType="begin"/>
      </w:r>
      <w:r>
        <w:rPr>
          <w:rFonts w:ascii="Calibri" w:hAnsi="Calibri"/>
          <w:b/>
          <w:bCs/>
          <w:smallCaps/>
          <w:color w:val="auto"/>
          <w:sz w:val="22"/>
          <w:szCs w:val="22"/>
          <w:highlight w:val="none"/>
        </w:rPr>
        <w:instrText xml:space="preserve"> PAGEREF _Toc18908 </w:instrText>
      </w:r>
      <w:r>
        <w:rPr>
          <w:rFonts w:ascii="Calibri" w:hAnsi="Calibri"/>
          <w:b/>
          <w:bCs/>
          <w:smallCaps/>
          <w:color w:val="auto"/>
          <w:sz w:val="22"/>
          <w:szCs w:val="22"/>
          <w:highlight w:val="none"/>
        </w:rPr>
        <w:fldChar w:fldCharType="separate"/>
      </w:r>
      <w:r>
        <w:rPr>
          <w:rFonts w:ascii="Calibri" w:hAnsi="Calibri"/>
          <w:b/>
          <w:bCs/>
          <w:smallCaps/>
          <w:color w:val="auto"/>
          <w:sz w:val="22"/>
          <w:szCs w:val="22"/>
          <w:highlight w:val="none"/>
        </w:rPr>
        <w:t>47</w:t>
      </w:r>
      <w:r>
        <w:rPr>
          <w:rFonts w:ascii="Calibri" w:hAnsi="Calibri"/>
          <w:b/>
          <w:bCs/>
          <w:smallCaps/>
          <w:color w:val="auto"/>
          <w:sz w:val="22"/>
          <w:szCs w:val="22"/>
          <w:highlight w:val="none"/>
        </w:rPr>
        <w:fldChar w:fldCharType="end"/>
      </w:r>
      <w:r>
        <w:rPr>
          <w:rFonts w:ascii="Calibri" w:hAnsi="Calibri"/>
          <w:b/>
          <w:bCs/>
          <w:smallCaps/>
          <w:color w:val="auto"/>
          <w:sz w:val="22"/>
          <w:szCs w:val="22"/>
          <w:highlight w:val="none"/>
        </w:rPr>
        <w:fldChar w:fldCharType="end"/>
      </w:r>
    </w:p>
    <w:p>
      <w:pPr>
        <w:tabs>
          <w:tab w:val="right" w:leader="dot" w:pos="9638"/>
        </w:tabs>
        <w:jc w:val="left"/>
        <w:rPr>
          <w:rFonts w:ascii="Calibri" w:hAnsi="Calibri"/>
          <w:b/>
          <w:bCs/>
          <w:smallCaps/>
          <w:color w:val="auto"/>
          <w:sz w:val="22"/>
          <w:szCs w:val="22"/>
          <w:highlight w:val="none"/>
        </w:rPr>
      </w:pPr>
      <w:r>
        <w:rPr>
          <w:color w:val="auto"/>
          <w:highlight w:val="none"/>
        </w:rPr>
        <w:fldChar w:fldCharType="begin"/>
      </w:r>
      <w:r>
        <w:rPr>
          <w:color w:val="auto"/>
          <w:highlight w:val="none"/>
        </w:rPr>
        <w:instrText xml:space="preserve"> HYPERLINK \l "_Toc13065" </w:instrText>
      </w:r>
      <w:r>
        <w:rPr>
          <w:color w:val="auto"/>
          <w:highlight w:val="none"/>
        </w:rPr>
        <w:fldChar w:fldCharType="separate"/>
      </w:r>
      <w:r>
        <w:rPr>
          <w:rFonts w:hint="eastAsia" w:ascii="宋体" w:hAnsi="宋体" w:cs="宋体"/>
          <w:b/>
          <w:bCs/>
          <w:smallCaps/>
          <w:color w:val="auto"/>
          <w:sz w:val="22"/>
          <w:szCs w:val="32"/>
          <w:highlight w:val="none"/>
        </w:rPr>
        <w:t>第二节 评标程序</w:t>
      </w:r>
      <w:r>
        <w:rPr>
          <w:rFonts w:ascii="Calibri" w:hAnsi="Calibri"/>
          <w:b/>
          <w:bCs/>
          <w:smallCaps/>
          <w:color w:val="auto"/>
          <w:sz w:val="22"/>
          <w:szCs w:val="22"/>
          <w:highlight w:val="none"/>
        </w:rPr>
        <w:tab/>
      </w:r>
      <w:r>
        <w:rPr>
          <w:rFonts w:ascii="Calibri" w:hAnsi="Calibri"/>
          <w:b/>
          <w:bCs/>
          <w:smallCaps/>
          <w:color w:val="auto"/>
          <w:sz w:val="22"/>
          <w:szCs w:val="22"/>
          <w:highlight w:val="none"/>
        </w:rPr>
        <w:fldChar w:fldCharType="begin"/>
      </w:r>
      <w:r>
        <w:rPr>
          <w:rFonts w:ascii="Calibri" w:hAnsi="Calibri"/>
          <w:b/>
          <w:bCs/>
          <w:smallCaps/>
          <w:color w:val="auto"/>
          <w:sz w:val="22"/>
          <w:szCs w:val="22"/>
          <w:highlight w:val="none"/>
        </w:rPr>
        <w:instrText xml:space="preserve"> PAGEREF _Toc13065 </w:instrText>
      </w:r>
      <w:r>
        <w:rPr>
          <w:rFonts w:ascii="Calibri" w:hAnsi="Calibri"/>
          <w:b/>
          <w:bCs/>
          <w:smallCaps/>
          <w:color w:val="auto"/>
          <w:sz w:val="22"/>
          <w:szCs w:val="22"/>
          <w:highlight w:val="none"/>
        </w:rPr>
        <w:fldChar w:fldCharType="separate"/>
      </w:r>
      <w:r>
        <w:rPr>
          <w:rFonts w:ascii="Calibri" w:hAnsi="Calibri"/>
          <w:b/>
          <w:bCs/>
          <w:smallCaps/>
          <w:color w:val="auto"/>
          <w:sz w:val="22"/>
          <w:szCs w:val="22"/>
          <w:highlight w:val="none"/>
        </w:rPr>
        <w:t>47</w:t>
      </w:r>
      <w:r>
        <w:rPr>
          <w:rFonts w:ascii="Calibri" w:hAnsi="Calibri"/>
          <w:b/>
          <w:bCs/>
          <w:smallCaps/>
          <w:color w:val="auto"/>
          <w:sz w:val="22"/>
          <w:szCs w:val="22"/>
          <w:highlight w:val="none"/>
        </w:rPr>
        <w:fldChar w:fldCharType="end"/>
      </w:r>
      <w:r>
        <w:rPr>
          <w:rFonts w:ascii="Calibri" w:hAnsi="Calibri"/>
          <w:b/>
          <w:bCs/>
          <w:smallCaps/>
          <w:color w:val="auto"/>
          <w:sz w:val="22"/>
          <w:szCs w:val="22"/>
          <w:highlight w:val="none"/>
        </w:rPr>
        <w:fldChar w:fldCharType="end"/>
      </w:r>
    </w:p>
    <w:p>
      <w:pPr>
        <w:tabs>
          <w:tab w:val="right" w:leader="dot" w:pos="9638"/>
        </w:tabs>
        <w:jc w:val="left"/>
        <w:rPr>
          <w:rFonts w:ascii="Calibri" w:hAnsi="Calibri"/>
          <w:b/>
          <w:bCs/>
          <w:smallCaps/>
          <w:color w:val="auto"/>
          <w:sz w:val="22"/>
          <w:szCs w:val="22"/>
          <w:highlight w:val="none"/>
        </w:rPr>
      </w:pPr>
      <w:r>
        <w:rPr>
          <w:color w:val="auto"/>
          <w:highlight w:val="none"/>
        </w:rPr>
        <w:fldChar w:fldCharType="begin"/>
      </w:r>
      <w:r>
        <w:rPr>
          <w:color w:val="auto"/>
          <w:highlight w:val="none"/>
        </w:rPr>
        <w:instrText xml:space="preserve"> HYPERLINK \l "_Toc32041" </w:instrText>
      </w:r>
      <w:r>
        <w:rPr>
          <w:color w:val="auto"/>
          <w:highlight w:val="none"/>
        </w:rPr>
        <w:fldChar w:fldCharType="separate"/>
      </w:r>
      <w:r>
        <w:rPr>
          <w:rFonts w:hint="eastAsia" w:ascii="宋体" w:hAnsi="宋体" w:cs="宋体"/>
          <w:b/>
          <w:bCs/>
          <w:smallCaps/>
          <w:color w:val="auto"/>
          <w:sz w:val="22"/>
          <w:szCs w:val="30"/>
          <w:highlight w:val="none"/>
        </w:rPr>
        <w:t>第三节 评分标准</w:t>
      </w:r>
      <w:r>
        <w:rPr>
          <w:rFonts w:ascii="Calibri" w:hAnsi="Calibri"/>
          <w:b/>
          <w:bCs/>
          <w:smallCaps/>
          <w:color w:val="auto"/>
          <w:sz w:val="22"/>
          <w:szCs w:val="22"/>
          <w:highlight w:val="none"/>
        </w:rPr>
        <w:tab/>
      </w:r>
      <w:r>
        <w:rPr>
          <w:rFonts w:ascii="Calibri" w:hAnsi="Calibri"/>
          <w:b/>
          <w:bCs/>
          <w:smallCaps/>
          <w:color w:val="auto"/>
          <w:sz w:val="22"/>
          <w:szCs w:val="22"/>
          <w:highlight w:val="none"/>
        </w:rPr>
        <w:fldChar w:fldCharType="begin"/>
      </w:r>
      <w:r>
        <w:rPr>
          <w:rFonts w:ascii="Calibri" w:hAnsi="Calibri"/>
          <w:b/>
          <w:bCs/>
          <w:smallCaps/>
          <w:color w:val="auto"/>
          <w:sz w:val="22"/>
          <w:szCs w:val="22"/>
          <w:highlight w:val="none"/>
        </w:rPr>
        <w:instrText xml:space="preserve"> PAGEREF _Toc32041 </w:instrText>
      </w:r>
      <w:r>
        <w:rPr>
          <w:rFonts w:ascii="Calibri" w:hAnsi="Calibri"/>
          <w:b/>
          <w:bCs/>
          <w:smallCaps/>
          <w:color w:val="auto"/>
          <w:sz w:val="22"/>
          <w:szCs w:val="22"/>
          <w:highlight w:val="none"/>
        </w:rPr>
        <w:fldChar w:fldCharType="separate"/>
      </w:r>
      <w:r>
        <w:rPr>
          <w:rFonts w:ascii="Calibri" w:hAnsi="Calibri"/>
          <w:b/>
          <w:bCs/>
          <w:smallCaps/>
          <w:color w:val="auto"/>
          <w:sz w:val="22"/>
          <w:szCs w:val="22"/>
          <w:highlight w:val="none"/>
        </w:rPr>
        <w:t>50</w:t>
      </w:r>
      <w:r>
        <w:rPr>
          <w:rFonts w:ascii="Calibri" w:hAnsi="Calibri"/>
          <w:b/>
          <w:bCs/>
          <w:smallCaps/>
          <w:color w:val="auto"/>
          <w:sz w:val="22"/>
          <w:szCs w:val="22"/>
          <w:highlight w:val="none"/>
        </w:rPr>
        <w:fldChar w:fldCharType="end"/>
      </w:r>
      <w:r>
        <w:rPr>
          <w:rFonts w:ascii="Calibri" w:hAnsi="Calibri"/>
          <w:b/>
          <w:bCs/>
          <w:smallCaps/>
          <w:color w:val="auto"/>
          <w:sz w:val="22"/>
          <w:szCs w:val="22"/>
          <w:highlight w:val="none"/>
        </w:rPr>
        <w:fldChar w:fldCharType="end"/>
      </w:r>
    </w:p>
    <w:p>
      <w:pPr>
        <w:tabs>
          <w:tab w:val="right" w:leader="dot" w:pos="9638"/>
        </w:tabs>
        <w:jc w:val="left"/>
        <w:rPr>
          <w:rFonts w:ascii="Calibri" w:hAnsi="Calibri"/>
          <w:b/>
          <w:bCs/>
          <w:smallCaps/>
          <w:color w:val="auto"/>
          <w:sz w:val="22"/>
          <w:szCs w:val="22"/>
          <w:highlight w:val="none"/>
        </w:rPr>
      </w:pPr>
      <w:r>
        <w:rPr>
          <w:color w:val="auto"/>
          <w:highlight w:val="none"/>
        </w:rPr>
        <w:fldChar w:fldCharType="begin"/>
      </w:r>
      <w:r>
        <w:rPr>
          <w:color w:val="auto"/>
          <w:highlight w:val="none"/>
        </w:rPr>
        <w:instrText xml:space="preserve"> HYPERLINK \l "_Toc5054" </w:instrText>
      </w:r>
      <w:r>
        <w:rPr>
          <w:color w:val="auto"/>
          <w:highlight w:val="none"/>
        </w:rPr>
        <w:fldChar w:fldCharType="separate"/>
      </w:r>
      <w:r>
        <w:rPr>
          <w:rFonts w:hint="eastAsia" w:ascii="宋体" w:hAnsi="宋体" w:cs="宋体"/>
          <w:b/>
          <w:bCs/>
          <w:smallCaps/>
          <w:color w:val="auto"/>
          <w:sz w:val="22"/>
          <w:szCs w:val="30"/>
          <w:highlight w:val="none"/>
        </w:rPr>
        <w:t>第四节 中标候选人推荐原则</w:t>
      </w:r>
      <w:r>
        <w:rPr>
          <w:rFonts w:ascii="Calibri" w:hAnsi="Calibri"/>
          <w:b/>
          <w:bCs/>
          <w:smallCaps/>
          <w:color w:val="auto"/>
          <w:sz w:val="22"/>
          <w:szCs w:val="22"/>
          <w:highlight w:val="none"/>
        </w:rPr>
        <w:tab/>
      </w:r>
      <w:r>
        <w:rPr>
          <w:rFonts w:ascii="Calibri" w:hAnsi="Calibri"/>
          <w:b/>
          <w:bCs/>
          <w:smallCaps/>
          <w:color w:val="auto"/>
          <w:sz w:val="22"/>
          <w:szCs w:val="22"/>
          <w:highlight w:val="none"/>
        </w:rPr>
        <w:fldChar w:fldCharType="begin"/>
      </w:r>
      <w:r>
        <w:rPr>
          <w:rFonts w:ascii="Calibri" w:hAnsi="Calibri"/>
          <w:b/>
          <w:bCs/>
          <w:smallCaps/>
          <w:color w:val="auto"/>
          <w:sz w:val="22"/>
          <w:szCs w:val="22"/>
          <w:highlight w:val="none"/>
        </w:rPr>
        <w:instrText xml:space="preserve"> PAGEREF _Toc5054 </w:instrText>
      </w:r>
      <w:r>
        <w:rPr>
          <w:rFonts w:ascii="Calibri" w:hAnsi="Calibri"/>
          <w:b/>
          <w:bCs/>
          <w:smallCaps/>
          <w:color w:val="auto"/>
          <w:sz w:val="22"/>
          <w:szCs w:val="22"/>
          <w:highlight w:val="none"/>
        </w:rPr>
        <w:fldChar w:fldCharType="separate"/>
      </w:r>
      <w:r>
        <w:rPr>
          <w:rFonts w:ascii="Calibri" w:hAnsi="Calibri"/>
          <w:b/>
          <w:bCs/>
          <w:smallCaps/>
          <w:color w:val="auto"/>
          <w:sz w:val="22"/>
          <w:szCs w:val="22"/>
          <w:highlight w:val="none"/>
        </w:rPr>
        <w:t>50</w:t>
      </w:r>
      <w:r>
        <w:rPr>
          <w:rFonts w:ascii="Calibri" w:hAnsi="Calibri"/>
          <w:b/>
          <w:bCs/>
          <w:smallCaps/>
          <w:color w:val="auto"/>
          <w:sz w:val="22"/>
          <w:szCs w:val="22"/>
          <w:highlight w:val="none"/>
        </w:rPr>
        <w:fldChar w:fldCharType="end"/>
      </w:r>
      <w:r>
        <w:rPr>
          <w:rFonts w:ascii="Calibri" w:hAnsi="Calibri"/>
          <w:b/>
          <w:bCs/>
          <w:smallCaps/>
          <w:color w:val="auto"/>
          <w:sz w:val="22"/>
          <w:szCs w:val="22"/>
          <w:highlight w:val="none"/>
        </w:rPr>
        <w:fldChar w:fldCharType="end"/>
      </w:r>
    </w:p>
    <w:p>
      <w:pPr>
        <w:tabs>
          <w:tab w:val="right" w:leader="dot" w:pos="9638"/>
        </w:tabs>
        <w:spacing w:line="280" w:lineRule="exact"/>
        <w:jc w:val="left"/>
        <w:rPr>
          <w:rFonts w:ascii="Calibri" w:hAnsi="Calibri"/>
          <w:b/>
          <w:bCs/>
          <w:smallCaps/>
          <w:color w:val="auto"/>
          <w:sz w:val="22"/>
          <w:szCs w:val="22"/>
          <w:highlight w:val="none"/>
        </w:rPr>
      </w:pPr>
      <w:r>
        <w:rPr>
          <w:color w:val="auto"/>
          <w:highlight w:val="none"/>
        </w:rPr>
        <w:fldChar w:fldCharType="begin"/>
      </w:r>
      <w:r>
        <w:rPr>
          <w:color w:val="auto"/>
          <w:highlight w:val="none"/>
        </w:rPr>
        <w:instrText xml:space="preserve"> HYPERLINK \l "_Toc8014" </w:instrText>
      </w:r>
      <w:r>
        <w:rPr>
          <w:color w:val="auto"/>
          <w:highlight w:val="none"/>
        </w:rPr>
        <w:fldChar w:fldCharType="separate"/>
      </w:r>
      <w:r>
        <w:rPr>
          <w:rFonts w:hint="eastAsia" w:ascii="宋体" w:hAnsi="宋体" w:cs="宋体"/>
          <w:b/>
          <w:bCs/>
          <w:smallCaps/>
          <w:color w:val="auto"/>
          <w:sz w:val="22"/>
          <w:szCs w:val="30"/>
          <w:highlight w:val="none"/>
        </w:rPr>
        <w:t>第五节 评标报告</w:t>
      </w:r>
      <w:r>
        <w:rPr>
          <w:rFonts w:ascii="Calibri" w:hAnsi="Calibri"/>
          <w:b/>
          <w:bCs/>
          <w:smallCaps/>
          <w:color w:val="auto"/>
          <w:sz w:val="22"/>
          <w:szCs w:val="22"/>
          <w:highlight w:val="none"/>
        </w:rPr>
        <w:tab/>
      </w:r>
      <w:r>
        <w:rPr>
          <w:rFonts w:ascii="Calibri" w:hAnsi="Calibri"/>
          <w:b/>
          <w:bCs/>
          <w:smallCaps/>
          <w:color w:val="auto"/>
          <w:sz w:val="22"/>
          <w:szCs w:val="22"/>
          <w:highlight w:val="none"/>
        </w:rPr>
        <w:fldChar w:fldCharType="begin"/>
      </w:r>
      <w:r>
        <w:rPr>
          <w:rFonts w:ascii="Calibri" w:hAnsi="Calibri"/>
          <w:b/>
          <w:bCs/>
          <w:smallCaps/>
          <w:color w:val="auto"/>
          <w:sz w:val="22"/>
          <w:szCs w:val="22"/>
          <w:highlight w:val="none"/>
        </w:rPr>
        <w:instrText xml:space="preserve"> PAGEREF _Toc8014 </w:instrText>
      </w:r>
      <w:r>
        <w:rPr>
          <w:rFonts w:ascii="Calibri" w:hAnsi="Calibri"/>
          <w:b/>
          <w:bCs/>
          <w:smallCaps/>
          <w:color w:val="auto"/>
          <w:sz w:val="22"/>
          <w:szCs w:val="22"/>
          <w:highlight w:val="none"/>
        </w:rPr>
        <w:fldChar w:fldCharType="separate"/>
      </w:r>
      <w:r>
        <w:rPr>
          <w:rFonts w:ascii="Calibri" w:hAnsi="Calibri"/>
          <w:b/>
          <w:bCs/>
          <w:smallCaps/>
          <w:color w:val="auto"/>
          <w:sz w:val="22"/>
          <w:szCs w:val="22"/>
          <w:highlight w:val="none"/>
        </w:rPr>
        <w:t>52</w:t>
      </w:r>
      <w:r>
        <w:rPr>
          <w:rFonts w:ascii="Calibri" w:hAnsi="Calibri"/>
          <w:b/>
          <w:bCs/>
          <w:smallCaps/>
          <w:color w:val="auto"/>
          <w:sz w:val="22"/>
          <w:szCs w:val="22"/>
          <w:highlight w:val="none"/>
        </w:rPr>
        <w:fldChar w:fldCharType="end"/>
      </w:r>
      <w:r>
        <w:rPr>
          <w:rFonts w:ascii="Calibri" w:hAnsi="Calibri"/>
          <w:b/>
          <w:bCs/>
          <w:smallCaps/>
          <w:color w:val="auto"/>
          <w:sz w:val="22"/>
          <w:szCs w:val="22"/>
          <w:highlight w:val="none"/>
        </w:rPr>
        <w:fldChar w:fldCharType="end"/>
      </w:r>
    </w:p>
    <w:p>
      <w:pPr>
        <w:tabs>
          <w:tab w:val="right" w:leader="dot" w:pos="9638"/>
        </w:tabs>
        <w:spacing w:before="360" w:after="360" w:line="280" w:lineRule="exact"/>
        <w:jc w:val="left"/>
        <w:rPr>
          <w:rFonts w:ascii="Calibri" w:hAnsi="Calibri"/>
          <w:b/>
          <w:bCs/>
          <w:caps/>
          <w:color w:val="auto"/>
          <w:sz w:val="22"/>
          <w:szCs w:val="22"/>
          <w:highlight w:val="none"/>
          <w:u w:val="single"/>
        </w:rPr>
      </w:pPr>
      <w:r>
        <w:rPr>
          <w:color w:val="auto"/>
          <w:highlight w:val="none"/>
        </w:rPr>
        <w:fldChar w:fldCharType="begin"/>
      </w:r>
      <w:r>
        <w:rPr>
          <w:color w:val="auto"/>
          <w:highlight w:val="none"/>
        </w:rPr>
        <w:instrText xml:space="preserve"> HYPERLINK \l "_Toc17443" </w:instrText>
      </w:r>
      <w:r>
        <w:rPr>
          <w:color w:val="auto"/>
          <w:highlight w:val="none"/>
        </w:rPr>
        <w:fldChar w:fldCharType="separate"/>
      </w:r>
      <w:r>
        <w:rPr>
          <w:rFonts w:hint="eastAsia" w:ascii="宋体" w:hAnsi="宋体" w:cs="宋体"/>
          <w:b/>
          <w:bCs/>
          <w:caps/>
          <w:color w:val="auto"/>
          <w:sz w:val="22"/>
          <w:szCs w:val="22"/>
          <w:highlight w:val="none"/>
          <w:u w:val="single"/>
        </w:rPr>
        <w:t>第五章 拟签订的合同文本</w:t>
      </w:r>
      <w:r>
        <w:rPr>
          <w:rFonts w:ascii="Calibri" w:hAnsi="Calibri"/>
          <w:b/>
          <w:bCs/>
          <w:caps/>
          <w:color w:val="auto"/>
          <w:sz w:val="22"/>
          <w:szCs w:val="22"/>
          <w:highlight w:val="none"/>
          <w:u w:val="single"/>
        </w:rPr>
        <w:tab/>
      </w:r>
      <w:r>
        <w:rPr>
          <w:rFonts w:ascii="Calibri" w:hAnsi="Calibri"/>
          <w:b/>
          <w:bCs/>
          <w:caps/>
          <w:color w:val="auto"/>
          <w:sz w:val="22"/>
          <w:szCs w:val="22"/>
          <w:highlight w:val="none"/>
          <w:u w:val="single"/>
        </w:rPr>
        <w:fldChar w:fldCharType="begin"/>
      </w:r>
      <w:r>
        <w:rPr>
          <w:rFonts w:ascii="Calibri" w:hAnsi="Calibri"/>
          <w:b/>
          <w:bCs/>
          <w:caps/>
          <w:color w:val="auto"/>
          <w:sz w:val="22"/>
          <w:szCs w:val="22"/>
          <w:highlight w:val="none"/>
          <w:u w:val="single"/>
        </w:rPr>
        <w:instrText xml:space="preserve"> PAGEREF _Toc17443 </w:instrText>
      </w:r>
      <w:r>
        <w:rPr>
          <w:rFonts w:ascii="Calibri" w:hAnsi="Calibri"/>
          <w:b/>
          <w:bCs/>
          <w:caps/>
          <w:color w:val="auto"/>
          <w:sz w:val="22"/>
          <w:szCs w:val="22"/>
          <w:highlight w:val="none"/>
          <w:u w:val="single"/>
        </w:rPr>
        <w:fldChar w:fldCharType="separate"/>
      </w:r>
      <w:r>
        <w:rPr>
          <w:rFonts w:ascii="Calibri" w:hAnsi="Calibri"/>
          <w:b/>
          <w:bCs/>
          <w:caps/>
          <w:color w:val="auto"/>
          <w:sz w:val="22"/>
          <w:szCs w:val="22"/>
          <w:highlight w:val="none"/>
          <w:u w:val="single"/>
        </w:rPr>
        <w:t>54</w:t>
      </w:r>
      <w:r>
        <w:rPr>
          <w:rFonts w:ascii="Calibri" w:hAnsi="Calibri"/>
          <w:b/>
          <w:bCs/>
          <w:caps/>
          <w:color w:val="auto"/>
          <w:sz w:val="22"/>
          <w:szCs w:val="22"/>
          <w:highlight w:val="none"/>
          <w:u w:val="single"/>
        </w:rPr>
        <w:fldChar w:fldCharType="end"/>
      </w:r>
      <w:r>
        <w:rPr>
          <w:rFonts w:ascii="Calibri" w:hAnsi="Calibri"/>
          <w:b/>
          <w:bCs/>
          <w:caps/>
          <w:color w:val="auto"/>
          <w:sz w:val="22"/>
          <w:szCs w:val="22"/>
          <w:highlight w:val="none"/>
          <w:u w:val="single"/>
        </w:rPr>
        <w:fldChar w:fldCharType="end"/>
      </w:r>
    </w:p>
    <w:p>
      <w:pPr>
        <w:tabs>
          <w:tab w:val="right" w:leader="dot" w:pos="9638"/>
        </w:tabs>
        <w:spacing w:before="360" w:after="360" w:line="280" w:lineRule="exact"/>
        <w:jc w:val="left"/>
        <w:rPr>
          <w:rFonts w:ascii="Calibri" w:hAnsi="Calibri"/>
          <w:b/>
          <w:bCs/>
          <w:caps/>
          <w:color w:val="auto"/>
          <w:sz w:val="22"/>
          <w:szCs w:val="22"/>
          <w:highlight w:val="none"/>
          <w:u w:val="single"/>
        </w:rPr>
      </w:pPr>
      <w:r>
        <w:rPr>
          <w:color w:val="auto"/>
          <w:highlight w:val="none"/>
        </w:rPr>
        <w:fldChar w:fldCharType="begin"/>
      </w:r>
      <w:r>
        <w:rPr>
          <w:color w:val="auto"/>
          <w:highlight w:val="none"/>
        </w:rPr>
        <w:instrText xml:space="preserve"> HYPERLINK \l "_Toc7880" </w:instrText>
      </w:r>
      <w:r>
        <w:rPr>
          <w:color w:val="auto"/>
          <w:highlight w:val="none"/>
        </w:rPr>
        <w:fldChar w:fldCharType="separate"/>
      </w:r>
      <w:r>
        <w:rPr>
          <w:rFonts w:hint="eastAsia" w:ascii="宋体" w:hAnsi="宋体" w:cs="宋体"/>
          <w:b/>
          <w:bCs/>
          <w:caps/>
          <w:color w:val="auto"/>
          <w:sz w:val="22"/>
          <w:szCs w:val="22"/>
          <w:highlight w:val="none"/>
          <w:u w:val="single"/>
        </w:rPr>
        <w:t>第六章 投标文件格式</w:t>
      </w:r>
      <w:r>
        <w:rPr>
          <w:rFonts w:ascii="Calibri" w:hAnsi="Calibri"/>
          <w:b/>
          <w:bCs/>
          <w:caps/>
          <w:color w:val="auto"/>
          <w:sz w:val="22"/>
          <w:szCs w:val="22"/>
          <w:highlight w:val="none"/>
          <w:u w:val="single"/>
        </w:rPr>
        <w:tab/>
      </w:r>
      <w:r>
        <w:rPr>
          <w:rFonts w:ascii="Calibri" w:hAnsi="Calibri"/>
          <w:b/>
          <w:bCs/>
          <w:caps/>
          <w:color w:val="auto"/>
          <w:sz w:val="22"/>
          <w:szCs w:val="22"/>
          <w:highlight w:val="none"/>
          <w:u w:val="single"/>
        </w:rPr>
        <w:fldChar w:fldCharType="begin"/>
      </w:r>
      <w:r>
        <w:rPr>
          <w:rFonts w:ascii="Calibri" w:hAnsi="Calibri"/>
          <w:b/>
          <w:bCs/>
          <w:caps/>
          <w:color w:val="auto"/>
          <w:sz w:val="22"/>
          <w:szCs w:val="22"/>
          <w:highlight w:val="none"/>
          <w:u w:val="single"/>
        </w:rPr>
        <w:instrText xml:space="preserve"> PAGEREF _Toc7880 </w:instrText>
      </w:r>
      <w:r>
        <w:rPr>
          <w:rFonts w:ascii="Calibri" w:hAnsi="Calibri"/>
          <w:b/>
          <w:bCs/>
          <w:caps/>
          <w:color w:val="auto"/>
          <w:sz w:val="22"/>
          <w:szCs w:val="22"/>
          <w:highlight w:val="none"/>
          <w:u w:val="single"/>
        </w:rPr>
        <w:fldChar w:fldCharType="separate"/>
      </w:r>
      <w:r>
        <w:rPr>
          <w:rFonts w:ascii="Calibri" w:hAnsi="Calibri"/>
          <w:b/>
          <w:bCs/>
          <w:caps/>
          <w:color w:val="auto"/>
          <w:sz w:val="22"/>
          <w:szCs w:val="22"/>
          <w:highlight w:val="none"/>
          <w:u w:val="single"/>
        </w:rPr>
        <w:t>63</w:t>
      </w:r>
      <w:r>
        <w:rPr>
          <w:rFonts w:ascii="Calibri" w:hAnsi="Calibri"/>
          <w:b/>
          <w:bCs/>
          <w:caps/>
          <w:color w:val="auto"/>
          <w:sz w:val="22"/>
          <w:szCs w:val="22"/>
          <w:highlight w:val="none"/>
          <w:u w:val="single"/>
        </w:rPr>
        <w:fldChar w:fldCharType="end"/>
      </w:r>
      <w:r>
        <w:rPr>
          <w:rFonts w:ascii="Calibri" w:hAnsi="Calibri"/>
          <w:b/>
          <w:bCs/>
          <w:caps/>
          <w:color w:val="auto"/>
          <w:sz w:val="22"/>
          <w:szCs w:val="22"/>
          <w:highlight w:val="none"/>
          <w:u w:val="single"/>
        </w:rPr>
        <w:fldChar w:fldCharType="end"/>
      </w:r>
    </w:p>
    <w:p>
      <w:pPr>
        <w:tabs>
          <w:tab w:val="right" w:leader="dot" w:pos="9638"/>
        </w:tabs>
        <w:jc w:val="left"/>
        <w:rPr>
          <w:rFonts w:ascii="Calibri" w:hAnsi="Calibri"/>
          <w:b/>
          <w:bCs/>
          <w:smallCaps/>
          <w:color w:val="auto"/>
          <w:sz w:val="22"/>
          <w:szCs w:val="22"/>
          <w:highlight w:val="none"/>
        </w:rPr>
      </w:pPr>
      <w:r>
        <w:rPr>
          <w:color w:val="auto"/>
          <w:highlight w:val="none"/>
        </w:rPr>
        <w:fldChar w:fldCharType="begin"/>
      </w:r>
      <w:r>
        <w:rPr>
          <w:color w:val="auto"/>
          <w:highlight w:val="none"/>
        </w:rPr>
        <w:instrText xml:space="preserve"> HYPERLINK \l "_Toc5213" </w:instrText>
      </w:r>
      <w:r>
        <w:rPr>
          <w:color w:val="auto"/>
          <w:highlight w:val="none"/>
        </w:rPr>
        <w:fldChar w:fldCharType="separate"/>
      </w:r>
      <w:r>
        <w:rPr>
          <w:rFonts w:hint="eastAsia" w:ascii="Calibri" w:hAnsi="宋体" w:cs="宋体"/>
          <w:b/>
          <w:bCs/>
          <w:smallCaps/>
          <w:color w:val="auto"/>
          <w:sz w:val="22"/>
          <w:szCs w:val="28"/>
          <w:highlight w:val="none"/>
        </w:rPr>
        <w:t>第一节 投标文件外层封面</w:t>
      </w:r>
      <w:r>
        <w:rPr>
          <w:rFonts w:ascii="Calibri" w:hAnsi="Calibri"/>
          <w:b/>
          <w:bCs/>
          <w:smallCaps/>
          <w:color w:val="auto"/>
          <w:sz w:val="22"/>
          <w:szCs w:val="22"/>
          <w:highlight w:val="none"/>
        </w:rPr>
        <w:tab/>
      </w:r>
      <w:r>
        <w:rPr>
          <w:rFonts w:ascii="Calibri" w:hAnsi="Calibri"/>
          <w:b/>
          <w:bCs/>
          <w:smallCaps/>
          <w:color w:val="auto"/>
          <w:sz w:val="22"/>
          <w:szCs w:val="22"/>
          <w:highlight w:val="none"/>
        </w:rPr>
        <w:fldChar w:fldCharType="begin"/>
      </w:r>
      <w:r>
        <w:rPr>
          <w:rFonts w:ascii="Calibri" w:hAnsi="Calibri"/>
          <w:b/>
          <w:bCs/>
          <w:smallCaps/>
          <w:color w:val="auto"/>
          <w:sz w:val="22"/>
          <w:szCs w:val="22"/>
          <w:highlight w:val="none"/>
        </w:rPr>
        <w:instrText xml:space="preserve"> PAGEREF _Toc5213 </w:instrText>
      </w:r>
      <w:r>
        <w:rPr>
          <w:rFonts w:ascii="Calibri" w:hAnsi="Calibri"/>
          <w:b/>
          <w:bCs/>
          <w:smallCaps/>
          <w:color w:val="auto"/>
          <w:sz w:val="22"/>
          <w:szCs w:val="22"/>
          <w:highlight w:val="none"/>
        </w:rPr>
        <w:fldChar w:fldCharType="separate"/>
      </w:r>
      <w:r>
        <w:rPr>
          <w:rFonts w:ascii="Calibri" w:hAnsi="Calibri"/>
          <w:b/>
          <w:bCs/>
          <w:smallCaps/>
          <w:color w:val="auto"/>
          <w:sz w:val="22"/>
          <w:szCs w:val="22"/>
          <w:highlight w:val="none"/>
        </w:rPr>
        <w:t>63</w:t>
      </w:r>
      <w:r>
        <w:rPr>
          <w:rFonts w:ascii="Calibri" w:hAnsi="Calibri"/>
          <w:b/>
          <w:bCs/>
          <w:smallCaps/>
          <w:color w:val="auto"/>
          <w:sz w:val="22"/>
          <w:szCs w:val="22"/>
          <w:highlight w:val="none"/>
        </w:rPr>
        <w:fldChar w:fldCharType="end"/>
      </w:r>
      <w:r>
        <w:rPr>
          <w:rFonts w:ascii="Calibri" w:hAnsi="Calibri"/>
          <w:b/>
          <w:bCs/>
          <w:smallCaps/>
          <w:color w:val="auto"/>
          <w:sz w:val="22"/>
          <w:szCs w:val="22"/>
          <w:highlight w:val="none"/>
        </w:rPr>
        <w:fldChar w:fldCharType="end"/>
      </w:r>
    </w:p>
    <w:p>
      <w:pPr>
        <w:tabs>
          <w:tab w:val="right" w:leader="dot" w:pos="9638"/>
        </w:tabs>
        <w:jc w:val="left"/>
        <w:rPr>
          <w:rFonts w:ascii="Calibri" w:hAnsi="Calibri"/>
          <w:b/>
          <w:bCs/>
          <w:smallCaps/>
          <w:color w:val="auto"/>
          <w:sz w:val="22"/>
          <w:szCs w:val="22"/>
          <w:highlight w:val="none"/>
        </w:rPr>
      </w:pPr>
      <w:r>
        <w:rPr>
          <w:color w:val="auto"/>
          <w:highlight w:val="none"/>
        </w:rPr>
        <w:fldChar w:fldCharType="begin"/>
      </w:r>
      <w:r>
        <w:rPr>
          <w:color w:val="auto"/>
          <w:highlight w:val="none"/>
        </w:rPr>
        <w:instrText xml:space="preserve"> HYPERLINK \l "_Toc16447" </w:instrText>
      </w:r>
      <w:r>
        <w:rPr>
          <w:color w:val="auto"/>
          <w:highlight w:val="none"/>
        </w:rPr>
        <w:fldChar w:fldCharType="separate"/>
      </w:r>
      <w:r>
        <w:rPr>
          <w:rFonts w:hint="eastAsia" w:ascii="Calibri" w:hAnsi="宋体" w:cs="宋体"/>
          <w:b/>
          <w:bCs/>
          <w:smallCaps/>
          <w:color w:val="auto"/>
          <w:sz w:val="22"/>
          <w:szCs w:val="28"/>
          <w:highlight w:val="none"/>
        </w:rPr>
        <w:t>第二节 资格证明文件格式</w:t>
      </w:r>
      <w:r>
        <w:rPr>
          <w:rFonts w:ascii="Calibri" w:hAnsi="Calibri"/>
          <w:b/>
          <w:bCs/>
          <w:smallCaps/>
          <w:color w:val="auto"/>
          <w:sz w:val="22"/>
          <w:szCs w:val="22"/>
          <w:highlight w:val="none"/>
        </w:rPr>
        <w:tab/>
      </w:r>
      <w:r>
        <w:rPr>
          <w:rFonts w:ascii="Calibri" w:hAnsi="Calibri"/>
          <w:b/>
          <w:bCs/>
          <w:smallCaps/>
          <w:color w:val="auto"/>
          <w:sz w:val="22"/>
          <w:szCs w:val="22"/>
          <w:highlight w:val="none"/>
        </w:rPr>
        <w:fldChar w:fldCharType="begin"/>
      </w:r>
      <w:r>
        <w:rPr>
          <w:rFonts w:ascii="Calibri" w:hAnsi="Calibri"/>
          <w:b/>
          <w:bCs/>
          <w:smallCaps/>
          <w:color w:val="auto"/>
          <w:sz w:val="22"/>
          <w:szCs w:val="22"/>
          <w:highlight w:val="none"/>
        </w:rPr>
        <w:instrText xml:space="preserve"> PAGEREF _Toc16447 </w:instrText>
      </w:r>
      <w:r>
        <w:rPr>
          <w:rFonts w:ascii="Calibri" w:hAnsi="Calibri"/>
          <w:b/>
          <w:bCs/>
          <w:smallCaps/>
          <w:color w:val="auto"/>
          <w:sz w:val="22"/>
          <w:szCs w:val="22"/>
          <w:highlight w:val="none"/>
        </w:rPr>
        <w:fldChar w:fldCharType="separate"/>
      </w:r>
      <w:r>
        <w:rPr>
          <w:rFonts w:ascii="Calibri" w:hAnsi="Calibri"/>
          <w:b/>
          <w:bCs/>
          <w:smallCaps/>
          <w:color w:val="auto"/>
          <w:sz w:val="22"/>
          <w:szCs w:val="22"/>
          <w:highlight w:val="none"/>
        </w:rPr>
        <w:t>65</w:t>
      </w:r>
      <w:r>
        <w:rPr>
          <w:rFonts w:ascii="Calibri" w:hAnsi="Calibri"/>
          <w:b/>
          <w:bCs/>
          <w:smallCaps/>
          <w:color w:val="auto"/>
          <w:sz w:val="22"/>
          <w:szCs w:val="22"/>
          <w:highlight w:val="none"/>
        </w:rPr>
        <w:fldChar w:fldCharType="end"/>
      </w:r>
      <w:r>
        <w:rPr>
          <w:rFonts w:ascii="Calibri" w:hAnsi="Calibri"/>
          <w:b/>
          <w:bCs/>
          <w:smallCaps/>
          <w:color w:val="auto"/>
          <w:sz w:val="22"/>
          <w:szCs w:val="22"/>
          <w:highlight w:val="none"/>
        </w:rPr>
        <w:fldChar w:fldCharType="end"/>
      </w:r>
    </w:p>
    <w:p>
      <w:pPr>
        <w:tabs>
          <w:tab w:val="right" w:leader="dot" w:pos="9638"/>
        </w:tabs>
        <w:jc w:val="left"/>
        <w:rPr>
          <w:rFonts w:ascii="Calibri" w:hAnsi="Calibri"/>
          <w:b/>
          <w:bCs/>
          <w:smallCaps/>
          <w:color w:val="auto"/>
          <w:sz w:val="22"/>
          <w:szCs w:val="22"/>
          <w:highlight w:val="none"/>
        </w:rPr>
      </w:pPr>
      <w:r>
        <w:rPr>
          <w:color w:val="auto"/>
          <w:highlight w:val="none"/>
        </w:rPr>
        <w:fldChar w:fldCharType="begin"/>
      </w:r>
      <w:r>
        <w:rPr>
          <w:color w:val="auto"/>
          <w:highlight w:val="none"/>
        </w:rPr>
        <w:instrText xml:space="preserve"> HYPERLINK \l "_Toc32555" </w:instrText>
      </w:r>
      <w:r>
        <w:rPr>
          <w:color w:val="auto"/>
          <w:highlight w:val="none"/>
        </w:rPr>
        <w:fldChar w:fldCharType="separate"/>
      </w:r>
      <w:r>
        <w:rPr>
          <w:rFonts w:hint="eastAsia" w:ascii="Calibri" w:hAnsi="宋体" w:cs="宋体"/>
          <w:b/>
          <w:bCs/>
          <w:smallCaps/>
          <w:color w:val="auto"/>
          <w:sz w:val="22"/>
          <w:szCs w:val="28"/>
          <w:highlight w:val="none"/>
        </w:rPr>
        <w:t>第三节 商务文件格式</w:t>
      </w:r>
      <w:r>
        <w:rPr>
          <w:rFonts w:ascii="Calibri" w:hAnsi="Calibri"/>
          <w:b/>
          <w:bCs/>
          <w:smallCaps/>
          <w:color w:val="auto"/>
          <w:sz w:val="22"/>
          <w:szCs w:val="22"/>
          <w:highlight w:val="none"/>
        </w:rPr>
        <w:tab/>
      </w:r>
      <w:r>
        <w:rPr>
          <w:rFonts w:ascii="Calibri" w:hAnsi="Calibri"/>
          <w:b/>
          <w:bCs/>
          <w:smallCaps/>
          <w:color w:val="auto"/>
          <w:sz w:val="22"/>
          <w:szCs w:val="22"/>
          <w:highlight w:val="none"/>
        </w:rPr>
        <w:fldChar w:fldCharType="begin"/>
      </w:r>
      <w:r>
        <w:rPr>
          <w:rFonts w:ascii="Calibri" w:hAnsi="Calibri"/>
          <w:b/>
          <w:bCs/>
          <w:smallCaps/>
          <w:color w:val="auto"/>
          <w:sz w:val="22"/>
          <w:szCs w:val="22"/>
          <w:highlight w:val="none"/>
        </w:rPr>
        <w:instrText xml:space="preserve"> PAGEREF _Toc32555 </w:instrText>
      </w:r>
      <w:r>
        <w:rPr>
          <w:rFonts w:ascii="Calibri" w:hAnsi="Calibri"/>
          <w:b/>
          <w:bCs/>
          <w:smallCaps/>
          <w:color w:val="auto"/>
          <w:sz w:val="22"/>
          <w:szCs w:val="22"/>
          <w:highlight w:val="none"/>
        </w:rPr>
        <w:fldChar w:fldCharType="separate"/>
      </w:r>
      <w:r>
        <w:rPr>
          <w:rFonts w:ascii="Calibri" w:hAnsi="Calibri"/>
          <w:b/>
          <w:bCs/>
          <w:smallCaps/>
          <w:color w:val="auto"/>
          <w:sz w:val="22"/>
          <w:szCs w:val="22"/>
          <w:highlight w:val="none"/>
        </w:rPr>
        <w:t>71</w:t>
      </w:r>
      <w:r>
        <w:rPr>
          <w:rFonts w:ascii="Calibri" w:hAnsi="Calibri"/>
          <w:b/>
          <w:bCs/>
          <w:smallCaps/>
          <w:color w:val="auto"/>
          <w:sz w:val="22"/>
          <w:szCs w:val="22"/>
          <w:highlight w:val="none"/>
        </w:rPr>
        <w:fldChar w:fldCharType="end"/>
      </w:r>
      <w:r>
        <w:rPr>
          <w:rFonts w:ascii="Calibri" w:hAnsi="Calibri"/>
          <w:b/>
          <w:bCs/>
          <w:smallCaps/>
          <w:color w:val="auto"/>
          <w:sz w:val="22"/>
          <w:szCs w:val="22"/>
          <w:highlight w:val="none"/>
        </w:rPr>
        <w:fldChar w:fldCharType="end"/>
      </w:r>
    </w:p>
    <w:p>
      <w:pPr>
        <w:tabs>
          <w:tab w:val="right" w:leader="dot" w:pos="9638"/>
        </w:tabs>
        <w:jc w:val="left"/>
        <w:rPr>
          <w:rFonts w:ascii="Calibri" w:hAnsi="Calibri"/>
          <w:b/>
          <w:bCs/>
          <w:smallCaps/>
          <w:color w:val="auto"/>
          <w:sz w:val="22"/>
          <w:szCs w:val="22"/>
          <w:highlight w:val="none"/>
        </w:rPr>
      </w:pPr>
      <w:r>
        <w:rPr>
          <w:color w:val="auto"/>
          <w:highlight w:val="none"/>
        </w:rPr>
        <w:fldChar w:fldCharType="begin"/>
      </w:r>
      <w:r>
        <w:rPr>
          <w:color w:val="auto"/>
          <w:highlight w:val="none"/>
        </w:rPr>
        <w:instrText xml:space="preserve"> HYPERLINK \l "_Toc352" </w:instrText>
      </w:r>
      <w:r>
        <w:rPr>
          <w:color w:val="auto"/>
          <w:highlight w:val="none"/>
        </w:rPr>
        <w:fldChar w:fldCharType="separate"/>
      </w:r>
      <w:r>
        <w:rPr>
          <w:rFonts w:hint="eastAsia" w:ascii="Calibri" w:hAnsi="宋体" w:cs="宋体"/>
          <w:b/>
          <w:bCs/>
          <w:smallCaps/>
          <w:color w:val="auto"/>
          <w:sz w:val="22"/>
          <w:szCs w:val="28"/>
          <w:highlight w:val="none"/>
        </w:rPr>
        <w:t>第四节 技术文件格式</w:t>
      </w:r>
      <w:r>
        <w:rPr>
          <w:rFonts w:ascii="Calibri" w:hAnsi="Calibri"/>
          <w:b/>
          <w:bCs/>
          <w:smallCaps/>
          <w:color w:val="auto"/>
          <w:sz w:val="22"/>
          <w:szCs w:val="22"/>
          <w:highlight w:val="none"/>
        </w:rPr>
        <w:tab/>
      </w:r>
      <w:r>
        <w:rPr>
          <w:rFonts w:ascii="Calibri" w:hAnsi="Calibri"/>
          <w:b/>
          <w:bCs/>
          <w:smallCaps/>
          <w:color w:val="auto"/>
          <w:sz w:val="22"/>
          <w:szCs w:val="22"/>
          <w:highlight w:val="none"/>
        </w:rPr>
        <w:fldChar w:fldCharType="begin"/>
      </w:r>
      <w:r>
        <w:rPr>
          <w:rFonts w:ascii="Calibri" w:hAnsi="Calibri"/>
          <w:b/>
          <w:bCs/>
          <w:smallCaps/>
          <w:color w:val="auto"/>
          <w:sz w:val="22"/>
          <w:szCs w:val="22"/>
          <w:highlight w:val="none"/>
        </w:rPr>
        <w:instrText xml:space="preserve"> PAGEREF _Toc352 </w:instrText>
      </w:r>
      <w:r>
        <w:rPr>
          <w:rFonts w:ascii="Calibri" w:hAnsi="Calibri"/>
          <w:b/>
          <w:bCs/>
          <w:smallCaps/>
          <w:color w:val="auto"/>
          <w:sz w:val="22"/>
          <w:szCs w:val="22"/>
          <w:highlight w:val="none"/>
        </w:rPr>
        <w:fldChar w:fldCharType="separate"/>
      </w:r>
      <w:r>
        <w:rPr>
          <w:rFonts w:ascii="Calibri" w:hAnsi="Calibri"/>
          <w:b/>
          <w:bCs/>
          <w:smallCaps/>
          <w:color w:val="auto"/>
          <w:sz w:val="22"/>
          <w:szCs w:val="22"/>
          <w:highlight w:val="none"/>
        </w:rPr>
        <w:t>78</w:t>
      </w:r>
      <w:r>
        <w:rPr>
          <w:rFonts w:ascii="Calibri" w:hAnsi="Calibri"/>
          <w:b/>
          <w:bCs/>
          <w:smallCaps/>
          <w:color w:val="auto"/>
          <w:sz w:val="22"/>
          <w:szCs w:val="22"/>
          <w:highlight w:val="none"/>
        </w:rPr>
        <w:fldChar w:fldCharType="end"/>
      </w:r>
      <w:r>
        <w:rPr>
          <w:rFonts w:ascii="Calibri" w:hAnsi="Calibri"/>
          <w:b/>
          <w:bCs/>
          <w:smallCaps/>
          <w:color w:val="auto"/>
          <w:sz w:val="22"/>
          <w:szCs w:val="22"/>
          <w:highlight w:val="none"/>
        </w:rPr>
        <w:fldChar w:fldCharType="end"/>
      </w:r>
    </w:p>
    <w:p>
      <w:pPr>
        <w:tabs>
          <w:tab w:val="right" w:leader="dot" w:pos="9638"/>
        </w:tabs>
        <w:jc w:val="left"/>
        <w:rPr>
          <w:rFonts w:ascii="Calibri" w:hAnsi="Calibri"/>
          <w:b/>
          <w:bCs/>
          <w:smallCaps/>
          <w:color w:val="auto"/>
          <w:sz w:val="22"/>
          <w:szCs w:val="22"/>
          <w:highlight w:val="none"/>
        </w:rPr>
      </w:pPr>
      <w:r>
        <w:rPr>
          <w:color w:val="auto"/>
          <w:highlight w:val="none"/>
        </w:rPr>
        <w:fldChar w:fldCharType="begin"/>
      </w:r>
      <w:r>
        <w:rPr>
          <w:color w:val="auto"/>
          <w:highlight w:val="none"/>
        </w:rPr>
        <w:instrText xml:space="preserve"> HYPERLINK \l "_Toc27076" </w:instrText>
      </w:r>
      <w:r>
        <w:rPr>
          <w:color w:val="auto"/>
          <w:highlight w:val="none"/>
        </w:rPr>
        <w:fldChar w:fldCharType="separate"/>
      </w:r>
      <w:r>
        <w:rPr>
          <w:rFonts w:hint="eastAsia" w:ascii="Calibri" w:hAnsi="宋体" w:cs="宋体"/>
          <w:b/>
          <w:bCs/>
          <w:smallCaps/>
          <w:color w:val="auto"/>
          <w:sz w:val="22"/>
          <w:szCs w:val="28"/>
          <w:highlight w:val="none"/>
        </w:rPr>
        <w:t>第五节 报价文件格式</w:t>
      </w:r>
      <w:r>
        <w:rPr>
          <w:rFonts w:ascii="Calibri" w:hAnsi="Calibri"/>
          <w:b/>
          <w:bCs/>
          <w:smallCaps/>
          <w:color w:val="auto"/>
          <w:sz w:val="22"/>
          <w:szCs w:val="22"/>
          <w:highlight w:val="none"/>
        </w:rPr>
        <w:tab/>
      </w:r>
      <w:r>
        <w:rPr>
          <w:rFonts w:ascii="Calibri" w:hAnsi="Calibri"/>
          <w:b/>
          <w:bCs/>
          <w:smallCaps/>
          <w:color w:val="auto"/>
          <w:sz w:val="22"/>
          <w:szCs w:val="22"/>
          <w:highlight w:val="none"/>
        </w:rPr>
        <w:fldChar w:fldCharType="begin"/>
      </w:r>
      <w:r>
        <w:rPr>
          <w:rFonts w:ascii="Calibri" w:hAnsi="Calibri"/>
          <w:b/>
          <w:bCs/>
          <w:smallCaps/>
          <w:color w:val="auto"/>
          <w:sz w:val="22"/>
          <w:szCs w:val="22"/>
          <w:highlight w:val="none"/>
        </w:rPr>
        <w:instrText xml:space="preserve"> PAGEREF _Toc27076 </w:instrText>
      </w:r>
      <w:r>
        <w:rPr>
          <w:rFonts w:ascii="Calibri" w:hAnsi="Calibri"/>
          <w:b/>
          <w:bCs/>
          <w:smallCaps/>
          <w:color w:val="auto"/>
          <w:sz w:val="22"/>
          <w:szCs w:val="22"/>
          <w:highlight w:val="none"/>
        </w:rPr>
        <w:fldChar w:fldCharType="separate"/>
      </w:r>
      <w:r>
        <w:rPr>
          <w:rFonts w:ascii="Calibri" w:hAnsi="Calibri"/>
          <w:b/>
          <w:bCs/>
          <w:smallCaps/>
          <w:color w:val="auto"/>
          <w:sz w:val="22"/>
          <w:szCs w:val="22"/>
          <w:highlight w:val="none"/>
        </w:rPr>
        <w:t>81</w:t>
      </w:r>
      <w:r>
        <w:rPr>
          <w:rFonts w:ascii="Calibri" w:hAnsi="Calibri"/>
          <w:b/>
          <w:bCs/>
          <w:smallCaps/>
          <w:color w:val="auto"/>
          <w:sz w:val="22"/>
          <w:szCs w:val="22"/>
          <w:highlight w:val="none"/>
        </w:rPr>
        <w:fldChar w:fldCharType="end"/>
      </w:r>
      <w:r>
        <w:rPr>
          <w:rFonts w:ascii="Calibri" w:hAnsi="Calibri"/>
          <w:b/>
          <w:bCs/>
          <w:smallCaps/>
          <w:color w:val="auto"/>
          <w:sz w:val="22"/>
          <w:szCs w:val="22"/>
          <w:highlight w:val="none"/>
        </w:rPr>
        <w:fldChar w:fldCharType="end"/>
      </w:r>
    </w:p>
    <w:p>
      <w:pPr>
        <w:tabs>
          <w:tab w:val="right" w:leader="dot" w:pos="9638"/>
        </w:tabs>
        <w:spacing w:line="280" w:lineRule="exact"/>
        <w:jc w:val="left"/>
        <w:rPr>
          <w:rFonts w:ascii="Calibri" w:hAnsi="Calibri"/>
          <w:b/>
          <w:bCs/>
          <w:smallCaps/>
          <w:color w:val="auto"/>
          <w:sz w:val="22"/>
          <w:szCs w:val="22"/>
          <w:highlight w:val="none"/>
        </w:rPr>
      </w:pPr>
      <w:r>
        <w:rPr>
          <w:color w:val="auto"/>
          <w:highlight w:val="none"/>
        </w:rPr>
        <w:fldChar w:fldCharType="begin"/>
      </w:r>
      <w:r>
        <w:rPr>
          <w:color w:val="auto"/>
          <w:highlight w:val="none"/>
        </w:rPr>
        <w:instrText xml:space="preserve"> HYPERLINK \l "_Toc8131" </w:instrText>
      </w:r>
      <w:r>
        <w:rPr>
          <w:color w:val="auto"/>
          <w:highlight w:val="none"/>
        </w:rPr>
        <w:fldChar w:fldCharType="separate"/>
      </w:r>
      <w:r>
        <w:rPr>
          <w:rFonts w:hint="eastAsia" w:ascii="宋体" w:hAnsi="宋体" w:cs="宋体"/>
          <w:b/>
          <w:bCs/>
          <w:smallCaps/>
          <w:color w:val="auto"/>
          <w:sz w:val="22"/>
          <w:szCs w:val="28"/>
          <w:highlight w:val="none"/>
        </w:rPr>
        <w:t>第六节 其他文书、文件格式</w:t>
      </w:r>
      <w:r>
        <w:rPr>
          <w:rFonts w:ascii="Calibri" w:hAnsi="Calibri"/>
          <w:b/>
          <w:bCs/>
          <w:smallCaps/>
          <w:color w:val="auto"/>
          <w:sz w:val="22"/>
          <w:szCs w:val="22"/>
          <w:highlight w:val="none"/>
        </w:rPr>
        <w:tab/>
      </w:r>
      <w:r>
        <w:rPr>
          <w:rFonts w:ascii="Calibri" w:hAnsi="Calibri"/>
          <w:b/>
          <w:bCs/>
          <w:smallCaps/>
          <w:color w:val="auto"/>
          <w:sz w:val="22"/>
          <w:szCs w:val="22"/>
          <w:highlight w:val="none"/>
        </w:rPr>
        <w:fldChar w:fldCharType="begin"/>
      </w:r>
      <w:r>
        <w:rPr>
          <w:rFonts w:ascii="Calibri" w:hAnsi="Calibri"/>
          <w:b/>
          <w:bCs/>
          <w:smallCaps/>
          <w:color w:val="auto"/>
          <w:sz w:val="22"/>
          <w:szCs w:val="22"/>
          <w:highlight w:val="none"/>
        </w:rPr>
        <w:instrText xml:space="preserve"> PAGEREF _Toc8131 </w:instrText>
      </w:r>
      <w:r>
        <w:rPr>
          <w:rFonts w:ascii="Calibri" w:hAnsi="Calibri"/>
          <w:b/>
          <w:bCs/>
          <w:smallCaps/>
          <w:color w:val="auto"/>
          <w:sz w:val="22"/>
          <w:szCs w:val="22"/>
          <w:highlight w:val="none"/>
        </w:rPr>
        <w:fldChar w:fldCharType="separate"/>
      </w:r>
      <w:r>
        <w:rPr>
          <w:rFonts w:ascii="Calibri" w:hAnsi="Calibri"/>
          <w:b/>
          <w:bCs/>
          <w:smallCaps/>
          <w:color w:val="auto"/>
          <w:sz w:val="22"/>
          <w:szCs w:val="22"/>
          <w:highlight w:val="none"/>
        </w:rPr>
        <w:t>86</w:t>
      </w:r>
      <w:r>
        <w:rPr>
          <w:rFonts w:ascii="Calibri" w:hAnsi="Calibri"/>
          <w:b/>
          <w:bCs/>
          <w:smallCaps/>
          <w:color w:val="auto"/>
          <w:sz w:val="22"/>
          <w:szCs w:val="22"/>
          <w:highlight w:val="none"/>
        </w:rPr>
        <w:fldChar w:fldCharType="end"/>
      </w:r>
      <w:r>
        <w:rPr>
          <w:rFonts w:ascii="Calibri" w:hAnsi="Calibri"/>
          <w:b/>
          <w:bCs/>
          <w:smallCaps/>
          <w:color w:val="auto"/>
          <w:sz w:val="22"/>
          <w:szCs w:val="22"/>
          <w:highlight w:val="none"/>
        </w:rPr>
        <w:fldChar w:fldCharType="end"/>
      </w:r>
    </w:p>
    <w:p>
      <w:pPr>
        <w:tabs>
          <w:tab w:val="right" w:leader="dot" w:pos="9638"/>
        </w:tabs>
        <w:spacing w:before="360" w:after="360" w:line="280" w:lineRule="exact"/>
        <w:jc w:val="left"/>
        <w:rPr>
          <w:rFonts w:ascii="Calibri" w:hAnsi="Calibri"/>
          <w:b/>
          <w:bCs/>
          <w:caps/>
          <w:color w:val="auto"/>
          <w:sz w:val="22"/>
          <w:szCs w:val="22"/>
          <w:highlight w:val="none"/>
          <w:u w:val="single"/>
        </w:rPr>
      </w:pPr>
      <w:r>
        <w:rPr>
          <w:color w:val="auto"/>
          <w:highlight w:val="none"/>
        </w:rPr>
        <w:fldChar w:fldCharType="begin"/>
      </w:r>
      <w:r>
        <w:rPr>
          <w:color w:val="auto"/>
          <w:highlight w:val="none"/>
        </w:rPr>
        <w:instrText xml:space="preserve"> HYPERLINK \l "_Toc15281" </w:instrText>
      </w:r>
      <w:r>
        <w:rPr>
          <w:color w:val="auto"/>
          <w:highlight w:val="none"/>
        </w:rPr>
        <w:fldChar w:fldCharType="separate"/>
      </w:r>
      <w:r>
        <w:rPr>
          <w:rFonts w:hint="eastAsia" w:ascii="宋体" w:hAnsi="宋体" w:cs="宋体"/>
          <w:b/>
          <w:bCs/>
          <w:caps/>
          <w:color w:val="auto"/>
          <w:sz w:val="22"/>
          <w:szCs w:val="22"/>
          <w:highlight w:val="none"/>
          <w:u w:val="single"/>
        </w:rPr>
        <w:t>第七章 质疑、投诉材料格</w:t>
      </w:r>
      <w:r>
        <w:rPr>
          <w:rFonts w:hint="eastAsia" w:ascii="Calibri" w:hAnsi="宋体" w:cs="宋体"/>
          <w:b/>
          <w:bCs/>
          <w:caps/>
          <w:color w:val="auto"/>
          <w:sz w:val="22"/>
          <w:szCs w:val="22"/>
          <w:highlight w:val="none"/>
          <w:u w:val="single"/>
        </w:rPr>
        <w:t>式</w:t>
      </w:r>
      <w:r>
        <w:rPr>
          <w:rFonts w:ascii="Calibri" w:hAnsi="Calibri"/>
          <w:b/>
          <w:bCs/>
          <w:caps/>
          <w:color w:val="auto"/>
          <w:sz w:val="22"/>
          <w:szCs w:val="22"/>
          <w:highlight w:val="none"/>
          <w:u w:val="single"/>
        </w:rPr>
        <w:tab/>
      </w:r>
      <w:r>
        <w:rPr>
          <w:rFonts w:ascii="Calibri" w:hAnsi="Calibri"/>
          <w:b/>
          <w:bCs/>
          <w:caps/>
          <w:color w:val="auto"/>
          <w:sz w:val="22"/>
          <w:szCs w:val="22"/>
          <w:highlight w:val="none"/>
          <w:u w:val="single"/>
        </w:rPr>
        <w:fldChar w:fldCharType="begin"/>
      </w:r>
      <w:r>
        <w:rPr>
          <w:rFonts w:ascii="Calibri" w:hAnsi="Calibri"/>
          <w:b/>
          <w:bCs/>
          <w:caps/>
          <w:color w:val="auto"/>
          <w:sz w:val="22"/>
          <w:szCs w:val="22"/>
          <w:highlight w:val="none"/>
          <w:u w:val="single"/>
        </w:rPr>
        <w:instrText xml:space="preserve"> PAGEREF _Toc15281 </w:instrText>
      </w:r>
      <w:r>
        <w:rPr>
          <w:rFonts w:ascii="Calibri" w:hAnsi="Calibri"/>
          <w:b/>
          <w:bCs/>
          <w:caps/>
          <w:color w:val="auto"/>
          <w:sz w:val="22"/>
          <w:szCs w:val="22"/>
          <w:highlight w:val="none"/>
          <w:u w:val="single"/>
        </w:rPr>
        <w:fldChar w:fldCharType="separate"/>
      </w:r>
      <w:r>
        <w:rPr>
          <w:rFonts w:ascii="Calibri" w:hAnsi="Calibri"/>
          <w:b/>
          <w:bCs/>
          <w:caps/>
          <w:color w:val="auto"/>
          <w:sz w:val="22"/>
          <w:szCs w:val="22"/>
          <w:highlight w:val="none"/>
          <w:u w:val="single"/>
        </w:rPr>
        <w:t>90</w:t>
      </w:r>
      <w:r>
        <w:rPr>
          <w:rFonts w:ascii="Calibri" w:hAnsi="Calibri"/>
          <w:b/>
          <w:bCs/>
          <w:caps/>
          <w:color w:val="auto"/>
          <w:sz w:val="22"/>
          <w:szCs w:val="22"/>
          <w:highlight w:val="none"/>
          <w:u w:val="single"/>
        </w:rPr>
        <w:fldChar w:fldCharType="end"/>
      </w:r>
      <w:r>
        <w:rPr>
          <w:rFonts w:ascii="Calibri" w:hAnsi="Calibri"/>
          <w:b/>
          <w:bCs/>
          <w:caps/>
          <w:color w:val="auto"/>
          <w:sz w:val="22"/>
          <w:szCs w:val="22"/>
          <w:highlight w:val="none"/>
          <w:u w:val="single"/>
        </w:rPr>
        <w:fldChar w:fldCharType="end"/>
      </w:r>
    </w:p>
    <w:p>
      <w:pPr>
        <w:tabs>
          <w:tab w:val="right" w:leader="dot" w:pos="9638"/>
        </w:tabs>
        <w:spacing w:line="280" w:lineRule="exact"/>
        <w:jc w:val="left"/>
        <w:rPr>
          <w:rFonts w:ascii="Calibri" w:hAnsi="Calibri"/>
          <w:b/>
          <w:bCs/>
          <w:smallCaps/>
          <w:color w:val="auto"/>
          <w:sz w:val="22"/>
          <w:szCs w:val="22"/>
          <w:highlight w:val="none"/>
        </w:rPr>
      </w:pPr>
      <w:r>
        <w:rPr>
          <w:color w:val="auto"/>
          <w:highlight w:val="none"/>
        </w:rPr>
        <w:fldChar w:fldCharType="begin"/>
      </w:r>
      <w:r>
        <w:rPr>
          <w:color w:val="auto"/>
          <w:highlight w:val="none"/>
        </w:rPr>
        <w:instrText xml:space="preserve"> HYPERLINK \l "_Toc19413" </w:instrText>
      </w:r>
      <w:r>
        <w:rPr>
          <w:color w:val="auto"/>
          <w:highlight w:val="none"/>
        </w:rPr>
        <w:fldChar w:fldCharType="separate"/>
      </w:r>
      <w:r>
        <w:rPr>
          <w:rFonts w:hint="eastAsia" w:ascii="宋体" w:hAnsi="宋体" w:cs="宋体"/>
          <w:b/>
          <w:smallCaps/>
          <w:color w:val="auto"/>
          <w:sz w:val="22"/>
          <w:szCs w:val="22"/>
          <w:highlight w:val="none"/>
        </w:rPr>
        <w:t>第一节 质疑函（格式）</w:t>
      </w:r>
      <w:r>
        <w:rPr>
          <w:rFonts w:ascii="Calibri" w:hAnsi="Calibri"/>
          <w:b/>
          <w:bCs/>
          <w:smallCaps/>
          <w:color w:val="auto"/>
          <w:sz w:val="22"/>
          <w:szCs w:val="22"/>
          <w:highlight w:val="none"/>
        </w:rPr>
        <w:tab/>
      </w:r>
      <w:r>
        <w:rPr>
          <w:rFonts w:ascii="Calibri" w:hAnsi="Calibri"/>
          <w:b/>
          <w:bCs/>
          <w:smallCaps/>
          <w:color w:val="auto"/>
          <w:sz w:val="22"/>
          <w:szCs w:val="22"/>
          <w:highlight w:val="none"/>
        </w:rPr>
        <w:fldChar w:fldCharType="begin"/>
      </w:r>
      <w:r>
        <w:rPr>
          <w:rFonts w:ascii="Calibri" w:hAnsi="Calibri"/>
          <w:b/>
          <w:bCs/>
          <w:smallCaps/>
          <w:color w:val="auto"/>
          <w:sz w:val="22"/>
          <w:szCs w:val="22"/>
          <w:highlight w:val="none"/>
        </w:rPr>
        <w:instrText xml:space="preserve"> PAGEREF _Toc19413 </w:instrText>
      </w:r>
      <w:r>
        <w:rPr>
          <w:rFonts w:ascii="Calibri" w:hAnsi="Calibri"/>
          <w:b/>
          <w:bCs/>
          <w:smallCaps/>
          <w:color w:val="auto"/>
          <w:sz w:val="22"/>
          <w:szCs w:val="22"/>
          <w:highlight w:val="none"/>
        </w:rPr>
        <w:fldChar w:fldCharType="separate"/>
      </w:r>
      <w:r>
        <w:rPr>
          <w:rFonts w:ascii="Calibri" w:hAnsi="Calibri"/>
          <w:b/>
          <w:bCs/>
          <w:smallCaps/>
          <w:color w:val="auto"/>
          <w:sz w:val="22"/>
          <w:szCs w:val="22"/>
          <w:highlight w:val="none"/>
        </w:rPr>
        <w:t>91</w:t>
      </w:r>
      <w:r>
        <w:rPr>
          <w:rFonts w:ascii="Calibri" w:hAnsi="Calibri"/>
          <w:b/>
          <w:bCs/>
          <w:smallCaps/>
          <w:color w:val="auto"/>
          <w:sz w:val="22"/>
          <w:szCs w:val="22"/>
          <w:highlight w:val="none"/>
        </w:rPr>
        <w:fldChar w:fldCharType="end"/>
      </w:r>
      <w:r>
        <w:rPr>
          <w:rFonts w:ascii="Calibri" w:hAnsi="Calibri"/>
          <w:b/>
          <w:bCs/>
          <w:smallCaps/>
          <w:color w:val="auto"/>
          <w:sz w:val="22"/>
          <w:szCs w:val="22"/>
          <w:highlight w:val="none"/>
        </w:rPr>
        <w:fldChar w:fldCharType="end"/>
      </w:r>
    </w:p>
    <w:p>
      <w:pPr>
        <w:tabs>
          <w:tab w:val="right" w:leader="dot" w:pos="9638"/>
        </w:tabs>
        <w:spacing w:line="280" w:lineRule="exact"/>
        <w:jc w:val="left"/>
        <w:rPr>
          <w:rFonts w:ascii="Calibri" w:hAnsi="Calibri"/>
          <w:b/>
          <w:bCs/>
          <w:smallCaps/>
          <w:color w:val="auto"/>
          <w:sz w:val="22"/>
          <w:szCs w:val="22"/>
          <w:highlight w:val="none"/>
        </w:rPr>
      </w:pPr>
      <w:r>
        <w:rPr>
          <w:color w:val="auto"/>
          <w:highlight w:val="none"/>
        </w:rPr>
        <w:fldChar w:fldCharType="begin"/>
      </w:r>
      <w:r>
        <w:rPr>
          <w:color w:val="auto"/>
          <w:highlight w:val="none"/>
        </w:rPr>
        <w:instrText xml:space="preserve"> HYPERLINK \l "_Toc22163" </w:instrText>
      </w:r>
      <w:r>
        <w:rPr>
          <w:color w:val="auto"/>
          <w:highlight w:val="none"/>
        </w:rPr>
        <w:fldChar w:fldCharType="separate"/>
      </w:r>
      <w:r>
        <w:rPr>
          <w:rFonts w:hint="eastAsia" w:ascii="宋体" w:hAnsi="宋体" w:cs="宋体"/>
          <w:b/>
          <w:smallCaps/>
          <w:color w:val="auto"/>
          <w:sz w:val="22"/>
          <w:szCs w:val="22"/>
          <w:highlight w:val="none"/>
        </w:rPr>
        <w:t>第二节 投诉书（格式）</w:t>
      </w:r>
      <w:r>
        <w:rPr>
          <w:rFonts w:ascii="Calibri" w:hAnsi="Calibri"/>
          <w:b/>
          <w:bCs/>
          <w:smallCaps/>
          <w:color w:val="auto"/>
          <w:sz w:val="22"/>
          <w:szCs w:val="22"/>
          <w:highlight w:val="none"/>
        </w:rPr>
        <w:tab/>
      </w:r>
      <w:r>
        <w:rPr>
          <w:rFonts w:ascii="Calibri" w:hAnsi="Calibri"/>
          <w:b/>
          <w:bCs/>
          <w:smallCaps/>
          <w:color w:val="auto"/>
          <w:sz w:val="22"/>
          <w:szCs w:val="22"/>
          <w:highlight w:val="none"/>
        </w:rPr>
        <w:fldChar w:fldCharType="begin"/>
      </w:r>
      <w:r>
        <w:rPr>
          <w:rFonts w:ascii="Calibri" w:hAnsi="Calibri"/>
          <w:b/>
          <w:bCs/>
          <w:smallCaps/>
          <w:color w:val="auto"/>
          <w:sz w:val="22"/>
          <w:szCs w:val="22"/>
          <w:highlight w:val="none"/>
        </w:rPr>
        <w:instrText xml:space="preserve"> PAGEREF _Toc22163 </w:instrText>
      </w:r>
      <w:r>
        <w:rPr>
          <w:rFonts w:ascii="Calibri" w:hAnsi="Calibri"/>
          <w:b/>
          <w:bCs/>
          <w:smallCaps/>
          <w:color w:val="auto"/>
          <w:sz w:val="22"/>
          <w:szCs w:val="22"/>
          <w:highlight w:val="none"/>
        </w:rPr>
        <w:fldChar w:fldCharType="separate"/>
      </w:r>
      <w:r>
        <w:rPr>
          <w:rFonts w:ascii="Calibri" w:hAnsi="Calibri"/>
          <w:b/>
          <w:bCs/>
          <w:smallCaps/>
          <w:color w:val="auto"/>
          <w:sz w:val="22"/>
          <w:szCs w:val="22"/>
          <w:highlight w:val="none"/>
        </w:rPr>
        <w:t>93</w:t>
      </w:r>
      <w:r>
        <w:rPr>
          <w:rFonts w:ascii="Calibri" w:hAnsi="Calibri"/>
          <w:b/>
          <w:bCs/>
          <w:smallCaps/>
          <w:color w:val="auto"/>
          <w:sz w:val="22"/>
          <w:szCs w:val="22"/>
          <w:highlight w:val="none"/>
        </w:rPr>
        <w:fldChar w:fldCharType="end"/>
      </w:r>
      <w:r>
        <w:rPr>
          <w:rFonts w:ascii="Calibri" w:hAnsi="Calibri"/>
          <w:b/>
          <w:bCs/>
          <w:smallCaps/>
          <w:color w:val="auto"/>
          <w:sz w:val="22"/>
          <w:szCs w:val="22"/>
          <w:highlight w:val="none"/>
        </w:rPr>
        <w:fldChar w:fldCharType="end"/>
      </w:r>
    </w:p>
    <w:p>
      <w:pPr>
        <w:pStyle w:val="26"/>
        <w:tabs>
          <w:tab w:val="right" w:leader="dot" w:pos="9638"/>
        </w:tabs>
        <w:spacing w:line="280" w:lineRule="exact"/>
        <w:rPr>
          <w:color w:val="auto"/>
          <w:highlight w:val="none"/>
        </w:rPr>
      </w:pPr>
      <w:r>
        <w:rPr>
          <w:rFonts w:hint="eastAsia" w:ascii="宋体" w:hAnsi="宋体" w:cs="宋体"/>
          <w:caps/>
          <w:color w:val="auto"/>
          <w:sz w:val="21"/>
          <w:szCs w:val="28"/>
          <w:highlight w:val="none"/>
          <w:u w:val="single"/>
        </w:rPr>
        <w:fldChar w:fldCharType="end"/>
      </w:r>
    </w:p>
    <w:p>
      <w:pPr>
        <w:pStyle w:val="17"/>
        <w:jc w:val="center"/>
        <w:rPr>
          <w:rFonts w:hAnsi="宋体" w:cs="宋体"/>
          <w:bCs/>
          <w:caps/>
          <w:color w:val="auto"/>
          <w:szCs w:val="28"/>
          <w:highlight w:val="none"/>
          <w:u w:val="single"/>
        </w:rPr>
      </w:pPr>
      <w:r>
        <w:rPr>
          <w:rFonts w:hint="eastAsia" w:hAnsi="宋体" w:cs="宋体"/>
          <w:bCs/>
          <w:caps/>
          <w:color w:val="auto"/>
          <w:szCs w:val="28"/>
          <w:highlight w:val="none"/>
          <w:u w:val="single"/>
        </w:rPr>
        <w:fldChar w:fldCharType="end"/>
      </w:r>
      <w:bookmarkStart w:id="8" w:name="_Toc532545041"/>
      <w:bookmarkStart w:id="9" w:name="_Toc20152"/>
      <w:bookmarkStart w:id="10" w:name="_Toc12135"/>
      <w:bookmarkStart w:id="11" w:name="_Toc22419"/>
    </w:p>
    <w:p>
      <w:pPr>
        <w:pStyle w:val="17"/>
        <w:jc w:val="center"/>
        <w:rPr>
          <w:rFonts w:hAnsi="宋体" w:cs="宋体"/>
          <w:b/>
          <w:color w:val="auto"/>
          <w:sz w:val="36"/>
          <w:highlight w:val="none"/>
        </w:rPr>
      </w:pPr>
      <w:r>
        <w:rPr>
          <w:rFonts w:hint="eastAsia" w:hAnsi="宋体" w:cs="宋体"/>
          <w:bCs/>
          <w:caps/>
          <w:color w:val="auto"/>
          <w:szCs w:val="28"/>
          <w:highlight w:val="none"/>
          <w:u w:val="single"/>
        </w:rPr>
        <w:br w:type="page"/>
      </w:r>
      <w:r>
        <w:rPr>
          <w:rFonts w:hint="eastAsia" w:hAnsi="宋体" w:cs="宋体"/>
          <w:b/>
          <w:color w:val="auto"/>
          <w:sz w:val="36"/>
          <w:highlight w:val="none"/>
        </w:rPr>
        <w:t>第一章  招标公告</w:t>
      </w:r>
      <w:bookmarkEnd w:id="8"/>
      <w:bookmarkEnd w:id="9"/>
      <w:bookmarkEnd w:id="10"/>
      <w:bookmarkEnd w:id="11"/>
    </w:p>
    <w:p>
      <w:pPr>
        <w:spacing w:line="360" w:lineRule="auto"/>
        <w:jc w:val="center"/>
        <w:rPr>
          <w:b/>
          <w:color w:val="auto"/>
          <w:sz w:val="32"/>
          <w:szCs w:val="32"/>
          <w:highlight w:val="none"/>
        </w:rPr>
      </w:pPr>
    </w:p>
    <w:p>
      <w:pPr>
        <w:spacing w:line="360" w:lineRule="auto"/>
        <w:jc w:val="center"/>
        <w:rPr>
          <w:rFonts w:ascii="宋体" w:hAnsi="宋体" w:cs="宋体"/>
          <w:b/>
          <w:color w:val="auto"/>
          <w:sz w:val="36"/>
          <w:szCs w:val="36"/>
          <w:highlight w:val="none"/>
        </w:rPr>
      </w:pPr>
      <w:r>
        <w:rPr>
          <w:rFonts w:hint="eastAsia" w:ascii="宋体" w:hAnsi="宋体" w:cs="宋体"/>
          <w:b/>
          <w:color w:val="auto"/>
          <w:sz w:val="36"/>
          <w:szCs w:val="36"/>
          <w:highlight w:val="none"/>
        </w:rPr>
        <w:t>广西科联招标中心有限公司关于</w:t>
      </w:r>
      <w:r>
        <w:rPr>
          <w:rFonts w:hint="eastAsia" w:ascii="宋体" w:hAnsi="宋体" w:cs="宋体"/>
          <w:b/>
          <w:color w:val="auto"/>
          <w:sz w:val="36"/>
          <w:szCs w:val="36"/>
          <w:highlight w:val="none"/>
          <w:lang w:eastAsia="zh-CN"/>
        </w:rPr>
        <w:t>自治区本级生活救助类物资采购</w:t>
      </w:r>
      <w:r>
        <w:rPr>
          <w:rFonts w:hint="eastAsia" w:ascii="宋体" w:hAnsi="宋体" w:cs="宋体"/>
          <w:b/>
          <w:color w:val="auto"/>
          <w:sz w:val="36"/>
          <w:szCs w:val="36"/>
          <w:highlight w:val="none"/>
        </w:rPr>
        <w:t>（</w:t>
      </w:r>
      <w:r>
        <w:rPr>
          <w:rFonts w:hint="eastAsia" w:ascii="宋体" w:hAnsi="宋体" w:cs="宋体"/>
          <w:b/>
          <w:color w:val="auto"/>
          <w:sz w:val="36"/>
          <w:szCs w:val="36"/>
          <w:highlight w:val="none"/>
          <w:lang w:eastAsia="zh-CN"/>
        </w:rPr>
        <w:t>GXZC2025-G1-000836-GXKL</w:t>
      </w:r>
      <w:r>
        <w:rPr>
          <w:rFonts w:hint="eastAsia" w:ascii="宋体" w:hAnsi="宋体" w:cs="宋体"/>
          <w:b/>
          <w:color w:val="auto"/>
          <w:sz w:val="36"/>
          <w:szCs w:val="36"/>
          <w:highlight w:val="none"/>
        </w:rPr>
        <w:t>）的招标公告</w:t>
      </w:r>
    </w:p>
    <w:p>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项目概况</w:t>
      </w:r>
    </w:p>
    <w:p>
      <w:pPr>
        <w:pBdr>
          <w:top w:val="single" w:color="auto" w:sz="4" w:space="1"/>
          <w:left w:val="single" w:color="auto" w:sz="4" w:space="4"/>
          <w:bottom w:val="single" w:color="auto" w:sz="4" w:space="1"/>
          <w:right w:val="single" w:color="auto" w:sz="4" w:space="4"/>
        </w:pBdr>
        <w:spacing w:line="360" w:lineRule="auto"/>
        <w:ind w:firstLine="525" w:firstLineChars="250"/>
        <w:rPr>
          <w:rFonts w:ascii="宋体" w:hAnsi="宋体" w:cs="宋体"/>
          <w:color w:val="auto"/>
          <w:szCs w:val="21"/>
          <w:highlight w:val="none"/>
          <w:u w:val="singl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eastAsia="zh-CN"/>
        </w:rPr>
        <w:t>自治区本级生活救助类物资采购</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招标项目的潜在投标人应在广西政府采购云平台（https://www.gcy.zfcg.gxzf.gov.cn/）获取招标文件，并于</w:t>
      </w:r>
      <w:bookmarkStart w:id="12" w:name="PO_3000001866_PM015"/>
      <w:r>
        <w:rPr>
          <w:rFonts w:hint="eastAsia" w:ascii="宋体" w:hAnsi="宋体" w:cs="宋体"/>
          <w:color w:val="auto"/>
          <w:szCs w:val="21"/>
          <w:highlight w:val="none"/>
          <w:u w:val="single"/>
          <w:lang w:eastAsia="zh-CN"/>
        </w:rPr>
        <w:t>2025年5月</w:t>
      </w:r>
      <w:r>
        <w:rPr>
          <w:rFonts w:hint="eastAsia" w:ascii="宋体" w:hAnsi="宋体" w:cs="宋体"/>
          <w:color w:val="auto"/>
          <w:szCs w:val="21"/>
          <w:highlight w:val="none"/>
          <w:u w:val="single"/>
          <w:lang w:val="en-US" w:eastAsia="zh-CN"/>
        </w:rPr>
        <w:t>29</w:t>
      </w:r>
      <w:r>
        <w:rPr>
          <w:rFonts w:hint="eastAsia" w:ascii="宋体" w:hAnsi="宋体" w:cs="宋体"/>
          <w:color w:val="auto"/>
          <w:szCs w:val="21"/>
          <w:highlight w:val="none"/>
          <w:u w:val="single"/>
          <w:lang w:eastAsia="zh-CN"/>
        </w:rPr>
        <w:t>日</w:t>
      </w:r>
      <w:r>
        <w:rPr>
          <w:rFonts w:hint="eastAsia" w:ascii="宋体" w:hAnsi="宋体" w:cs="宋体"/>
          <w:color w:val="auto"/>
          <w:szCs w:val="21"/>
          <w:highlight w:val="none"/>
          <w:u w:val="single"/>
        </w:rPr>
        <w:t xml:space="preserve"> </w:t>
      </w:r>
      <w:bookmarkEnd w:id="12"/>
      <w:r>
        <w:rPr>
          <w:rFonts w:hint="eastAsia" w:ascii="宋体" w:hAnsi="宋体" w:cs="宋体"/>
          <w:color w:val="auto"/>
          <w:szCs w:val="21"/>
          <w:highlight w:val="none"/>
          <w:u w:val="single"/>
        </w:rPr>
        <w:t>09:30:00</w:t>
      </w:r>
      <w:r>
        <w:rPr>
          <w:rFonts w:hint="eastAsia" w:ascii="宋体" w:hAnsi="宋体" w:cs="宋体"/>
          <w:bCs/>
          <w:color w:val="auto"/>
          <w:szCs w:val="21"/>
          <w:highlight w:val="none"/>
        </w:rPr>
        <w:t>（北京时间）前</w:t>
      </w:r>
      <w:r>
        <w:rPr>
          <w:rFonts w:hint="eastAsia" w:ascii="宋体" w:hAnsi="宋体" w:cs="宋体"/>
          <w:color w:val="auto"/>
          <w:szCs w:val="21"/>
          <w:highlight w:val="none"/>
        </w:rPr>
        <w:t>递交（上传）投标文件。</w:t>
      </w:r>
    </w:p>
    <w:p>
      <w:pPr>
        <w:spacing w:line="360" w:lineRule="auto"/>
        <w:rPr>
          <w:rFonts w:ascii="黑体" w:hAnsi="黑体" w:eastAsia="黑体"/>
          <w:b/>
          <w:bCs/>
          <w:color w:val="auto"/>
          <w:sz w:val="24"/>
          <w:highlight w:val="none"/>
        </w:rPr>
      </w:pPr>
      <w:bookmarkStart w:id="13" w:name="_Toc35393621"/>
      <w:bookmarkStart w:id="14" w:name="_Toc28359002"/>
      <w:bookmarkStart w:id="15" w:name="_Toc35393790"/>
      <w:bookmarkStart w:id="16" w:name="_Toc28359079"/>
      <w:bookmarkStart w:id="17" w:name="_Hlk24379207"/>
      <w:r>
        <w:rPr>
          <w:rFonts w:hint="eastAsia" w:ascii="黑体" w:hAnsi="黑体" w:eastAsia="黑体"/>
          <w:b/>
          <w:bCs/>
          <w:color w:val="auto"/>
          <w:sz w:val="24"/>
          <w:highlight w:val="none"/>
        </w:rPr>
        <w:t>一、项目基本情况</w:t>
      </w:r>
      <w:bookmarkEnd w:id="13"/>
      <w:bookmarkEnd w:id="14"/>
      <w:bookmarkEnd w:id="15"/>
      <w:bookmarkEnd w:id="16"/>
    </w:p>
    <w:p>
      <w:pPr>
        <w:spacing w:line="360" w:lineRule="auto"/>
        <w:ind w:firstLine="422" w:firstLineChars="200"/>
        <w:rPr>
          <w:rFonts w:ascii="宋体" w:hAnsi="宋体"/>
          <w:color w:val="auto"/>
          <w:szCs w:val="21"/>
          <w:highlight w:val="none"/>
        </w:rPr>
      </w:pPr>
      <w:r>
        <w:rPr>
          <w:rFonts w:hint="eastAsia" w:ascii="宋体" w:hAnsi="宋体"/>
          <w:b/>
          <w:bCs/>
          <w:color w:val="auto"/>
          <w:szCs w:val="21"/>
          <w:highlight w:val="none"/>
        </w:rPr>
        <w:t>项目编号：</w:t>
      </w:r>
      <w:r>
        <w:rPr>
          <w:rFonts w:hint="eastAsia" w:ascii="宋体" w:hAnsi="宋体"/>
          <w:color w:val="auto"/>
          <w:szCs w:val="21"/>
          <w:highlight w:val="none"/>
          <w:lang w:eastAsia="zh-CN"/>
        </w:rPr>
        <w:t>GXZC2025-G1-000836-GXKL</w:t>
      </w:r>
      <w:r>
        <w:rPr>
          <w:rFonts w:hint="eastAsia" w:ascii="宋体" w:hAnsi="宋体"/>
          <w:color w:val="auto"/>
          <w:szCs w:val="21"/>
          <w:highlight w:val="none"/>
        </w:rPr>
        <w:t>（采购计划编号：广西政采[2025]4330号-001</w:t>
      </w:r>
      <w:r>
        <w:rPr>
          <w:rFonts w:hint="eastAsia" w:ascii="宋体" w:hAnsi="宋体"/>
          <w:color w:val="auto"/>
          <w:szCs w:val="21"/>
          <w:highlight w:val="none"/>
          <w:lang w:eastAsia="zh-CN"/>
        </w:rPr>
        <w:t>、广西政采[2025]4330号-002</w:t>
      </w:r>
      <w:r>
        <w:rPr>
          <w:rFonts w:hint="eastAsia" w:ascii="宋体" w:hAnsi="宋体"/>
          <w:color w:val="auto"/>
          <w:szCs w:val="21"/>
          <w:highlight w:val="none"/>
        </w:rPr>
        <w:t>）</w:t>
      </w:r>
    </w:p>
    <w:p>
      <w:pPr>
        <w:spacing w:line="360" w:lineRule="auto"/>
        <w:ind w:firstLine="422" w:firstLineChars="200"/>
        <w:rPr>
          <w:rFonts w:hint="eastAsia" w:ascii="宋体" w:hAnsi="宋体" w:eastAsia="宋体"/>
          <w:color w:val="auto"/>
          <w:szCs w:val="21"/>
          <w:highlight w:val="none"/>
          <w:lang w:eastAsia="zh-CN"/>
        </w:rPr>
      </w:pPr>
      <w:r>
        <w:rPr>
          <w:rFonts w:hint="eastAsia" w:ascii="宋体" w:hAnsi="宋体"/>
          <w:b/>
          <w:bCs/>
          <w:color w:val="auto"/>
          <w:szCs w:val="21"/>
          <w:highlight w:val="none"/>
        </w:rPr>
        <w:t>项目名称：</w:t>
      </w:r>
      <w:r>
        <w:rPr>
          <w:rFonts w:hint="eastAsia" w:ascii="宋体" w:hAnsi="宋体"/>
          <w:color w:val="auto"/>
          <w:szCs w:val="21"/>
          <w:highlight w:val="none"/>
          <w:lang w:eastAsia="zh-CN"/>
        </w:rPr>
        <w:t>自治区本级生活救助类物资采购</w:t>
      </w:r>
    </w:p>
    <w:bookmarkEnd w:id="17"/>
    <w:p>
      <w:pPr>
        <w:spacing w:line="360" w:lineRule="auto"/>
        <w:ind w:firstLine="422" w:firstLineChars="200"/>
        <w:rPr>
          <w:rFonts w:hint="default" w:ascii="宋体" w:hAnsi="宋体" w:eastAsia="宋体"/>
          <w:color w:val="auto"/>
          <w:szCs w:val="21"/>
          <w:highlight w:val="none"/>
          <w:u w:val="single"/>
          <w:lang w:val="en-US" w:eastAsia="zh-CN"/>
        </w:rPr>
      </w:pPr>
      <w:r>
        <w:rPr>
          <w:rFonts w:hint="eastAsia" w:ascii="宋体" w:hAnsi="宋体"/>
          <w:b/>
          <w:bCs/>
          <w:color w:val="auto"/>
          <w:szCs w:val="21"/>
          <w:highlight w:val="none"/>
        </w:rPr>
        <w:t>预算总金额（元）：</w:t>
      </w:r>
      <w:r>
        <w:rPr>
          <w:rFonts w:hint="eastAsia" w:ascii="宋体" w:hAnsi="宋体"/>
          <w:color w:val="auto"/>
          <w:szCs w:val="21"/>
          <w:highlight w:val="none"/>
          <w:lang w:val="en-US" w:eastAsia="zh-CN"/>
        </w:rPr>
        <w:t>4000000.00</w:t>
      </w:r>
    </w:p>
    <w:p>
      <w:pPr>
        <w:spacing w:line="360" w:lineRule="auto"/>
        <w:ind w:firstLine="422" w:firstLineChars="200"/>
        <w:rPr>
          <w:rFonts w:ascii="宋体" w:hAnsi="宋体"/>
          <w:color w:val="auto"/>
          <w:szCs w:val="21"/>
          <w:highlight w:val="none"/>
        </w:rPr>
      </w:pPr>
      <w:r>
        <w:rPr>
          <w:rFonts w:hint="eastAsia" w:ascii="宋体" w:hAnsi="宋体"/>
          <w:b/>
          <w:bCs/>
          <w:color w:val="auto"/>
          <w:szCs w:val="21"/>
          <w:highlight w:val="none"/>
        </w:rPr>
        <w:t>采购需求：</w:t>
      </w:r>
      <w:bookmarkStart w:id="18" w:name="PO_3000001866_PM004"/>
    </w:p>
    <w:bookmarkEnd w:id="18"/>
    <w:p>
      <w:pPr>
        <w:spacing w:line="360" w:lineRule="auto"/>
        <w:ind w:firstLine="422" w:firstLineChars="200"/>
        <w:rPr>
          <w:rFonts w:hint="eastAsia" w:ascii="宋体" w:hAnsi="宋体"/>
          <w:color w:val="auto"/>
          <w:szCs w:val="21"/>
          <w:highlight w:val="none"/>
        </w:rPr>
      </w:pPr>
      <w:r>
        <w:rPr>
          <w:rFonts w:hint="eastAsia" w:ascii="宋体" w:hAnsi="宋体"/>
          <w:b/>
          <w:bCs/>
          <w:color w:val="auto"/>
          <w:szCs w:val="21"/>
          <w:highlight w:val="none"/>
        </w:rPr>
        <w:t>标项（分标）1：</w:t>
      </w:r>
    </w:p>
    <w:p>
      <w:pPr>
        <w:spacing w:line="360" w:lineRule="auto"/>
        <w:ind w:firstLine="420" w:firstLineChars="200"/>
        <w:rPr>
          <w:rFonts w:hint="eastAsia" w:ascii="宋体" w:hAnsi="宋体" w:eastAsia="宋体"/>
          <w:color w:val="auto"/>
          <w:szCs w:val="21"/>
          <w:highlight w:val="none"/>
          <w:lang w:val="en-US" w:eastAsia="zh-CN"/>
        </w:rPr>
      </w:pPr>
      <w:r>
        <w:rPr>
          <w:rFonts w:hint="eastAsia" w:ascii="宋体" w:hAnsi="宋体"/>
          <w:color w:val="auto"/>
          <w:szCs w:val="21"/>
          <w:highlight w:val="none"/>
        </w:rPr>
        <w:t xml:space="preserve">标项名称: </w:t>
      </w:r>
      <w:r>
        <w:rPr>
          <w:rFonts w:hint="eastAsia" w:ascii="宋体" w:hAnsi="宋体"/>
          <w:color w:val="auto"/>
          <w:szCs w:val="21"/>
          <w:highlight w:val="none"/>
          <w:lang w:eastAsia="zh-CN"/>
        </w:rPr>
        <w:t>自治区本级生活救助类物资采购</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数量:1</w:t>
      </w:r>
    </w:p>
    <w:p>
      <w:pPr>
        <w:spacing w:line="360" w:lineRule="auto"/>
        <w:ind w:firstLine="420" w:firstLineChars="200"/>
        <w:rPr>
          <w:rFonts w:hint="default" w:ascii="宋体" w:hAnsi="宋体" w:eastAsia="宋体"/>
          <w:color w:val="auto"/>
          <w:szCs w:val="21"/>
          <w:highlight w:val="none"/>
          <w:lang w:val="en-US" w:eastAsia="zh-CN"/>
        </w:rPr>
      </w:pPr>
      <w:r>
        <w:rPr>
          <w:rFonts w:hint="eastAsia" w:ascii="宋体" w:hAnsi="宋体"/>
          <w:color w:val="auto"/>
          <w:szCs w:val="21"/>
          <w:highlight w:val="none"/>
        </w:rPr>
        <w:t>预算金额（元）:283</w:t>
      </w:r>
      <w:r>
        <w:rPr>
          <w:rFonts w:hint="eastAsia" w:ascii="宋体" w:hAnsi="宋体"/>
          <w:color w:val="auto"/>
          <w:szCs w:val="21"/>
          <w:highlight w:val="none"/>
          <w:lang w:val="en-US" w:eastAsia="zh-CN"/>
        </w:rPr>
        <w:t>0000.00</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简要规格描述或项目基本概况介绍、用途：棉大衣不低于14150</w:t>
      </w:r>
      <w:r>
        <w:rPr>
          <w:rFonts w:hint="eastAsia" w:ascii="宋体" w:hAnsi="宋体"/>
          <w:color w:val="auto"/>
          <w:szCs w:val="21"/>
          <w:highlight w:val="none"/>
          <w:lang w:val="en-US" w:eastAsia="zh-CN"/>
        </w:rPr>
        <w:t>件</w:t>
      </w:r>
      <w:r>
        <w:rPr>
          <w:rFonts w:hint="eastAsia" w:ascii="宋体" w:hAnsi="宋体"/>
          <w:color w:val="auto"/>
          <w:szCs w:val="21"/>
          <w:highlight w:val="none"/>
        </w:rPr>
        <w:t>，详见公告附件招标文件。</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最高限价（如有）：/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合同履约期限：</w:t>
      </w:r>
      <w:r>
        <w:rPr>
          <w:rFonts w:hint="eastAsia" w:ascii="宋体" w:hAnsi="宋体" w:cs="宋体"/>
          <w:color w:val="auto"/>
          <w:szCs w:val="21"/>
          <w:highlight w:val="none"/>
          <w:lang w:val="en-US" w:eastAsia="zh-CN"/>
        </w:rPr>
        <w:t>自合同签订之日起30日内交货完毕</w:t>
      </w:r>
      <w:r>
        <w:rPr>
          <w:rFonts w:hint="eastAsia" w:ascii="宋体" w:hAnsi="宋体" w:cs="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本标项（否）接受联合体投标</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备注：无</w:t>
      </w:r>
    </w:p>
    <w:p>
      <w:pPr>
        <w:spacing w:line="360" w:lineRule="auto"/>
        <w:ind w:firstLine="422" w:firstLineChars="200"/>
        <w:rPr>
          <w:rFonts w:hint="eastAsia" w:ascii="宋体" w:hAnsi="宋体"/>
          <w:color w:val="auto"/>
          <w:szCs w:val="21"/>
          <w:highlight w:val="none"/>
        </w:rPr>
      </w:pPr>
      <w:r>
        <w:rPr>
          <w:rFonts w:hint="eastAsia" w:ascii="宋体" w:hAnsi="宋体"/>
          <w:b/>
          <w:bCs/>
          <w:color w:val="auto"/>
          <w:szCs w:val="21"/>
          <w:highlight w:val="none"/>
        </w:rPr>
        <w:t>标项（分标）</w:t>
      </w:r>
      <w:r>
        <w:rPr>
          <w:rFonts w:hint="eastAsia" w:ascii="宋体" w:hAnsi="宋体"/>
          <w:b/>
          <w:bCs/>
          <w:color w:val="auto"/>
          <w:szCs w:val="21"/>
          <w:highlight w:val="none"/>
          <w:lang w:val="en-US" w:eastAsia="zh-CN"/>
        </w:rPr>
        <w:t>2</w:t>
      </w:r>
      <w:r>
        <w:rPr>
          <w:rFonts w:hint="eastAsia" w:ascii="宋体" w:hAnsi="宋体"/>
          <w:b/>
          <w:bCs/>
          <w:color w:val="auto"/>
          <w:szCs w:val="21"/>
          <w:highlight w:val="none"/>
        </w:rPr>
        <w:t>：</w:t>
      </w:r>
    </w:p>
    <w:p>
      <w:pPr>
        <w:spacing w:line="360" w:lineRule="auto"/>
        <w:ind w:firstLine="420" w:firstLineChars="200"/>
        <w:rPr>
          <w:rFonts w:hint="eastAsia" w:ascii="宋体" w:hAnsi="宋体" w:eastAsia="宋体"/>
          <w:color w:val="auto"/>
          <w:szCs w:val="21"/>
          <w:highlight w:val="none"/>
          <w:lang w:val="en-US" w:eastAsia="zh-CN"/>
        </w:rPr>
      </w:pPr>
      <w:r>
        <w:rPr>
          <w:rFonts w:hint="eastAsia" w:ascii="宋体" w:hAnsi="宋体"/>
          <w:color w:val="auto"/>
          <w:szCs w:val="21"/>
          <w:highlight w:val="none"/>
        </w:rPr>
        <w:t xml:space="preserve">标项名称: </w:t>
      </w:r>
      <w:r>
        <w:rPr>
          <w:rFonts w:hint="eastAsia" w:ascii="宋体" w:hAnsi="宋体"/>
          <w:color w:val="auto"/>
          <w:szCs w:val="21"/>
          <w:highlight w:val="none"/>
          <w:lang w:eastAsia="zh-CN"/>
        </w:rPr>
        <w:t>自治区本级生活救助类物资采购</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数量:1</w:t>
      </w:r>
    </w:p>
    <w:p>
      <w:pPr>
        <w:spacing w:line="360" w:lineRule="auto"/>
        <w:ind w:firstLine="420" w:firstLineChars="200"/>
        <w:rPr>
          <w:rFonts w:hint="default" w:ascii="宋体" w:hAnsi="宋体" w:eastAsia="宋体"/>
          <w:color w:val="auto"/>
          <w:szCs w:val="21"/>
          <w:highlight w:val="none"/>
          <w:lang w:val="en-US" w:eastAsia="zh-CN"/>
        </w:rPr>
      </w:pPr>
      <w:r>
        <w:rPr>
          <w:rFonts w:hint="eastAsia" w:ascii="宋体" w:hAnsi="宋体"/>
          <w:color w:val="auto"/>
          <w:szCs w:val="21"/>
          <w:highlight w:val="none"/>
        </w:rPr>
        <w:t>预算金额（元）:117</w:t>
      </w:r>
      <w:r>
        <w:rPr>
          <w:rFonts w:hint="eastAsia" w:ascii="宋体" w:hAnsi="宋体"/>
          <w:color w:val="auto"/>
          <w:szCs w:val="21"/>
          <w:highlight w:val="none"/>
          <w:lang w:val="en-US" w:eastAsia="zh-CN"/>
        </w:rPr>
        <w:t>0000.00</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简要规格描述或项目基本概况介绍、用途：防寒服不低于9000件，详见公告附件招标文件。</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最高限价（如有）：/</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合同履约期限：</w:t>
      </w:r>
      <w:r>
        <w:rPr>
          <w:rFonts w:hint="eastAsia" w:ascii="宋体" w:hAnsi="宋体" w:cs="宋体"/>
          <w:color w:val="auto"/>
          <w:szCs w:val="21"/>
          <w:highlight w:val="none"/>
          <w:lang w:val="en-US" w:eastAsia="zh-CN"/>
        </w:rPr>
        <w:t>自合同签订之日起30日内交货完毕</w:t>
      </w:r>
      <w:r>
        <w:rPr>
          <w:rFonts w:hint="eastAsia" w:ascii="宋体" w:hAnsi="宋体" w:cs="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本标项（否）接受联合体投标</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备注：无</w:t>
      </w:r>
    </w:p>
    <w:p>
      <w:pPr>
        <w:spacing w:line="360" w:lineRule="auto"/>
        <w:rPr>
          <w:rFonts w:ascii="黑体" w:hAnsi="黑体" w:eastAsia="黑体"/>
          <w:b/>
          <w:bCs/>
          <w:color w:val="auto"/>
          <w:sz w:val="24"/>
          <w:highlight w:val="none"/>
        </w:rPr>
      </w:pPr>
      <w:bookmarkStart w:id="19" w:name="_Toc35393791"/>
      <w:bookmarkStart w:id="20" w:name="_Toc28359003"/>
      <w:bookmarkStart w:id="21" w:name="_Toc28359080"/>
      <w:bookmarkStart w:id="22" w:name="_Toc35393622"/>
      <w:r>
        <w:rPr>
          <w:rFonts w:hint="eastAsia" w:ascii="黑体" w:hAnsi="黑体" w:eastAsia="黑体"/>
          <w:b/>
          <w:bCs/>
          <w:color w:val="auto"/>
          <w:sz w:val="24"/>
          <w:highlight w:val="none"/>
        </w:rPr>
        <w:t>二、申请人的资格要求：</w:t>
      </w:r>
      <w:bookmarkEnd w:id="19"/>
      <w:bookmarkEnd w:id="20"/>
      <w:bookmarkEnd w:id="21"/>
      <w:bookmarkEnd w:id="22"/>
    </w:p>
    <w:p>
      <w:pPr>
        <w:spacing w:line="360" w:lineRule="auto"/>
        <w:ind w:firstLine="420" w:firstLineChars="200"/>
        <w:rPr>
          <w:rFonts w:ascii="宋体" w:hAnsi="宋体"/>
          <w:color w:val="auto"/>
          <w:szCs w:val="21"/>
          <w:highlight w:val="none"/>
        </w:rPr>
      </w:pPr>
      <w:bookmarkStart w:id="23" w:name="_Toc28359081"/>
      <w:bookmarkStart w:id="24" w:name="_Toc28359004"/>
      <w:r>
        <w:rPr>
          <w:rFonts w:hint="eastAsia" w:ascii="宋体" w:hAnsi="宋体"/>
          <w:color w:val="auto"/>
          <w:szCs w:val="21"/>
          <w:highlight w:val="none"/>
        </w:rPr>
        <w:t>1.满足《中华人民共和国政府采购法》第二十二条规定。</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2.落实政府采购政策需满足的资格要求：无。</w:t>
      </w:r>
    </w:p>
    <w:p>
      <w:pPr>
        <w:tabs>
          <w:tab w:val="left" w:pos="3893"/>
        </w:tabs>
        <w:spacing w:line="360" w:lineRule="auto"/>
        <w:ind w:firstLine="420" w:firstLineChars="200"/>
        <w:rPr>
          <w:rFonts w:hint="eastAsia" w:ascii="黑体" w:hAnsi="黑体" w:eastAsia="宋体"/>
          <w:b/>
          <w:bCs/>
          <w:color w:val="auto"/>
          <w:sz w:val="24"/>
          <w:highlight w:val="none"/>
          <w:lang w:eastAsia="zh-CN"/>
        </w:rPr>
      </w:pPr>
      <w:r>
        <w:rPr>
          <w:rFonts w:hint="eastAsia" w:ascii="宋体" w:hAnsi="宋体"/>
          <w:color w:val="auto"/>
          <w:szCs w:val="21"/>
          <w:highlight w:val="none"/>
        </w:rPr>
        <w:t>3.本项目的特定资格要求：无。</w:t>
      </w:r>
      <w:bookmarkStart w:id="25" w:name="_Toc35393623"/>
      <w:bookmarkStart w:id="26" w:name="_Toc35393792"/>
    </w:p>
    <w:p>
      <w:pPr>
        <w:spacing w:line="360" w:lineRule="auto"/>
        <w:rPr>
          <w:rFonts w:ascii="黑体" w:hAnsi="黑体" w:eastAsia="黑体"/>
          <w:b/>
          <w:bCs/>
          <w:color w:val="auto"/>
          <w:sz w:val="24"/>
          <w:highlight w:val="none"/>
        </w:rPr>
      </w:pPr>
      <w:r>
        <w:rPr>
          <w:rFonts w:hint="eastAsia" w:ascii="黑体" w:hAnsi="黑体" w:eastAsia="黑体"/>
          <w:b/>
          <w:bCs/>
          <w:color w:val="auto"/>
          <w:sz w:val="24"/>
          <w:highlight w:val="none"/>
        </w:rPr>
        <w:t>三、获取招标文件</w:t>
      </w:r>
      <w:bookmarkEnd w:id="23"/>
      <w:bookmarkEnd w:id="24"/>
      <w:bookmarkEnd w:id="25"/>
      <w:bookmarkEnd w:id="26"/>
    </w:p>
    <w:p>
      <w:pPr>
        <w:snapToGrid w:val="0"/>
        <w:spacing w:line="360" w:lineRule="auto"/>
        <w:ind w:firstLine="472" w:firstLineChars="225"/>
        <w:rPr>
          <w:rFonts w:ascii="宋体" w:hAnsi="宋体"/>
          <w:color w:val="auto"/>
          <w:szCs w:val="21"/>
          <w:highlight w:val="none"/>
        </w:rPr>
      </w:pPr>
      <w:bookmarkStart w:id="27" w:name="_Toc28359005"/>
      <w:bookmarkStart w:id="28" w:name="_Toc28359082"/>
      <w:bookmarkStart w:id="29" w:name="_Toc35393793"/>
      <w:bookmarkStart w:id="30" w:name="_Toc35393624"/>
      <w:r>
        <w:rPr>
          <w:rFonts w:hint="eastAsia" w:ascii="宋体" w:hAnsi="宋体"/>
          <w:color w:val="auto"/>
          <w:szCs w:val="21"/>
          <w:highlight w:val="none"/>
        </w:rPr>
        <w:t>时间：</w:t>
      </w:r>
      <w:r>
        <w:rPr>
          <w:rFonts w:hint="eastAsia" w:ascii="宋体" w:hAnsi="宋体"/>
          <w:color w:val="auto"/>
          <w:szCs w:val="21"/>
          <w:highlight w:val="none"/>
          <w:lang w:eastAsia="zh-CN"/>
        </w:rPr>
        <w:t>2025年</w:t>
      </w:r>
      <w:r>
        <w:rPr>
          <w:rFonts w:hint="eastAsia" w:ascii="宋体" w:hAnsi="宋体"/>
          <w:color w:val="auto"/>
          <w:szCs w:val="21"/>
          <w:highlight w:val="none"/>
          <w:lang w:val="en-US" w:eastAsia="zh-CN"/>
        </w:rPr>
        <w:t>5</w:t>
      </w:r>
      <w:r>
        <w:rPr>
          <w:rFonts w:hint="eastAsia" w:ascii="宋体" w:hAnsi="宋体"/>
          <w:color w:val="auto"/>
          <w:szCs w:val="21"/>
          <w:highlight w:val="none"/>
          <w:lang w:eastAsia="zh-CN"/>
        </w:rPr>
        <w:t>月</w:t>
      </w:r>
      <w:r>
        <w:rPr>
          <w:rFonts w:hint="eastAsia" w:ascii="宋体" w:hAnsi="宋体"/>
          <w:color w:val="auto"/>
          <w:szCs w:val="21"/>
          <w:highlight w:val="none"/>
          <w:lang w:val="en-US" w:eastAsia="zh-CN"/>
        </w:rPr>
        <w:t>7</w:t>
      </w:r>
      <w:r>
        <w:rPr>
          <w:rFonts w:hint="eastAsia" w:ascii="宋体" w:hAnsi="宋体"/>
          <w:color w:val="auto"/>
          <w:szCs w:val="21"/>
          <w:highlight w:val="none"/>
          <w:lang w:eastAsia="zh-CN"/>
        </w:rPr>
        <w:t>日</w:t>
      </w:r>
      <w:r>
        <w:rPr>
          <w:rFonts w:hint="eastAsia" w:ascii="宋体" w:hAnsi="宋体"/>
          <w:color w:val="auto"/>
          <w:szCs w:val="21"/>
          <w:highlight w:val="none"/>
        </w:rPr>
        <w:t>至</w:t>
      </w:r>
      <w:r>
        <w:rPr>
          <w:rFonts w:hint="eastAsia" w:ascii="宋体" w:hAnsi="宋体"/>
          <w:color w:val="auto"/>
          <w:szCs w:val="21"/>
          <w:highlight w:val="none"/>
          <w:lang w:eastAsia="zh-CN"/>
        </w:rPr>
        <w:t>2025年</w:t>
      </w:r>
      <w:r>
        <w:rPr>
          <w:rFonts w:hint="eastAsia" w:ascii="宋体" w:hAnsi="宋体"/>
          <w:color w:val="auto"/>
          <w:szCs w:val="21"/>
          <w:highlight w:val="none"/>
          <w:lang w:val="en-US" w:eastAsia="zh-CN"/>
        </w:rPr>
        <w:t>5</w:t>
      </w:r>
      <w:r>
        <w:rPr>
          <w:rFonts w:hint="eastAsia" w:ascii="宋体" w:hAnsi="宋体"/>
          <w:color w:val="auto"/>
          <w:szCs w:val="21"/>
          <w:highlight w:val="none"/>
          <w:lang w:eastAsia="zh-CN"/>
        </w:rPr>
        <w:t>月</w:t>
      </w:r>
      <w:r>
        <w:rPr>
          <w:rFonts w:hint="eastAsia" w:ascii="宋体" w:hAnsi="宋体"/>
          <w:color w:val="auto"/>
          <w:szCs w:val="21"/>
          <w:highlight w:val="none"/>
          <w:lang w:val="en-US" w:eastAsia="zh-CN"/>
        </w:rPr>
        <w:t>14</w:t>
      </w:r>
      <w:r>
        <w:rPr>
          <w:rFonts w:hint="eastAsia" w:ascii="宋体" w:hAnsi="宋体"/>
          <w:color w:val="auto"/>
          <w:szCs w:val="21"/>
          <w:highlight w:val="none"/>
          <w:lang w:eastAsia="zh-CN"/>
        </w:rPr>
        <w:t>日</w:t>
      </w:r>
      <w:r>
        <w:rPr>
          <w:rFonts w:hint="eastAsia" w:ascii="宋体" w:hAnsi="宋体"/>
          <w:color w:val="auto"/>
          <w:szCs w:val="21"/>
          <w:highlight w:val="none"/>
        </w:rPr>
        <w:t>，每天上午00:00至</w:t>
      </w:r>
      <w:r>
        <w:rPr>
          <w:rFonts w:hint="eastAsia" w:ascii="宋体" w:hAnsi="宋体"/>
          <w:color w:val="auto"/>
          <w:szCs w:val="21"/>
          <w:highlight w:val="none"/>
          <w:lang w:val="en-US" w:eastAsia="zh-CN"/>
        </w:rPr>
        <w:t>11</w:t>
      </w:r>
      <w:r>
        <w:rPr>
          <w:rFonts w:hint="eastAsia" w:ascii="宋体" w:hAnsi="宋体"/>
          <w:color w:val="auto"/>
          <w:szCs w:val="21"/>
          <w:highlight w:val="none"/>
        </w:rPr>
        <w:t>:</w:t>
      </w:r>
      <w:r>
        <w:rPr>
          <w:rFonts w:hint="eastAsia" w:ascii="宋体" w:hAnsi="宋体"/>
          <w:color w:val="auto"/>
          <w:szCs w:val="21"/>
          <w:highlight w:val="none"/>
          <w:lang w:val="en-US" w:eastAsia="zh-CN"/>
        </w:rPr>
        <w:t>59</w:t>
      </w:r>
      <w:r>
        <w:rPr>
          <w:rFonts w:hint="eastAsia" w:ascii="宋体" w:hAnsi="宋体"/>
          <w:color w:val="auto"/>
          <w:szCs w:val="21"/>
          <w:highlight w:val="none"/>
        </w:rPr>
        <w:t>，下午12:00至23:59（北京时间，法定节假日除外）。</w:t>
      </w:r>
    </w:p>
    <w:p>
      <w:pPr>
        <w:snapToGrid w:val="0"/>
        <w:spacing w:line="360" w:lineRule="auto"/>
        <w:ind w:firstLine="472" w:firstLineChars="225"/>
        <w:rPr>
          <w:rFonts w:ascii="宋体" w:hAnsi="宋体"/>
          <w:color w:val="auto"/>
          <w:szCs w:val="21"/>
          <w:highlight w:val="none"/>
        </w:rPr>
      </w:pPr>
      <w:r>
        <w:rPr>
          <w:rFonts w:hint="eastAsia" w:ascii="宋体" w:hAnsi="宋体"/>
          <w:color w:val="auto"/>
          <w:szCs w:val="21"/>
          <w:highlight w:val="none"/>
        </w:rPr>
        <w:t>地点（网址）：广西政府采购云平台（</w:t>
      </w:r>
      <w:r>
        <w:rPr>
          <w:rFonts w:hint="eastAsia" w:ascii="宋体" w:hAnsi="宋体" w:cs="宋体"/>
          <w:color w:val="auto"/>
          <w:szCs w:val="21"/>
          <w:highlight w:val="none"/>
        </w:rPr>
        <w:t>https://www.gcy.zfcg.gxzf.gov.cn/</w:t>
      </w:r>
      <w:r>
        <w:rPr>
          <w:rFonts w:hint="eastAsia" w:ascii="宋体" w:hAnsi="宋体"/>
          <w:color w:val="auto"/>
          <w:szCs w:val="21"/>
          <w:highlight w:val="none"/>
        </w:rPr>
        <w:t>）</w:t>
      </w:r>
    </w:p>
    <w:p>
      <w:pPr>
        <w:snapToGrid w:val="0"/>
        <w:spacing w:line="360" w:lineRule="auto"/>
        <w:ind w:firstLine="472" w:firstLineChars="225"/>
        <w:rPr>
          <w:rFonts w:ascii="宋体" w:hAnsi="宋体"/>
          <w:color w:val="auto"/>
          <w:szCs w:val="21"/>
          <w:highlight w:val="none"/>
        </w:rPr>
      </w:pPr>
      <w:r>
        <w:rPr>
          <w:rFonts w:hint="eastAsia" w:ascii="宋体" w:hAnsi="宋体"/>
          <w:color w:val="auto"/>
          <w:szCs w:val="21"/>
          <w:highlight w:val="none"/>
        </w:rPr>
        <w:t>方式:网上下载。本项目不发放纸质文件，</w:t>
      </w:r>
      <w:r>
        <w:rPr>
          <w:rFonts w:hint="eastAsia"/>
          <w:color w:val="auto"/>
          <w:highlight w:val="none"/>
        </w:rPr>
        <w:t>潜在</w:t>
      </w:r>
      <w:r>
        <w:rPr>
          <w:rFonts w:hint="eastAsia" w:ascii="宋体" w:hAnsi="宋体"/>
          <w:color w:val="auto"/>
          <w:szCs w:val="21"/>
          <w:highlight w:val="none"/>
        </w:rPr>
        <w:t>供应商可自行登录</w:t>
      </w:r>
      <w:r>
        <w:rPr>
          <w:color w:val="auto"/>
          <w:highlight w:val="none"/>
        </w:rPr>
        <w:fldChar w:fldCharType="begin"/>
      </w:r>
      <w:r>
        <w:rPr>
          <w:color w:val="auto"/>
          <w:highlight w:val="none"/>
        </w:rPr>
        <w:instrText xml:space="preserve"> HYPERLINK </w:instrText>
      </w:r>
      <w:r>
        <w:rPr>
          <w:color w:val="auto"/>
          <w:highlight w:val="none"/>
        </w:rPr>
        <w:fldChar w:fldCharType="separate"/>
      </w:r>
      <w:r>
        <w:rPr>
          <w:color w:val="auto"/>
          <w:highlight w:val="none"/>
        </w:rPr>
        <w:fldChar w:fldCharType="end"/>
      </w:r>
      <w:r>
        <w:rPr>
          <w:rFonts w:hint="eastAsia" w:ascii="宋体" w:hAnsi="宋体"/>
          <w:color w:val="auto"/>
          <w:szCs w:val="21"/>
          <w:highlight w:val="none"/>
        </w:rPr>
        <w:t>广西政府采购云平台下载招标文件，电子投标文件制作需要基于广西政府采购云平台获取的招标文件编制。</w:t>
      </w:r>
    </w:p>
    <w:p>
      <w:pPr>
        <w:snapToGrid w:val="0"/>
        <w:spacing w:line="360" w:lineRule="auto"/>
        <w:ind w:firstLine="472" w:firstLineChars="225"/>
        <w:rPr>
          <w:rFonts w:ascii="宋体" w:hAnsi="宋体"/>
          <w:color w:val="auto"/>
          <w:szCs w:val="21"/>
          <w:highlight w:val="none"/>
        </w:rPr>
      </w:pPr>
      <w:r>
        <w:rPr>
          <w:rFonts w:hint="eastAsia" w:ascii="宋体" w:hAnsi="宋体"/>
          <w:color w:val="auto"/>
          <w:szCs w:val="21"/>
          <w:highlight w:val="none"/>
        </w:rPr>
        <w:t>售价（元）：0</w:t>
      </w:r>
    </w:p>
    <w:p>
      <w:pPr>
        <w:spacing w:line="360" w:lineRule="auto"/>
        <w:rPr>
          <w:rFonts w:ascii="黑体" w:hAnsi="黑体" w:eastAsia="黑体"/>
          <w:b/>
          <w:bCs/>
          <w:color w:val="auto"/>
          <w:sz w:val="24"/>
          <w:highlight w:val="none"/>
        </w:rPr>
      </w:pPr>
      <w:r>
        <w:rPr>
          <w:rFonts w:hint="eastAsia" w:ascii="黑体" w:hAnsi="黑体" w:eastAsia="黑体"/>
          <w:b/>
          <w:bCs/>
          <w:color w:val="auto"/>
          <w:sz w:val="24"/>
          <w:highlight w:val="none"/>
        </w:rPr>
        <w:t>四、提交投标文件</w:t>
      </w:r>
      <w:bookmarkEnd w:id="27"/>
      <w:bookmarkEnd w:id="28"/>
      <w:r>
        <w:rPr>
          <w:rFonts w:hint="eastAsia" w:ascii="黑体" w:hAnsi="黑体" w:eastAsia="黑体"/>
          <w:b/>
          <w:bCs/>
          <w:color w:val="auto"/>
          <w:sz w:val="24"/>
          <w:highlight w:val="none"/>
        </w:rPr>
        <w:t>截止时间、开标时间和地点</w:t>
      </w:r>
      <w:bookmarkEnd w:id="29"/>
      <w:bookmarkEnd w:id="30"/>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提交投标文件截止时间：</w:t>
      </w:r>
      <w:r>
        <w:rPr>
          <w:rFonts w:hint="eastAsia" w:ascii="宋体" w:hAnsi="宋体"/>
          <w:bCs/>
          <w:color w:val="auto"/>
          <w:szCs w:val="21"/>
          <w:highlight w:val="none"/>
          <w:lang w:eastAsia="zh-CN"/>
        </w:rPr>
        <w:t>2025年5月</w:t>
      </w:r>
      <w:r>
        <w:rPr>
          <w:rFonts w:hint="eastAsia" w:ascii="宋体" w:hAnsi="宋体"/>
          <w:bCs/>
          <w:color w:val="auto"/>
          <w:szCs w:val="21"/>
          <w:highlight w:val="none"/>
          <w:lang w:val="en-US" w:eastAsia="zh-CN"/>
        </w:rPr>
        <w:t>29</w:t>
      </w:r>
      <w:r>
        <w:rPr>
          <w:rFonts w:hint="eastAsia" w:ascii="宋体" w:hAnsi="宋体"/>
          <w:bCs/>
          <w:color w:val="auto"/>
          <w:szCs w:val="21"/>
          <w:highlight w:val="none"/>
          <w:lang w:eastAsia="zh-CN"/>
        </w:rPr>
        <w:t>日</w:t>
      </w:r>
      <w:r>
        <w:rPr>
          <w:rFonts w:hint="eastAsia" w:ascii="宋体" w:hAnsi="宋体"/>
          <w:bCs/>
          <w:color w:val="auto"/>
          <w:szCs w:val="21"/>
          <w:highlight w:val="none"/>
        </w:rPr>
        <w:t xml:space="preserve"> 09:30:00（北京时间）</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投标地点（网址）：广西政府采购云平台（https://www.gcy.zfcg.gxzf.gov.cn/）</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开标时间：</w:t>
      </w:r>
      <w:r>
        <w:rPr>
          <w:rFonts w:hint="eastAsia" w:ascii="宋体" w:hAnsi="宋体"/>
          <w:bCs/>
          <w:color w:val="auto"/>
          <w:szCs w:val="21"/>
          <w:highlight w:val="none"/>
          <w:lang w:eastAsia="zh-CN"/>
        </w:rPr>
        <w:t>2025年5月</w:t>
      </w:r>
      <w:r>
        <w:rPr>
          <w:rFonts w:hint="eastAsia" w:ascii="宋体" w:hAnsi="宋体"/>
          <w:bCs/>
          <w:color w:val="auto"/>
          <w:szCs w:val="21"/>
          <w:highlight w:val="none"/>
          <w:lang w:val="en-US" w:eastAsia="zh-CN"/>
        </w:rPr>
        <w:t>29</w:t>
      </w:r>
      <w:r>
        <w:rPr>
          <w:rFonts w:hint="eastAsia" w:ascii="宋体" w:hAnsi="宋体"/>
          <w:bCs/>
          <w:color w:val="auto"/>
          <w:szCs w:val="21"/>
          <w:highlight w:val="none"/>
          <w:lang w:eastAsia="zh-CN"/>
        </w:rPr>
        <w:t>日</w:t>
      </w:r>
      <w:r>
        <w:rPr>
          <w:rFonts w:hint="eastAsia" w:ascii="宋体" w:hAnsi="宋体"/>
          <w:bCs/>
          <w:color w:val="auto"/>
          <w:szCs w:val="21"/>
          <w:highlight w:val="none"/>
        </w:rPr>
        <w:t xml:space="preserve"> 09:30:00（北京时间）</w:t>
      </w:r>
    </w:p>
    <w:p>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开标地点：广西政府采购云平台电子开标大厅</w:t>
      </w:r>
    </w:p>
    <w:p>
      <w:pPr>
        <w:spacing w:line="360" w:lineRule="auto"/>
        <w:rPr>
          <w:rFonts w:ascii="黑体" w:hAnsi="黑体" w:eastAsia="黑体"/>
          <w:b/>
          <w:bCs/>
          <w:color w:val="auto"/>
          <w:sz w:val="24"/>
          <w:highlight w:val="none"/>
        </w:rPr>
      </w:pPr>
      <w:bookmarkStart w:id="31" w:name="_Toc35393625"/>
      <w:bookmarkStart w:id="32" w:name="_Toc28359084"/>
      <w:bookmarkStart w:id="33" w:name="_Toc35393794"/>
      <w:bookmarkStart w:id="34" w:name="_Toc28359007"/>
      <w:r>
        <w:rPr>
          <w:rFonts w:hint="eastAsia" w:ascii="黑体" w:hAnsi="黑体" w:eastAsia="黑体"/>
          <w:b/>
          <w:bCs/>
          <w:color w:val="auto"/>
          <w:sz w:val="24"/>
          <w:highlight w:val="none"/>
        </w:rPr>
        <w:t>五、公告期限</w:t>
      </w:r>
      <w:bookmarkEnd w:id="31"/>
      <w:bookmarkEnd w:id="32"/>
      <w:bookmarkEnd w:id="33"/>
      <w:bookmarkEnd w:id="34"/>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自本公告发布之日起5个工作日。</w:t>
      </w:r>
    </w:p>
    <w:p>
      <w:pPr>
        <w:spacing w:line="360" w:lineRule="auto"/>
        <w:rPr>
          <w:rFonts w:ascii="黑体" w:hAnsi="黑体" w:eastAsia="黑体"/>
          <w:b/>
          <w:bCs/>
          <w:color w:val="auto"/>
          <w:sz w:val="24"/>
          <w:highlight w:val="none"/>
        </w:rPr>
      </w:pPr>
      <w:bookmarkStart w:id="35" w:name="_Toc35393795"/>
      <w:bookmarkStart w:id="36" w:name="_Toc35393626"/>
      <w:r>
        <w:rPr>
          <w:rFonts w:hint="eastAsia" w:ascii="黑体" w:hAnsi="黑体" w:eastAsia="黑体"/>
          <w:b/>
          <w:bCs/>
          <w:color w:val="auto"/>
          <w:sz w:val="24"/>
          <w:highlight w:val="none"/>
        </w:rPr>
        <w:t>六、其他补充事宜</w:t>
      </w:r>
      <w:bookmarkEnd w:id="35"/>
      <w:bookmarkEnd w:id="36"/>
    </w:p>
    <w:p>
      <w:pPr>
        <w:spacing w:line="360" w:lineRule="auto"/>
        <w:ind w:firstLine="420" w:firstLineChars="200"/>
        <w:rPr>
          <w:rFonts w:ascii="宋体" w:hAnsi="宋体" w:cs="宋体"/>
          <w:color w:val="auto"/>
          <w:kern w:val="0"/>
          <w:szCs w:val="21"/>
          <w:highlight w:val="none"/>
        </w:rPr>
      </w:pPr>
      <w:bookmarkStart w:id="37" w:name="_Hlk37429585"/>
      <w:bookmarkStart w:id="38" w:name="_Hlk37429595"/>
      <w:r>
        <w:rPr>
          <w:rFonts w:hint="eastAsia" w:ascii="宋体" w:hAnsi="宋体" w:cs="宋体"/>
          <w:color w:val="auto"/>
          <w:kern w:val="0"/>
          <w:szCs w:val="21"/>
          <w:highlight w:val="none"/>
        </w:rPr>
        <w:t>1.投标保证金：</w:t>
      </w:r>
    </w:p>
    <w:p>
      <w:pPr>
        <w:spacing w:line="360" w:lineRule="auto"/>
        <w:ind w:firstLine="840" w:firstLineChars="400"/>
        <w:rPr>
          <w:rFonts w:ascii="宋体" w:hAnsi="宋体" w:cs="宋体"/>
          <w:color w:val="auto"/>
          <w:kern w:val="0"/>
          <w:szCs w:val="21"/>
          <w:highlight w:val="none"/>
        </w:rPr>
      </w:pPr>
      <w:r>
        <w:rPr>
          <w:rFonts w:hint="eastAsia" w:ascii="宋体" w:hAnsi="宋体" w:cs="宋体"/>
          <w:color w:val="auto"/>
          <w:kern w:val="0"/>
          <w:szCs w:val="21"/>
          <w:highlight w:val="none"/>
        </w:rPr>
        <w:t>投标保证金金额：</w:t>
      </w:r>
      <w:r>
        <w:rPr>
          <w:rFonts w:hint="eastAsia" w:ascii="宋体" w:hAnsi="宋体" w:cs="宋体"/>
          <w:color w:val="auto"/>
          <w:szCs w:val="21"/>
          <w:highlight w:val="none"/>
        </w:rPr>
        <w:t>分标1：¥</w:t>
      </w:r>
      <w:r>
        <w:rPr>
          <w:rFonts w:hint="eastAsia" w:ascii="宋体" w:hAnsi="宋体" w:cs="宋体"/>
          <w:color w:val="auto"/>
          <w:szCs w:val="21"/>
          <w:highlight w:val="none"/>
          <w:lang w:val="en-US" w:eastAsia="zh-CN"/>
        </w:rPr>
        <w:t>20000</w:t>
      </w:r>
      <w:r>
        <w:rPr>
          <w:rFonts w:hint="eastAsia" w:ascii="宋体" w:hAnsi="宋体" w:cs="宋体"/>
          <w:color w:val="auto"/>
          <w:szCs w:val="21"/>
          <w:highlight w:val="none"/>
        </w:rPr>
        <w:t>.00、分标2：¥</w:t>
      </w:r>
      <w:r>
        <w:rPr>
          <w:rFonts w:hint="eastAsia" w:ascii="宋体" w:hAnsi="宋体" w:cs="宋体"/>
          <w:color w:val="auto"/>
          <w:szCs w:val="21"/>
          <w:highlight w:val="none"/>
          <w:lang w:val="en-US" w:eastAsia="zh-CN"/>
        </w:rPr>
        <w:t>10000</w:t>
      </w:r>
      <w:r>
        <w:rPr>
          <w:rFonts w:hint="eastAsia" w:ascii="宋体" w:hAnsi="宋体" w:cs="宋体"/>
          <w:color w:val="auto"/>
          <w:szCs w:val="21"/>
          <w:highlight w:val="none"/>
        </w:rPr>
        <w:t>.00</w:t>
      </w:r>
      <w:r>
        <w:rPr>
          <w:rFonts w:hint="eastAsia" w:ascii="宋体" w:hAnsi="宋体" w:cs="宋体"/>
          <w:color w:val="auto"/>
          <w:kern w:val="0"/>
          <w:szCs w:val="21"/>
          <w:highlight w:val="none"/>
        </w:rPr>
        <w:t>。</w:t>
      </w:r>
    </w:p>
    <w:p>
      <w:pPr>
        <w:spacing w:line="360" w:lineRule="auto"/>
        <w:ind w:firstLine="840" w:firstLineChars="400"/>
        <w:rPr>
          <w:rFonts w:ascii="宋体" w:hAnsi="宋体" w:cs="宋体"/>
          <w:color w:val="auto"/>
          <w:kern w:val="0"/>
          <w:szCs w:val="21"/>
          <w:highlight w:val="none"/>
        </w:rPr>
      </w:pPr>
      <w:r>
        <w:rPr>
          <w:rFonts w:hint="eastAsia" w:ascii="宋体" w:hAnsi="宋体" w:cs="宋体"/>
          <w:color w:val="auto"/>
          <w:kern w:val="0"/>
          <w:szCs w:val="21"/>
          <w:highlight w:val="none"/>
        </w:rPr>
        <w:t>投标保证金的缴纳方式：以银行转账、支票、汇票、本票或者金融机构、担保机构出具的保函等非现金形式提交。采用银行转账方式的，在投标截止时间前交至采购代理机构指定账户并且到账。缴纳投标保证金指定账户的信息：</w:t>
      </w:r>
    </w:p>
    <w:p>
      <w:pPr>
        <w:spacing w:line="360" w:lineRule="auto"/>
        <w:ind w:left="495"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开户银行：招商银行南宁市</w:t>
      </w:r>
      <w:r>
        <w:rPr>
          <w:rFonts w:hint="eastAsia" w:ascii="宋体" w:hAnsi="宋体" w:cs="宋体"/>
          <w:color w:val="auto"/>
          <w:kern w:val="0"/>
          <w:szCs w:val="21"/>
          <w:highlight w:val="none"/>
          <w:lang w:eastAsia="zh-CN"/>
        </w:rPr>
        <w:t>金浦路</w:t>
      </w:r>
      <w:r>
        <w:rPr>
          <w:rFonts w:hint="eastAsia" w:ascii="宋体" w:hAnsi="宋体" w:cs="宋体"/>
          <w:color w:val="auto"/>
          <w:kern w:val="0"/>
          <w:szCs w:val="21"/>
          <w:highlight w:val="none"/>
        </w:rPr>
        <w:t>支行</w:t>
      </w:r>
    </w:p>
    <w:p>
      <w:pPr>
        <w:spacing w:line="360" w:lineRule="auto"/>
        <w:ind w:left="495"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开户名称：广西科联招标中心有限公司</w:t>
      </w:r>
    </w:p>
    <w:p>
      <w:pPr>
        <w:spacing w:line="360" w:lineRule="auto"/>
        <w:ind w:left="495"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银行账号：</w:t>
      </w:r>
    </w:p>
    <w:p>
      <w:pPr>
        <w:spacing w:line="360" w:lineRule="auto"/>
        <w:ind w:left="495"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分标1：7719011969103333000008783</w:t>
      </w:r>
    </w:p>
    <w:p>
      <w:pPr>
        <w:spacing w:line="360" w:lineRule="auto"/>
        <w:ind w:firstLine="840" w:firstLineChars="400"/>
        <w:rPr>
          <w:rFonts w:hint="eastAsia" w:ascii="宋体" w:hAnsi="宋体" w:cs="宋体"/>
          <w:color w:val="auto"/>
          <w:kern w:val="0"/>
          <w:szCs w:val="21"/>
          <w:highlight w:val="none"/>
        </w:rPr>
      </w:pPr>
      <w:r>
        <w:rPr>
          <w:rFonts w:hint="eastAsia" w:ascii="宋体" w:hAnsi="宋体" w:cs="宋体"/>
          <w:color w:val="auto"/>
          <w:kern w:val="0"/>
          <w:szCs w:val="21"/>
          <w:highlight w:val="none"/>
        </w:rPr>
        <w:t>分标2：7719011969103333000008859</w:t>
      </w:r>
    </w:p>
    <w:p>
      <w:pPr>
        <w:spacing w:line="360" w:lineRule="auto"/>
        <w:ind w:firstLine="840" w:firstLineChars="400"/>
        <w:rPr>
          <w:rFonts w:ascii="宋体" w:hAnsi="宋体" w:cs="宋体"/>
          <w:color w:val="auto"/>
          <w:highlight w:val="none"/>
        </w:rPr>
      </w:pPr>
      <w:r>
        <w:rPr>
          <w:rFonts w:hint="eastAsia" w:ascii="宋体" w:hAnsi="宋体" w:cs="宋体"/>
          <w:color w:val="auto"/>
          <w:kern w:val="0"/>
          <w:szCs w:val="21"/>
          <w:highlight w:val="none"/>
        </w:rPr>
        <w:t>采用支票、汇票、本票或者保函等方式的，在投标截止时间前，投标人必须递交单独密封的支票、汇票、本票或者保函（电子保函除外）等原件给采购代理机构。否则视为无效投标保证金。</w:t>
      </w:r>
    </w:p>
    <w:p>
      <w:pPr>
        <w:spacing w:line="360" w:lineRule="auto"/>
        <w:ind w:firstLine="315" w:firstLineChars="150"/>
        <w:rPr>
          <w:rFonts w:ascii="宋体" w:hAnsi="宋体" w:cs="宋体"/>
          <w:color w:val="auto"/>
          <w:kern w:val="0"/>
          <w:szCs w:val="21"/>
          <w:highlight w:val="none"/>
        </w:rPr>
      </w:pPr>
      <w:r>
        <w:rPr>
          <w:rFonts w:hint="eastAsia" w:ascii="宋体" w:hAnsi="宋体" w:cs="宋体"/>
          <w:color w:val="auto"/>
          <w:kern w:val="0"/>
          <w:szCs w:val="21"/>
          <w:highlight w:val="none"/>
        </w:rPr>
        <w:t>2.网上查询地址：</w:t>
      </w:r>
      <w:bookmarkEnd w:id="37"/>
      <w:bookmarkEnd w:id="38"/>
      <w:bookmarkStart w:id="39" w:name="_Hlk37429674"/>
      <w:r>
        <w:rPr>
          <w:rFonts w:hint="eastAsia" w:ascii="宋体" w:hAnsi="宋体" w:cs="宋体"/>
          <w:color w:val="auto"/>
          <w:kern w:val="0"/>
          <w:szCs w:val="21"/>
          <w:highlight w:val="none"/>
        </w:rPr>
        <w:t>http://www.ccgp-guangxi.gov.cn/ (中国政府采购网广西分网)、http://ggzy.jgswj.gxzf.gov.cn/gxggzy/（全国公共资源交易平台（广西壮族自治区））</w:t>
      </w:r>
    </w:p>
    <w:p>
      <w:pPr>
        <w:spacing w:line="360" w:lineRule="auto"/>
        <w:ind w:firstLine="315" w:firstLineChars="150"/>
        <w:rPr>
          <w:rFonts w:ascii="宋体" w:hAnsi="宋体" w:cs="宋体"/>
          <w:color w:val="auto"/>
          <w:kern w:val="0"/>
          <w:szCs w:val="21"/>
          <w:highlight w:val="none"/>
        </w:rPr>
      </w:pPr>
      <w:r>
        <w:rPr>
          <w:rFonts w:hint="eastAsia" w:ascii="宋体" w:hAnsi="宋体" w:cs="宋体"/>
          <w:color w:val="auto"/>
          <w:szCs w:val="21"/>
          <w:highlight w:val="none"/>
        </w:rPr>
        <w:t>3.</w:t>
      </w:r>
      <w:r>
        <w:rPr>
          <w:rFonts w:hint="eastAsia" w:ascii="宋体" w:hAnsi="宋体" w:cs="宋体"/>
          <w:color w:val="auto"/>
          <w:kern w:val="0"/>
          <w:szCs w:val="21"/>
          <w:highlight w:val="none"/>
        </w:rPr>
        <w:t>本项目需要落实的政府采购政策：</w:t>
      </w:r>
      <w:bookmarkStart w:id="40" w:name="PO_3000001867_PM023"/>
    </w:p>
    <w:bookmarkEnd w:id="40"/>
    <w:p>
      <w:pPr>
        <w:spacing w:line="360" w:lineRule="auto"/>
        <w:ind w:firstLine="735" w:firstLineChars="350"/>
        <w:rPr>
          <w:rFonts w:ascii="宋体" w:hAnsi="宋体" w:cs="宋体"/>
          <w:color w:val="auto"/>
          <w:kern w:val="0"/>
          <w:szCs w:val="21"/>
          <w:highlight w:val="none"/>
        </w:rPr>
      </w:pPr>
      <w:r>
        <w:rPr>
          <w:rFonts w:hint="eastAsia" w:ascii="宋体" w:hAnsi="宋体" w:cs="宋体"/>
          <w:color w:val="auto"/>
          <w:kern w:val="0"/>
          <w:szCs w:val="21"/>
          <w:highlight w:val="none"/>
        </w:rPr>
        <w:t>（1）政府采购促进中小企业发展。</w:t>
      </w:r>
    </w:p>
    <w:p>
      <w:pPr>
        <w:spacing w:line="360" w:lineRule="auto"/>
        <w:ind w:firstLine="735" w:firstLineChars="350"/>
        <w:rPr>
          <w:rFonts w:ascii="宋体" w:hAnsi="宋体" w:cs="宋体"/>
          <w:color w:val="auto"/>
          <w:kern w:val="0"/>
          <w:szCs w:val="21"/>
          <w:highlight w:val="none"/>
        </w:rPr>
      </w:pPr>
      <w:r>
        <w:rPr>
          <w:rFonts w:hint="eastAsia" w:ascii="宋体" w:hAnsi="宋体" w:cs="宋体"/>
          <w:color w:val="auto"/>
          <w:kern w:val="0"/>
          <w:szCs w:val="21"/>
          <w:highlight w:val="none"/>
        </w:rPr>
        <w:t>（2）政府采购支持采用本国产品的政策。</w:t>
      </w:r>
    </w:p>
    <w:p>
      <w:pPr>
        <w:spacing w:line="360" w:lineRule="auto"/>
        <w:ind w:firstLine="735" w:firstLineChars="350"/>
        <w:rPr>
          <w:rFonts w:ascii="宋体" w:hAnsi="宋体" w:cs="宋体"/>
          <w:color w:val="auto"/>
          <w:kern w:val="0"/>
          <w:szCs w:val="21"/>
          <w:highlight w:val="none"/>
        </w:rPr>
      </w:pPr>
      <w:r>
        <w:rPr>
          <w:rFonts w:hint="eastAsia" w:ascii="宋体" w:hAnsi="宋体" w:cs="宋体"/>
          <w:color w:val="auto"/>
          <w:kern w:val="0"/>
          <w:szCs w:val="21"/>
          <w:highlight w:val="none"/>
        </w:rPr>
        <w:t>（3）强制采购节能产品。优先采购节能产品、环境标志产品。</w:t>
      </w:r>
    </w:p>
    <w:p>
      <w:pPr>
        <w:spacing w:line="360" w:lineRule="auto"/>
        <w:ind w:firstLine="735" w:firstLineChars="350"/>
        <w:rPr>
          <w:rFonts w:ascii="宋体" w:hAnsi="宋体" w:cs="宋体"/>
          <w:color w:val="auto"/>
          <w:kern w:val="0"/>
          <w:szCs w:val="21"/>
          <w:highlight w:val="none"/>
        </w:rPr>
      </w:pPr>
      <w:r>
        <w:rPr>
          <w:rFonts w:hint="eastAsia" w:ascii="宋体" w:hAnsi="宋体" w:cs="宋体"/>
          <w:color w:val="auto"/>
          <w:kern w:val="0"/>
          <w:szCs w:val="21"/>
          <w:highlight w:val="none"/>
        </w:rPr>
        <w:t>（4）政府采购促进残疾人就业政策。</w:t>
      </w:r>
    </w:p>
    <w:p>
      <w:pPr>
        <w:spacing w:line="360" w:lineRule="auto"/>
        <w:ind w:firstLine="735" w:firstLineChars="350"/>
        <w:rPr>
          <w:rFonts w:ascii="宋体" w:hAnsi="宋体" w:cs="宋体"/>
          <w:color w:val="auto"/>
          <w:kern w:val="0"/>
          <w:szCs w:val="21"/>
          <w:highlight w:val="none"/>
        </w:rPr>
      </w:pPr>
      <w:r>
        <w:rPr>
          <w:rFonts w:hint="eastAsia" w:ascii="宋体" w:hAnsi="宋体" w:cs="宋体"/>
          <w:color w:val="auto"/>
          <w:kern w:val="0"/>
          <w:szCs w:val="21"/>
          <w:highlight w:val="none"/>
        </w:rPr>
        <w:t>（5）政府采购支持监狱企业发展。</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单位负责人为同一人或者存在直接控股、管理关系的不同供应商，不得参加同一合同项下的政府采购活动。为本项目提供过整体设计、规范编制或者项目管理、监理、检测等服务的供应商，不得再参加本项目上述服务以外的其他采购活动。</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szCs w:val="21"/>
          <w:highlight w:val="none"/>
        </w:rPr>
        <w:t>5.对在“信用中国”网站(www.creditchina.gov.cn) 、中国政府采购网(www.ccgp.gov.cn)被列入失信被执行人、重大税收违法失信主体、政府采购严重违法失信行为记录名单及其他不符合《中华人民共和国政府采购法》第二十二条规定条件的供应商，不得参与政府采购活动。</w:t>
      </w:r>
    </w:p>
    <w:bookmarkEnd w:id="39"/>
    <w:p>
      <w:pPr>
        <w:spacing w:line="360" w:lineRule="auto"/>
        <w:ind w:firstLine="422" w:firstLineChars="200"/>
        <w:rPr>
          <w:rFonts w:ascii="宋体" w:hAnsi="宋体" w:cs="宋体"/>
          <w:b/>
          <w:bCs/>
          <w:color w:val="auto"/>
          <w:kern w:val="0"/>
          <w:szCs w:val="21"/>
          <w:highlight w:val="none"/>
        </w:rPr>
      </w:pPr>
      <w:r>
        <w:rPr>
          <w:rFonts w:hint="eastAsia" w:ascii="宋体" w:hAnsi="宋体" w:cs="宋体"/>
          <w:b/>
          <w:bCs/>
          <w:color w:val="auto"/>
          <w:szCs w:val="21"/>
          <w:highlight w:val="none"/>
        </w:rPr>
        <w:t>6.在线投标的有关说明</w:t>
      </w:r>
      <w:r>
        <w:rPr>
          <w:rFonts w:hint="eastAsia" w:ascii="宋体" w:hAnsi="宋体" w:cs="宋体"/>
          <w:b/>
          <w:bCs/>
          <w:color w:val="auto"/>
          <w:kern w:val="0"/>
          <w:szCs w:val="21"/>
          <w:highlight w:val="none"/>
        </w:rPr>
        <w:t>：</w:t>
      </w:r>
    </w:p>
    <w:p>
      <w:pPr>
        <w:widowControl/>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投标文件提交方式：本项目为全流程电子化项目，通过广西政府采购云平台（https://www.gcy.zfcg.gxzf.gov.cn/）实行在线电子投标，供应商应先安装广西政府采购云平台新版客户端（新版客户端下载路径：广西政府采购网（访问地址http://zfcg.gxzf.gov.cn/）—办事服务—下载专区），并按照本项目招标文件和广西政府采购云平台的要求编制、加密后在投标截止时间前通过网络上传至广西政府采购云平台，投标人在广西政府采购云平台提交电子版投标文件时，请填写参加远程开标活动经办人联系方式。</w:t>
      </w:r>
    </w:p>
    <w:p>
      <w:pPr>
        <w:widowControl/>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（2）未进行网上注册并办理数字证书（CA认证）的供应商将无法参与本项目政府采购活动，潜在投标人应当在投标截止时间前，完成电子交易平台上的CA数字证书办理及投标文件的提交。</w:t>
      </w:r>
    </w:p>
    <w:p>
      <w:pPr>
        <w:widowControl/>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（3）为确保网上操作合法、有效和安全，请投标人确保在电子投标过程中能够对相关数据电文进行加密和使用电子签章，妥善保管CA数字证书并使用有效的CA数字证书参与整个招标活动。</w:t>
      </w:r>
    </w:p>
    <w:p>
      <w:pPr>
        <w:spacing w:line="360" w:lineRule="auto"/>
        <w:ind w:firstLine="422" w:firstLineChars="200"/>
        <w:rPr>
          <w:rFonts w:ascii="宋体" w:hAnsi="宋体" w:cs="宋体"/>
          <w:bCs/>
          <w:color w:val="auto"/>
          <w:szCs w:val="21"/>
          <w:highlight w:val="none"/>
          <w:u w:val="single"/>
        </w:rPr>
      </w:pPr>
      <w:r>
        <w:rPr>
          <w:rFonts w:hint="eastAsia" w:ascii="宋体" w:hAnsi="宋体" w:cs="宋体"/>
          <w:b/>
          <w:color w:val="auto"/>
          <w:szCs w:val="21"/>
          <w:highlight w:val="none"/>
          <w:u w:val="single"/>
        </w:rPr>
        <w:t>注：投标人应当在投标截止时间前完成电子投标文件的上传、递交，投标截止时间前可以补充、修改或者撤回投标文件。补充或者修改投标文件的，应当先行撤回原文件，补充、修改后重新上传、递交。投标截止时间前未完成上传、递交的，视为撤回投标文件。投标截止时间以后上传递交的投标文件广西政府采购云平台将予以拒收。</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（4）CA证书在线解密：投标人投标时，需携带制作投标文件时用来加密的有效数字证书（CA认证）登录广西政府采购云平台电子开标大厅现场按规定时间对加密的投标文件进行解密。</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5）若对项目采购电子交易系统操作有疑问，可登录广西政府采购云平台（https://www.gcy.zfcg.gxzf.gov.cn/），点击右侧咨询小采，获取采小蜜智能服务管家帮助，或拨打广西政府采购云平台服务热线95763获取热线服务帮助。</w:t>
      </w:r>
    </w:p>
    <w:p>
      <w:pPr>
        <w:spacing w:line="360" w:lineRule="auto"/>
        <w:rPr>
          <w:rFonts w:ascii="黑体" w:hAnsi="黑体" w:eastAsia="黑体"/>
          <w:b/>
          <w:bCs/>
          <w:color w:val="auto"/>
          <w:sz w:val="24"/>
          <w:highlight w:val="none"/>
        </w:rPr>
      </w:pPr>
      <w:bookmarkStart w:id="41" w:name="_Toc28359008"/>
      <w:bookmarkStart w:id="42" w:name="_Toc35393796"/>
      <w:bookmarkStart w:id="43" w:name="_Toc28359085"/>
      <w:bookmarkStart w:id="44" w:name="_Toc35393627"/>
      <w:r>
        <w:rPr>
          <w:rFonts w:hint="eastAsia" w:ascii="黑体" w:hAnsi="黑体" w:eastAsia="黑体"/>
          <w:b/>
          <w:bCs/>
          <w:color w:val="auto"/>
          <w:sz w:val="24"/>
          <w:highlight w:val="none"/>
        </w:rPr>
        <w:t>七、对本次招标提出询问，请按以下方式联系。</w:t>
      </w:r>
      <w:bookmarkEnd w:id="41"/>
      <w:bookmarkEnd w:id="42"/>
      <w:bookmarkEnd w:id="43"/>
      <w:bookmarkEnd w:id="44"/>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1.采购人信息</w:t>
      </w:r>
    </w:p>
    <w:p>
      <w:pPr>
        <w:spacing w:line="360" w:lineRule="auto"/>
        <w:ind w:firstLine="630" w:firstLineChars="300"/>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名称：</w:t>
      </w:r>
      <w:r>
        <w:rPr>
          <w:rFonts w:hint="eastAsia" w:ascii="宋体" w:hAnsi="宋体" w:cs="宋体"/>
          <w:color w:val="auto"/>
          <w:kern w:val="0"/>
          <w:szCs w:val="21"/>
          <w:highlight w:val="none"/>
          <w:lang w:eastAsia="zh-CN"/>
        </w:rPr>
        <w:t>广西壮族自治区救灾物资储备中心</w:t>
      </w:r>
    </w:p>
    <w:p>
      <w:pPr>
        <w:spacing w:line="360" w:lineRule="auto"/>
        <w:ind w:firstLine="630" w:firstLineChars="300"/>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地址：</w:t>
      </w:r>
      <w:r>
        <w:rPr>
          <w:rFonts w:hint="eastAsia" w:ascii="宋体" w:hAnsi="宋体" w:cs="宋体"/>
          <w:color w:val="auto"/>
          <w:kern w:val="0"/>
          <w:szCs w:val="21"/>
          <w:highlight w:val="none"/>
          <w:lang w:eastAsia="zh-CN"/>
        </w:rPr>
        <w:t>广西南宁市民主路9号</w:t>
      </w:r>
    </w:p>
    <w:p>
      <w:pPr>
        <w:spacing w:line="360" w:lineRule="auto"/>
        <w:ind w:firstLine="630" w:firstLineChars="300"/>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项目联系人：</w:t>
      </w:r>
      <w:r>
        <w:rPr>
          <w:rFonts w:hint="eastAsia" w:ascii="宋体" w:hAnsi="宋体" w:cs="宋体"/>
          <w:color w:val="auto"/>
          <w:kern w:val="0"/>
          <w:szCs w:val="21"/>
          <w:highlight w:val="none"/>
          <w:lang w:val="en-US" w:eastAsia="zh-CN"/>
        </w:rPr>
        <w:t>陈威</w:t>
      </w:r>
    </w:p>
    <w:p>
      <w:pPr>
        <w:spacing w:line="360" w:lineRule="auto"/>
        <w:ind w:firstLine="630" w:firstLineChars="300"/>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项目联系方式：</w:t>
      </w:r>
      <w:r>
        <w:rPr>
          <w:rFonts w:hint="eastAsia" w:ascii="宋体" w:hAnsi="宋体" w:cs="宋体"/>
          <w:color w:val="auto"/>
          <w:kern w:val="0"/>
          <w:szCs w:val="21"/>
          <w:highlight w:val="none"/>
          <w:lang w:eastAsia="zh-CN"/>
        </w:rPr>
        <w:t>0771-5660526</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2.采购代理机构信息</w:t>
      </w:r>
    </w:p>
    <w:p>
      <w:pPr>
        <w:spacing w:line="360" w:lineRule="auto"/>
        <w:ind w:firstLine="630" w:firstLineChars="300"/>
        <w:rPr>
          <w:rFonts w:ascii="宋体" w:hAnsi="宋体" w:cs="宋体"/>
          <w:color w:val="auto"/>
          <w:kern w:val="0"/>
          <w:szCs w:val="21"/>
          <w:highlight w:val="none"/>
        </w:rPr>
      </w:pPr>
      <w:r>
        <w:rPr>
          <w:rFonts w:hint="eastAsia" w:ascii="宋体" w:hAnsi="宋体" w:cs="宋体"/>
          <w:color w:val="auto"/>
          <w:kern w:val="0"/>
          <w:szCs w:val="21"/>
          <w:highlight w:val="none"/>
        </w:rPr>
        <w:t>名称：</w:t>
      </w:r>
      <w:bookmarkStart w:id="45" w:name="PO_3000001866_PM031_1"/>
      <w:r>
        <w:rPr>
          <w:rFonts w:hint="eastAsia" w:ascii="宋体" w:hAnsi="宋体" w:cs="宋体"/>
          <w:color w:val="auto"/>
          <w:kern w:val="0"/>
          <w:szCs w:val="21"/>
          <w:highlight w:val="none"/>
        </w:rPr>
        <w:t>广西科联招标中心有限公司</w:t>
      </w:r>
      <w:bookmarkEnd w:id="45"/>
    </w:p>
    <w:p>
      <w:pPr>
        <w:spacing w:line="360" w:lineRule="auto"/>
        <w:ind w:firstLine="630" w:firstLineChars="300"/>
        <w:rPr>
          <w:rFonts w:ascii="宋体" w:hAnsi="宋体" w:cs="宋体"/>
          <w:color w:val="auto"/>
          <w:kern w:val="0"/>
          <w:szCs w:val="21"/>
          <w:highlight w:val="none"/>
        </w:rPr>
      </w:pPr>
      <w:r>
        <w:rPr>
          <w:rFonts w:hint="eastAsia" w:ascii="宋体" w:hAnsi="宋体" w:cs="宋体"/>
          <w:color w:val="auto"/>
          <w:kern w:val="0"/>
          <w:szCs w:val="21"/>
          <w:highlight w:val="none"/>
        </w:rPr>
        <w:t>地址：</w:t>
      </w:r>
      <w:bookmarkStart w:id="46" w:name="PO_3000001866_PM035_1"/>
      <w:r>
        <w:rPr>
          <w:rFonts w:hint="eastAsia" w:ascii="宋体" w:hAnsi="宋体" w:cs="宋体"/>
          <w:color w:val="auto"/>
          <w:kern w:val="0"/>
          <w:szCs w:val="21"/>
          <w:highlight w:val="none"/>
        </w:rPr>
        <w:t>广西南宁市大学东路170号</w:t>
      </w:r>
      <w:bookmarkEnd w:id="46"/>
    </w:p>
    <w:p>
      <w:pPr>
        <w:spacing w:line="360" w:lineRule="auto"/>
        <w:ind w:firstLine="630" w:firstLineChars="300"/>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项目联系人：</w:t>
      </w:r>
      <w:r>
        <w:rPr>
          <w:rFonts w:hint="eastAsia" w:ascii="宋体" w:hAnsi="宋体" w:cs="宋体"/>
          <w:color w:val="auto"/>
          <w:kern w:val="0"/>
          <w:szCs w:val="21"/>
          <w:highlight w:val="none"/>
          <w:lang w:eastAsia="zh-CN"/>
        </w:rPr>
        <w:t>江炎兰</w:t>
      </w:r>
    </w:p>
    <w:p>
      <w:pPr>
        <w:spacing w:line="360" w:lineRule="auto"/>
        <w:ind w:firstLine="630" w:firstLineChars="300"/>
        <w:rPr>
          <w:rFonts w:hint="eastAsia" w:ascii="宋体" w:hAnsi="宋体" w:eastAsia="宋体"/>
          <w:color w:val="auto"/>
          <w:szCs w:val="21"/>
          <w:highlight w:val="none"/>
          <w:lang w:eastAsia="zh-CN"/>
        </w:rPr>
      </w:pPr>
      <w:r>
        <w:rPr>
          <w:rFonts w:hint="eastAsia" w:ascii="宋体" w:hAnsi="宋体" w:cs="宋体"/>
          <w:color w:val="auto"/>
          <w:kern w:val="0"/>
          <w:szCs w:val="21"/>
          <w:highlight w:val="none"/>
        </w:rPr>
        <w:t>项目联系方式：0771-</w:t>
      </w:r>
      <w:r>
        <w:rPr>
          <w:rFonts w:hint="eastAsia" w:ascii="宋体" w:hAnsi="宋体" w:cs="宋体"/>
          <w:color w:val="auto"/>
          <w:kern w:val="0"/>
          <w:szCs w:val="21"/>
          <w:highlight w:val="none"/>
          <w:lang w:eastAsia="zh-CN"/>
        </w:rPr>
        <w:t>3486281</w:t>
      </w:r>
    </w:p>
    <w:p>
      <w:pPr>
        <w:spacing w:line="360" w:lineRule="auto"/>
        <w:jc w:val="left"/>
        <w:rPr>
          <w:rFonts w:ascii="宋体" w:hAnsi="宋体" w:cs="宋体"/>
          <w:color w:val="auto"/>
          <w:szCs w:val="21"/>
          <w:highlight w:val="none"/>
        </w:rPr>
      </w:pPr>
    </w:p>
    <w:p>
      <w:pPr>
        <w:pStyle w:val="17"/>
        <w:jc w:val="center"/>
        <w:outlineLvl w:val="0"/>
        <w:rPr>
          <w:rFonts w:hAnsi="宋体" w:cs="宋体"/>
          <w:b/>
          <w:color w:val="auto"/>
          <w:sz w:val="36"/>
          <w:highlight w:val="none"/>
        </w:rPr>
      </w:pPr>
      <w:r>
        <w:rPr>
          <w:rFonts w:hint="eastAsia" w:hAnsi="宋体" w:cs="宋体"/>
          <w:color w:val="auto"/>
          <w:szCs w:val="21"/>
          <w:highlight w:val="none"/>
        </w:rPr>
        <w:br w:type="page"/>
      </w:r>
      <w:bookmarkStart w:id="47" w:name="_Toc532545042"/>
      <w:bookmarkStart w:id="48" w:name="_Toc4656"/>
      <w:bookmarkStart w:id="49" w:name="_Toc32271"/>
      <w:bookmarkStart w:id="50" w:name="_Toc28626"/>
      <w:bookmarkStart w:id="51" w:name="_Toc22518"/>
      <w:r>
        <w:rPr>
          <w:rFonts w:hint="eastAsia" w:hAnsi="宋体" w:cs="宋体"/>
          <w:b/>
          <w:color w:val="auto"/>
          <w:sz w:val="36"/>
          <w:highlight w:val="none"/>
        </w:rPr>
        <w:t xml:space="preserve">第二章  </w:t>
      </w:r>
      <w:bookmarkEnd w:id="47"/>
      <w:r>
        <w:rPr>
          <w:rFonts w:hint="eastAsia" w:hAnsi="宋体" w:cs="宋体"/>
          <w:b/>
          <w:color w:val="auto"/>
          <w:sz w:val="36"/>
          <w:highlight w:val="none"/>
        </w:rPr>
        <w:t>采购需求</w:t>
      </w:r>
      <w:bookmarkEnd w:id="48"/>
      <w:bookmarkEnd w:id="49"/>
      <w:bookmarkEnd w:id="50"/>
      <w:bookmarkEnd w:id="51"/>
    </w:p>
    <w:p>
      <w:pPr>
        <w:adjustRightInd w:val="0"/>
        <w:spacing w:line="340" w:lineRule="exact"/>
        <w:rPr>
          <w:rFonts w:ascii="宋体" w:hAnsi="宋体" w:cs="宋体"/>
          <w:b/>
          <w:color w:val="auto"/>
          <w:szCs w:val="21"/>
          <w:highlight w:val="none"/>
        </w:rPr>
      </w:pPr>
    </w:p>
    <w:p>
      <w:pPr>
        <w:adjustRightInd w:val="0"/>
        <w:spacing w:line="450" w:lineRule="exact"/>
        <w:rPr>
          <w:rFonts w:ascii="宋体" w:hAnsi="宋体" w:cs="宋体"/>
          <w:b/>
          <w:color w:val="auto"/>
          <w:szCs w:val="21"/>
          <w:highlight w:val="none"/>
        </w:rPr>
      </w:pPr>
      <w:r>
        <w:rPr>
          <w:rFonts w:hint="eastAsia" w:ascii="宋体" w:hAnsi="宋体" w:cs="宋体"/>
          <w:b/>
          <w:color w:val="auto"/>
          <w:szCs w:val="21"/>
          <w:highlight w:val="none"/>
        </w:rPr>
        <w:t>说明：</w:t>
      </w:r>
    </w:p>
    <w:p>
      <w:pPr>
        <w:spacing w:line="450" w:lineRule="exact"/>
        <w:ind w:firstLine="424" w:firstLineChars="202"/>
        <w:jc w:val="left"/>
        <w:rPr>
          <w:rFonts w:ascii="宋体" w:hAnsi="宋体" w:cs="宋体"/>
          <w:color w:val="auto"/>
          <w:highlight w:val="none"/>
        </w:rPr>
      </w:pPr>
      <w:r>
        <w:rPr>
          <w:rFonts w:hint="eastAsia" w:ascii="宋体" w:hAnsi="宋体" w:cs="宋体"/>
          <w:color w:val="auto"/>
          <w:highlight w:val="none"/>
        </w:rPr>
        <w:t>1. 为落实政府采购政策需满足的要求</w:t>
      </w:r>
    </w:p>
    <w:p>
      <w:pPr>
        <w:spacing w:line="450" w:lineRule="exact"/>
        <w:ind w:firstLine="424" w:firstLineChars="202"/>
        <w:jc w:val="left"/>
        <w:rPr>
          <w:rFonts w:ascii="宋体" w:hAnsi="宋体" w:cs="宋体"/>
          <w:color w:val="auto"/>
          <w:highlight w:val="none"/>
        </w:rPr>
      </w:pPr>
      <w:r>
        <w:rPr>
          <w:rFonts w:hint="eastAsia" w:ascii="宋体" w:hAnsi="宋体" w:cs="宋体"/>
          <w:color w:val="auto"/>
          <w:highlight w:val="none"/>
        </w:rPr>
        <w:t>（1）本招标文件所称中小企业必须符合《政府采购促进中小企业发展管理办法》（财库〔2020〕46号）的规定。</w:t>
      </w:r>
    </w:p>
    <w:p>
      <w:pPr>
        <w:spacing w:line="450" w:lineRule="exact"/>
        <w:ind w:firstLine="424" w:firstLineChars="202"/>
        <w:jc w:val="left"/>
        <w:rPr>
          <w:rFonts w:ascii="宋体" w:hAnsi="宋体" w:cs="宋体"/>
          <w:color w:val="auto"/>
          <w:highlight w:val="none"/>
        </w:rPr>
      </w:pPr>
      <w:r>
        <w:rPr>
          <w:rFonts w:hint="eastAsia" w:ascii="宋体" w:hAnsi="宋体" w:cs="宋体"/>
          <w:color w:val="auto"/>
          <w:highlight w:val="none"/>
        </w:rPr>
        <w:t>（2）根据《财政部 发展改革委 生态环境部 市场监管总局关于调整优化节能产品、环境标志产品政府采购执行机制的通知》（财库〔2019〕9号）和《关于印发节能产品政府采购品目清单的通知》（财库〔2019〕19号）的规定，采购需求中的产品属于节能产品政府采购品目清单内标注“★”的，投标人的投标货物必须使用政府强制采购的节能产品，投标人必须在投标文件中提供所投标产品有效期内的节能产品认证证书复印件（加盖投标人公章），否则投标文件作无效处理。如本项目包含的货物属于品目清单内非标注“★”的产品时，应优先采购，具体详见“第四章 评标方法和评标标准”。</w:t>
      </w:r>
    </w:p>
    <w:p>
      <w:pPr>
        <w:spacing w:line="450" w:lineRule="exact"/>
        <w:ind w:firstLine="424" w:firstLineChars="202"/>
        <w:jc w:val="left"/>
        <w:rPr>
          <w:rFonts w:ascii="宋体" w:hAnsi="宋体" w:cs="宋体"/>
          <w:color w:val="auto"/>
          <w:highlight w:val="none"/>
        </w:rPr>
      </w:pPr>
      <w:r>
        <w:rPr>
          <w:rFonts w:hint="eastAsia" w:ascii="宋体" w:hAnsi="宋体" w:cs="宋体"/>
          <w:color w:val="auto"/>
          <w:highlight w:val="none"/>
        </w:rPr>
        <w:t>2.“实质性要求”是指招标文件中已经指明不满足则投标无效的条款，或者不能负偏离的条款，或者采购需求中带“▲”或“★”的条款。</w:t>
      </w:r>
    </w:p>
    <w:p>
      <w:pPr>
        <w:spacing w:line="450" w:lineRule="exact"/>
        <w:ind w:firstLine="424" w:firstLineChars="202"/>
        <w:jc w:val="left"/>
        <w:rPr>
          <w:rFonts w:ascii="宋体" w:hAnsi="宋体" w:cs="宋体"/>
          <w:color w:val="auto"/>
          <w:highlight w:val="none"/>
        </w:rPr>
      </w:pPr>
      <w:r>
        <w:rPr>
          <w:rFonts w:hint="eastAsia" w:ascii="宋体" w:hAnsi="宋体" w:cs="宋体"/>
          <w:color w:val="auto"/>
          <w:highlight w:val="none"/>
        </w:rPr>
        <w:t>3.采购需求中出现的品牌、型号或者生产厂家仅起参考作用，不属于指定品牌、型号或者生产厂家的情形。投标人可参照或者选用其他相当的品牌、型号或者生产厂家替代，但选用的投标产品技术参数及配置必须满足采购要求。</w:t>
      </w:r>
    </w:p>
    <w:p>
      <w:pPr>
        <w:spacing w:line="450" w:lineRule="exact"/>
        <w:ind w:firstLine="424" w:firstLineChars="202"/>
        <w:jc w:val="left"/>
        <w:rPr>
          <w:rFonts w:ascii="宋体" w:hAnsi="宋体" w:cs="宋体"/>
          <w:color w:val="auto"/>
          <w:highlight w:val="none"/>
        </w:rPr>
      </w:pPr>
      <w:r>
        <w:rPr>
          <w:rFonts w:hint="eastAsia" w:ascii="宋体" w:hAnsi="宋体" w:cs="宋体"/>
          <w:color w:val="auto"/>
          <w:highlight w:val="none"/>
        </w:rPr>
        <w:t>4.投标人必须对投标文件中提供的证明材料和资质文件真实性负责，如出现虚假应标情况，投标人除了应接受有关部门的处罚外，还应依据《中华人民共和国民法典》的相关条款来进行赔偿。</w:t>
      </w:r>
    </w:p>
    <w:p>
      <w:pPr>
        <w:spacing w:line="450" w:lineRule="exact"/>
        <w:ind w:firstLine="424" w:firstLineChars="202"/>
        <w:jc w:val="left"/>
        <w:rPr>
          <w:rFonts w:ascii="宋体" w:hAnsi="宋体" w:cs="宋体"/>
          <w:color w:val="auto"/>
          <w:szCs w:val="21"/>
          <w:highlight w:val="none"/>
        </w:rPr>
      </w:pPr>
      <w:r>
        <w:rPr>
          <w:rFonts w:hint="eastAsia" w:ascii="宋体" w:hAnsi="宋体" w:cs="宋体"/>
          <w:color w:val="auto"/>
          <w:highlight w:val="none"/>
        </w:rPr>
        <w:t>5.投标人应对投标内容所涉及的专利承担法律责任，并负责保护采购人的利益不受任何损害。一切由于文字、商标、技术和软件专利授权引起的法律裁决、诉讼和赔偿费用均由中标人负责。</w:t>
      </w:r>
    </w:p>
    <w:p>
      <w:pPr>
        <w:spacing w:line="450" w:lineRule="exact"/>
        <w:ind w:firstLine="426" w:firstLineChars="202"/>
        <w:jc w:val="left"/>
        <w:rPr>
          <w:rFonts w:ascii="宋体" w:hAnsi="宋体" w:cs="宋体"/>
          <w:color w:val="auto"/>
          <w:szCs w:val="21"/>
          <w:highlight w:val="none"/>
        </w:rPr>
      </w:pPr>
      <w:r>
        <w:rPr>
          <w:rFonts w:hint="eastAsia" w:ascii="宋体" w:hAnsi="宋体" w:cs="宋体"/>
          <w:b/>
          <w:color w:val="auto"/>
          <w:szCs w:val="21"/>
          <w:highlight w:val="none"/>
        </w:rPr>
        <w:t>6.采购标的对应的中小企业划分标准所属行业名称：</w:t>
      </w:r>
      <w:r>
        <w:rPr>
          <w:rFonts w:hint="eastAsia" w:ascii="宋体" w:hAnsi="宋体" w:cs="宋体"/>
          <w:b/>
          <w:bCs/>
          <w:color w:val="auto"/>
          <w:szCs w:val="21"/>
          <w:highlight w:val="none"/>
          <w:u w:val="single"/>
        </w:rPr>
        <w:t>工业</w:t>
      </w:r>
      <w:r>
        <w:rPr>
          <w:rFonts w:hint="eastAsia" w:ascii="宋体" w:hAnsi="宋体" w:cs="宋体"/>
          <w:b w:val="0"/>
          <w:bCs w:val="0"/>
          <w:color w:val="auto"/>
          <w:szCs w:val="21"/>
          <w:highlight w:val="none"/>
          <w:u w:val="none"/>
        </w:rPr>
        <w:t>，</w:t>
      </w:r>
      <w:r>
        <w:rPr>
          <w:rFonts w:hint="eastAsia" w:ascii="宋体" w:hAnsi="宋体" w:cs="宋体"/>
          <w:color w:val="auto"/>
          <w:szCs w:val="21"/>
          <w:highlight w:val="none"/>
        </w:rPr>
        <w:t>（行业名称及划分见本章附件1）。</w:t>
      </w:r>
    </w:p>
    <w:p>
      <w:pPr>
        <w:rPr>
          <w:rFonts w:asciiTheme="minorEastAsia" w:hAnsiTheme="minorEastAsia" w:eastAsiaTheme="minorEastAsia" w:cstheme="minorEastAsia"/>
          <w:b/>
          <w:bCs/>
          <w:color w:val="auto"/>
          <w:szCs w:val="21"/>
          <w:highlight w:val="none"/>
        </w:rPr>
      </w:pPr>
      <w:r>
        <w:rPr>
          <w:rFonts w:asciiTheme="minorEastAsia" w:hAnsiTheme="minorEastAsia" w:eastAsiaTheme="minorEastAsia" w:cstheme="minorEastAsia"/>
          <w:b/>
          <w:bCs/>
          <w:color w:val="auto"/>
          <w:szCs w:val="21"/>
          <w:highlight w:val="none"/>
        </w:rPr>
        <w:br w:type="page"/>
      </w:r>
    </w:p>
    <w:p>
      <w:pPr>
        <w:pStyle w:val="21"/>
        <w:rPr>
          <w:color w:val="auto"/>
          <w:highlight w:val="none"/>
        </w:rPr>
      </w:pPr>
    </w:p>
    <w:tbl>
      <w:tblPr>
        <w:tblStyle w:val="32"/>
        <w:tblW w:w="9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6"/>
        <w:gridCol w:w="653"/>
        <w:gridCol w:w="1302"/>
        <w:gridCol w:w="1107"/>
        <w:gridCol w:w="5300"/>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862" w:type="dxa"/>
            <w:gridSpan w:val="6"/>
            <w:tcBorders>
              <w:top w:val="single" w:color="auto" w:sz="4" w:space="0"/>
              <w:left w:val="single" w:color="auto" w:sz="4" w:space="0"/>
              <w:bottom w:val="single" w:color="auto" w:sz="4" w:space="0"/>
              <w:right w:val="single" w:color="auto" w:sz="4" w:space="0"/>
            </w:tcBorders>
            <w:noWrap/>
            <w:vAlign w:val="center"/>
          </w:tcPr>
          <w:p>
            <w:pPr>
              <w:pStyle w:val="21"/>
              <w:spacing w:line="360" w:lineRule="exact"/>
              <w:ind w:left="-107" w:leftChars="-51" w:right="-107" w:rightChars="-51"/>
              <w:jc w:val="both"/>
              <w:rPr>
                <w:rFonts w:ascii="宋体" w:hAnsi="宋体" w:cs="宋体"/>
                <w:b/>
                <w:color w:val="auto"/>
                <w:sz w:val="21"/>
                <w:szCs w:val="21"/>
                <w:highlight w:val="none"/>
              </w:rPr>
            </w:pPr>
            <w:r>
              <w:rPr>
                <w:rFonts w:hint="eastAsia" w:ascii="宋体" w:hAnsi="宋体" w:cs="宋体"/>
                <w:b/>
                <w:color w:val="auto"/>
                <w:sz w:val="24"/>
                <w:szCs w:val="24"/>
                <w:highlight w:val="none"/>
              </w:rPr>
              <w:t>分标1：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6" w:type="dxa"/>
            <w:vMerge w:val="restart"/>
            <w:tcBorders>
              <w:top w:val="single" w:color="auto" w:sz="4" w:space="0"/>
              <w:left w:val="single" w:color="auto" w:sz="4" w:space="0"/>
              <w:right w:val="single" w:color="auto" w:sz="4" w:space="0"/>
            </w:tcBorders>
            <w:shd w:val="clear" w:color="auto" w:fill="auto"/>
            <w:noWrap/>
            <w:vAlign w:val="center"/>
          </w:tcPr>
          <w:p>
            <w:pPr>
              <w:pStyle w:val="21"/>
              <w:spacing w:line="360" w:lineRule="exact"/>
              <w:jc w:val="center"/>
              <w:rPr>
                <w:rFonts w:ascii="宋体" w:hAnsi="宋体" w:cs="宋体"/>
                <w:color w:val="auto"/>
                <w:sz w:val="21"/>
                <w:szCs w:val="21"/>
                <w:highlight w:val="none"/>
              </w:rPr>
            </w:pPr>
            <w:r>
              <w:rPr>
                <w:rFonts w:hint="eastAsia" w:ascii="宋体" w:hAnsi="宋体" w:cs="宋体"/>
                <w:b/>
                <w:color w:val="auto"/>
                <w:sz w:val="21"/>
                <w:szCs w:val="21"/>
                <w:highlight w:val="none"/>
              </w:rPr>
              <w:t>需求一览表</w:t>
            </w:r>
          </w:p>
        </w:tc>
        <w:tc>
          <w:tcPr>
            <w:tcW w:w="653" w:type="dxa"/>
            <w:tcBorders>
              <w:top w:val="single" w:color="auto" w:sz="4" w:space="0"/>
              <w:left w:val="nil"/>
              <w:bottom w:val="single" w:color="auto" w:sz="4" w:space="0"/>
              <w:right w:val="single" w:color="auto" w:sz="4" w:space="0"/>
            </w:tcBorders>
            <w:shd w:val="clear" w:color="auto" w:fill="auto"/>
            <w:noWrap/>
            <w:vAlign w:val="center"/>
          </w:tcPr>
          <w:p>
            <w:pPr>
              <w:pStyle w:val="21"/>
              <w:spacing w:line="360" w:lineRule="exact"/>
              <w:jc w:val="center"/>
              <w:rPr>
                <w:rFonts w:ascii="宋体" w:hAnsi="宋体" w:cs="宋体"/>
                <w:b/>
                <w:color w:val="auto"/>
                <w:sz w:val="21"/>
                <w:szCs w:val="21"/>
                <w:highlight w:val="none"/>
              </w:rPr>
            </w:pPr>
            <w:r>
              <w:rPr>
                <w:rFonts w:hint="eastAsia" w:ascii="宋体" w:hAnsi="宋体" w:cs="宋体"/>
                <w:b/>
                <w:color w:val="auto"/>
                <w:sz w:val="21"/>
                <w:szCs w:val="21"/>
                <w:highlight w:val="none"/>
              </w:rPr>
              <w:t>序号</w:t>
            </w:r>
          </w:p>
        </w:tc>
        <w:tc>
          <w:tcPr>
            <w:tcW w:w="1302" w:type="dxa"/>
            <w:tcBorders>
              <w:top w:val="single" w:color="auto" w:sz="4" w:space="0"/>
              <w:left w:val="nil"/>
              <w:bottom w:val="single" w:color="auto" w:sz="4" w:space="0"/>
              <w:right w:val="single" w:color="auto" w:sz="4" w:space="0"/>
            </w:tcBorders>
            <w:shd w:val="clear" w:color="auto" w:fill="auto"/>
            <w:noWrap/>
            <w:vAlign w:val="center"/>
          </w:tcPr>
          <w:p>
            <w:pPr>
              <w:pStyle w:val="21"/>
              <w:spacing w:line="360" w:lineRule="exact"/>
              <w:jc w:val="center"/>
              <w:rPr>
                <w:rFonts w:ascii="宋体" w:hAnsi="宋体" w:cs="宋体"/>
                <w:b/>
                <w:color w:val="auto"/>
                <w:sz w:val="21"/>
                <w:szCs w:val="21"/>
                <w:highlight w:val="none"/>
              </w:rPr>
            </w:pPr>
            <w:r>
              <w:rPr>
                <w:rFonts w:hint="eastAsia" w:ascii="宋体" w:hAnsi="宋体" w:cs="宋体"/>
                <w:b/>
                <w:color w:val="auto"/>
                <w:sz w:val="21"/>
                <w:szCs w:val="21"/>
                <w:highlight w:val="none"/>
              </w:rPr>
              <w:t>标的名称</w:t>
            </w:r>
          </w:p>
        </w:tc>
        <w:tc>
          <w:tcPr>
            <w:tcW w:w="1107" w:type="dxa"/>
            <w:tcBorders>
              <w:top w:val="single" w:color="auto" w:sz="4" w:space="0"/>
              <w:left w:val="nil"/>
              <w:bottom w:val="single" w:color="auto" w:sz="4" w:space="0"/>
              <w:right w:val="single" w:color="auto" w:sz="4" w:space="0"/>
            </w:tcBorders>
            <w:shd w:val="clear" w:color="auto" w:fill="auto"/>
            <w:noWrap/>
            <w:vAlign w:val="center"/>
          </w:tcPr>
          <w:p>
            <w:pPr>
              <w:pStyle w:val="21"/>
              <w:spacing w:line="360" w:lineRule="exact"/>
              <w:ind w:left="-107" w:leftChars="-51" w:right="-107" w:rightChars="-51"/>
              <w:jc w:val="center"/>
              <w:rPr>
                <w:rFonts w:ascii="宋体" w:hAnsi="宋体" w:cs="宋体"/>
                <w:b/>
                <w:color w:val="auto"/>
                <w:sz w:val="21"/>
                <w:szCs w:val="21"/>
                <w:highlight w:val="none"/>
              </w:rPr>
            </w:pPr>
            <w:r>
              <w:rPr>
                <w:rFonts w:hint="eastAsia" w:ascii="宋体" w:hAnsi="宋体" w:cs="宋体"/>
                <w:b/>
                <w:color w:val="auto"/>
                <w:sz w:val="21"/>
                <w:szCs w:val="21"/>
                <w:highlight w:val="none"/>
              </w:rPr>
              <w:t>数量及单位</w:t>
            </w:r>
          </w:p>
        </w:tc>
        <w:tc>
          <w:tcPr>
            <w:tcW w:w="5300" w:type="dxa"/>
            <w:tcBorders>
              <w:top w:val="single" w:color="auto" w:sz="4" w:space="0"/>
              <w:left w:val="nil"/>
              <w:bottom w:val="single" w:color="auto" w:sz="4" w:space="0"/>
              <w:right w:val="single" w:color="auto" w:sz="4" w:space="0"/>
            </w:tcBorders>
            <w:shd w:val="clear" w:color="auto" w:fill="auto"/>
            <w:noWrap/>
            <w:vAlign w:val="center"/>
          </w:tcPr>
          <w:p>
            <w:pPr>
              <w:pStyle w:val="21"/>
              <w:spacing w:line="360" w:lineRule="exact"/>
              <w:ind w:left="-107" w:leftChars="-51" w:right="-107" w:rightChars="-51"/>
              <w:jc w:val="center"/>
              <w:rPr>
                <w:rFonts w:ascii="宋体" w:hAnsi="宋体" w:cs="宋体"/>
                <w:b/>
                <w:color w:val="auto"/>
                <w:sz w:val="21"/>
                <w:szCs w:val="21"/>
                <w:highlight w:val="none"/>
              </w:rPr>
            </w:pPr>
            <w:r>
              <w:rPr>
                <w:rFonts w:hint="eastAsia" w:ascii="宋体" w:hAnsi="宋体" w:cs="宋体"/>
                <w:b/>
                <w:color w:val="auto"/>
                <w:sz w:val="21"/>
                <w:szCs w:val="21"/>
                <w:highlight w:val="none"/>
              </w:rPr>
              <w:t>技术参数及配置</w:t>
            </w:r>
          </w:p>
        </w:tc>
        <w:tc>
          <w:tcPr>
            <w:tcW w:w="1024"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21"/>
              <w:spacing w:line="360" w:lineRule="exact"/>
              <w:ind w:left="-107" w:leftChars="-51" w:right="-107" w:rightChars="-51"/>
              <w:jc w:val="center"/>
              <w:rPr>
                <w:rFonts w:hint="eastAsia" w:ascii="宋体" w:hAnsi="宋体" w:cs="宋体"/>
                <w:b/>
                <w:color w:val="auto"/>
                <w:sz w:val="21"/>
                <w:szCs w:val="21"/>
                <w:highlight w:val="none"/>
              </w:rPr>
            </w:pPr>
            <w:r>
              <w:rPr>
                <w:rFonts w:hint="eastAsia" w:ascii="宋体" w:hAnsi="宋体" w:cs="宋体"/>
                <w:b/>
                <w:color w:val="auto"/>
                <w:sz w:val="21"/>
                <w:szCs w:val="21"/>
                <w:highlight w:val="none"/>
              </w:rPr>
              <w:t>分项预算</w:t>
            </w:r>
          </w:p>
          <w:p>
            <w:pPr>
              <w:pStyle w:val="21"/>
              <w:spacing w:line="360" w:lineRule="exact"/>
              <w:ind w:left="-107" w:leftChars="-51" w:right="-107" w:rightChars="-51"/>
              <w:jc w:val="center"/>
              <w:rPr>
                <w:rFonts w:hint="eastAsia" w:ascii="宋体" w:hAnsi="宋体" w:eastAsia="宋体" w:cs="宋体"/>
                <w:b/>
                <w:color w:val="auto"/>
                <w:sz w:val="21"/>
                <w:szCs w:val="21"/>
                <w:highlight w:val="none"/>
                <w:lang w:eastAsia="zh-CN"/>
              </w:rPr>
            </w:pPr>
            <w:r>
              <w:rPr>
                <w:rFonts w:hint="eastAsia" w:ascii="宋体" w:hAnsi="宋体" w:cs="宋体"/>
                <w:b/>
                <w:color w:val="auto"/>
                <w:sz w:val="21"/>
                <w:szCs w:val="21"/>
                <w:highlight w:val="none"/>
                <w:lang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6" w:type="dxa"/>
            <w:vMerge w:val="continue"/>
            <w:tcBorders>
              <w:left w:val="single" w:color="auto" w:sz="4" w:space="0"/>
              <w:right w:val="single" w:color="auto" w:sz="4" w:space="0"/>
            </w:tcBorders>
            <w:noWrap/>
            <w:vAlign w:val="center"/>
          </w:tcPr>
          <w:p>
            <w:pPr>
              <w:pStyle w:val="21"/>
              <w:spacing w:line="360" w:lineRule="exact"/>
              <w:jc w:val="center"/>
              <w:rPr>
                <w:rFonts w:ascii="宋体" w:hAnsi="宋体" w:cs="宋体"/>
                <w:color w:val="auto"/>
                <w:sz w:val="21"/>
                <w:szCs w:val="21"/>
                <w:highlight w:val="none"/>
              </w:rPr>
            </w:pPr>
          </w:p>
        </w:tc>
        <w:tc>
          <w:tcPr>
            <w:tcW w:w="653" w:type="dxa"/>
            <w:tcBorders>
              <w:top w:val="single" w:color="auto" w:sz="4" w:space="0"/>
              <w:left w:val="nil"/>
              <w:right w:val="single" w:color="auto" w:sz="4" w:space="0"/>
            </w:tcBorders>
            <w:shd w:val="clear" w:color="auto" w:fill="auto"/>
            <w:noWrap/>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p>
        </w:tc>
        <w:tc>
          <w:tcPr>
            <w:tcW w:w="1302" w:type="dxa"/>
            <w:tcBorders>
              <w:top w:val="single" w:color="auto" w:sz="4" w:space="0"/>
              <w:left w:val="nil"/>
              <w:right w:val="single" w:color="auto" w:sz="4" w:space="0"/>
            </w:tcBorders>
            <w:shd w:val="clear" w:color="000000" w:fill="auto"/>
            <w:noWrap/>
            <w:vAlign w:val="center"/>
          </w:tcPr>
          <w:p>
            <w:pPr>
              <w:keepNext w:val="0"/>
              <w:keepLines w:val="0"/>
              <w:widowControl/>
              <w:suppressLineNumbers w:val="0"/>
              <w:jc w:val="center"/>
              <w:textAlignment w:val="center"/>
              <w:rPr>
                <w:rFonts w:hint="eastAsia"/>
                <w:color w:val="auto"/>
                <w:lang w:val="en-US" w:eastAsia="zh-CN"/>
              </w:rPr>
            </w:pPr>
            <w:r>
              <w:rPr>
                <w:rFonts w:hint="eastAsia" w:ascii="宋体" w:hAnsi="宋体" w:eastAsia="宋体" w:cs="宋体"/>
                <w:i w:val="0"/>
                <w:color w:val="auto"/>
                <w:kern w:val="0"/>
                <w:sz w:val="21"/>
                <w:szCs w:val="21"/>
                <w:u w:val="none"/>
                <w:lang w:val="en-US" w:eastAsia="zh-CN" w:bidi="ar"/>
              </w:rPr>
              <w:t>棉大衣</w:t>
            </w:r>
          </w:p>
        </w:tc>
        <w:tc>
          <w:tcPr>
            <w:tcW w:w="1107" w:type="dxa"/>
            <w:tcBorders>
              <w:top w:val="single" w:color="auto" w:sz="4" w:space="0"/>
              <w:left w:val="nil"/>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color w:val="auto"/>
                <w:sz w:val="21"/>
                <w:szCs w:val="21"/>
                <w:highlight w:val="none"/>
                <w:lang w:val="en-US"/>
              </w:rPr>
            </w:pPr>
            <w:r>
              <w:rPr>
                <w:rFonts w:hint="eastAsia" w:ascii="宋体" w:hAnsi="宋体"/>
                <w:color w:val="auto"/>
                <w:szCs w:val="21"/>
                <w:highlight w:val="none"/>
              </w:rPr>
              <w:t>不低于</w:t>
            </w:r>
            <w:r>
              <w:rPr>
                <w:rFonts w:hint="eastAsia" w:ascii="宋体" w:hAnsi="宋体" w:eastAsia="宋体" w:cs="宋体"/>
                <w:i w:val="0"/>
                <w:color w:val="auto"/>
                <w:kern w:val="0"/>
                <w:sz w:val="21"/>
                <w:szCs w:val="21"/>
                <w:u w:val="none"/>
                <w:lang w:val="en-US" w:eastAsia="zh-CN" w:bidi="ar"/>
              </w:rPr>
              <w:t>14150件</w:t>
            </w:r>
          </w:p>
        </w:tc>
        <w:tc>
          <w:tcPr>
            <w:tcW w:w="5300" w:type="dxa"/>
            <w:tcBorders>
              <w:top w:val="single" w:color="auto" w:sz="4" w:space="0"/>
              <w:left w:val="nil"/>
              <w:right w:val="single" w:color="auto" w:sz="4" w:space="0"/>
            </w:tcBorders>
            <w:shd w:val="clear" w:color="auto" w:fill="auto"/>
            <w:noWrap/>
            <w:vAlign w:val="center"/>
          </w:tcPr>
          <w:p>
            <w:pPr>
              <w:pStyle w:val="21"/>
              <w:rPr>
                <w:rFonts w:ascii="宋体" w:hAnsi="宋体" w:cs="宋体"/>
                <w:color w:val="auto"/>
                <w:sz w:val="21"/>
                <w:szCs w:val="21"/>
                <w:highlight w:val="none"/>
              </w:rPr>
            </w:pPr>
            <w:r>
              <w:rPr>
                <w:rFonts w:hint="eastAsia" w:ascii="宋体" w:hAnsi="宋体" w:eastAsia="宋体" w:cs="宋体"/>
                <w:color w:val="auto"/>
                <w:lang w:val="en-US" w:eastAsia="zh-CN"/>
              </w:rPr>
              <w:drawing>
                <wp:inline distT="0" distB="0" distL="114300" distR="114300">
                  <wp:extent cx="2637155" cy="2637155"/>
                  <wp:effectExtent l="0" t="0" r="10795" b="10795"/>
                  <wp:docPr id="4" name="图片 1" descr="ccfb2d66b8c427571feaa618e975c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ccfb2d66b8c427571feaa618e975cea"/>
                          <pic:cNvPicPr>
                            <a:picLocks noChangeAspect="1"/>
                          </pic:cNvPicPr>
                        </pic:nvPicPr>
                        <pic:blipFill>
                          <a:blip r:embed="rId6"/>
                          <a:stretch>
                            <a:fillRect/>
                          </a:stretch>
                        </pic:blipFill>
                        <pic:spPr>
                          <a:xfrm>
                            <a:off x="0" y="0"/>
                            <a:ext cx="2637155" cy="2637155"/>
                          </a:xfrm>
                          <a:prstGeom prst="rect">
                            <a:avLst/>
                          </a:prstGeom>
                          <a:noFill/>
                          <a:ln>
                            <a:noFill/>
                          </a:ln>
                        </pic:spPr>
                      </pic:pic>
                    </a:graphicData>
                  </a:graphic>
                </wp:inline>
              </w:drawing>
            </w:r>
          </w:p>
          <w:p>
            <w:pPr>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大衣</w:t>
            </w:r>
            <w:r>
              <w:rPr>
                <w:rFonts w:hint="eastAsia" w:ascii="宋体" w:hAnsi="宋体" w:eastAsia="宋体" w:cs="宋体"/>
                <w:color w:val="auto"/>
                <w:sz w:val="21"/>
                <w:szCs w:val="21"/>
              </w:rPr>
              <w:t>为</w:t>
            </w:r>
            <w:r>
              <w:rPr>
                <w:rFonts w:hint="eastAsia" w:ascii="宋体" w:hAnsi="宋体" w:eastAsia="宋体" w:cs="宋体"/>
                <w:color w:val="auto"/>
                <w:sz w:val="21"/>
                <w:szCs w:val="21"/>
                <w:lang w:val="en-US" w:eastAsia="zh-CN"/>
              </w:rPr>
              <w:t>中长棉衣</w:t>
            </w:r>
            <w:r>
              <w:rPr>
                <w:rFonts w:hint="eastAsia" w:ascii="宋体" w:hAnsi="宋体" w:eastAsia="宋体" w:cs="宋体"/>
                <w:color w:val="auto"/>
                <w:sz w:val="21"/>
                <w:szCs w:val="21"/>
              </w:rPr>
              <w:t>，面料为加厚</w:t>
            </w:r>
            <w:r>
              <w:rPr>
                <w:rFonts w:hint="eastAsia" w:ascii="宋体" w:hAnsi="宋体" w:eastAsia="宋体" w:cs="宋体"/>
                <w:color w:val="auto"/>
                <w:sz w:val="21"/>
                <w:szCs w:val="21"/>
                <w:lang w:val="en-US" w:eastAsia="zh-CN"/>
              </w:rPr>
              <w:t>黑色帆布</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耐磨、不褪色</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不缩水</w:t>
            </w:r>
            <w:r>
              <w:rPr>
                <w:rFonts w:hint="eastAsia" w:ascii="宋体" w:hAnsi="宋体" w:eastAsia="宋体" w:cs="宋体"/>
                <w:color w:val="auto"/>
                <w:sz w:val="21"/>
                <w:szCs w:val="21"/>
                <w:lang w:val="en-US" w:eastAsia="zh-CN"/>
              </w:rPr>
              <w:t>不起球、透气性好、结实耐用。上身袋盖式立体口袋2个，</w:t>
            </w:r>
            <w:r>
              <w:rPr>
                <w:rFonts w:hint="eastAsia" w:ascii="宋体" w:hAnsi="宋体" w:eastAsia="宋体" w:cs="宋体"/>
                <w:color w:val="auto"/>
                <w:sz w:val="21"/>
                <w:szCs w:val="21"/>
              </w:rPr>
              <w:t>下</w:t>
            </w:r>
            <w:r>
              <w:rPr>
                <w:rFonts w:hint="eastAsia" w:ascii="宋体" w:hAnsi="宋体" w:eastAsia="宋体" w:cs="宋体"/>
                <w:color w:val="auto"/>
                <w:sz w:val="21"/>
                <w:szCs w:val="21"/>
                <w:lang w:eastAsia="zh-CN"/>
              </w:rPr>
              <w:t>身</w:t>
            </w:r>
            <w:r>
              <w:rPr>
                <w:rFonts w:hint="eastAsia" w:ascii="宋体" w:hAnsi="宋体" w:eastAsia="宋体" w:cs="宋体"/>
                <w:color w:val="auto"/>
                <w:sz w:val="21"/>
                <w:szCs w:val="21"/>
              </w:rPr>
              <w:t>为</w:t>
            </w:r>
            <w:r>
              <w:rPr>
                <w:rFonts w:hint="eastAsia" w:ascii="宋体" w:hAnsi="宋体" w:eastAsia="宋体" w:cs="宋体"/>
                <w:color w:val="auto"/>
                <w:sz w:val="21"/>
                <w:szCs w:val="21"/>
                <w:lang w:val="en-US" w:eastAsia="zh-CN"/>
              </w:rPr>
              <w:t>袋盖式暗口袋</w:t>
            </w:r>
            <w:r>
              <w:rPr>
                <w:rFonts w:hint="eastAsia" w:ascii="宋体" w:hAnsi="宋体" w:eastAsia="宋体" w:cs="宋体"/>
                <w:color w:val="auto"/>
                <w:sz w:val="21"/>
                <w:szCs w:val="21"/>
              </w:rPr>
              <w:t>2个</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前中有防风</w:t>
            </w:r>
            <w:r>
              <w:rPr>
                <w:rFonts w:hint="eastAsia" w:ascii="宋体" w:hAnsi="宋体" w:eastAsia="宋体" w:cs="宋体"/>
                <w:color w:val="auto"/>
                <w:sz w:val="21"/>
                <w:szCs w:val="21"/>
                <w:lang w:val="en-US" w:eastAsia="zh-CN"/>
              </w:rPr>
              <w:t>门襟</w:t>
            </w:r>
            <w:r>
              <w:rPr>
                <w:rFonts w:hint="eastAsia" w:ascii="宋体" w:hAnsi="宋体" w:eastAsia="宋体" w:cs="宋体"/>
                <w:color w:val="auto"/>
                <w:sz w:val="21"/>
                <w:szCs w:val="21"/>
                <w:lang w:eastAsia="zh-CN"/>
              </w:rPr>
              <w:t>，内有</w:t>
            </w:r>
            <w:r>
              <w:rPr>
                <w:rFonts w:hint="eastAsia" w:ascii="宋体" w:hAnsi="宋体" w:eastAsia="宋体" w:cs="宋体"/>
                <w:color w:val="auto"/>
                <w:sz w:val="21"/>
                <w:szCs w:val="21"/>
                <w:lang w:val="en-US" w:eastAsia="zh-CN"/>
              </w:rPr>
              <w:t>5号防风树脂</w:t>
            </w:r>
            <w:r>
              <w:rPr>
                <w:rFonts w:hint="eastAsia" w:ascii="宋体" w:hAnsi="宋体" w:eastAsia="宋体" w:cs="宋体"/>
                <w:color w:val="auto"/>
                <w:sz w:val="21"/>
                <w:szCs w:val="21"/>
                <w:lang w:eastAsia="zh-CN"/>
              </w:rPr>
              <w:t>拉链，</w:t>
            </w:r>
            <w:r>
              <w:rPr>
                <w:rFonts w:hint="eastAsia" w:ascii="宋体" w:hAnsi="宋体" w:eastAsia="宋体" w:cs="宋体"/>
                <w:color w:val="auto"/>
                <w:sz w:val="21"/>
                <w:szCs w:val="21"/>
                <w:lang w:val="en-US" w:eastAsia="zh-CN"/>
              </w:rPr>
              <w:t>内里为绗缝设计</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毛领帽子可拆卸，帽子为棉帽，</w:t>
            </w:r>
            <w:r>
              <w:rPr>
                <w:rFonts w:hint="eastAsia" w:ascii="宋体" w:hAnsi="宋体" w:eastAsia="宋体" w:cs="宋体"/>
                <w:color w:val="auto"/>
                <w:sz w:val="21"/>
                <w:szCs w:val="21"/>
              </w:rPr>
              <w:t>内里加棉设计</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穿着</w:t>
            </w:r>
            <w:r>
              <w:rPr>
                <w:rFonts w:hint="eastAsia" w:ascii="宋体" w:hAnsi="宋体" w:eastAsia="宋体" w:cs="宋体"/>
                <w:color w:val="auto"/>
                <w:sz w:val="21"/>
                <w:szCs w:val="21"/>
              </w:rPr>
              <w:t>保暖性强。</w:t>
            </w:r>
            <w:r>
              <w:rPr>
                <w:rFonts w:hint="eastAsia" w:ascii="宋体" w:hAnsi="宋体" w:eastAsia="宋体" w:cs="宋体"/>
                <w:color w:val="auto"/>
                <w:sz w:val="21"/>
                <w:szCs w:val="21"/>
                <w:lang w:val="en-US" w:eastAsia="zh-CN"/>
              </w:rPr>
              <w:t>袖口防风袖口可调节性。左臂有明口袋1个。</w:t>
            </w:r>
          </w:p>
          <w:p>
            <w:pPr>
              <w:bidi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1、颜色：</w:t>
            </w:r>
            <w:r>
              <w:rPr>
                <w:rFonts w:hint="eastAsia" w:ascii="宋体" w:hAnsi="宋体" w:eastAsia="宋体" w:cs="宋体"/>
                <w:color w:val="auto"/>
                <w:sz w:val="21"/>
                <w:szCs w:val="21"/>
                <w:lang w:val="en-US" w:eastAsia="zh-CN"/>
              </w:rPr>
              <w:t>黑色</w:t>
            </w:r>
          </w:p>
          <w:p>
            <w:pPr>
              <w:bidi w:val="0"/>
              <w:spacing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大衣面料为黑色。里料颜色为黑色。大衣罗纹布、胸标底托、组合气眼、平剪绒颜色为黑色。</w:t>
            </w:r>
          </w:p>
          <w:p>
            <w:pPr>
              <w:bidi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样式</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棉大衣样式见图1。</w:t>
            </w:r>
          </w:p>
          <w:p>
            <w:pPr>
              <w:bidi w:val="0"/>
              <w:jc w:val="center"/>
              <w:rPr>
                <w:rFonts w:hint="eastAsia" w:ascii="宋体" w:hAnsi="宋体" w:eastAsia="宋体" w:cs="宋体"/>
                <w:color w:val="auto"/>
              </w:rPr>
            </w:pPr>
            <w:r>
              <w:rPr>
                <w:rFonts w:hint="eastAsia" w:ascii="宋体" w:hAnsi="宋体" w:eastAsia="宋体" w:cs="宋体"/>
                <w:color w:val="auto"/>
              </w:rPr>
              <w:drawing>
                <wp:inline distT="0" distB="0" distL="114300" distR="114300">
                  <wp:extent cx="3023235" cy="2880360"/>
                  <wp:effectExtent l="0" t="0" r="5715" b="1524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7"/>
                          <a:stretch>
                            <a:fillRect/>
                          </a:stretch>
                        </pic:blipFill>
                        <pic:spPr>
                          <a:xfrm>
                            <a:off x="0" y="0"/>
                            <a:ext cx="3023235" cy="2880360"/>
                          </a:xfrm>
                          <a:prstGeom prst="rect">
                            <a:avLst/>
                          </a:prstGeom>
                          <a:noFill/>
                          <a:ln>
                            <a:noFill/>
                          </a:ln>
                        </pic:spPr>
                      </pic:pic>
                    </a:graphicData>
                  </a:graphic>
                </wp:inline>
              </w:drawing>
            </w:r>
          </w:p>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图1</w:t>
            </w:r>
          </w:p>
          <w:p>
            <w:pPr>
              <w:bidi w:val="0"/>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号型</w:t>
            </w:r>
            <w:r>
              <w:rPr>
                <w:rFonts w:hint="eastAsia" w:ascii="宋体" w:hAnsi="宋体" w:eastAsia="宋体" w:cs="宋体"/>
                <w:color w:val="auto"/>
                <w:sz w:val="21"/>
                <w:szCs w:val="21"/>
                <w:lang w:val="en-US" w:eastAsia="zh-CN"/>
              </w:rPr>
              <w:t>与规格：产品分大号、中号和小号。</w:t>
            </w:r>
          </w:p>
          <w:p>
            <w:pPr>
              <w:pStyle w:val="21"/>
              <w:rPr>
                <w:rFonts w:ascii="宋体" w:hAnsi="宋体" w:cs="宋体"/>
                <w:color w:val="auto"/>
                <w:sz w:val="21"/>
                <w:szCs w:val="21"/>
                <w:highlight w:val="none"/>
              </w:rPr>
            </w:pPr>
            <w:r>
              <w:rPr>
                <w:rFonts w:hint="eastAsia" w:ascii="宋体" w:hAnsi="宋体" w:eastAsia="宋体" w:cs="宋体"/>
                <w:color w:val="auto"/>
                <w:sz w:val="21"/>
                <w:szCs w:val="21"/>
                <w:lang w:val="en-US" w:eastAsia="zh-CN"/>
              </w:rPr>
              <w:t>规格尺寸与极限偏差按表1规定执行。</w:t>
            </w:r>
          </w:p>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表1 规格尺寸与极限偏差</w:t>
            </w:r>
          </w:p>
          <w:p>
            <w:pPr>
              <w:pStyle w:val="21"/>
              <w:ind w:left="0" w:leftChars="0" w:firstLine="3780" w:firstLineChars="1800"/>
              <w:rPr>
                <w:rFonts w:ascii="宋体" w:hAnsi="宋体" w:cs="宋体"/>
                <w:color w:val="auto"/>
                <w:sz w:val="21"/>
                <w:szCs w:val="21"/>
                <w:highlight w:val="none"/>
              </w:rPr>
            </w:pPr>
            <w:r>
              <w:rPr>
                <w:rFonts w:hint="eastAsia" w:ascii="宋体" w:hAnsi="宋体" w:eastAsia="宋体" w:cs="宋体"/>
                <w:color w:val="auto"/>
                <w:sz w:val="21"/>
                <w:szCs w:val="21"/>
              </w:rPr>
              <w:t>单位：厘米</w:t>
            </w:r>
          </w:p>
          <w:tbl>
            <w:tblPr>
              <w:tblStyle w:val="32"/>
              <w:tblW w:w="50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0"/>
              <w:gridCol w:w="900"/>
              <w:gridCol w:w="877"/>
              <w:gridCol w:w="888"/>
              <w:gridCol w:w="900"/>
              <w:gridCol w:w="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编号</w:t>
                  </w:r>
                </w:p>
              </w:tc>
              <w:tc>
                <w:tcPr>
                  <w:tcW w:w="900"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部位名称</w:t>
                  </w:r>
                </w:p>
              </w:tc>
              <w:tc>
                <w:tcPr>
                  <w:tcW w:w="877" w:type="dxa"/>
                  <w:noWrap w:val="0"/>
                  <w:vAlign w:val="center"/>
                </w:tcPr>
                <w:p>
                  <w:pPr>
                    <w:bidi w:val="0"/>
                    <w:spacing w:line="36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大号</w:t>
                  </w:r>
                </w:p>
              </w:tc>
              <w:tc>
                <w:tcPr>
                  <w:tcW w:w="888"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中号</w:t>
                  </w:r>
                </w:p>
              </w:tc>
              <w:tc>
                <w:tcPr>
                  <w:tcW w:w="900" w:type="dxa"/>
                  <w:noWrap w:val="0"/>
                  <w:vAlign w:val="center"/>
                </w:tcPr>
                <w:p>
                  <w:pPr>
                    <w:bidi w:val="0"/>
                    <w:spacing w:line="36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小号</w:t>
                  </w:r>
                </w:p>
              </w:tc>
              <w:tc>
                <w:tcPr>
                  <w:tcW w:w="965" w:type="dxa"/>
                  <w:noWrap w:val="0"/>
                  <w:vAlign w:val="center"/>
                </w:tcPr>
                <w:p>
                  <w:pPr>
                    <w:bidi w:val="0"/>
                    <w:spacing w:line="36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极限偏差</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900"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前身长</w:t>
                  </w:r>
                </w:p>
              </w:tc>
              <w:tc>
                <w:tcPr>
                  <w:tcW w:w="877"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95.0</w:t>
                  </w:r>
                </w:p>
              </w:tc>
              <w:tc>
                <w:tcPr>
                  <w:tcW w:w="888" w:type="dxa"/>
                  <w:noWrap w:val="0"/>
                  <w:vAlign w:val="center"/>
                </w:tcPr>
                <w:p>
                  <w:pPr>
                    <w:bidi w:val="0"/>
                    <w:spacing w:line="36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89.</w:t>
                  </w:r>
                  <w:r>
                    <w:rPr>
                      <w:rFonts w:hint="eastAsia" w:ascii="宋体" w:hAnsi="宋体" w:eastAsia="宋体" w:cs="宋体"/>
                      <w:color w:val="auto"/>
                      <w:sz w:val="21"/>
                      <w:szCs w:val="21"/>
                      <w:lang w:val="en-US" w:eastAsia="zh-CN"/>
                    </w:rPr>
                    <w:t>0</w:t>
                  </w:r>
                </w:p>
              </w:tc>
              <w:tc>
                <w:tcPr>
                  <w:tcW w:w="900"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83.0</w:t>
                  </w:r>
                </w:p>
              </w:tc>
              <w:tc>
                <w:tcPr>
                  <w:tcW w:w="965" w:type="dxa"/>
                  <w:noWrap w:val="0"/>
                  <w:vAlign w:val="center"/>
                </w:tcPr>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20"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tc>
              <w:tc>
                <w:tcPr>
                  <w:tcW w:w="900"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胸围</w:t>
                  </w:r>
                </w:p>
              </w:tc>
              <w:tc>
                <w:tcPr>
                  <w:tcW w:w="877"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144.0</w:t>
                  </w:r>
                </w:p>
              </w:tc>
              <w:tc>
                <w:tcPr>
                  <w:tcW w:w="888"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132.0</w:t>
                  </w:r>
                </w:p>
              </w:tc>
              <w:tc>
                <w:tcPr>
                  <w:tcW w:w="900"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120.0</w:t>
                  </w:r>
                </w:p>
              </w:tc>
              <w:tc>
                <w:tcPr>
                  <w:tcW w:w="965"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w:t>
                  </w:r>
                </w:p>
              </w:tc>
              <w:tc>
                <w:tcPr>
                  <w:tcW w:w="900"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中腰围</w:t>
                  </w:r>
                </w:p>
              </w:tc>
              <w:tc>
                <w:tcPr>
                  <w:tcW w:w="877"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142.0</w:t>
                  </w:r>
                </w:p>
              </w:tc>
              <w:tc>
                <w:tcPr>
                  <w:tcW w:w="888"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130.0</w:t>
                  </w:r>
                </w:p>
              </w:tc>
              <w:tc>
                <w:tcPr>
                  <w:tcW w:w="900"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118.0</w:t>
                  </w:r>
                </w:p>
              </w:tc>
              <w:tc>
                <w:tcPr>
                  <w:tcW w:w="965"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w:t>
                  </w:r>
                </w:p>
              </w:tc>
              <w:tc>
                <w:tcPr>
                  <w:tcW w:w="900"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底边围</w:t>
                  </w:r>
                </w:p>
              </w:tc>
              <w:tc>
                <w:tcPr>
                  <w:tcW w:w="877"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146.0</w:t>
                  </w:r>
                </w:p>
              </w:tc>
              <w:tc>
                <w:tcPr>
                  <w:tcW w:w="888"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134.0</w:t>
                  </w:r>
                </w:p>
              </w:tc>
              <w:tc>
                <w:tcPr>
                  <w:tcW w:w="900"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122.0</w:t>
                  </w:r>
                </w:p>
              </w:tc>
              <w:tc>
                <w:tcPr>
                  <w:tcW w:w="965"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520"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w:t>
                  </w:r>
                </w:p>
              </w:tc>
              <w:tc>
                <w:tcPr>
                  <w:tcW w:w="900"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袖长</w:t>
                  </w:r>
                </w:p>
              </w:tc>
              <w:tc>
                <w:tcPr>
                  <w:tcW w:w="877"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67.5</w:t>
                  </w:r>
                </w:p>
              </w:tc>
              <w:tc>
                <w:tcPr>
                  <w:tcW w:w="888"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64.5</w:t>
                  </w:r>
                </w:p>
              </w:tc>
              <w:tc>
                <w:tcPr>
                  <w:tcW w:w="900"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61.5</w:t>
                  </w:r>
                </w:p>
              </w:tc>
              <w:tc>
                <w:tcPr>
                  <w:tcW w:w="965"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w:t>
                  </w:r>
                </w:p>
              </w:tc>
              <w:tc>
                <w:tcPr>
                  <w:tcW w:w="900"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袖口肥</w:t>
                  </w:r>
                </w:p>
              </w:tc>
              <w:tc>
                <w:tcPr>
                  <w:tcW w:w="877"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w:t>
                  </w:r>
                </w:p>
              </w:tc>
              <w:tc>
                <w:tcPr>
                  <w:tcW w:w="888"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19.0</w:t>
                  </w:r>
                </w:p>
              </w:tc>
              <w:tc>
                <w:tcPr>
                  <w:tcW w:w="900"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18.0</w:t>
                  </w:r>
                </w:p>
              </w:tc>
              <w:tc>
                <w:tcPr>
                  <w:tcW w:w="965"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w:t>
                  </w:r>
                </w:p>
              </w:tc>
              <w:tc>
                <w:tcPr>
                  <w:tcW w:w="900"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大肩宽</w:t>
                  </w:r>
                </w:p>
              </w:tc>
              <w:tc>
                <w:tcPr>
                  <w:tcW w:w="877"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55.6</w:t>
                  </w:r>
                </w:p>
              </w:tc>
              <w:tc>
                <w:tcPr>
                  <w:tcW w:w="888"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52.0</w:t>
                  </w:r>
                </w:p>
              </w:tc>
              <w:tc>
                <w:tcPr>
                  <w:tcW w:w="900"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48.4</w:t>
                  </w:r>
                </w:p>
              </w:tc>
              <w:tc>
                <w:tcPr>
                  <w:tcW w:w="965"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w:t>
                  </w:r>
                </w:p>
              </w:tc>
              <w:tc>
                <w:tcPr>
                  <w:tcW w:w="900"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袖袢长</w:t>
                  </w:r>
                  <w:r>
                    <w:rPr>
                      <w:rFonts w:hint="eastAsia" w:ascii="宋体" w:hAnsi="宋体" w:eastAsia="宋体" w:cs="宋体"/>
                      <w:color w:val="auto"/>
                      <w:sz w:val="21"/>
                      <w:szCs w:val="21"/>
                      <w:lang w:val="en-US" w:eastAsia="zh-CN"/>
                    </w:rPr>
                    <w:t>/宽</w:t>
                  </w:r>
                </w:p>
              </w:tc>
              <w:tc>
                <w:tcPr>
                  <w:tcW w:w="2665" w:type="dxa"/>
                  <w:gridSpan w:val="3"/>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14.5/5.0</w:t>
                  </w:r>
                </w:p>
              </w:tc>
              <w:tc>
                <w:tcPr>
                  <w:tcW w:w="965"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w:t>
                  </w:r>
                </w:p>
              </w:tc>
              <w:tc>
                <w:tcPr>
                  <w:tcW w:w="900"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后身长</w:t>
                  </w:r>
                </w:p>
              </w:tc>
              <w:tc>
                <w:tcPr>
                  <w:tcW w:w="877"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93.0</w:t>
                  </w:r>
                </w:p>
              </w:tc>
              <w:tc>
                <w:tcPr>
                  <w:tcW w:w="888"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87.0</w:t>
                  </w:r>
                </w:p>
              </w:tc>
              <w:tc>
                <w:tcPr>
                  <w:tcW w:w="900"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81.0</w:t>
                  </w:r>
                </w:p>
              </w:tc>
              <w:tc>
                <w:tcPr>
                  <w:tcW w:w="965"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w:t>
                  </w:r>
                </w:p>
              </w:tc>
              <w:tc>
                <w:tcPr>
                  <w:tcW w:w="900"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领长</w:t>
                  </w:r>
                </w:p>
              </w:tc>
              <w:tc>
                <w:tcPr>
                  <w:tcW w:w="877" w:type="dxa"/>
                  <w:noWrap w:val="0"/>
                  <w:vAlign w:val="center"/>
                </w:tcPr>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5</w:t>
                  </w:r>
                  <w:r>
                    <w:rPr>
                      <w:rFonts w:hint="eastAsia" w:ascii="宋体" w:hAnsi="宋体" w:eastAsia="宋体" w:cs="宋体"/>
                      <w:color w:val="auto"/>
                      <w:sz w:val="21"/>
                      <w:szCs w:val="21"/>
                      <w:lang w:val="en-US" w:eastAsia="zh-CN"/>
                    </w:rPr>
                    <w:t>9</w:t>
                  </w:r>
                  <w:r>
                    <w:rPr>
                      <w:rFonts w:hint="eastAsia" w:ascii="宋体" w:hAnsi="宋体" w:eastAsia="宋体" w:cs="宋体"/>
                      <w:color w:val="auto"/>
                      <w:sz w:val="21"/>
                      <w:szCs w:val="21"/>
                    </w:rPr>
                    <w:t>.0</w:t>
                  </w:r>
                </w:p>
              </w:tc>
              <w:tc>
                <w:tcPr>
                  <w:tcW w:w="888" w:type="dxa"/>
                  <w:noWrap w:val="0"/>
                  <w:vAlign w:val="center"/>
                </w:tcPr>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5</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.0</w:t>
                  </w:r>
                </w:p>
              </w:tc>
              <w:tc>
                <w:tcPr>
                  <w:tcW w:w="900" w:type="dxa"/>
                  <w:noWrap w:val="0"/>
                  <w:vAlign w:val="center"/>
                </w:tcPr>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5</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.0</w:t>
                  </w:r>
                </w:p>
              </w:tc>
              <w:tc>
                <w:tcPr>
                  <w:tcW w:w="965"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w:t>
                  </w:r>
                </w:p>
              </w:tc>
              <w:tc>
                <w:tcPr>
                  <w:tcW w:w="900"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领前宽</w:t>
                  </w:r>
                </w:p>
              </w:tc>
              <w:tc>
                <w:tcPr>
                  <w:tcW w:w="2665" w:type="dxa"/>
                  <w:gridSpan w:val="3"/>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9.5</w:t>
                  </w:r>
                </w:p>
              </w:tc>
              <w:tc>
                <w:tcPr>
                  <w:tcW w:w="965"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w:t>
                  </w:r>
                </w:p>
              </w:tc>
              <w:tc>
                <w:tcPr>
                  <w:tcW w:w="900"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领后宽</w:t>
                  </w:r>
                </w:p>
              </w:tc>
              <w:tc>
                <w:tcPr>
                  <w:tcW w:w="2665" w:type="dxa"/>
                  <w:gridSpan w:val="3"/>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10.5</w:t>
                  </w:r>
                </w:p>
              </w:tc>
              <w:tc>
                <w:tcPr>
                  <w:tcW w:w="965"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w:t>
                  </w:r>
                </w:p>
              </w:tc>
              <w:tc>
                <w:tcPr>
                  <w:tcW w:w="900"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右领台宽</w:t>
                  </w:r>
                </w:p>
              </w:tc>
              <w:tc>
                <w:tcPr>
                  <w:tcW w:w="2665" w:type="dxa"/>
                  <w:gridSpan w:val="3"/>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w:t>
                  </w:r>
                </w:p>
              </w:tc>
              <w:tc>
                <w:tcPr>
                  <w:tcW w:w="965"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14</w:t>
                  </w:r>
                </w:p>
              </w:tc>
              <w:tc>
                <w:tcPr>
                  <w:tcW w:w="900"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左领台宽</w:t>
                  </w:r>
                </w:p>
              </w:tc>
              <w:tc>
                <w:tcPr>
                  <w:tcW w:w="2665" w:type="dxa"/>
                  <w:gridSpan w:val="3"/>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w:t>
                  </w:r>
                </w:p>
              </w:tc>
              <w:tc>
                <w:tcPr>
                  <w:tcW w:w="965"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0.2</w:t>
                  </w:r>
                </w:p>
              </w:tc>
            </w:tr>
          </w:tbl>
          <w:p>
            <w:pPr>
              <w:bidi w:val="0"/>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4、面料、里料色差</w:t>
            </w:r>
          </w:p>
          <w:p>
            <w:pPr>
              <w:bidi w:val="0"/>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4.1、领面、袋与大身色差高于4级，其他表面部位色差不低于4级。</w:t>
            </w:r>
          </w:p>
          <w:p>
            <w:pPr>
              <w:bidi w:val="0"/>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4.2、衬布影响或多层料造成的色差不低于3-4级（特殊设计除外）。</w:t>
            </w:r>
          </w:p>
          <w:p>
            <w:pPr>
              <w:bidi w:val="0"/>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5、材料</w:t>
            </w:r>
          </w:p>
          <w:p>
            <w:pPr>
              <w:pStyle w:val="21"/>
              <w:rPr>
                <w:rFonts w:ascii="宋体" w:hAnsi="宋体" w:cs="宋体"/>
                <w:color w:val="auto"/>
                <w:sz w:val="21"/>
                <w:szCs w:val="21"/>
                <w:highlight w:val="none"/>
              </w:rPr>
            </w:pPr>
            <w:r>
              <w:rPr>
                <w:rFonts w:hint="eastAsia" w:ascii="宋体" w:hAnsi="宋体" w:eastAsia="宋体" w:cs="宋体"/>
                <w:color w:val="auto"/>
                <w:sz w:val="21"/>
                <w:szCs w:val="21"/>
                <w:lang w:val="en-US" w:eastAsia="zh-CN"/>
              </w:rPr>
              <w:t>材料规格、要求及用途应符合表2规定。</w:t>
            </w:r>
          </w:p>
          <w:p>
            <w:pPr>
              <w:pStyle w:val="21"/>
              <w:ind w:firstLine="630" w:firstLineChars="3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表2 </w:t>
            </w:r>
            <w:r>
              <w:rPr>
                <w:rFonts w:hint="eastAsia" w:ascii="宋体" w:hAnsi="宋体" w:eastAsia="宋体" w:cs="宋体"/>
                <w:color w:val="auto"/>
                <w:sz w:val="21"/>
                <w:szCs w:val="21"/>
              </w:rPr>
              <w:t>材料规格、要求及用途</w:t>
            </w:r>
          </w:p>
          <w:tbl>
            <w:tblPr>
              <w:tblStyle w:val="32"/>
              <w:tblW w:w="50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1457"/>
              <w:gridCol w:w="799"/>
              <w:gridCol w:w="1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800" w:type="dxa"/>
                  <w:noWrap w:val="0"/>
                  <w:vAlign w:val="center"/>
                </w:tcPr>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材料名称</w:t>
                  </w:r>
                </w:p>
              </w:tc>
              <w:tc>
                <w:tcPr>
                  <w:tcW w:w="1457" w:type="dxa"/>
                  <w:noWrap w:val="0"/>
                  <w:vAlign w:val="center"/>
                </w:tcPr>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规格</w:t>
                  </w:r>
                </w:p>
              </w:tc>
              <w:tc>
                <w:tcPr>
                  <w:tcW w:w="799"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要求</w:t>
                  </w:r>
                </w:p>
              </w:tc>
              <w:tc>
                <w:tcPr>
                  <w:tcW w:w="1951" w:type="dxa"/>
                  <w:noWrap w:val="0"/>
                  <w:vAlign w:val="center"/>
                </w:tcPr>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用</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1" w:hRule="atLeast"/>
              </w:trPr>
              <w:tc>
                <w:tcPr>
                  <w:tcW w:w="800" w:type="dxa"/>
                  <w:noWrap w:val="0"/>
                  <w:vAlign w:val="center"/>
                </w:tcPr>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涤棉帆布</w:t>
                  </w:r>
                </w:p>
              </w:tc>
              <w:tc>
                <w:tcPr>
                  <w:tcW w:w="1457" w:type="dxa"/>
                  <w:noWrap w:val="0"/>
                  <w:vAlign w:val="center"/>
                </w:tcPr>
                <w:p>
                  <w:pPr>
                    <w:bidi w:val="0"/>
                    <w:spacing w:line="360" w:lineRule="auto"/>
                    <w:jc w:val="center"/>
                    <w:rPr>
                      <w:rFonts w:hint="eastAsia" w:ascii="宋体" w:hAnsi="宋体" w:eastAsia="宋体" w:cs="宋体"/>
                      <w:color w:val="auto"/>
                      <w:sz w:val="21"/>
                      <w:szCs w:val="21"/>
                      <w:highlight w:val="yellow"/>
                      <w:lang w:val="en-US" w:eastAsia="zh-CN"/>
                    </w:rPr>
                  </w:pPr>
                  <w:r>
                    <w:rPr>
                      <w:rFonts w:hint="eastAsia" w:ascii="宋体" w:hAnsi="宋体" w:eastAsia="宋体" w:cs="宋体"/>
                      <w:color w:val="auto"/>
                      <w:sz w:val="21"/>
                      <w:szCs w:val="21"/>
                      <w:highlight w:val="none"/>
                      <w:lang w:val="en-US" w:eastAsia="zh-CN"/>
                    </w:rPr>
                    <w:t>涤纶80%/棉20%</w:t>
                  </w:r>
                </w:p>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highlight w:val="none"/>
                    </w:rPr>
                    <w:t>29.5tex×2/59tex</w:t>
                  </w:r>
                </w:p>
              </w:tc>
              <w:tc>
                <w:tcPr>
                  <w:tcW w:w="799"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符合表5</w:t>
                  </w:r>
                </w:p>
              </w:tc>
              <w:tc>
                <w:tcPr>
                  <w:tcW w:w="1951" w:type="dxa"/>
                  <w:noWrap w:val="0"/>
                  <w:vAlign w:val="center"/>
                </w:tcPr>
                <w:p>
                  <w:pPr>
                    <w:bidi w:val="0"/>
                    <w:spacing w:line="360" w:lineRule="auto"/>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rPr>
                    <w:t>面料、翻领里、绒领里、套领面、挂面、挂面贴条、后托领、后托领贴条、掩门里、掩门暗牌面、掩门暗牌里、胸袋盖里、斜插袋</w:t>
                  </w:r>
                  <w:r>
                    <w:rPr>
                      <w:rFonts w:hint="eastAsia" w:ascii="宋体" w:hAnsi="宋体" w:eastAsia="宋体" w:cs="宋体"/>
                      <w:color w:val="auto"/>
                      <w:sz w:val="21"/>
                      <w:szCs w:val="21"/>
                      <w:lang w:val="en-US" w:eastAsia="zh-CN"/>
                    </w:rPr>
                    <w:t>片</w:t>
                  </w:r>
                  <w:r>
                    <w:rPr>
                      <w:rFonts w:hint="eastAsia" w:ascii="宋体" w:hAnsi="宋体" w:eastAsia="宋体" w:cs="宋体"/>
                      <w:color w:val="auto"/>
                      <w:sz w:val="21"/>
                      <w:szCs w:val="21"/>
                    </w:rPr>
                    <w:t>、帽口贴条</w:t>
                  </w:r>
                  <w:r>
                    <w:rPr>
                      <w:rFonts w:hint="eastAsia" w:ascii="宋体" w:hAnsi="宋体" w:cs="宋体"/>
                      <w:color w:val="auto"/>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8" w:hRule="atLeast"/>
              </w:trPr>
              <w:tc>
                <w:tcPr>
                  <w:tcW w:w="800" w:type="dxa"/>
                  <w:noWrap w:val="0"/>
                  <w:vAlign w:val="center"/>
                </w:tcPr>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防静电涤纶平纹防绒绸</w:t>
                  </w:r>
                </w:p>
              </w:tc>
              <w:tc>
                <w:tcPr>
                  <w:tcW w:w="1457"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77.8dtex+22dtex/77.8dtex，单位面积质量60g/㎡</w:t>
                  </w:r>
                </w:p>
              </w:tc>
              <w:tc>
                <w:tcPr>
                  <w:tcW w:w="799"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符合表5</w:t>
                  </w:r>
                </w:p>
              </w:tc>
              <w:tc>
                <w:tcPr>
                  <w:tcW w:w="1951" w:type="dxa"/>
                  <w:noWrap w:val="0"/>
                  <w:vAlign w:val="center"/>
                </w:tcPr>
                <w:p>
                  <w:pPr>
                    <w:bidi w:val="0"/>
                    <w:spacing w:line="360" w:lineRule="auto"/>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rPr>
                    <w:t>里料、内胆面里、袖紧口布、套领里</w:t>
                  </w:r>
                  <w:r>
                    <w:rPr>
                      <w:rFonts w:hint="eastAsia" w:ascii="宋体" w:hAnsi="宋体" w:cs="宋体"/>
                      <w:color w:val="auto"/>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800"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丙纶熔喷</w:t>
                  </w:r>
                  <w:r>
                    <w:rPr>
                      <w:rFonts w:hint="eastAsia" w:ascii="宋体" w:hAnsi="宋体" w:eastAsia="宋体" w:cs="宋体"/>
                      <w:color w:val="auto"/>
                      <w:sz w:val="21"/>
                      <w:szCs w:val="21"/>
                      <w:lang w:val="en-US" w:eastAsia="zh-CN"/>
                    </w:rPr>
                    <w:t>布</w:t>
                  </w:r>
                </w:p>
              </w:tc>
              <w:tc>
                <w:tcPr>
                  <w:tcW w:w="1457"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80g/㎡</w:t>
                  </w:r>
                </w:p>
              </w:tc>
              <w:tc>
                <w:tcPr>
                  <w:tcW w:w="799"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符合表5</w:t>
                  </w:r>
                </w:p>
              </w:tc>
              <w:tc>
                <w:tcPr>
                  <w:tcW w:w="1951" w:type="dxa"/>
                  <w:noWrap w:val="0"/>
                  <w:vAlign w:val="center"/>
                </w:tcPr>
                <w:p>
                  <w:pPr>
                    <w:bidi w:val="0"/>
                    <w:spacing w:line="360" w:lineRule="auto"/>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前、后身</w:t>
                  </w:r>
                  <w:r>
                    <w:rPr>
                      <w:rFonts w:hint="eastAsia" w:ascii="宋体" w:hAnsi="宋体" w:eastAsia="宋体" w:cs="宋体"/>
                      <w:color w:val="auto"/>
                      <w:sz w:val="21"/>
                      <w:szCs w:val="21"/>
                      <w:lang w:val="en-US" w:eastAsia="zh-CN"/>
                    </w:rPr>
                    <w:t>和</w:t>
                  </w:r>
                  <w:r>
                    <w:rPr>
                      <w:rFonts w:hint="eastAsia" w:ascii="宋体" w:hAnsi="宋体" w:eastAsia="宋体" w:cs="宋体"/>
                      <w:color w:val="auto"/>
                      <w:sz w:val="21"/>
                      <w:szCs w:val="21"/>
                      <w:lang w:eastAsia="zh-CN"/>
                    </w:rPr>
                    <w:t>袖子、</w:t>
                  </w:r>
                  <w:r>
                    <w:rPr>
                      <w:rFonts w:hint="eastAsia" w:ascii="宋体" w:hAnsi="宋体" w:eastAsia="宋体" w:cs="宋体"/>
                      <w:color w:val="auto"/>
                      <w:sz w:val="21"/>
                      <w:szCs w:val="21"/>
                      <w:lang w:val="en-US" w:eastAsia="zh-CN"/>
                    </w:rPr>
                    <w:t>翻领和风帽保暖层</w:t>
                  </w:r>
                  <w:r>
                    <w:rPr>
                      <w:rFonts w:hint="eastAsia" w:ascii="宋体" w:hAnsi="宋体" w:cs="宋体"/>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800" w:type="dxa"/>
                  <w:vMerge w:val="restart"/>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超细聚酯絮片</w:t>
                  </w:r>
                </w:p>
              </w:tc>
              <w:tc>
                <w:tcPr>
                  <w:tcW w:w="1457"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120g/㎡</w:t>
                  </w:r>
                </w:p>
              </w:tc>
              <w:tc>
                <w:tcPr>
                  <w:tcW w:w="799" w:type="dxa"/>
                  <w:vMerge w:val="restart"/>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符合表5</w:t>
                  </w:r>
                </w:p>
              </w:tc>
              <w:tc>
                <w:tcPr>
                  <w:tcW w:w="1951" w:type="dxa"/>
                  <w:noWrap w:val="0"/>
                  <w:vAlign w:val="center"/>
                </w:tcPr>
                <w:p>
                  <w:pPr>
                    <w:bidi w:val="0"/>
                    <w:spacing w:line="360" w:lineRule="auto"/>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帽口贴条、掩门、风帽保暖层、内胆保暖层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800" w:type="dxa"/>
                  <w:vMerge w:val="continue"/>
                  <w:noWrap w:val="0"/>
                  <w:vAlign w:val="center"/>
                </w:tcPr>
                <w:p>
                  <w:pPr>
                    <w:bidi w:val="0"/>
                    <w:spacing w:line="360" w:lineRule="auto"/>
                    <w:jc w:val="center"/>
                    <w:rPr>
                      <w:rFonts w:hint="eastAsia" w:ascii="宋体" w:hAnsi="宋体" w:eastAsia="宋体" w:cs="宋体"/>
                      <w:color w:val="auto"/>
                      <w:sz w:val="21"/>
                      <w:szCs w:val="21"/>
                      <w:lang w:eastAsia="zh-CN"/>
                    </w:rPr>
                  </w:pPr>
                </w:p>
              </w:tc>
              <w:tc>
                <w:tcPr>
                  <w:tcW w:w="1457" w:type="dxa"/>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200g/㎡</w:t>
                  </w:r>
                </w:p>
              </w:tc>
              <w:tc>
                <w:tcPr>
                  <w:tcW w:w="799" w:type="dxa"/>
                  <w:vMerge w:val="continue"/>
                  <w:noWrap w:val="0"/>
                  <w:vAlign w:val="center"/>
                </w:tcPr>
                <w:p>
                  <w:pPr>
                    <w:bidi w:val="0"/>
                    <w:spacing w:line="360" w:lineRule="auto"/>
                    <w:jc w:val="center"/>
                    <w:rPr>
                      <w:rFonts w:hint="eastAsia" w:ascii="宋体" w:hAnsi="宋体" w:eastAsia="宋体" w:cs="宋体"/>
                      <w:color w:val="auto"/>
                      <w:sz w:val="21"/>
                      <w:szCs w:val="21"/>
                      <w:lang w:eastAsia="zh-CN"/>
                    </w:rPr>
                  </w:pPr>
                </w:p>
              </w:tc>
              <w:tc>
                <w:tcPr>
                  <w:tcW w:w="1951" w:type="dxa"/>
                  <w:noWrap w:val="0"/>
                  <w:vAlign w:val="center"/>
                </w:tcPr>
                <w:p>
                  <w:pPr>
                    <w:bidi w:val="0"/>
                    <w:spacing w:line="360" w:lineRule="auto"/>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前、后身和袖子保暖层</w:t>
                  </w:r>
                  <w:r>
                    <w:rPr>
                      <w:rFonts w:hint="eastAsia" w:ascii="宋体" w:hAnsi="宋体" w:cs="宋体"/>
                      <w:color w:val="auto"/>
                      <w:sz w:val="21"/>
                      <w:szCs w:val="21"/>
                      <w:lang w:eastAsia="zh-CN"/>
                    </w:rPr>
                    <w:t>。</w:t>
                  </w:r>
                </w:p>
              </w:tc>
            </w:tr>
          </w:tbl>
          <w:p>
            <w:pPr>
              <w:pStyle w:val="21"/>
              <w:rPr>
                <w:rFonts w:ascii="宋体" w:hAnsi="宋体" w:cs="宋体"/>
                <w:color w:val="auto"/>
                <w:sz w:val="21"/>
                <w:szCs w:val="21"/>
                <w:highlight w:val="none"/>
              </w:rPr>
            </w:pPr>
            <w:r>
              <w:rPr>
                <w:rFonts w:hint="eastAsia" w:ascii="宋体" w:hAnsi="宋体" w:eastAsia="宋体" w:cs="宋体"/>
                <w:color w:val="auto"/>
                <w:sz w:val="21"/>
                <w:szCs w:val="21"/>
                <w:highlight w:val="none"/>
                <w:lang w:val="en-US" w:eastAsia="zh-CN"/>
              </w:rPr>
              <w:t>6、针距：各部位缝制针距应符合表3规定。</w:t>
            </w:r>
          </w:p>
          <w:p>
            <w:pPr>
              <w:pStyle w:val="21"/>
              <w:ind w:firstLine="1890" w:firstLineChars="900"/>
              <w:rPr>
                <w:rFonts w:ascii="宋体" w:hAnsi="宋体" w:cs="宋体"/>
                <w:color w:val="auto"/>
                <w:sz w:val="21"/>
                <w:szCs w:val="21"/>
                <w:highlight w:val="none"/>
              </w:rPr>
            </w:pPr>
            <w:r>
              <w:rPr>
                <w:rFonts w:hint="eastAsia" w:ascii="宋体" w:hAnsi="宋体" w:eastAsia="宋体" w:cs="宋体"/>
                <w:color w:val="auto"/>
                <w:sz w:val="21"/>
                <w:szCs w:val="21"/>
                <w:highlight w:val="none"/>
                <w:lang w:val="en-US" w:eastAsia="zh-CN"/>
              </w:rPr>
              <w:t>表3 针距要求</w:t>
            </w:r>
          </w:p>
          <w:tbl>
            <w:tblPr>
              <w:tblStyle w:val="33"/>
              <w:tblW w:w="50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0"/>
              <w:gridCol w:w="750"/>
              <w:gridCol w:w="1631"/>
              <w:gridCol w:w="2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0" w:type="dxa"/>
                  <w:gridSpan w:val="2"/>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项目</w:t>
                  </w:r>
                </w:p>
              </w:tc>
              <w:tc>
                <w:tcPr>
                  <w:tcW w:w="1631" w:type="dxa"/>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针距密度</w:t>
                  </w:r>
                </w:p>
              </w:tc>
              <w:tc>
                <w:tcPr>
                  <w:tcW w:w="2169" w:type="dxa"/>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vMerge w:val="restart"/>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平缝</w:t>
                  </w:r>
                </w:p>
              </w:tc>
              <w:tc>
                <w:tcPr>
                  <w:tcW w:w="750" w:type="dxa"/>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明线</w:t>
                  </w:r>
                </w:p>
              </w:tc>
              <w:tc>
                <w:tcPr>
                  <w:tcW w:w="1631" w:type="dxa"/>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不少于12针/3cm</w:t>
                  </w:r>
                </w:p>
              </w:tc>
              <w:tc>
                <w:tcPr>
                  <w:tcW w:w="2169" w:type="dxa"/>
                  <w:vMerge w:val="restart"/>
                  <w:noWrap w:val="0"/>
                  <w:vAlign w:val="center"/>
                </w:tcPr>
                <w:p>
                  <w:pPr>
                    <w:spacing w:line="360" w:lineRule="auto"/>
                    <w:jc w:val="both"/>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缝纫线路顺直、首尾回针、定位准确、距边宽窄一致、结合牢固、松紧适宜</w:t>
                  </w:r>
                  <w:r>
                    <w:rPr>
                      <w:rFonts w:hint="eastAsia" w:ascii="宋体" w:hAnsi="宋体" w:cs="宋体"/>
                      <w:color w:val="auto"/>
                      <w:sz w:val="21"/>
                      <w:szCs w:val="21"/>
                      <w:highlight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vMerge w:val="continue"/>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p>
              </w:tc>
              <w:tc>
                <w:tcPr>
                  <w:tcW w:w="750" w:type="dxa"/>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暗线</w:t>
                  </w:r>
                </w:p>
              </w:tc>
              <w:tc>
                <w:tcPr>
                  <w:tcW w:w="1631" w:type="dxa"/>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不少于12针/3cm</w:t>
                  </w:r>
                </w:p>
              </w:tc>
              <w:tc>
                <w:tcPr>
                  <w:tcW w:w="2169" w:type="dxa"/>
                  <w:vMerge w:val="continue"/>
                  <w:noWrap w:val="0"/>
                  <w:vAlign w:val="center"/>
                </w:tcPr>
                <w:p>
                  <w:pPr>
                    <w:spacing w:line="360" w:lineRule="auto"/>
                    <w:jc w:val="both"/>
                    <w:rPr>
                      <w:rFonts w:hint="eastAsia" w:ascii="宋体" w:hAnsi="宋体" w:eastAsia="宋体" w:cs="宋体"/>
                      <w:color w:val="auto"/>
                      <w:sz w:val="21"/>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0" w:type="dxa"/>
                  <w:gridSpan w:val="2"/>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绗缝</w:t>
                  </w:r>
                </w:p>
              </w:tc>
              <w:tc>
                <w:tcPr>
                  <w:tcW w:w="1631" w:type="dxa"/>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不少于9针/3cm</w:t>
                  </w:r>
                </w:p>
              </w:tc>
              <w:tc>
                <w:tcPr>
                  <w:tcW w:w="2169" w:type="dxa"/>
                  <w:noWrap w:val="0"/>
                  <w:vAlign w:val="center"/>
                </w:tcPr>
                <w:p>
                  <w:pPr>
                    <w:spacing w:line="360" w:lineRule="auto"/>
                    <w:jc w:val="both"/>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每道绗缝允许跳线一处，限两针、不允许出套:内胆每片断线接线限2处，接线重合牢固</w:t>
                  </w:r>
                  <w:r>
                    <w:rPr>
                      <w:rFonts w:hint="eastAsia" w:ascii="宋体" w:hAnsi="宋体" w:cs="宋体"/>
                      <w:color w:val="auto"/>
                      <w:sz w:val="21"/>
                      <w:szCs w:val="21"/>
                      <w:highlight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vMerge w:val="restart"/>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锁眼</w:t>
                  </w:r>
                </w:p>
              </w:tc>
              <w:tc>
                <w:tcPr>
                  <w:tcW w:w="750" w:type="dxa"/>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细线</w:t>
                  </w:r>
                </w:p>
              </w:tc>
              <w:tc>
                <w:tcPr>
                  <w:tcW w:w="1631" w:type="dxa"/>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不少于12针/1cm</w:t>
                  </w:r>
                </w:p>
              </w:tc>
              <w:tc>
                <w:tcPr>
                  <w:tcW w:w="2169" w:type="dxa"/>
                  <w:vMerge w:val="restart"/>
                  <w:noWrap w:val="0"/>
                  <w:vAlign w:val="center"/>
                </w:tcPr>
                <w:p>
                  <w:pPr>
                    <w:spacing w:line="360" w:lineRule="auto"/>
                    <w:jc w:val="both"/>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正面尾结线头不超过0.2cm,毛纱要清剪</w:t>
                  </w:r>
                  <w:r>
                    <w:rPr>
                      <w:rFonts w:hint="eastAsia" w:ascii="宋体" w:hAnsi="宋体" w:cs="宋体"/>
                      <w:color w:val="auto"/>
                      <w:sz w:val="21"/>
                      <w:szCs w:val="21"/>
                      <w:highlight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vMerge w:val="continue"/>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p>
              </w:tc>
              <w:tc>
                <w:tcPr>
                  <w:tcW w:w="750" w:type="dxa"/>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粗线</w:t>
                  </w:r>
                </w:p>
              </w:tc>
              <w:tc>
                <w:tcPr>
                  <w:tcW w:w="1631" w:type="dxa"/>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不少于9针/1cm</w:t>
                  </w:r>
                </w:p>
              </w:tc>
              <w:tc>
                <w:tcPr>
                  <w:tcW w:w="2169" w:type="dxa"/>
                  <w:vMerge w:val="continue"/>
                  <w:noWrap w:val="0"/>
                  <w:vAlign w:val="center"/>
                </w:tcPr>
                <w:p>
                  <w:pPr>
                    <w:spacing w:line="360" w:lineRule="auto"/>
                    <w:jc w:val="both"/>
                    <w:rPr>
                      <w:rFonts w:hint="eastAsia" w:ascii="宋体" w:hAnsi="宋体" w:eastAsia="宋体" w:cs="宋体"/>
                      <w:color w:val="auto"/>
                      <w:sz w:val="21"/>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0" w:type="dxa"/>
                  <w:gridSpan w:val="2"/>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钉四眼扣</w:t>
                  </w:r>
                </w:p>
              </w:tc>
              <w:tc>
                <w:tcPr>
                  <w:tcW w:w="1631" w:type="dxa"/>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不少于6根线/眼</w:t>
                  </w:r>
                </w:p>
              </w:tc>
              <w:tc>
                <w:tcPr>
                  <w:tcW w:w="2169" w:type="dxa"/>
                  <w:noWrap w:val="0"/>
                  <w:vAlign w:val="center"/>
                </w:tcPr>
                <w:p>
                  <w:pPr>
                    <w:spacing w:line="360" w:lineRule="auto"/>
                    <w:jc w:val="both"/>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反面留扣结线长0.5cm～1.0cm</w:t>
                  </w:r>
                  <w:r>
                    <w:rPr>
                      <w:rFonts w:hint="eastAsia" w:ascii="宋体" w:hAnsi="宋体" w:cs="宋体"/>
                      <w:color w:val="auto"/>
                      <w:sz w:val="21"/>
                      <w:szCs w:val="21"/>
                      <w:highlight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0" w:type="dxa"/>
                  <w:gridSpan w:val="4"/>
                  <w:noWrap w:val="0"/>
                  <w:vAlign w:val="center"/>
                </w:tcPr>
                <w:p>
                  <w:pPr>
                    <w:spacing w:line="360" w:lineRule="auto"/>
                    <w:jc w:val="both"/>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注：扣眼尺寸以刀口计。</w:t>
                  </w:r>
                </w:p>
              </w:tc>
            </w:tr>
          </w:tbl>
          <w:p>
            <w:pPr>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7、成品外观质量</w:t>
            </w:r>
          </w:p>
          <w:p>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各部位缝制平服、线路顺直，整体牢固，针迹均匀，上下线松紧适宜。对称部位基本一致，套结位置准确，拉链平直，外观整洁，无线头纱毛。缝制过程中工艺熨烫应平服定型，无烫光、变色。里布应低温熨烫，熨烫温度不超过110℃。各部位外观质量应符合表4规定。</w:t>
            </w:r>
          </w:p>
          <w:p>
            <w:pPr>
              <w:pStyle w:val="21"/>
              <w:ind w:firstLine="1260" w:firstLineChars="600"/>
              <w:rPr>
                <w:rFonts w:ascii="宋体" w:hAnsi="宋体" w:cs="宋体"/>
                <w:color w:val="auto"/>
                <w:sz w:val="21"/>
                <w:szCs w:val="21"/>
                <w:highlight w:val="none"/>
              </w:rPr>
            </w:pPr>
            <w:r>
              <w:rPr>
                <w:rFonts w:hint="eastAsia" w:ascii="宋体" w:hAnsi="宋体" w:eastAsia="宋体" w:cs="宋体"/>
                <w:color w:val="auto"/>
                <w:sz w:val="21"/>
                <w:szCs w:val="21"/>
                <w:highlight w:val="none"/>
                <w:lang w:val="en-US" w:eastAsia="zh-CN"/>
              </w:rPr>
              <w:t>表4外观质量规定</w:t>
            </w:r>
          </w:p>
          <w:tbl>
            <w:tblPr>
              <w:tblStyle w:val="33"/>
              <w:tblW w:w="49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3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8" w:type="dxa"/>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部位名称</w:t>
                  </w:r>
                </w:p>
              </w:tc>
              <w:tc>
                <w:tcPr>
                  <w:tcW w:w="3394" w:type="dxa"/>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外观质量规定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8" w:type="dxa"/>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绒领</w:t>
                  </w:r>
                </w:p>
              </w:tc>
              <w:tc>
                <w:tcPr>
                  <w:tcW w:w="3394" w:type="dxa"/>
                  <w:noWrap w:val="0"/>
                  <w:vAlign w:val="center"/>
                </w:tcPr>
                <w:p>
                  <w:pPr>
                    <w:spacing w:line="360" w:lineRule="auto"/>
                    <w:jc w:val="both"/>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绒领丰满、圆角大小一致</w:t>
                  </w:r>
                  <w:r>
                    <w:rPr>
                      <w:rFonts w:hint="eastAsia" w:ascii="宋体" w:hAnsi="宋体" w:cs="宋体"/>
                      <w:color w:val="auto"/>
                      <w:sz w:val="21"/>
                      <w:szCs w:val="21"/>
                      <w:highlight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8" w:type="dxa"/>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前襟</w:t>
                  </w:r>
                </w:p>
              </w:tc>
              <w:tc>
                <w:tcPr>
                  <w:tcW w:w="3394" w:type="dxa"/>
                  <w:noWrap w:val="0"/>
                  <w:vAlign w:val="center"/>
                </w:tcPr>
                <w:p>
                  <w:pPr>
                    <w:spacing w:line="360" w:lineRule="auto"/>
                    <w:jc w:val="both"/>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拉链拉合后平服</w:t>
                  </w:r>
                  <w:r>
                    <w:rPr>
                      <w:rFonts w:hint="eastAsia" w:ascii="宋体" w:hAnsi="宋体" w:cs="宋体"/>
                      <w:color w:val="auto"/>
                      <w:sz w:val="21"/>
                      <w:szCs w:val="21"/>
                      <w:highlight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8" w:type="dxa"/>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前、后身</w:t>
                  </w:r>
                </w:p>
              </w:tc>
              <w:tc>
                <w:tcPr>
                  <w:tcW w:w="3394" w:type="dxa"/>
                  <w:noWrap w:val="0"/>
                  <w:vAlign w:val="center"/>
                </w:tcPr>
                <w:p>
                  <w:pPr>
                    <w:spacing w:line="360" w:lineRule="auto"/>
                    <w:jc w:val="both"/>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肩缝、面、里、内胆平服</w:t>
                  </w:r>
                  <w:r>
                    <w:rPr>
                      <w:rFonts w:hint="eastAsia" w:ascii="宋体" w:hAnsi="宋体" w:cs="宋体"/>
                      <w:color w:val="auto"/>
                      <w:sz w:val="21"/>
                      <w:szCs w:val="21"/>
                      <w:highlight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8" w:type="dxa"/>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胸袋、口袋</w:t>
                  </w:r>
                </w:p>
              </w:tc>
              <w:tc>
                <w:tcPr>
                  <w:tcW w:w="3394" w:type="dxa"/>
                  <w:noWrap w:val="0"/>
                  <w:vAlign w:val="center"/>
                </w:tcPr>
                <w:p>
                  <w:pPr>
                    <w:spacing w:line="360" w:lineRule="auto"/>
                    <w:jc w:val="both"/>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左右袋高低、前后对称，口袋明线不应接线</w:t>
                  </w:r>
                  <w:r>
                    <w:rPr>
                      <w:rFonts w:hint="eastAsia" w:ascii="宋体" w:hAnsi="宋体" w:cs="宋体"/>
                      <w:color w:val="auto"/>
                      <w:sz w:val="21"/>
                      <w:szCs w:val="21"/>
                      <w:highlight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8" w:type="dxa"/>
                  <w:noWrap w:val="0"/>
                  <w:vAlign w:val="center"/>
                </w:tcPr>
                <w:p>
                  <w:pPr>
                    <w:spacing w:line="360" w:lineRule="auto"/>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内胆</w:t>
                  </w:r>
                </w:p>
              </w:tc>
              <w:tc>
                <w:tcPr>
                  <w:tcW w:w="3394" w:type="dxa"/>
                  <w:noWrap w:val="0"/>
                  <w:vAlign w:val="center"/>
                </w:tcPr>
                <w:p>
                  <w:pPr>
                    <w:spacing w:line="360" w:lineRule="auto"/>
                    <w:jc w:val="both"/>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内胆拉合后，与外装里结合匹配松紧适宜</w:t>
                  </w:r>
                  <w:r>
                    <w:rPr>
                      <w:rFonts w:hint="eastAsia" w:ascii="宋体" w:hAnsi="宋体" w:cs="宋体"/>
                      <w:color w:val="auto"/>
                      <w:sz w:val="21"/>
                      <w:szCs w:val="21"/>
                      <w:highlight w:val="none"/>
                      <w:vertAlign w:val="baseline"/>
                      <w:lang w:val="en-US" w:eastAsia="zh-CN"/>
                    </w:rPr>
                    <w:t>。</w:t>
                  </w:r>
                </w:p>
              </w:tc>
            </w:tr>
          </w:tbl>
          <w:p>
            <w:pPr>
              <w:bidi w:val="0"/>
              <w:spacing w:line="360" w:lineRule="auto"/>
              <w:jc w:val="both"/>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8.理化性能</w:t>
            </w:r>
          </w:p>
          <w:p>
            <w:pPr>
              <w:bidi w:val="0"/>
              <w:spacing w:line="360" w:lineRule="auto"/>
              <w:jc w:val="both"/>
              <w:rPr>
                <w:rFonts w:ascii="宋体" w:hAnsi="宋体" w:cs="宋体"/>
                <w:color w:val="auto"/>
                <w:sz w:val="21"/>
                <w:szCs w:val="21"/>
                <w:highlight w:val="none"/>
              </w:rPr>
            </w:pPr>
            <w:r>
              <w:rPr>
                <w:rFonts w:hint="eastAsia" w:ascii="宋体" w:hAnsi="宋体" w:eastAsia="宋体" w:cs="宋体"/>
                <w:b w:val="0"/>
                <w:bCs w:val="0"/>
                <w:color w:val="auto"/>
                <w:sz w:val="21"/>
                <w:szCs w:val="21"/>
                <w:lang w:val="en-US" w:eastAsia="zh-CN"/>
              </w:rPr>
              <w:t>成品理化性能按表5规定</w:t>
            </w:r>
          </w:p>
          <w:p>
            <w:pPr>
              <w:bidi w:val="0"/>
              <w:spacing w:line="360" w:lineRule="auto"/>
              <w:jc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表5 理化性能要求</w:t>
            </w:r>
          </w:p>
          <w:tbl>
            <w:tblPr>
              <w:tblStyle w:val="32"/>
              <w:tblW w:w="50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5"/>
              <w:gridCol w:w="887"/>
              <w:gridCol w:w="1436"/>
              <w:gridCol w:w="1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5" w:type="dxa"/>
                  <w:noWrap w:val="0"/>
                  <w:vAlign w:val="center"/>
                </w:tcPr>
                <w:p>
                  <w:pPr>
                    <w:pStyle w:val="84"/>
                    <w:spacing w:line="360" w:lineRule="auto"/>
                    <w:jc w:val="center"/>
                    <w:rPr>
                      <w:rFonts w:hint="eastAsia" w:ascii="宋体" w:hAnsi="宋体" w:eastAsia="宋体" w:cs="宋体"/>
                      <w:snapToGrid w:val="0"/>
                      <w:color w:val="auto"/>
                      <w:kern w:val="21"/>
                      <w:sz w:val="21"/>
                      <w:szCs w:val="21"/>
                      <w:highlight w:val="none"/>
                      <w:lang w:val="en-US" w:eastAsia="zh-CN" w:bidi="ar-SA"/>
                    </w:rPr>
                  </w:pPr>
                  <w:r>
                    <w:rPr>
                      <w:rFonts w:hint="eastAsia" w:ascii="宋体" w:hAnsi="宋体" w:eastAsia="宋体" w:cs="宋体"/>
                      <w:color w:val="auto"/>
                      <w:sz w:val="21"/>
                      <w:szCs w:val="21"/>
                      <w:highlight w:val="none"/>
                    </w:rPr>
                    <w:t>项目</w:t>
                  </w:r>
                </w:p>
              </w:tc>
              <w:tc>
                <w:tcPr>
                  <w:tcW w:w="2323" w:type="dxa"/>
                  <w:gridSpan w:val="2"/>
                  <w:noWrap w:val="0"/>
                  <w:vAlign w:val="center"/>
                </w:tcPr>
                <w:p>
                  <w:pPr>
                    <w:pStyle w:val="84"/>
                    <w:spacing w:line="360" w:lineRule="auto"/>
                    <w:jc w:val="center"/>
                    <w:rPr>
                      <w:rFonts w:hint="eastAsia" w:ascii="宋体" w:hAnsi="宋体" w:eastAsia="宋体" w:cs="宋体"/>
                      <w:snapToGrid w:val="0"/>
                      <w:color w:val="auto"/>
                      <w:kern w:val="21"/>
                      <w:sz w:val="21"/>
                      <w:szCs w:val="21"/>
                      <w:highlight w:val="none"/>
                      <w:lang w:val="en-US" w:eastAsia="zh-CN" w:bidi="ar-SA"/>
                    </w:rPr>
                  </w:pPr>
                  <w:r>
                    <w:rPr>
                      <w:rFonts w:hint="eastAsia" w:ascii="宋体" w:hAnsi="宋体" w:eastAsia="宋体" w:cs="宋体"/>
                      <w:color w:val="auto"/>
                      <w:sz w:val="21"/>
                      <w:szCs w:val="21"/>
                      <w:highlight w:val="none"/>
                    </w:rPr>
                    <w:t>标准值</w:t>
                  </w:r>
                </w:p>
              </w:tc>
              <w:tc>
                <w:tcPr>
                  <w:tcW w:w="1352" w:type="dxa"/>
                  <w:noWrap w:val="0"/>
                  <w:vAlign w:val="center"/>
                </w:tcPr>
                <w:p>
                  <w:pPr>
                    <w:pStyle w:val="84"/>
                    <w:spacing w:line="360" w:lineRule="auto"/>
                    <w:jc w:val="center"/>
                    <w:rPr>
                      <w:rFonts w:hint="eastAsia" w:ascii="宋体" w:hAnsi="宋体" w:eastAsia="宋体" w:cs="宋体"/>
                      <w:snapToGrid w:val="0"/>
                      <w:color w:val="auto"/>
                      <w:kern w:val="21"/>
                      <w:sz w:val="21"/>
                      <w:szCs w:val="21"/>
                      <w:highlight w:val="none"/>
                      <w:lang w:val="en-US" w:eastAsia="zh-CN" w:bidi="ar-SA"/>
                    </w:rPr>
                  </w:pPr>
                  <w:r>
                    <w:rPr>
                      <w:rFonts w:hint="eastAsia" w:ascii="宋体" w:hAnsi="宋体" w:eastAsia="宋体" w:cs="宋体"/>
                      <w:color w:val="auto"/>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5" w:type="dxa"/>
                  <w:noWrap w:val="0"/>
                  <w:vAlign w:val="center"/>
                </w:tcPr>
                <w:p>
                  <w:pPr>
                    <w:pStyle w:val="84"/>
                    <w:spacing w:line="360" w:lineRule="auto"/>
                    <w:jc w:val="center"/>
                    <w:rPr>
                      <w:rFonts w:hint="eastAsia" w:ascii="宋体" w:hAnsi="宋体" w:eastAsia="宋体" w:cs="宋体"/>
                      <w:snapToGrid w:val="0"/>
                      <w:color w:val="auto"/>
                      <w:kern w:val="21"/>
                      <w:sz w:val="21"/>
                      <w:szCs w:val="21"/>
                      <w:highlight w:val="none"/>
                      <w:lang w:val="en-US" w:eastAsia="zh-CN" w:bidi="ar-SA"/>
                    </w:rPr>
                  </w:pPr>
                  <w:r>
                    <w:rPr>
                      <w:rFonts w:hint="eastAsia" w:ascii="宋体" w:hAnsi="宋体" w:eastAsia="宋体" w:cs="宋体"/>
                      <w:color w:val="auto"/>
                      <w:sz w:val="21"/>
                      <w:szCs w:val="21"/>
                      <w:highlight w:val="none"/>
                    </w:rPr>
                    <w:t>甲醛含量，mg/kg</w:t>
                  </w:r>
                </w:p>
              </w:tc>
              <w:tc>
                <w:tcPr>
                  <w:tcW w:w="2323" w:type="dxa"/>
                  <w:gridSpan w:val="2"/>
                  <w:vMerge w:val="restart"/>
                  <w:noWrap w:val="0"/>
                  <w:vAlign w:val="center"/>
                </w:tcPr>
                <w:p>
                  <w:pPr>
                    <w:pStyle w:val="84"/>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符合GB 18401规定</w:t>
                  </w:r>
                </w:p>
              </w:tc>
              <w:tc>
                <w:tcPr>
                  <w:tcW w:w="1352" w:type="dxa"/>
                  <w:noWrap w:val="0"/>
                  <w:vAlign w:val="center"/>
                </w:tcPr>
                <w:p>
                  <w:pPr>
                    <w:pStyle w:val="84"/>
                    <w:spacing w:line="360" w:lineRule="auto"/>
                    <w:jc w:val="center"/>
                    <w:rPr>
                      <w:rFonts w:hint="eastAsia" w:ascii="宋体" w:hAnsi="宋体" w:eastAsia="宋体" w:cs="宋体"/>
                      <w:snapToGrid w:val="0"/>
                      <w:color w:val="auto"/>
                      <w:kern w:val="21"/>
                      <w:sz w:val="21"/>
                      <w:szCs w:val="21"/>
                      <w:highlight w:val="none"/>
                      <w:lang w:val="en-US" w:eastAsia="zh-CN" w:bidi="ar-SA"/>
                    </w:rPr>
                  </w:pPr>
                  <w:r>
                    <w:rPr>
                      <w:rFonts w:hint="eastAsia" w:ascii="宋体" w:hAnsi="宋体" w:eastAsia="宋体" w:cs="宋体"/>
                      <w:color w:val="auto"/>
                      <w:sz w:val="21"/>
                      <w:szCs w:val="21"/>
                      <w:highlight w:val="none"/>
                    </w:rPr>
                    <w:t>GB/T 2912.1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5" w:type="dxa"/>
                  <w:noWrap w:val="0"/>
                  <w:vAlign w:val="center"/>
                </w:tcPr>
                <w:p>
                  <w:pPr>
                    <w:pStyle w:val="84"/>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可分解芳香胺染料，mg/kg</w:t>
                  </w:r>
                </w:p>
              </w:tc>
              <w:tc>
                <w:tcPr>
                  <w:tcW w:w="2323" w:type="dxa"/>
                  <w:gridSpan w:val="2"/>
                  <w:vMerge w:val="continue"/>
                  <w:noWrap w:val="0"/>
                  <w:vAlign w:val="center"/>
                </w:tcPr>
                <w:p>
                  <w:pPr>
                    <w:pStyle w:val="84"/>
                    <w:spacing w:line="360" w:lineRule="auto"/>
                    <w:jc w:val="center"/>
                    <w:rPr>
                      <w:rFonts w:hint="eastAsia" w:ascii="宋体" w:hAnsi="宋体" w:eastAsia="宋体" w:cs="宋体"/>
                      <w:color w:val="auto"/>
                      <w:sz w:val="21"/>
                      <w:szCs w:val="21"/>
                      <w:highlight w:val="none"/>
                      <w:lang w:val="en-US" w:eastAsia="zh-CN"/>
                    </w:rPr>
                  </w:pPr>
                </w:p>
              </w:tc>
              <w:tc>
                <w:tcPr>
                  <w:tcW w:w="1352" w:type="dxa"/>
                  <w:noWrap w:val="0"/>
                  <w:vAlign w:val="center"/>
                </w:tcPr>
                <w:p>
                  <w:pPr>
                    <w:pStyle w:val="84"/>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GB/T 17592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5" w:type="dxa"/>
                  <w:noWrap w:val="0"/>
                  <w:vAlign w:val="center"/>
                </w:tcPr>
                <w:p>
                  <w:pPr>
                    <w:pStyle w:val="84"/>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pH值</w:t>
                  </w:r>
                </w:p>
              </w:tc>
              <w:tc>
                <w:tcPr>
                  <w:tcW w:w="2323" w:type="dxa"/>
                  <w:gridSpan w:val="2"/>
                  <w:vMerge w:val="continue"/>
                  <w:noWrap w:val="0"/>
                  <w:vAlign w:val="center"/>
                </w:tcPr>
                <w:p>
                  <w:pPr>
                    <w:pStyle w:val="84"/>
                    <w:spacing w:line="360" w:lineRule="auto"/>
                    <w:jc w:val="center"/>
                    <w:rPr>
                      <w:rFonts w:hint="eastAsia" w:ascii="宋体" w:hAnsi="宋体" w:eastAsia="宋体" w:cs="宋体"/>
                      <w:color w:val="auto"/>
                      <w:sz w:val="21"/>
                      <w:szCs w:val="21"/>
                      <w:highlight w:val="none"/>
                      <w:lang w:val="en-US" w:eastAsia="zh-CN"/>
                    </w:rPr>
                  </w:pPr>
                </w:p>
              </w:tc>
              <w:tc>
                <w:tcPr>
                  <w:tcW w:w="1352" w:type="dxa"/>
                  <w:noWrap w:val="0"/>
                  <w:vAlign w:val="center"/>
                </w:tcPr>
                <w:p>
                  <w:pPr>
                    <w:pStyle w:val="84"/>
                    <w:spacing w:line="360" w:lineRule="auto"/>
                    <w:jc w:val="center"/>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eastAsia="zh-CN"/>
                    </w:rPr>
                    <w:t>GB/T 7573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5" w:type="dxa"/>
                  <w:noWrap w:val="0"/>
                  <w:vAlign w:val="center"/>
                </w:tcPr>
                <w:p>
                  <w:pPr>
                    <w:pStyle w:val="84"/>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原料要求</w:t>
                  </w:r>
                </w:p>
              </w:tc>
              <w:tc>
                <w:tcPr>
                  <w:tcW w:w="2323" w:type="dxa"/>
                  <w:gridSpan w:val="2"/>
                  <w:noWrap w:val="0"/>
                  <w:vAlign w:val="center"/>
                </w:tcPr>
                <w:p>
                  <w:pPr>
                    <w:pStyle w:val="84"/>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符合GB 18383规定</w:t>
                  </w:r>
                </w:p>
              </w:tc>
              <w:tc>
                <w:tcPr>
                  <w:tcW w:w="1352" w:type="dxa"/>
                  <w:noWrap w:val="0"/>
                  <w:vAlign w:val="center"/>
                </w:tcPr>
                <w:p>
                  <w:pPr>
                    <w:pStyle w:val="84"/>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GB 18383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5" w:type="dxa"/>
                  <w:vMerge w:val="restart"/>
                  <w:noWrap w:val="0"/>
                  <w:vAlign w:val="center"/>
                </w:tcPr>
                <w:p>
                  <w:pPr>
                    <w:keepNext w:val="0"/>
                    <w:keepLines w:val="0"/>
                    <w:widowControl/>
                    <w:suppressLineNumbers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单位面积</w:t>
                  </w:r>
                  <w:r>
                    <w:rPr>
                      <w:rFonts w:hint="eastAsia" w:ascii="宋体" w:hAnsi="宋体" w:eastAsia="宋体" w:cs="宋体"/>
                      <w:color w:val="auto"/>
                      <w:sz w:val="21"/>
                      <w:szCs w:val="21"/>
                      <w:highlight w:val="none"/>
                    </w:rPr>
                    <w:t>质量，g/㎡</w:t>
                  </w:r>
                </w:p>
              </w:tc>
              <w:tc>
                <w:tcPr>
                  <w:tcW w:w="887" w:type="dxa"/>
                  <w:noWrap w:val="0"/>
                  <w:vAlign w:val="center"/>
                </w:tcPr>
                <w:p>
                  <w:pPr>
                    <w:pStyle w:val="84"/>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面料</w:t>
                  </w:r>
                </w:p>
              </w:tc>
              <w:tc>
                <w:tcPr>
                  <w:tcW w:w="1436" w:type="dxa"/>
                  <w:noWrap w:val="0"/>
                  <w:vAlign w:val="center"/>
                </w:tcPr>
                <w:p>
                  <w:pPr>
                    <w:pStyle w:val="84"/>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280±</w:t>
                  </w:r>
                  <w:r>
                    <w:rPr>
                      <w:rFonts w:hint="eastAsia" w:ascii="宋体" w:hAnsi="宋体" w:eastAsia="宋体" w:cs="宋体"/>
                      <w:color w:val="auto"/>
                      <w:sz w:val="21"/>
                      <w:szCs w:val="21"/>
                      <w:highlight w:val="none"/>
                      <w:lang w:val="en-US" w:eastAsia="zh-CN"/>
                    </w:rPr>
                    <w:t>20</w:t>
                  </w:r>
                </w:p>
              </w:tc>
              <w:tc>
                <w:tcPr>
                  <w:tcW w:w="1352" w:type="dxa"/>
                  <w:noWrap w:val="0"/>
                  <w:vAlign w:val="center"/>
                </w:tcPr>
                <w:p>
                  <w:pPr>
                    <w:pStyle w:val="84"/>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4669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5" w:type="dxa"/>
                  <w:vMerge w:val="continue"/>
                  <w:noWrap w:val="0"/>
                  <w:vAlign w:val="center"/>
                </w:tcPr>
                <w:p>
                  <w:pPr>
                    <w:keepNext w:val="0"/>
                    <w:keepLines w:val="0"/>
                    <w:widowControl/>
                    <w:suppressLineNumbers w:val="0"/>
                    <w:spacing w:line="360" w:lineRule="auto"/>
                    <w:jc w:val="center"/>
                    <w:rPr>
                      <w:rFonts w:hint="eastAsia" w:ascii="宋体" w:hAnsi="宋体" w:eastAsia="宋体" w:cs="宋体"/>
                      <w:color w:val="auto"/>
                      <w:kern w:val="0"/>
                      <w:sz w:val="21"/>
                      <w:szCs w:val="21"/>
                      <w:highlight w:val="none"/>
                      <w:lang w:val="en-US" w:eastAsia="zh-CN" w:bidi="ar"/>
                    </w:rPr>
                  </w:pPr>
                </w:p>
              </w:tc>
              <w:tc>
                <w:tcPr>
                  <w:tcW w:w="887" w:type="dxa"/>
                  <w:noWrap w:val="0"/>
                  <w:vAlign w:val="center"/>
                </w:tcPr>
                <w:p>
                  <w:pPr>
                    <w:pStyle w:val="84"/>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里料</w:t>
                  </w:r>
                </w:p>
              </w:tc>
              <w:tc>
                <w:tcPr>
                  <w:tcW w:w="1436" w:type="dxa"/>
                  <w:noWrap w:val="0"/>
                  <w:vAlign w:val="center"/>
                </w:tcPr>
                <w:p>
                  <w:pPr>
                    <w:pStyle w:val="84"/>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rPr>
                    <w:t>60 ±</w:t>
                  </w:r>
                  <w:r>
                    <w:rPr>
                      <w:rFonts w:hint="eastAsia" w:ascii="宋体" w:hAnsi="宋体" w:eastAsia="宋体" w:cs="宋体"/>
                      <w:color w:val="auto"/>
                      <w:sz w:val="21"/>
                      <w:szCs w:val="21"/>
                      <w:lang w:val="en-US" w:eastAsia="zh-CN"/>
                    </w:rPr>
                    <w:t>5</w:t>
                  </w:r>
                </w:p>
              </w:tc>
              <w:tc>
                <w:tcPr>
                  <w:tcW w:w="1352" w:type="dxa"/>
                  <w:noWrap w:val="0"/>
                  <w:vAlign w:val="center"/>
                </w:tcPr>
                <w:p>
                  <w:pPr>
                    <w:pStyle w:val="84"/>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4669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5" w:type="dxa"/>
                  <w:vMerge w:val="continue"/>
                  <w:noWrap w:val="0"/>
                  <w:vAlign w:val="center"/>
                </w:tcPr>
                <w:p>
                  <w:pPr>
                    <w:keepNext w:val="0"/>
                    <w:keepLines w:val="0"/>
                    <w:widowControl/>
                    <w:suppressLineNumbers w:val="0"/>
                    <w:spacing w:line="360" w:lineRule="auto"/>
                    <w:jc w:val="center"/>
                    <w:rPr>
                      <w:rFonts w:hint="eastAsia" w:ascii="宋体" w:hAnsi="宋体" w:eastAsia="宋体" w:cs="宋体"/>
                      <w:color w:val="auto"/>
                      <w:kern w:val="0"/>
                      <w:sz w:val="21"/>
                      <w:szCs w:val="21"/>
                      <w:highlight w:val="none"/>
                      <w:lang w:val="en-US" w:eastAsia="zh-CN" w:bidi="ar"/>
                    </w:rPr>
                  </w:pPr>
                </w:p>
              </w:tc>
              <w:tc>
                <w:tcPr>
                  <w:tcW w:w="887" w:type="dxa"/>
                  <w:noWrap w:val="0"/>
                  <w:vAlign w:val="center"/>
                </w:tcPr>
                <w:p>
                  <w:pPr>
                    <w:pStyle w:val="84"/>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无纺布</w:t>
                  </w:r>
                </w:p>
              </w:tc>
              <w:tc>
                <w:tcPr>
                  <w:tcW w:w="1436"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80</w:t>
                  </w:r>
                </w:p>
              </w:tc>
              <w:tc>
                <w:tcPr>
                  <w:tcW w:w="1352"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GB/T 24218.1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5" w:type="dxa"/>
                  <w:vMerge w:val="continue"/>
                  <w:noWrap w:val="0"/>
                  <w:vAlign w:val="center"/>
                </w:tcPr>
                <w:p>
                  <w:pPr>
                    <w:keepNext w:val="0"/>
                    <w:keepLines w:val="0"/>
                    <w:widowControl/>
                    <w:suppressLineNumbers w:val="0"/>
                    <w:spacing w:line="360" w:lineRule="auto"/>
                    <w:jc w:val="center"/>
                    <w:rPr>
                      <w:rFonts w:hint="eastAsia" w:ascii="宋体" w:hAnsi="宋体" w:eastAsia="宋体" w:cs="宋体"/>
                      <w:color w:val="auto"/>
                      <w:kern w:val="0"/>
                      <w:sz w:val="21"/>
                      <w:szCs w:val="21"/>
                      <w:highlight w:val="none"/>
                      <w:lang w:val="en-US" w:eastAsia="zh-CN" w:bidi="ar"/>
                    </w:rPr>
                  </w:pPr>
                </w:p>
              </w:tc>
              <w:tc>
                <w:tcPr>
                  <w:tcW w:w="887" w:type="dxa"/>
                  <w:noWrap w:val="0"/>
                  <w:vAlign w:val="center"/>
                </w:tcPr>
                <w:p>
                  <w:pPr>
                    <w:pStyle w:val="84"/>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填充物</w:t>
                  </w:r>
                </w:p>
              </w:tc>
              <w:tc>
                <w:tcPr>
                  <w:tcW w:w="1436" w:type="dxa"/>
                  <w:noWrap w:val="0"/>
                  <w:vAlign w:val="center"/>
                </w:tcPr>
                <w:p>
                  <w:pPr>
                    <w:bidi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200</w:t>
                  </w:r>
                </w:p>
                <w:p>
                  <w:pPr>
                    <w:bidi w:val="0"/>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前、后身，袖子）</w:t>
                  </w:r>
                </w:p>
              </w:tc>
              <w:tc>
                <w:tcPr>
                  <w:tcW w:w="1352" w:type="dxa"/>
                  <w:noWrap w:val="0"/>
                  <w:vAlign w:val="center"/>
                </w:tcPr>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GB/T 24218.1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5" w:type="dxa"/>
                  <w:vMerge w:val="restart"/>
                  <w:noWrap w:val="0"/>
                  <w:vAlign w:val="center"/>
                </w:tcPr>
                <w:p>
                  <w:pPr>
                    <w:pStyle w:val="84"/>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面料织物</w:t>
                  </w:r>
                  <w:r>
                    <w:rPr>
                      <w:rFonts w:hint="eastAsia" w:ascii="宋体" w:hAnsi="宋体" w:eastAsia="宋体" w:cs="宋体"/>
                      <w:color w:val="auto"/>
                      <w:sz w:val="21"/>
                      <w:szCs w:val="21"/>
                      <w:highlight w:val="none"/>
                    </w:rPr>
                    <w:t>密度，根/10cm</w:t>
                  </w:r>
                </w:p>
              </w:tc>
              <w:tc>
                <w:tcPr>
                  <w:tcW w:w="887" w:type="dxa"/>
                  <w:noWrap w:val="0"/>
                  <w:vAlign w:val="center"/>
                </w:tcPr>
                <w:p>
                  <w:pPr>
                    <w:pStyle w:val="84"/>
                    <w:spacing w:line="360" w:lineRule="auto"/>
                    <w:jc w:val="center"/>
                    <w:rPr>
                      <w:rFonts w:hint="eastAsia" w:ascii="宋体" w:hAnsi="宋体" w:eastAsia="宋体" w:cs="宋体"/>
                      <w:snapToGrid w:val="0"/>
                      <w:color w:val="auto"/>
                      <w:kern w:val="21"/>
                      <w:sz w:val="21"/>
                      <w:szCs w:val="21"/>
                      <w:highlight w:val="none"/>
                      <w:lang w:val="en-US" w:eastAsia="zh-CN" w:bidi="ar-SA"/>
                    </w:rPr>
                  </w:pPr>
                  <w:r>
                    <w:rPr>
                      <w:rFonts w:hint="eastAsia" w:ascii="宋体" w:hAnsi="宋体" w:eastAsia="宋体" w:cs="宋体"/>
                      <w:color w:val="auto"/>
                      <w:sz w:val="21"/>
                      <w:szCs w:val="21"/>
                      <w:highlight w:val="none"/>
                    </w:rPr>
                    <w:t>经向</w:t>
                  </w:r>
                </w:p>
              </w:tc>
              <w:tc>
                <w:tcPr>
                  <w:tcW w:w="1436" w:type="dxa"/>
                  <w:noWrap w:val="0"/>
                  <w:vAlign w:val="center"/>
                </w:tcPr>
                <w:p>
                  <w:pPr>
                    <w:pStyle w:val="84"/>
                    <w:spacing w:line="360" w:lineRule="auto"/>
                    <w:jc w:val="center"/>
                    <w:rPr>
                      <w:rFonts w:hint="eastAsia" w:ascii="宋体" w:hAnsi="宋体" w:eastAsia="宋体" w:cs="宋体"/>
                      <w:snapToGrid w:val="0"/>
                      <w:color w:val="auto"/>
                      <w:kern w:val="21"/>
                      <w:sz w:val="21"/>
                      <w:szCs w:val="21"/>
                      <w:highlight w:val="none"/>
                      <w:lang w:val="en-US" w:eastAsia="zh-CN" w:bidi="ar-SA"/>
                    </w:rPr>
                  </w:pPr>
                  <w:r>
                    <w:rPr>
                      <w:rFonts w:hint="eastAsia" w:ascii="宋体" w:hAnsi="宋体" w:eastAsia="宋体" w:cs="宋体"/>
                      <w:color w:val="auto"/>
                      <w:sz w:val="21"/>
                      <w:szCs w:val="21"/>
                      <w:highlight w:val="none"/>
                    </w:rPr>
                    <w:t>285±</w:t>
                  </w:r>
                  <w:r>
                    <w:rPr>
                      <w:rFonts w:hint="eastAsia" w:ascii="宋体" w:hAnsi="宋体" w:eastAsia="宋体" w:cs="宋体"/>
                      <w:color w:val="auto"/>
                      <w:sz w:val="21"/>
                      <w:szCs w:val="21"/>
                      <w:highlight w:val="none"/>
                      <w:lang w:val="en-US" w:eastAsia="zh-CN"/>
                    </w:rPr>
                    <w:t>29</w:t>
                  </w:r>
                </w:p>
              </w:tc>
              <w:tc>
                <w:tcPr>
                  <w:tcW w:w="1352" w:type="dxa"/>
                  <w:vMerge w:val="restart"/>
                  <w:noWrap w:val="0"/>
                  <w:vAlign w:val="center"/>
                </w:tcPr>
                <w:p>
                  <w:pPr>
                    <w:pStyle w:val="84"/>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4668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5" w:type="dxa"/>
                  <w:vMerge w:val="continue"/>
                  <w:noWrap w:val="0"/>
                  <w:vAlign w:val="center"/>
                </w:tcPr>
                <w:p>
                  <w:pPr>
                    <w:pStyle w:val="84"/>
                    <w:spacing w:line="360" w:lineRule="auto"/>
                    <w:jc w:val="center"/>
                    <w:rPr>
                      <w:rFonts w:hint="eastAsia" w:ascii="宋体" w:hAnsi="宋体" w:eastAsia="宋体" w:cs="宋体"/>
                      <w:color w:val="auto"/>
                      <w:sz w:val="21"/>
                      <w:szCs w:val="21"/>
                      <w:highlight w:val="none"/>
                    </w:rPr>
                  </w:pPr>
                </w:p>
              </w:tc>
              <w:tc>
                <w:tcPr>
                  <w:tcW w:w="887" w:type="dxa"/>
                  <w:noWrap w:val="0"/>
                  <w:vAlign w:val="center"/>
                </w:tcPr>
                <w:p>
                  <w:pPr>
                    <w:pStyle w:val="84"/>
                    <w:spacing w:line="360" w:lineRule="auto"/>
                    <w:jc w:val="center"/>
                    <w:rPr>
                      <w:rFonts w:hint="eastAsia" w:ascii="宋体" w:hAnsi="宋体" w:eastAsia="宋体" w:cs="宋体"/>
                      <w:snapToGrid w:val="0"/>
                      <w:color w:val="auto"/>
                      <w:kern w:val="21"/>
                      <w:sz w:val="21"/>
                      <w:szCs w:val="21"/>
                      <w:highlight w:val="none"/>
                      <w:lang w:val="en-US" w:eastAsia="zh-CN" w:bidi="ar-SA"/>
                    </w:rPr>
                  </w:pPr>
                  <w:r>
                    <w:rPr>
                      <w:rFonts w:hint="eastAsia" w:ascii="宋体" w:hAnsi="宋体" w:eastAsia="宋体" w:cs="宋体"/>
                      <w:color w:val="auto"/>
                      <w:sz w:val="21"/>
                      <w:szCs w:val="21"/>
                      <w:highlight w:val="none"/>
                    </w:rPr>
                    <w:t>纬向</w:t>
                  </w:r>
                </w:p>
              </w:tc>
              <w:tc>
                <w:tcPr>
                  <w:tcW w:w="1436" w:type="dxa"/>
                  <w:noWrap w:val="0"/>
                  <w:vAlign w:val="center"/>
                </w:tcPr>
                <w:p>
                  <w:pPr>
                    <w:pStyle w:val="84"/>
                    <w:spacing w:line="360" w:lineRule="auto"/>
                    <w:jc w:val="center"/>
                    <w:rPr>
                      <w:rFonts w:hint="eastAsia" w:ascii="宋体" w:hAnsi="宋体" w:eastAsia="宋体" w:cs="宋体"/>
                      <w:snapToGrid w:val="0"/>
                      <w:color w:val="auto"/>
                      <w:kern w:val="21"/>
                      <w:sz w:val="21"/>
                      <w:szCs w:val="21"/>
                      <w:highlight w:val="none"/>
                      <w:lang w:val="en-US" w:eastAsia="zh-CN" w:bidi="ar-SA"/>
                    </w:rPr>
                  </w:pPr>
                  <w:r>
                    <w:rPr>
                      <w:rFonts w:hint="eastAsia" w:ascii="宋体" w:hAnsi="宋体" w:eastAsia="宋体" w:cs="宋体"/>
                      <w:color w:val="auto"/>
                      <w:sz w:val="21"/>
                      <w:szCs w:val="21"/>
                      <w:highlight w:val="none"/>
                    </w:rPr>
                    <w:t>162±</w:t>
                  </w:r>
                  <w:r>
                    <w:rPr>
                      <w:rFonts w:hint="eastAsia" w:ascii="宋体" w:hAnsi="宋体" w:eastAsia="宋体" w:cs="宋体"/>
                      <w:color w:val="auto"/>
                      <w:sz w:val="21"/>
                      <w:szCs w:val="21"/>
                      <w:highlight w:val="none"/>
                      <w:lang w:val="en-US" w:eastAsia="zh-CN"/>
                    </w:rPr>
                    <w:t>17</w:t>
                  </w:r>
                </w:p>
              </w:tc>
              <w:tc>
                <w:tcPr>
                  <w:tcW w:w="1352" w:type="dxa"/>
                  <w:vMerge w:val="continue"/>
                  <w:noWrap w:val="0"/>
                  <w:vAlign w:val="center"/>
                </w:tcPr>
                <w:p>
                  <w:pPr>
                    <w:pStyle w:val="84"/>
                    <w:spacing w:line="360" w:lineRule="auto"/>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5" w:type="dxa"/>
                  <w:vMerge w:val="restart"/>
                  <w:noWrap w:val="0"/>
                  <w:vAlign w:val="center"/>
                </w:tcPr>
                <w:p>
                  <w:pPr>
                    <w:pStyle w:val="84"/>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面料</w:t>
                  </w:r>
                  <w:r>
                    <w:rPr>
                      <w:rFonts w:hint="eastAsia" w:ascii="宋体" w:hAnsi="宋体" w:eastAsia="宋体" w:cs="宋体"/>
                      <w:color w:val="auto"/>
                      <w:sz w:val="21"/>
                      <w:szCs w:val="21"/>
                      <w:highlight w:val="none"/>
                    </w:rPr>
                    <w:t>断裂强力，N</w:t>
                  </w:r>
                </w:p>
              </w:tc>
              <w:tc>
                <w:tcPr>
                  <w:tcW w:w="887" w:type="dxa"/>
                  <w:noWrap w:val="0"/>
                  <w:vAlign w:val="center"/>
                </w:tcPr>
                <w:p>
                  <w:pPr>
                    <w:pStyle w:val="84"/>
                    <w:spacing w:line="360" w:lineRule="auto"/>
                    <w:jc w:val="center"/>
                    <w:rPr>
                      <w:rFonts w:hint="eastAsia" w:ascii="宋体" w:hAnsi="宋体" w:eastAsia="宋体" w:cs="宋体"/>
                      <w:snapToGrid w:val="0"/>
                      <w:color w:val="auto"/>
                      <w:kern w:val="21"/>
                      <w:sz w:val="21"/>
                      <w:szCs w:val="21"/>
                      <w:highlight w:val="none"/>
                      <w:lang w:val="en-US" w:eastAsia="zh-CN" w:bidi="ar-SA"/>
                    </w:rPr>
                  </w:pPr>
                  <w:r>
                    <w:rPr>
                      <w:rFonts w:hint="eastAsia" w:ascii="宋体" w:hAnsi="宋体" w:eastAsia="宋体" w:cs="宋体"/>
                      <w:color w:val="auto"/>
                      <w:sz w:val="21"/>
                      <w:szCs w:val="21"/>
                      <w:highlight w:val="none"/>
                    </w:rPr>
                    <w:t>经向</w:t>
                  </w:r>
                </w:p>
              </w:tc>
              <w:tc>
                <w:tcPr>
                  <w:tcW w:w="1436" w:type="dxa"/>
                  <w:noWrap w:val="0"/>
                  <w:vAlign w:val="center"/>
                </w:tcPr>
                <w:p>
                  <w:pPr>
                    <w:pStyle w:val="84"/>
                    <w:spacing w:line="360" w:lineRule="auto"/>
                    <w:jc w:val="center"/>
                    <w:rPr>
                      <w:rFonts w:hint="eastAsia" w:ascii="宋体" w:hAnsi="宋体" w:eastAsia="宋体" w:cs="宋体"/>
                      <w:snapToGrid w:val="0"/>
                      <w:color w:val="auto"/>
                      <w:kern w:val="21"/>
                      <w:sz w:val="21"/>
                      <w:szCs w:val="21"/>
                      <w:highlight w:val="none"/>
                      <w:lang w:val="en-US" w:eastAsia="zh-CN" w:bidi="ar-SA"/>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1500</w:t>
                  </w:r>
                </w:p>
              </w:tc>
              <w:tc>
                <w:tcPr>
                  <w:tcW w:w="1352" w:type="dxa"/>
                  <w:vMerge w:val="restart"/>
                  <w:noWrap w:val="0"/>
                  <w:vAlign w:val="center"/>
                </w:tcPr>
                <w:p>
                  <w:pPr>
                    <w:pStyle w:val="84"/>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3923.1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5" w:type="dxa"/>
                  <w:vMerge w:val="continue"/>
                  <w:noWrap w:val="0"/>
                  <w:vAlign w:val="center"/>
                </w:tcPr>
                <w:p>
                  <w:pPr>
                    <w:pStyle w:val="84"/>
                    <w:spacing w:line="360" w:lineRule="auto"/>
                    <w:jc w:val="center"/>
                    <w:rPr>
                      <w:rFonts w:hint="eastAsia" w:ascii="宋体" w:hAnsi="宋体" w:eastAsia="宋体" w:cs="宋体"/>
                      <w:color w:val="auto"/>
                      <w:sz w:val="21"/>
                      <w:szCs w:val="21"/>
                      <w:highlight w:val="none"/>
                    </w:rPr>
                  </w:pPr>
                </w:p>
              </w:tc>
              <w:tc>
                <w:tcPr>
                  <w:tcW w:w="887" w:type="dxa"/>
                  <w:noWrap w:val="0"/>
                  <w:vAlign w:val="center"/>
                </w:tcPr>
                <w:p>
                  <w:pPr>
                    <w:pStyle w:val="84"/>
                    <w:spacing w:line="360" w:lineRule="auto"/>
                    <w:jc w:val="center"/>
                    <w:rPr>
                      <w:rFonts w:hint="eastAsia" w:ascii="宋体" w:hAnsi="宋体" w:eastAsia="宋体" w:cs="宋体"/>
                      <w:snapToGrid w:val="0"/>
                      <w:color w:val="auto"/>
                      <w:kern w:val="21"/>
                      <w:sz w:val="21"/>
                      <w:szCs w:val="21"/>
                      <w:highlight w:val="none"/>
                      <w:lang w:val="en-US" w:eastAsia="zh-CN" w:bidi="ar-SA"/>
                    </w:rPr>
                  </w:pPr>
                  <w:r>
                    <w:rPr>
                      <w:rFonts w:hint="eastAsia" w:ascii="宋体" w:hAnsi="宋体" w:eastAsia="宋体" w:cs="宋体"/>
                      <w:color w:val="auto"/>
                      <w:sz w:val="21"/>
                      <w:szCs w:val="21"/>
                      <w:highlight w:val="none"/>
                    </w:rPr>
                    <w:t>纬向</w:t>
                  </w:r>
                </w:p>
              </w:tc>
              <w:tc>
                <w:tcPr>
                  <w:tcW w:w="1436" w:type="dxa"/>
                  <w:noWrap w:val="0"/>
                  <w:vAlign w:val="center"/>
                </w:tcPr>
                <w:p>
                  <w:pPr>
                    <w:pStyle w:val="84"/>
                    <w:spacing w:line="360" w:lineRule="auto"/>
                    <w:jc w:val="center"/>
                    <w:rPr>
                      <w:rFonts w:hint="eastAsia" w:ascii="宋体" w:hAnsi="宋体" w:eastAsia="宋体" w:cs="宋体"/>
                      <w:snapToGrid w:val="0"/>
                      <w:color w:val="auto"/>
                      <w:kern w:val="21"/>
                      <w:sz w:val="21"/>
                      <w:szCs w:val="21"/>
                      <w:highlight w:val="none"/>
                      <w:lang w:val="en-US" w:eastAsia="zh-CN" w:bidi="ar-SA"/>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1000</w:t>
                  </w:r>
                  <w:bookmarkStart w:id="280" w:name="_GoBack"/>
                  <w:bookmarkEnd w:id="280"/>
                </w:p>
              </w:tc>
              <w:tc>
                <w:tcPr>
                  <w:tcW w:w="1352" w:type="dxa"/>
                  <w:vMerge w:val="continue"/>
                  <w:noWrap w:val="0"/>
                  <w:vAlign w:val="center"/>
                </w:tcPr>
                <w:p>
                  <w:pPr>
                    <w:pStyle w:val="84"/>
                    <w:spacing w:line="360" w:lineRule="auto"/>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1345" w:type="dxa"/>
                  <w:vMerge w:val="restart"/>
                  <w:noWrap w:val="0"/>
                  <w:vAlign w:val="center"/>
                </w:tcPr>
                <w:p>
                  <w:pPr>
                    <w:pStyle w:val="84"/>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水洗尺寸变化率，%</w:t>
                  </w:r>
                </w:p>
              </w:tc>
              <w:tc>
                <w:tcPr>
                  <w:tcW w:w="887" w:type="dxa"/>
                  <w:noWrap w:val="0"/>
                  <w:vAlign w:val="center"/>
                </w:tcPr>
                <w:p>
                  <w:pPr>
                    <w:pStyle w:val="84"/>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胸围</w:t>
                  </w:r>
                </w:p>
              </w:tc>
              <w:tc>
                <w:tcPr>
                  <w:tcW w:w="1436" w:type="dxa"/>
                  <w:noWrap w:val="0"/>
                  <w:vAlign w:val="center"/>
                </w:tcPr>
                <w:p>
                  <w:pPr>
                    <w:pStyle w:val="84"/>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≥-1.5</w:t>
                  </w:r>
                </w:p>
              </w:tc>
              <w:tc>
                <w:tcPr>
                  <w:tcW w:w="1352" w:type="dxa"/>
                  <w:vMerge w:val="restart"/>
                  <w:noWrap w:val="0"/>
                  <w:vAlign w:val="center"/>
                </w:tcPr>
                <w:p>
                  <w:pPr>
                    <w:pStyle w:val="84"/>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8628</w:t>
                  </w:r>
                </w:p>
                <w:p>
                  <w:pPr>
                    <w:pStyle w:val="84"/>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GB/T 8629</w:t>
                  </w:r>
                  <w:r>
                    <w:rPr>
                      <w:rFonts w:hint="eastAsia" w:ascii="宋体" w:hAnsi="宋体" w:eastAsia="宋体" w:cs="宋体"/>
                      <w:color w:val="auto"/>
                      <w:sz w:val="21"/>
                      <w:szCs w:val="21"/>
                      <w:highlight w:val="none"/>
                      <w:lang w:val="en-US" w:eastAsia="zh-CN"/>
                    </w:rPr>
                    <w:t>-</w:t>
                  </w:r>
                  <w:r>
                    <w:rPr>
                      <w:rFonts w:hint="eastAsia" w:hAnsi="宋体" w:cs="宋体"/>
                      <w:color w:val="auto"/>
                      <w:sz w:val="21"/>
                      <w:szCs w:val="21"/>
                      <w:highlight w:val="none"/>
                      <w:lang w:val="en-US" w:eastAsia="zh-CN"/>
                    </w:rPr>
                    <w:t>2017</w:t>
                  </w:r>
                  <w:r>
                    <w:rPr>
                      <w:rFonts w:hint="eastAsia" w:ascii="宋体" w:hAnsi="宋体" w:eastAsia="宋体" w:cs="宋体"/>
                      <w:color w:val="auto"/>
                      <w:sz w:val="21"/>
                      <w:szCs w:val="21"/>
                      <w:highlight w:val="none"/>
                      <w:lang w:val="en-US" w:eastAsia="zh-CN"/>
                    </w:rPr>
                    <w:t>（洗涤5A，干燥A）</w:t>
                  </w:r>
                </w:p>
                <w:p>
                  <w:pPr>
                    <w:pStyle w:val="84"/>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8630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345" w:type="dxa"/>
                  <w:vMerge w:val="continue"/>
                  <w:noWrap w:val="0"/>
                  <w:vAlign w:val="center"/>
                </w:tcPr>
                <w:p>
                  <w:pPr>
                    <w:pStyle w:val="84"/>
                    <w:spacing w:line="360" w:lineRule="auto"/>
                    <w:jc w:val="center"/>
                    <w:rPr>
                      <w:rFonts w:hint="eastAsia" w:ascii="宋体" w:hAnsi="宋体" w:eastAsia="宋体" w:cs="宋体"/>
                      <w:color w:val="auto"/>
                      <w:sz w:val="21"/>
                      <w:szCs w:val="21"/>
                      <w:highlight w:val="none"/>
                    </w:rPr>
                  </w:pPr>
                </w:p>
              </w:tc>
              <w:tc>
                <w:tcPr>
                  <w:tcW w:w="887" w:type="dxa"/>
                  <w:noWrap w:val="0"/>
                  <w:vAlign w:val="center"/>
                </w:tcPr>
                <w:p>
                  <w:pPr>
                    <w:pStyle w:val="84"/>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衣长</w:t>
                  </w:r>
                </w:p>
              </w:tc>
              <w:tc>
                <w:tcPr>
                  <w:tcW w:w="1436" w:type="dxa"/>
                  <w:noWrap w:val="0"/>
                  <w:vAlign w:val="center"/>
                </w:tcPr>
                <w:p>
                  <w:pPr>
                    <w:pStyle w:val="84"/>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≥-1.5</w:t>
                  </w:r>
                </w:p>
              </w:tc>
              <w:tc>
                <w:tcPr>
                  <w:tcW w:w="1352" w:type="dxa"/>
                  <w:vMerge w:val="continue"/>
                  <w:noWrap w:val="0"/>
                  <w:vAlign w:val="center"/>
                </w:tcPr>
                <w:p>
                  <w:pPr>
                    <w:pStyle w:val="84"/>
                    <w:spacing w:line="360" w:lineRule="auto"/>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5" w:type="dxa"/>
                  <w:vMerge w:val="restart"/>
                  <w:noWrap w:val="0"/>
                  <w:vAlign w:val="center"/>
                </w:tcPr>
                <w:p>
                  <w:pPr>
                    <w:pStyle w:val="84"/>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纤维含量，%</w:t>
                  </w:r>
                </w:p>
              </w:tc>
              <w:tc>
                <w:tcPr>
                  <w:tcW w:w="887" w:type="dxa"/>
                  <w:noWrap w:val="0"/>
                  <w:vAlign w:val="center"/>
                </w:tcPr>
                <w:p>
                  <w:pPr>
                    <w:pStyle w:val="84"/>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面料</w:t>
                  </w:r>
                </w:p>
              </w:tc>
              <w:tc>
                <w:tcPr>
                  <w:tcW w:w="1436" w:type="dxa"/>
                  <w:noWrap w:val="0"/>
                  <w:vAlign w:val="center"/>
                </w:tcPr>
                <w:p>
                  <w:pPr>
                    <w:pStyle w:val="84"/>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棉20±5，涤纶80±5</w:t>
                  </w:r>
                </w:p>
              </w:tc>
              <w:tc>
                <w:tcPr>
                  <w:tcW w:w="1352" w:type="dxa"/>
                  <w:noWrap w:val="0"/>
                  <w:vAlign w:val="center"/>
                </w:tcPr>
                <w:p>
                  <w:pPr>
                    <w:pStyle w:val="84"/>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2910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5" w:type="dxa"/>
                  <w:vMerge w:val="continue"/>
                  <w:noWrap w:val="0"/>
                  <w:vAlign w:val="center"/>
                </w:tcPr>
                <w:p>
                  <w:pPr>
                    <w:pStyle w:val="84"/>
                    <w:spacing w:line="360" w:lineRule="auto"/>
                    <w:jc w:val="center"/>
                    <w:rPr>
                      <w:rFonts w:hint="eastAsia" w:ascii="宋体" w:hAnsi="宋体" w:eastAsia="宋体" w:cs="宋体"/>
                      <w:color w:val="auto"/>
                      <w:sz w:val="21"/>
                      <w:szCs w:val="21"/>
                      <w:highlight w:val="none"/>
                    </w:rPr>
                  </w:pPr>
                </w:p>
              </w:tc>
              <w:tc>
                <w:tcPr>
                  <w:tcW w:w="887" w:type="dxa"/>
                  <w:noWrap w:val="0"/>
                  <w:vAlign w:val="center"/>
                </w:tcPr>
                <w:p>
                  <w:pPr>
                    <w:pStyle w:val="84"/>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里料</w:t>
                  </w:r>
                </w:p>
              </w:tc>
              <w:tc>
                <w:tcPr>
                  <w:tcW w:w="1436" w:type="dxa"/>
                  <w:noWrap w:val="0"/>
                  <w:vAlign w:val="center"/>
                </w:tcPr>
                <w:p>
                  <w:pPr>
                    <w:pStyle w:val="84"/>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lang w:val="en-US" w:eastAsia="zh-CN"/>
                    </w:rPr>
                    <w:t>涤纶100</w:t>
                  </w:r>
                </w:p>
              </w:tc>
              <w:tc>
                <w:tcPr>
                  <w:tcW w:w="1352" w:type="dxa"/>
                  <w:noWrap w:val="0"/>
                  <w:vAlign w:val="center"/>
                </w:tcPr>
                <w:p>
                  <w:pPr>
                    <w:pStyle w:val="84"/>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b w:val="0"/>
                      <w:bCs w:val="0"/>
                      <w:color w:val="auto"/>
                      <w:sz w:val="21"/>
                      <w:szCs w:val="21"/>
                      <w:highlight w:val="none"/>
                    </w:rPr>
                    <w:t>FZ/T 01057（所有部分）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5" w:type="dxa"/>
                  <w:noWrap w:val="0"/>
                  <w:vAlign w:val="center"/>
                </w:tcPr>
                <w:p>
                  <w:pPr>
                    <w:pStyle w:val="84"/>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面料</w:t>
                  </w:r>
                  <w:r>
                    <w:rPr>
                      <w:rFonts w:hint="eastAsia" w:ascii="宋体" w:hAnsi="宋体" w:eastAsia="宋体" w:cs="宋体"/>
                      <w:color w:val="auto"/>
                      <w:sz w:val="21"/>
                      <w:szCs w:val="21"/>
                      <w:highlight w:val="none"/>
                    </w:rPr>
                    <w:t>耐光色牢度，级</w:t>
                  </w:r>
                </w:p>
              </w:tc>
              <w:tc>
                <w:tcPr>
                  <w:tcW w:w="2323" w:type="dxa"/>
                  <w:gridSpan w:val="2"/>
                  <w:noWrap w:val="0"/>
                  <w:vAlign w:val="center"/>
                </w:tcPr>
                <w:p>
                  <w:pPr>
                    <w:pStyle w:val="84"/>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352" w:type="dxa"/>
                  <w:noWrap w:val="0"/>
                  <w:vAlign w:val="center"/>
                </w:tcPr>
                <w:p>
                  <w:pPr>
                    <w:pStyle w:val="84"/>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8427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345" w:type="dxa"/>
                  <w:noWrap w:val="0"/>
                  <w:vAlign w:val="center"/>
                </w:tcPr>
                <w:p>
                  <w:pPr>
                    <w:pStyle w:val="84"/>
                    <w:spacing w:line="360" w:lineRule="auto"/>
                    <w:jc w:val="center"/>
                    <w:rPr>
                      <w:rFonts w:hint="eastAsia" w:ascii="宋体" w:hAnsi="宋体" w:eastAsia="宋体" w:cs="宋体"/>
                      <w:color w:val="auto"/>
                      <w:sz w:val="21"/>
                      <w:szCs w:val="21"/>
                      <w:highlight w:val="none"/>
                    </w:rPr>
                  </w:pPr>
                </w:p>
                <w:p>
                  <w:pPr>
                    <w:pStyle w:val="84"/>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面料</w:t>
                  </w:r>
                  <w:r>
                    <w:rPr>
                      <w:rFonts w:hint="eastAsia" w:ascii="宋体" w:hAnsi="宋体" w:eastAsia="宋体" w:cs="宋体"/>
                      <w:color w:val="auto"/>
                      <w:sz w:val="21"/>
                      <w:szCs w:val="21"/>
                      <w:highlight w:val="none"/>
                    </w:rPr>
                    <w:t>耐汗渍色牢度，级</w:t>
                  </w:r>
                </w:p>
              </w:tc>
              <w:tc>
                <w:tcPr>
                  <w:tcW w:w="2323" w:type="dxa"/>
                  <w:gridSpan w:val="2"/>
                  <w:noWrap w:val="0"/>
                  <w:vAlign w:val="center"/>
                </w:tcPr>
                <w:p>
                  <w:pPr>
                    <w:pStyle w:val="84"/>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p>
                  <w:pPr>
                    <w:pStyle w:val="84"/>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变色、沾色）</w:t>
                  </w:r>
                </w:p>
              </w:tc>
              <w:tc>
                <w:tcPr>
                  <w:tcW w:w="1352" w:type="dxa"/>
                  <w:noWrap w:val="0"/>
                  <w:vAlign w:val="center"/>
                </w:tcPr>
                <w:p>
                  <w:pPr>
                    <w:pStyle w:val="84"/>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3922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 w:hRule="atLeast"/>
              </w:trPr>
              <w:tc>
                <w:tcPr>
                  <w:tcW w:w="1345" w:type="dxa"/>
                  <w:tcBorders>
                    <w:top w:val="single" w:color="auto" w:sz="4" w:space="0"/>
                    <w:left w:val="single" w:color="auto" w:sz="4" w:space="0"/>
                    <w:bottom w:val="single" w:color="auto" w:sz="4" w:space="0"/>
                  </w:tcBorders>
                  <w:noWrap w:val="0"/>
                  <w:vAlign w:val="center"/>
                </w:tcPr>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里料</w:t>
                  </w:r>
                  <w:r>
                    <w:rPr>
                      <w:rFonts w:hint="eastAsia" w:ascii="宋体" w:hAnsi="宋体" w:eastAsia="宋体" w:cs="宋体"/>
                      <w:color w:val="auto"/>
                      <w:sz w:val="21"/>
                      <w:szCs w:val="21"/>
                    </w:rPr>
                    <w:t>线密度，tex</w:t>
                  </w:r>
                </w:p>
              </w:tc>
              <w:tc>
                <w:tcPr>
                  <w:tcW w:w="2323" w:type="dxa"/>
                  <w:gridSpan w:val="2"/>
                  <w:tcBorders>
                    <w:top w:val="single" w:color="auto" w:sz="4" w:space="0"/>
                    <w:bottom w:val="single" w:color="auto" w:sz="4" w:space="0"/>
                  </w:tcBorders>
                  <w:noWrap w:val="0"/>
                  <w:vAlign w:val="center"/>
                </w:tcPr>
                <w:p>
                  <w:pPr>
                    <w:bidi w:val="0"/>
                    <w:spacing w:line="360" w:lineRule="auto"/>
                    <w:jc w:val="center"/>
                    <w:rPr>
                      <w:rFonts w:hint="eastAsia" w:ascii="宋体" w:hAnsi="宋体" w:eastAsia="宋体" w:cs="宋体"/>
                      <w:color w:val="auto"/>
                      <w:sz w:val="21"/>
                      <w:szCs w:val="21"/>
                      <w:lang w:val="en-US"/>
                    </w:rPr>
                  </w:pPr>
                  <w:r>
                    <w:rPr>
                      <w:rFonts w:hint="eastAsia" w:ascii="宋体" w:hAnsi="宋体" w:eastAsia="宋体" w:cs="宋体"/>
                      <w:color w:val="auto"/>
                      <w:sz w:val="21"/>
                      <w:szCs w:val="21"/>
                      <w:highlight w:val="none"/>
                    </w:rPr>
                    <w:t>经纱</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7</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纬纱7</w:t>
                  </w:r>
                  <w:r>
                    <w:rPr>
                      <w:rFonts w:hint="eastAsia" w:ascii="宋体" w:hAnsi="宋体" w:eastAsia="宋体" w:cs="宋体"/>
                      <w:color w:val="auto"/>
                      <w:sz w:val="21"/>
                      <w:szCs w:val="21"/>
                      <w:highlight w:val="none"/>
                      <w:lang w:val="en-US" w:eastAsia="zh-CN"/>
                    </w:rPr>
                    <w:t>.8±5%</w:t>
                  </w:r>
                </w:p>
              </w:tc>
              <w:tc>
                <w:tcPr>
                  <w:tcW w:w="1352" w:type="dxa"/>
                  <w:tcBorders>
                    <w:top w:val="single" w:color="auto" w:sz="4" w:space="0"/>
                    <w:bottom w:val="single" w:color="auto" w:sz="4" w:space="0"/>
                    <w:right w:val="single" w:color="auto" w:sz="4" w:space="0"/>
                  </w:tcBorders>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29256.5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 w:hRule="atLeast"/>
              </w:trPr>
              <w:tc>
                <w:tcPr>
                  <w:tcW w:w="1345" w:type="dxa"/>
                  <w:tcBorders>
                    <w:top w:val="single" w:color="auto" w:sz="4" w:space="0"/>
                    <w:left w:val="single" w:color="auto" w:sz="4" w:space="0"/>
                    <w:bottom w:val="single" w:color="auto" w:sz="4" w:space="0"/>
                  </w:tcBorders>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面料线密度，</w:t>
                  </w:r>
                  <w:r>
                    <w:rPr>
                      <w:rFonts w:hint="eastAsia" w:ascii="宋体" w:hAnsi="宋体" w:eastAsia="宋体" w:cs="宋体"/>
                      <w:color w:val="auto"/>
                      <w:sz w:val="21"/>
                      <w:szCs w:val="21"/>
                    </w:rPr>
                    <w:t>tex</w:t>
                  </w:r>
                </w:p>
              </w:tc>
              <w:tc>
                <w:tcPr>
                  <w:tcW w:w="2323" w:type="dxa"/>
                  <w:gridSpan w:val="2"/>
                  <w:tcBorders>
                    <w:top w:val="single" w:color="auto" w:sz="4" w:space="0"/>
                    <w:bottom w:val="single" w:color="auto" w:sz="4" w:space="0"/>
                  </w:tcBorders>
                  <w:noWrap w:val="0"/>
                  <w:vAlign w:val="center"/>
                </w:tcPr>
                <w:p>
                  <w:pPr>
                    <w:bidi w:val="0"/>
                    <w:spacing w:line="360" w:lineRule="auto"/>
                    <w:jc w:val="center"/>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eastAsia="zh-CN"/>
                    </w:rPr>
                    <w:t>经纱（</w:t>
                  </w:r>
                  <w:r>
                    <w:rPr>
                      <w:rFonts w:hint="eastAsia" w:ascii="宋体" w:hAnsi="宋体" w:eastAsia="宋体" w:cs="宋体"/>
                      <w:color w:val="auto"/>
                      <w:sz w:val="21"/>
                      <w:szCs w:val="21"/>
                      <w:highlight w:val="none"/>
                    </w:rPr>
                    <w:t>29.5×2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纬纱</w:t>
                  </w:r>
                  <w:r>
                    <w:rPr>
                      <w:rFonts w:hint="eastAsia" w:ascii="宋体" w:hAnsi="宋体" w:eastAsia="宋体" w:cs="宋体"/>
                      <w:color w:val="auto"/>
                      <w:sz w:val="21"/>
                      <w:szCs w:val="21"/>
                      <w:highlight w:val="none"/>
                    </w:rPr>
                    <w:t>59</w:t>
                  </w:r>
                  <w:r>
                    <w:rPr>
                      <w:rFonts w:hint="eastAsia" w:ascii="宋体" w:hAnsi="宋体" w:eastAsia="宋体" w:cs="宋体"/>
                      <w:color w:val="auto"/>
                      <w:sz w:val="21"/>
                      <w:szCs w:val="21"/>
                      <w:highlight w:val="none"/>
                      <w:lang w:val="en-US" w:eastAsia="zh-CN"/>
                    </w:rPr>
                    <w:t>±5%</w:t>
                  </w:r>
                </w:p>
              </w:tc>
              <w:tc>
                <w:tcPr>
                  <w:tcW w:w="1352" w:type="dxa"/>
                  <w:tcBorders>
                    <w:top w:val="single" w:color="auto" w:sz="4" w:space="0"/>
                    <w:bottom w:val="single" w:color="auto" w:sz="4" w:space="0"/>
                    <w:right w:val="single" w:color="auto" w:sz="4" w:space="0"/>
                  </w:tcBorders>
                  <w:noWrap w:val="0"/>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GB/T 29256.5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 w:hRule="atLeast"/>
              </w:trPr>
              <w:tc>
                <w:tcPr>
                  <w:tcW w:w="1345" w:type="dxa"/>
                  <w:vMerge w:val="restart"/>
                  <w:tcBorders>
                    <w:top w:val="single" w:color="auto" w:sz="4" w:space="0"/>
                    <w:left w:val="single" w:color="auto" w:sz="4" w:space="0"/>
                  </w:tcBorders>
                  <w:noWrap w:val="0"/>
                  <w:vAlign w:val="center"/>
                </w:tcPr>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里料织物</w:t>
                  </w:r>
                  <w:r>
                    <w:rPr>
                      <w:rFonts w:hint="eastAsia" w:ascii="宋体" w:hAnsi="宋体" w:eastAsia="宋体" w:cs="宋体"/>
                      <w:color w:val="auto"/>
                      <w:sz w:val="21"/>
                      <w:szCs w:val="21"/>
                    </w:rPr>
                    <w:t>密度，根/10cm</w:t>
                  </w:r>
                </w:p>
              </w:tc>
              <w:tc>
                <w:tcPr>
                  <w:tcW w:w="887" w:type="dxa"/>
                  <w:tcBorders>
                    <w:top w:val="single" w:color="auto" w:sz="4" w:space="0"/>
                    <w:bottom w:val="single" w:color="auto" w:sz="4" w:space="0"/>
                  </w:tcBorders>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经向</w:t>
                  </w:r>
                </w:p>
              </w:tc>
              <w:tc>
                <w:tcPr>
                  <w:tcW w:w="1436" w:type="dxa"/>
                  <w:tcBorders>
                    <w:top w:val="single" w:color="auto" w:sz="4" w:space="0"/>
                    <w:bottom w:val="single" w:color="auto" w:sz="4" w:space="0"/>
                  </w:tcBorders>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480 ±</w:t>
                  </w:r>
                  <w:r>
                    <w:rPr>
                      <w:rFonts w:hint="eastAsia" w:ascii="宋体" w:hAnsi="宋体" w:eastAsia="宋体" w:cs="宋体"/>
                      <w:color w:val="auto"/>
                      <w:sz w:val="21"/>
                      <w:szCs w:val="21"/>
                      <w:lang w:val="en-US" w:eastAsia="zh-CN"/>
                    </w:rPr>
                    <w:t>48</w:t>
                  </w:r>
                </w:p>
              </w:tc>
              <w:tc>
                <w:tcPr>
                  <w:tcW w:w="1352" w:type="dxa"/>
                  <w:vMerge w:val="restart"/>
                  <w:tcBorders>
                    <w:top w:val="single" w:color="auto" w:sz="4" w:space="0"/>
                    <w:bottom w:val="single" w:color="auto" w:sz="4" w:space="0"/>
                    <w:right w:val="single" w:color="auto" w:sz="4" w:space="0"/>
                  </w:tcBorders>
                  <w:noWrap w:val="0"/>
                  <w:vAlign w:val="center"/>
                </w:tcPr>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GB/T　4668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4" w:hRule="atLeast"/>
              </w:trPr>
              <w:tc>
                <w:tcPr>
                  <w:tcW w:w="1345" w:type="dxa"/>
                  <w:vMerge w:val="continue"/>
                  <w:tcBorders>
                    <w:left w:val="single" w:color="auto" w:sz="4" w:space="0"/>
                    <w:bottom w:val="single" w:color="auto" w:sz="4" w:space="0"/>
                  </w:tcBorders>
                  <w:noWrap w:val="0"/>
                  <w:vAlign w:val="center"/>
                </w:tcPr>
                <w:p>
                  <w:pPr>
                    <w:bidi w:val="0"/>
                    <w:spacing w:line="360" w:lineRule="auto"/>
                    <w:jc w:val="center"/>
                    <w:rPr>
                      <w:rFonts w:hint="eastAsia" w:ascii="宋体" w:hAnsi="宋体" w:eastAsia="宋体" w:cs="宋体"/>
                      <w:color w:val="auto"/>
                      <w:sz w:val="21"/>
                      <w:szCs w:val="21"/>
                    </w:rPr>
                  </w:pPr>
                </w:p>
              </w:tc>
              <w:tc>
                <w:tcPr>
                  <w:tcW w:w="887" w:type="dxa"/>
                  <w:tcBorders>
                    <w:top w:val="single" w:color="auto" w:sz="4" w:space="0"/>
                    <w:bottom w:val="single" w:color="auto" w:sz="4" w:space="0"/>
                  </w:tcBorders>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纬向</w:t>
                  </w:r>
                </w:p>
              </w:tc>
              <w:tc>
                <w:tcPr>
                  <w:tcW w:w="1436" w:type="dxa"/>
                  <w:tcBorders>
                    <w:top w:val="single" w:color="auto" w:sz="4" w:space="0"/>
                    <w:bottom w:val="single" w:color="auto" w:sz="4" w:space="0"/>
                  </w:tcBorders>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340 ±</w:t>
                  </w:r>
                  <w:r>
                    <w:rPr>
                      <w:rFonts w:hint="eastAsia" w:ascii="宋体" w:hAnsi="宋体" w:eastAsia="宋体" w:cs="宋体"/>
                      <w:color w:val="auto"/>
                      <w:sz w:val="21"/>
                      <w:szCs w:val="21"/>
                      <w:lang w:val="en-US" w:eastAsia="zh-CN"/>
                    </w:rPr>
                    <w:t>34</w:t>
                  </w:r>
                </w:p>
              </w:tc>
              <w:tc>
                <w:tcPr>
                  <w:tcW w:w="1352" w:type="dxa"/>
                  <w:vMerge w:val="continue"/>
                  <w:tcBorders>
                    <w:top w:val="single" w:color="auto" w:sz="4" w:space="0"/>
                    <w:bottom w:val="single" w:color="auto" w:sz="4" w:space="0"/>
                    <w:right w:val="single" w:color="auto" w:sz="4" w:space="0"/>
                  </w:tcBorders>
                  <w:noWrap w:val="0"/>
                  <w:vAlign w:val="center"/>
                </w:tcPr>
                <w:p>
                  <w:pPr>
                    <w:bidi w:val="0"/>
                    <w:spacing w:line="360" w:lineRule="auto"/>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trPr>
              <w:tc>
                <w:tcPr>
                  <w:tcW w:w="1345" w:type="dxa"/>
                  <w:vMerge w:val="restart"/>
                  <w:noWrap w:val="0"/>
                  <w:vAlign w:val="center"/>
                </w:tcPr>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里料</w:t>
                  </w:r>
                  <w:r>
                    <w:rPr>
                      <w:rFonts w:hint="eastAsia" w:ascii="宋体" w:hAnsi="宋体" w:eastAsia="宋体" w:cs="宋体"/>
                      <w:color w:val="auto"/>
                      <w:sz w:val="21"/>
                      <w:szCs w:val="21"/>
                    </w:rPr>
                    <w:t>断裂强力，N</w:t>
                  </w:r>
                </w:p>
              </w:tc>
              <w:tc>
                <w:tcPr>
                  <w:tcW w:w="887"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经向</w:t>
                  </w:r>
                </w:p>
              </w:tc>
              <w:tc>
                <w:tcPr>
                  <w:tcW w:w="1436"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≥490</w:t>
                  </w:r>
                </w:p>
              </w:tc>
              <w:tc>
                <w:tcPr>
                  <w:tcW w:w="1352" w:type="dxa"/>
                  <w:vMerge w:val="restart"/>
                  <w:noWrap w:val="0"/>
                  <w:vAlign w:val="center"/>
                </w:tcPr>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GB/T　3923.1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trPr>
              <w:tc>
                <w:tcPr>
                  <w:tcW w:w="1345" w:type="dxa"/>
                  <w:vMerge w:val="continue"/>
                  <w:noWrap w:val="0"/>
                  <w:vAlign w:val="center"/>
                </w:tcPr>
                <w:p>
                  <w:pPr>
                    <w:bidi w:val="0"/>
                    <w:spacing w:line="360" w:lineRule="auto"/>
                    <w:jc w:val="center"/>
                    <w:rPr>
                      <w:rFonts w:hint="eastAsia" w:ascii="宋体" w:hAnsi="宋体" w:eastAsia="宋体" w:cs="宋体"/>
                      <w:color w:val="auto"/>
                      <w:sz w:val="21"/>
                      <w:szCs w:val="21"/>
                    </w:rPr>
                  </w:pPr>
                </w:p>
              </w:tc>
              <w:tc>
                <w:tcPr>
                  <w:tcW w:w="887"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纬向</w:t>
                  </w:r>
                </w:p>
              </w:tc>
              <w:tc>
                <w:tcPr>
                  <w:tcW w:w="1436"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≥390</w:t>
                  </w:r>
                </w:p>
              </w:tc>
              <w:tc>
                <w:tcPr>
                  <w:tcW w:w="1352" w:type="dxa"/>
                  <w:vMerge w:val="continue"/>
                  <w:noWrap w:val="0"/>
                  <w:vAlign w:val="center"/>
                </w:tcPr>
                <w:p>
                  <w:pPr>
                    <w:bidi w:val="0"/>
                    <w:spacing w:line="360" w:lineRule="auto"/>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trPr>
              <w:tc>
                <w:tcPr>
                  <w:tcW w:w="1345" w:type="dxa"/>
                  <w:noWrap w:val="0"/>
                  <w:vAlign w:val="center"/>
                </w:tcPr>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里料</w:t>
                  </w:r>
                  <w:r>
                    <w:rPr>
                      <w:rFonts w:hint="eastAsia" w:ascii="宋体" w:hAnsi="宋体" w:eastAsia="宋体" w:cs="宋体"/>
                      <w:color w:val="auto"/>
                      <w:sz w:val="21"/>
                      <w:szCs w:val="21"/>
                    </w:rPr>
                    <w:t>撕破强力，N</w:t>
                  </w:r>
                </w:p>
              </w:tc>
              <w:tc>
                <w:tcPr>
                  <w:tcW w:w="887"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经向</w:t>
                  </w:r>
                </w:p>
              </w:tc>
              <w:tc>
                <w:tcPr>
                  <w:tcW w:w="1436"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≥9</w:t>
                  </w:r>
                </w:p>
              </w:tc>
              <w:tc>
                <w:tcPr>
                  <w:tcW w:w="1352" w:type="dxa"/>
                  <w:noWrap w:val="0"/>
                  <w:vAlign w:val="center"/>
                </w:tcPr>
                <w:p>
                  <w:pPr>
                    <w:bidi w:val="0"/>
                    <w:spacing w:line="36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GB/T　3917.</w:t>
                  </w:r>
                  <w:r>
                    <w:rPr>
                      <w:rFonts w:hint="eastAsia" w:ascii="宋体" w:hAnsi="宋体" w:eastAsia="宋体" w:cs="宋体"/>
                      <w:color w:val="auto"/>
                      <w:sz w:val="21"/>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6" w:hRule="atLeast"/>
              </w:trPr>
              <w:tc>
                <w:tcPr>
                  <w:tcW w:w="1345" w:type="dxa"/>
                  <w:noWrap w:val="0"/>
                  <w:vAlign w:val="center"/>
                </w:tcPr>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里料</w:t>
                  </w:r>
                  <w:r>
                    <w:rPr>
                      <w:rFonts w:hint="eastAsia" w:ascii="宋体" w:hAnsi="宋体" w:eastAsia="宋体" w:cs="宋体"/>
                      <w:color w:val="auto"/>
                      <w:sz w:val="21"/>
                      <w:szCs w:val="21"/>
                    </w:rPr>
                    <w:t>耐洗色牢度，级</w:t>
                  </w:r>
                </w:p>
              </w:tc>
              <w:tc>
                <w:tcPr>
                  <w:tcW w:w="2323" w:type="dxa"/>
                  <w:gridSpan w:val="2"/>
                  <w:noWrap w:val="0"/>
                  <w:vAlign w:val="center"/>
                </w:tcPr>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≥4</w:t>
                  </w:r>
                </w:p>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变色</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沾色</w:t>
                  </w:r>
                  <w:r>
                    <w:rPr>
                      <w:rFonts w:hint="eastAsia" w:ascii="宋体" w:hAnsi="宋体" w:eastAsia="宋体" w:cs="宋体"/>
                      <w:color w:val="auto"/>
                      <w:sz w:val="21"/>
                      <w:szCs w:val="21"/>
                      <w:lang w:eastAsia="zh-CN"/>
                    </w:rPr>
                    <w:t>）</w:t>
                  </w:r>
                </w:p>
              </w:tc>
              <w:tc>
                <w:tcPr>
                  <w:tcW w:w="1352" w:type="dxa"/>
                  <w:noWrap w:val="0"/>
                  <w:vAlign w:val="center"/>
                </w:tcPr>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GB/T 3921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9" w:hRule="atLeast"/>
              </w:trPr>
              <w:tc>
                <w:tcPr>
                  <w:tcW w:w="1345" w:type="dxa"/>
                  <w:noWrap w:val="0"/>
                  <w:vAlign w:val="center"/>
                </w:tcPr>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里料</w:t>
                  </w:r>
                  <w:r>
                    <w:rPr>
                      <w:rFonts w:hint="eastAsia" w:ascii="宋体" w:hAnsi="宋体" w:eastAsia="宋体" w:cs="宋体"/>
                      <w:color w:val="auto"/>
                      <w:sz w:val="21"/>
                      <w:szCs w:val="21"/>
                    </w:rPr>
                    <w:t>耐汗渍色牢度，级</w:t>
                  </w:r>
                </w:p>
              </w:tc>
              <w:tc>
                <w:tcPr>
                  <w:tcW w:w="2323" w:type="dxa"/>
                  <w:gridSpan w:val="2"/>
                  <w:noWrap w:val="0"/>
                  <w:vAlign w:val="center"/>
                </w:tcPr>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≥4</w:t>
                  </w:r>
                </w:p>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变色</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沾色</w:t>
                  </w:r>
                  <w:r>
                    <w:rPr>
                      <w:rFonts w:hint="eastAsia" w:ascii="宋体" w:hAnsi="宋体" w:eastAsia="宋体" w:cs="宋体"/>
                      <w:color w:val="auto"/>
                      <w:sz w:val="21"/>
                      <w:szCs w:val="21"/>
                      <w:lang w:eastAsia="zh-CN"/>
                    </w:rPr>
                    <w:t>）</w:t>
                  </w:r>
                </w:p>
              </w:tc>
              <w:tc>
                <w:tcPr>
                  <w:tcW w:w="1352" w:type="dxa"/>
                  <w:noWrap w:val="0"/>
                  <w:vAlign w:val="center"/>
                </w:tcPr>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GB/T 3922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1" w:hRule="atLeast"/>
              </w:trPr>
              <w:tc>
                <w:tcPr>
                  <w:tcW w:w="1345" w:type="dxa"/>
                  <w:vMerge w:val="restart"/>
                  <w:noWrap w:val="0"/>
                  <w:vAlign w:val="center"/>
                </w:tcPr>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里料</w:t>
                  </w:r>
                  <w:r>
                    <w:rPr>
                      <w:rFonts w:hint="eastAsia" w:ascii="宋体" w:hAnsi="宋体" w:eastAsia="宋体" w:cs="宋体"/>
                      <w:color w:val="auto"/>
                      <w:sz w:val="21"/>
                      <w:szCs w:val="21"/>
                    </w:rPr>
                    <w:t>耐摩擦色牢度，级</w:t>
                  </w:r>
                </w:p>
              </w:tc>
              <w:tc>
                <w:tcPr>
                  <w:tcW w:w="887"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干摩</w:t>
                  </w:r>
                </w:p>
              </w:tc>
              <w:tc>
                <w:tcPr>
                  <w:tcW w:w="1436"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3</w:t>
                  </w:r>
                </w:p>
              </w:tc>
              <w:tc>
                <w:tcPr>
                  <w:tcW w:w="1352" w:type="dxa"/>
                  <w:vMerge w:val="restart"/>
                  <w:noWrap w:val="0"/>
                  <w:vAlign w:val="center"/>
                </w:tcPr>
                <w:p>
                  <w:pPr>
                    <w:bidi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GB/T 3920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6" w:hRule="atLeast"/>
              </w:trPr>
              <w:tc>
                <w:tcPr>
                  <w:tcW w:w="1345" w:type="dxa"/>
                  <w:vMerge w:val="continue"/>
                  <w:noWrap w:val="0"/>
                  <w:vAlign w:val="center"/>
                </w:tcPr>
                <w:p>
                  <w:pPr>
                    <w:bidi w:val="0"/>
                    <w:spacing w:line="360" w:lineRule="auto"/>
                    <w:jc w:val="center"/>
                    <w:rPr>
                      <w:rFonts w:hint="eastAsia" w:ascii="宋体" w:hAnsi="宋体" w:eastAsia="宋体" w:cs="宋体"/>
                      <w:color w:val="auto"/>
                      <w:sz w:val="21"/>
                      <w:szCs w:val="21"/>
                    </w:rPr>
                  </w:pPr>
                </w:p>
              </w:tc>
              <w:tc>
                <w:tcPr>
                  <w:tcW w:w="887"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湿摩</w:t>
                  </w:r>
                </w:p>
              </w:tc>
              <w:tc>
                <w:tcPr>
                  <w:tcW w:w="1436" w:type="dxa"/>
                  <w:noWrap w:val="0"/>
                  <w:vAlign w:val="center"/>
                </w:tcPr>
                <w:p>
                  <w:pPr>
                    <w:bidi w:val="0"/>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3</w:t>
                  </w:r>
                </w:p>
              </w:tc>
              <w:tc>
                <w:tcPr>
                  <w:tcW w:w="1352" w:type="dxa"/>
                  <w:vMerge w:val="continue"/>
                  <w:noWrap w:val="0"/>
                  <w:vAlign w:val="center"/>
                </w:tcPr>
                <w:p>
                  <w:pPr>
                    <w:bidi w:val="0"/>
                    <w:spacing w:line="360" w:lineRule="auto"/>
                    <w:rPr>
                      <w:rFonts w:hint="eastAsia" w:ascii="宋体" w:hAnsi="宋体" w:eastAsia="宋体" w:cs="宋体"/>
                      <w:color w:val="auto"/>
                      <w:sz w:val="21"/>
                      <w:szCs w:val="21"/>
                    </w:rPr>
                  </w:pPr>
                </w:p>
              </w:tc>
            </w:tr>
          </w:tbl>
          <w:p>
            <w:pPr>
              <w:spacing w:line="360" w:lineRule="auto"/>
              <w:ind w:firstLine="211" w:firstLineChars="1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规范性引用文件</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下列文件中的内容通过文中的规范性引用而构成本文件必不可少的条款。其中，注日期的引用文件，仅该日期对应的版本适用于本文件；不注日期的引用文件，其最新版本（包括所有的修改单）适用于本文件。</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250 纺织品 色牢度试验 评定变色用灰色样卡</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420 纺织品 色牢度试验 颜料印染纺织品耐刷洗色牢度</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2662</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棉服装</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2910</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（所有部分） 纺织品</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定量化学分析</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3917.3</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纺织品</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织物撕破性能</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第 3 部分：梯形试样撕破强力的测定</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3920</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纺织品</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色牢度试验</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耐摩擦色牢度</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3921-2008</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纺织品</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色牢度试验</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耐皂洗色牢度</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3923.1</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纺织品</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织物拉伸性能</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第 1 部分：断裂强力和断裂伸长率的测定（条样法）</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4456</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包装用聚乙烯吹塑薄膜</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4668</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机织物密度的测定</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4669</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纺织品</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机织物</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单位长度质量和单位面积质量的测定</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6836</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缝纫线</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8427</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纺织品</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色牢度试验</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耐人造光色牢度：氙弧</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8628</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纺织品</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测定尺寸变化的试验中织物试样和服装的准备、标记及测量</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8629-2017</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纺织品</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试验用家庭洗涤及干燥程序</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8630</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纺织品</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洗涤和干燥后尺寸变化的测定</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11048</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纺织品</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生理舒适性 稳态条件下热阻和湿阻的测定(蒸发热板法)</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13772.2</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纺织品</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机织物接缝处纱线抗滑移的测定 第 2 部分：定负荷法</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17031.1</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纺织品</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织物在低压下的干热效应</w:t>
            </w:r>
            <w:r>
              <w:rPr>
                <w:rFonts w:hint="eastAsia" w:ascii="宋体" w:hAnsi="宋体" w:eastAsia="宋体" w:cs="宋体"/>
                <w:b w:val="0"/>
                <w:bCs w:val="0"/>
                <w:color w:val="auto"/>
                <w:sz w:val="21"/>
                <w:szCs w:val="21"/>
                <w:highlight w:val="none"/>
                <w:lang w:val="en-US" w:eastAsia="zh-CN"/>
              </w:rPr>
              <w:t xml:space="preserve"> </w:t>
            </w:r>
            <w:r>
              <w:rPr>
                <w:rFonts w:hint="eastAsia" w:ascii="宋体" w:hAnsi="宋体" w:eastAsia="宋体" w:cs="宋体"/>
                <w:b w:val="0"/>
                <w:bCs w:val="0"/>
                <w:color w:val="auto"/>
                <w:sz w:val="21"/>
                <w:szCs w:val="21"/>
                <w:highlight w:val="none"/>
              </w:rPr>
              <w:t>第 1 部分: 织物的干热处理程序</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17031.2</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纺织品</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织物在低压下的干热效应</w:t>
            </w:r>
            <w:r>
              <w:rPr>
                <w:rFonts w:hint="eastAsia" w:ascii="宋体" w:hAnsi="宋体" w:eastAsia="宋体" w:cs="宋体"/>
                <w:b w:val="0"/>
                <w:bCs w:val="0"/>
                <w:color w:val="auto"/>
                <w:sz w:val="21"/>
                <w:szCs w:val="21"/>
                <w:highlight w:val="none"/>
                <w:lang w:val="en-US" w:eastAsia="zh-CN"/>
              </w:rPr>
              <w:t xml:space="preserve"> </w:t>
            </w:r>
            <w:r>
              <w:rPr>
                <w:rFonts w:hint="eastAsia" w:ascii="宋体" w:hAnsi="宋体" w:eastAsia="宋体" w:cs="宋体"/>
                <w:b w:val="0"/>
                <w:bCs w:val="0"/>
                <w:color w:val="auto"/>
                <w:sz w:val="21"/>
                <w:szCs w:val="21"/>
                <w:highlight w:val="none"/>
              </w:rPr>
              <w:t>第 2 部分:受干热的织物尺寸变化的测定</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 18401</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国家纺织产品基本安全技术规范</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21294</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服装理化性能的检验方法</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23315</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粘扣带</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22378</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通用型双面拉伸聚丙烯膜替压敏胶粘带</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24218.1</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纺织品</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非织造布试验方法</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第 1 部分: 单位面积质量的测定</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29256.5</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纺织品</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机织物结构分析方法</w:t>
            </w:r>
            <w:r>
              <w:rPr>
                <w:rFonts w:hint="eastAsia" w:ascii="宋体" w:hAnsi="宋体" w:eastAsia="宋体" w:cs="宋体"/>
                <w:b w:val="0"/>
                <w:bCs w:val="0"/>
                <w:color w:val="auto"/>
                <w:sz w:val="21"/>
                <w:szCs w:val="21"/>
                <w:highlight w:val="none"/>
                <w:lang w:val="en-US" w:eastAsia="zh-CN"/>
              </w:rPr>
              <w:t xml:space="preserve"> </w:t>
            </w:r>
            <w:r>
              <w:rPr>
                <w:rFonts w:hint="eastAsia" w:ascii="宋体" w:hAnsi="宋体" w:eastAsia="宋体" w:cs="宋体"/>
                <w:b w:val="0"/>
                <w:bCs w:val="0"/>
                <w:color w:val="auto"/>
                <w:sz w:val="21"/>
                <w:szCs w:val="21"/>
                <w:highlight w:val="none"/>
              </w:rPr>
              <w:t>第 5 部分：织物中拆下纱线线密度的测定</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29290</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纽扣通用技术要求和检测方法</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不饱和聚酯树脂类</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GB/T 29862</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纺织品</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纤维含量的标识</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GJB 1109A 军用瓦楞纸箱</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FZ/T 01057</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（所有部分）</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纺织纤维鉴别试验方法</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FZ/T 63002</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粘胶长丝绣花线</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FZ/T 72002</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毛条喂入式针织人造毛皮</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QB/T 2172</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注塑拉链</w:t>
            </w:r>
          </w:p>
          <w:p>
            <w:pPr>
              <w:spacing w:line="360" w:lineRule="auto"/>
              <w:ind w:left="0" w:leftChars="0" w:firstLine="367" w:firstLineChars="175"/>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QB/T 2173</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尼龙拉链</w:t>
            </w:r>
          </w:p>
          <w:p>
            <w:pPr>
              <w:spacing w:line="360" w:lineRule="auto"/>
              <w:ind w:firstLine="420" w:firstLineChars="200"/>
              <w:rPr>
                <w:rFonts w:ascii="宋体" w:hAnsi="宋体" w:cs="宋体"/>
                <w:color w:val="auto"/>
                <w:sz w:val="21"/>
                <w:szCs w:val="21"/>
                <w:highlight w:val="none"/>
              </w:rPr>
            </w:pPr>
            <w:r>
              <w:rPr>
                <w:rFonts w:hint="eastAsia" w:ascii="宋体" w:hAnsi="宋体" w:eastAsia="宋体" w:cs="宋体"/>
                <w:b w:val="0"/>
                <w:bCs w:val="0"/>
                <w:color w:val="auto"/>
                <w:sz w:val="21"/>
                <w:szCs w:val="21"/>
                <w:highlight w:val="none"/>
              </w:rPr>
              <w:t>QB/T 3811</w:t>
            </w:r>
            <w:r>
              <w:rPr>
                <w:rFonts w:hint="eastAsia" w:ascii="宋体" w:hAnsi="宋体" w:eastAsia="宋体" w:cs="宋体"/>
                <w:b w:val="0"/>
                <w:bCs w:val="0"/>
                <w:color w:val="auto"/>
                <w:sz w:val="21"/>
                <w:szCs w:val="21"/>
                <w:highlight w:val="none"/>
              </w:rPr>
              <w:tab/>
            </w:r>
            <w:r>
              <w:rPr>
                <w:rFonts w:hint="eastAsia" w:ascii="宋体" w:hAnsi="宋体" w:eastAsia="宋体" w:cs="宋体"/>
                <w:b w:val="0"/>
                <w:bCs w:val="0"/>
                <w:color w:val="auto"/>
                <w:sz w:val="21"/>
                <w:szCs w:val="21"/>
                <w:highlight w:val="none"/>
              </w:rPr>
              <w:t>塑料打包带</w:t>
            </w:r>
          </w:p>
        </w:tc>
        <w:tc>
          <w:tcPr>
            <w:tcW w:w="1024" w:type="dxa"/>
            <w:tcBorders>
              <w:top w:val="single" w:color="auto" w:sz="4" w:space="0"/>
              <w:left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rPr>
              <w:t>283</w:t>
            </w:r>
            <w:r>
              <w:rPr>
                <w:rFonts w:hint="eastAsia" w:ascii="宋体" w:hAnsi="宋体" w:cs="宋体"/>
                <w:color w:val="auto"/>
                <w:sz w:val="21"/>
                <w:szCs w:val="21"/>
                <w:highlight w:val="none"/>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6" w:type="dxa"/>
            <w:tcBorders>
              <w:top w:val="single" w:color="auto" w:sz="4" w:space="0"/>
              <w:left w:val="single" w:color="auto" w:sz="4" w:space="0"/>
              <w:bottom w:val="single" w:color="auto" w:sz="4" w:space="0"/>
              <w:right w:val="single" w:color="auto" w:sz="4" w:space="0"/>
            </w:tcBorders>
            <w:noWrap/>
            <w:vAlign w:val="center"/>
          </w:tcPr>
          <w:p>
            <w:pPr>
              <w:pStyle w:val="21"/>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cs="宋体"/>
                <w:color w:val="auto"/>
                <w:sz w:val="21"/>
                <w:szCs w:val="21"/>
                <w:highlight w:val="none"/>
              </w:rPr>
            </w:pPr>
            <w:r>
              <w:rPr>
                <w:rFonts w:hint="eastAsia" w:ascii="宋体" w:hAnsi="宋体" w:cs="宋体"/>
                <w:b/>
                <w:bCs/>
                <w:color w:val="auto"/>
                <w:sz w:val="21"/>
                <w:szCs w:val="21"/>
                <w:highlight w:val="none"/>
              </w:rPr>
              <w:t>商务条款</w:t>
            </w:r>
          </w:p>
        </w:tc>
        <w:tc>
          <w:tcPr>
            <w:tcW w:w="9386" w:type="dxa"/>
            <w:gridSpan w:val="5"/>
            <w:tcBorders>
              <w:top w:val="single" w:color="auto" w:sz="4" w:space="0"/>
              <w:left w:val="nil"/>
              <w:bottom w:val="single" w:color="auto" w:sz="4" w:space="0"/>
              <w:right w:val="single" w:color="auto" w:sz="4" w:space="0"/>
            </w:tcBorders>
            <w:noWrap/>
            <w:vAlign w:val="center"/>
          </w:tcPr>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一、合同签订时间：</w:t>
            </w:r>
            <w:r>
              <w:rPr>
                <w:rFonts w:hint="eastAsia" w:ascii="宋体" w:hAnsi="宋体" w:eastAsia="宋体" w:cs="宋体"/>
                <w:color w:val="auto"/>
                <w:sz w:val="21"/>
                <w:szCs w:val="21"/>
              </w:rPr>
              <w:t>自中标通知书发出之日起</w:t>
            </w:r>
            <w:r>
              <w:rPr>
                <w:rFonts w:hint="eastAsia" w:ascii="宋体" w:hAnsi="宋体" w:cs="宋体"/>
                <w:color w:val="auto"/>
                <w:sz w:val="21"/>
                <w:szCs w:val="21"/>
                <w:lang w:val="en-US" w:eastAsia="zh-CN"/>
              </w:rPr>
              <w:t>15</w:t>
            </w:r>
            <w:r>
              <w:rPr>
                <w:rFonts w:hint="eastAsia" w:ascii="宋体" w:hAnsi="宋体" w:eastAsia="宋体" w:cs="宋体"/>
                <w:color w:val="auto"/>
                <w:sz w:val="21"/>
                <w:szCs w:val="21"/>
              </w:rPr>
              <w:t>个日历日内。</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二、交货时间及地点：</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交货时间：自合同签订之日起</w:t>
            </w:r>
            <w:r>
              <w:rPr>
                <w:rFonts w:hint="eastAsia" w:ascii="宋体" w:hAnsi="宋体" w:cs="宋体"/>
                <w:color w:val="auto"/>
                <w:sz w:val="21"/>
                <w:szCs w:val="21"/>
                <w:highlight w:val="none"/>
                <w:lang w:val="en-US" w:eastAsia="zh-CN"/>
              </w:rPr>
              <w:t>30</w:t>
            </w:r>
            <w:r>
              <w:rPr>
                <w:rFonts w:hint="eastAsia" w:ascii="宋体" w:hAnsi="宋体" w:eastAsia="宋体" w:cs="宋体"/>
                <w:color w:val="auto"/>
                <w:sz w:val="21"/>
                <w:szCs w:val="21"/>
                <w:highlight w:val="none"/>
                <w:lang w:val="en-US" w:eastAsia="zh-CN"/>
              </w:rPr>
              <w:t>日内交货完毕。</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交货地点：广西区内采购人指定地点。</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三、付款方式：</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采购人通过银行转账方式向乙方支付合同款，具体付款方式为：</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中标人在签订合同之前，5个工作日内，按中标金额的5%，足额提交履约保证金，即可签订采购合同。未提交履约保证金的，不予签订合同。履约保证金在项目履约完成后</w:t>
            </w:r>
            <w:r>
              <w:rPr>
                <w:rFonts w:hint="eastAsia" w:ascii="宋体" w:hAnsi="宋体" w:cs="宋体"/>
                <w:color w:val="auto"/>
                <w:sz w:val="21"/>
                <w:szCs w:val="21"/>
                <w:highlight w:val="none"/>
                <w:lang w:val="en-US" w:eastAsia="zh-CN"/>
              </w:rPr>
              <w:t>5个工作日</w:t>
            </w:r>
            <w:r>
              <w:rPr>
                <w:rFonts w:hint="eastAsia" w:ascii="宋体" w:hAnsi="宋体" w:eastAsia="宋体" w:cs="宋体"/>
                <w:color w:val="auto"/>
                <w:sz w:val="21"/>
                <w:szCs w:val="21"/>
                <w:highlight w:val="none"/>
                <w:lang w:val="en-US" w:eastAsia="zh-CN"/>
              </w:rPr>
              <w:t>内无息退还。中标货物由中小企业制造，即货物由中小企业生产且使用该中小企业商号或者注册商标的（提供有合格的《中小企业声明函》），按中标金额的</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提交</w:t>
            </w:r>
            <w:r>
              <w:rPr>
                <w:rFonts w:hint="eastAsia" w:ascii="宋体" w:hAnsi="宋体" w:eastAsia="宋体" w:cs="宋体"/>
                <w:color w:val="auto"/>
                <w:sz w:val="21"/>
                <w:szCs w:val="21"/>
                <w:highlight w:val="none"/>
                <w:lang w:val="en-US" w:eastAsia="zh-CN"/>
              </w:rPr>
              <w:t>。</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所有货物全部到货且验收合格后10个工作日内，由中标人提供验收入库单及开具符合国家规定的发票向采购人申请一次性支付中标人全额合同货款。</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四、售后服务：</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1、</w:t>
            </w:r>
            <w:bookmarkStart w:id="52" w:name="OLE_LINK4"/>
            <w:r>
              <w:rPr>
                <w:rFonts w:hint="eastAsia" w:ascii="宋体" w:hAnsi="宋体" w:eastAsia="宋体" w:cs="宋体"/>
                <w:color w:val="auto"/>
                <w:sz w:val="21"/>
                <w:szCs w:val="21"/>
                <w:highlight w:val="none"/>
                <w:lang w:val="en-US" w:eastAsia="zh-CN"/>
              </w:rPr>
              <w:t>按国家有关产品“三包”规定执行“三包”。采购范围内的货物在验收合格后</w:t>
            </w:r>
            <w:r>
              <w:rPr>
                <w:rFonts w:hint="eastAsia" w:ascii="宋体" w:hAnsi="宋体" w:cs="宋体"/>
                <w:color w:val="auto"/>
                <w:sz w:val="21"/>
                <w:szCs w:val="21"/>
                <w:highlight w:val="none"/>
                <w:lang w:val="en-US" w:eastAsia="zh-CN"/>
              </w:rPr>
              <w:t>90天</w:t>
            </w:r>
            <w:r>
              <w:rPr>
                <w:rFonts w:hint="eastAsia" w:ascii="宋体" w:hAnsi="宋体" w:eastAsia="宋体" w:cs="宋体"/>
                <w:color w:val="auto"/>
                <w:sz w:val="21"/>
                <w:szCs w:val="21"/>
                <w:highlight w:val="none"/>
                <w:lang w:val="en-US" w:eastAsia="zh-CN"/>
              </w:rPr>
              <w:t>内出现质量问题，</w:t>
            </w:r>
            <w:r>
              <w:rPr>
                <w:rFonts w:hint="eastAsia" w:ascii="宋体" w:hAnsi="宋体" w:cs="宋体"/>
                <w:color w:val="auto"/>
                <w:sz w:val="21"/>
                <w:szCs w:val="21"/>
                <w:highlight w:val="none"/>
                <w:lang w:val="en-US" w:eastAsia="zh-CN"/>
              </w:rPr>
              <w:t>售后响应时间在4小时以内，中标供应商保证在接到通知72小时内赶到现场,</w:t>
            </w:r>
            <w:r>
              <w:rPr>
                <w:rFonts w:hint="eastAsia" w:ascii="宋体" w:hAnsi="宋体" w:eastAsia="宋体" w:cs="宋体"/>
                <w:color w:val="auto"/>
                <w:sz w:val="21"/>
                <w:szCs w:val="21"/>
                <w:highlight w:val="none"/>
                <w:lang w:val="en-US" w:eastAsia="zh-CN"/>
              </w:rPr>
              <w:t>由中标供应商无条件免费进行更换。</w:t>
            </w:r>
          </w:p>
          <w:bookmarkEnd w:id="52"/>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2、负责送货到采购人指定地点。</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五、验收要求</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（一）</w:t>
            </w:r>
            <w:r>
              <w:rPr>
                <w:rFonts w:hint="eastAsia" w:ascii="宋体" w:hAnsi="宋体" w:eastAsia="宋体" w:cs="宋体"/>
                <w:color w:val="auto"/>
                <w:sz w:val="21"/>
                <w:szCs w:val="21"/>
                <w:highlight w:val="none"/>
                <w:lang w:val="en-US" w:eastAsia="zh-CN"/>
              </w:rPr>
              <w:t>验收总体要求：</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1、中标人应随货提供货物合格的检验报告（由具备国家认可的有资质的第三方检测机构出具），经采购人认可后，与</w:t>
            </w:r>
            <w:r>
              <w:rPr>
                <w:rFonts w:hint="eastAsia" w:ascii="宋体" w:hAnsi="宋体" w:cs="宋体"/>
                <w:color w:val="auto"/>
                <w:sz w:val="21"/>
                <w:szCs w:val="21"/>
                <w:highlight w:val="none"/>
                <w:lang w:val="en-US" w:eastAsia="zh-CN"/>
              </w:rPr>
              <w:t>招标文件、投标文件、中标样品</w:t>
            </w:r>
            <w:r>
              <w:rPr>
                <w:rFonts w:hint="eastAsia" w:ascii="宋体" w:hAnsi="宋体" w:eastAsia="宋体" w:cs="宋体"/>
                <w:color w:val="auto"/>
                <w:sz w:val="21"/>
                <w:szCs w:val="21"/>
                <w:highlight w:val="none"/>
                <w:lang w:val="en-US" w:eastAsia="zh-CN"/>
              </w:rPr>
              <w:t>的性能指标一起作为货物验收标准</w:t>
            </w:r>
            <w:r>
              <w:rPr>
                <w:rFonts w:hint="eastAsia" w:ascii="宋体" w:hAnsi="宋体" w:cs="宋体"/>
                <w:color w:val="auto"/>
                <w:sz w:val="21"/>
                <w:szCs w:val="21"/>
                <w:highlight w:val="none"/>
                <w:lang w:val="en-US" w:eastAsia="zh-CN"/>
              </w:rPr>
              <w:t>，中标人</w:t>
            </w:r>
            <w:r>
              <w:rPr>
                <w:rFonts w:hint="eastAsia" w:ascii="宋体" w:hAnsi="宋体" w:eastAsia="宋体" w:cs="宋体"/>
                <w:color w:val="auto"/>
                <w:sz w:val="21"/>
                <w:szCs w:val="21"/>
                <w:highlight w:val="none"/>
                <w:lang w:val="en-US" w:eastAsia="zh-CN"/>
              </w:rPr>
              <w:t>交付的货物</w:t>
            </w:r>
            <w:r>
              <w:rPr>
                <w:rFonts w:hint="eastAsia"/>
                <w:color w:val="auto"/>
                <w:sz w:val="21"/>
                <w:szCs w:val="21"/>
                <w:lang w:val="en-US" w:eastAsia="zh-CN"/>
              </w:rPr>
              <w:t>与样品一致</w:t>
            </w:r>
            <w:r>
              <w:rPr>
                <w:rFonts w:hint="eastAsia"/>
                <w:color w:val="auto"/>
                <w:lang w:val="en-US" w:eastAsia="zh-CN"/>
              </w:rPr>
              <w:t>，</w:t>
            </w:r>
            <w:r>
              <w:rPr>
                <w:rFonts w:hint="eastAsia" w:ascii="宋体" w:hAnsi="宋体" w:cs="宋体"/>
                <w:color w:val="auto"/>
                <w:sz w:val="21"/>
                <w:szCs w:val="21"/>
                <w:highlight w:val="none"/>
                <w:lang w:val="en-US" w:eastAsia="zh-CN"/>
              </w:rPr>
              <w:t>招标文件、投标文件、中标样品</w:t>
            </w:r>
            <w:r>
              <w:rPr>
                <w:rFonts w:hint="eastAsia" w:ascii="宋体" w:hAnsi="宋体" w:eastAsia="宋体" w:cs="宋体"/>
                <w:color w:val="auto"/>
                <w:sz w:val="21"/>
                <w:szCs w:val="21"/>
                <w:highlight w:val="none"/>
                <w:lang w:val="en-US" w:eastAsia="zh-CN"/>
              </w:rPr>
              <w:t>的性能指标</w:t>
            </w:r>
            <w:r>
              <w:rPr>
                <w:rFonts w:hint="eastAsia" w:ascii="宋体" w:hAnsi="宋体" w:cs="宋体"/>
                <w:color w:val="auto"/>
                <w:sz w:val="21"/>
                <w:szCs w:val="21"/>
                <w:highlight w:val="none"/>
                <w:lang w:val="en-US" w:eastAsia="zh-CN"/>
              </w:rPr>
              <w:t>不一致时以最优的性能指标为准</w:t>
            </w:r>
            <w:r>
              <w:rPr>
                <w:rFonts w:hint="eastAsia" w:ascii="宋体" w:hAnsi="宋体" w:eastAsia="宋体" w:cs="宋体"/>
                <w:color w:val="auto"/>
                <w:sz w:val="21"/>
                <w:szCs w:val="21"/>
                <w:highlight w:val="none"/>
                <w:lang w:val="en-US" w:eastAsia="zh-CN"/>
              </w:rPr>
              <w:t>，采购人委托具备国家认可的有资质的第三方检测机构进行抽检并出具检验报告，符合中标人投标文件</w:t>
            </w:r>
            <w:r>
              <w:rPr>
                <w:rFonts w:hint="eastAsia" w:ascii="宋体" w:hAnsi="宋体" w:cs="宋体"/>
                <w:color w:val="auto"/>
                <w:sz w:val="21"/>
                <w:szCs w:val="21"/>
                <w:highlight w:val="none"/>
                <w:lang w:val="en-US" w:eastAsia="zh-CN"/>
              </w:rPr>
              <w:t>、中标样品</w:t>
            </w:r>
            <w:r>
              <w:rPr>
                <w:rFonts w:hint="eastAsia" w:ascii="宋体" w:hAnsi="宋体" w:eastAsia="宋体" w:cs="宋体"/>
                <w:color w:val="auto"/>
                <w:sz w:val="21"/>
                <w:szCs w:val="21"/>
                <w:highlight w:val="none"/>
                <w:lang w:val="en-US" w:eastAsia="zh-CN"/>
              </w:rPr>
              <w:t>及承诺的，给予验收，不符合中标人投标文件及承诺的，不予验收。</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如实际供货参数与投标响应参数不一致的，采购人与中标人双方如对质量要求和技术指标的约定标准有相互抵触或异议的事项，须以中标人投标响应参数为准，中标人须限时整改，整改后仍不满足投标响应承诺</w:t>
            </w:r>
            <w:r>
              <w:rPr>
                <w:rFonts w:hint="eastAsia" w:ascii="宋体" w:hAnsi="宋体" w:cs="宋体"/>
                <w:color w:val="auto"/>
                <w:sz w:val="21"/>
                <w:szCs w:val="21"/>
                <w:highlight w:val="none"/>
                <w:lang w:val="en-US" w:eastAsia="zh-CN"/>
              </w:rPr>
              <w:t>、中标样品</w:t>
            </w:r>
            <w:r>
              <w:rPr>
                <w:rFonts w:hint="eastAsia" w:ascii="宋体" w:hAnsi="宋体" w:eastAsia="宋体" w:cs="宋体"/>
                <w:color w:val="auto"/>
                <w:sz w:val="21"/>
                <w:szCs w:val="21"/>
                <w:highlight w:val="none"/>
                <w:lang w:val="en-US" w:eastAsia="zh-CN"/>
              </w:rPr>
              <w:t xml:space="preserve">的，可判定为验收不合格，采购人有权按中标人不履约的相关规定进行处罚。 </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3、采购人对货物进行初步验收及具备国家认可的有资质的第三方检测机构抽检合格后，双方共同签署验收合格入库单。 </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（二）验收具体要求： </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1、所有供货产品的检验标准应符合“技术要求”表参数中的执行标准等相关技术标准。 </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2、验收入库： </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①货物送达经采购人组织初步验收，初步验收包括数量、外观检测和产品质检报告（由具备国家认可的有资质的第三方检测机构出具）审核。初验不合格的，采购人有权拒绝接收货物，因退还货物产生的风险及全部费用由中标人自行承担。 </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②初步验收通过后，由采购人委托具备国家认可的有资质的第三方检测机构抽查检验并出具检验报告。第三方检验机构抽查检验费用由中标人承担。</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③经第三方检测机构抽查检验合格后,进行正式验收入库。 </w:t>
            </w:r>
          </w:p>
          <w:p>
            <w:pPr>
              <w:pStyle w:val="21"/>
              <w:keepNext w:val="0"/>
              <w:keepLines w:val="0"/>
              <w:pageBreakBefore w:val="0"/>
              <w:widowControl w:val="0"/>
              <w:numPr>
                <w:ilvl w:val="0"/>
                <w:numId w:val="0"/>
              </w:numPr>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lang w:val="en-US" w:eastAsia="zh-CN" w:bidi="ar-SA"/>
              </w:rPr>
              <w:t>3、</w:t>
            </w:r>
            <w:r>
              <w:rPr>
                <w:rFonts w:hint="eastAsia" w:ascii="宋体" w:hAnsi="宋体" w:eastAsia="宋体" w:cs="宋体"/>
                <w:color w:val="auto"/>
                <w:sz w:val="21"/>
                <w:szCs w:val="21"/>
                <w:highlight w:val="none"/>
                <w:lang w:val="en-US" w:eastAsia="zh-CN"/>
              </w:rPr>
              <w:t xml:space="preserve">中标人所交付的货物经有具备国家认可的有资质的第三方检测机构检验不合格的，采购人有权直接退货，中标人要在接到采购人的通知后 10 日内把货物搬离暂存地点，因搬离货物产生的风险及全部费用由中标人自行承担。 </w:t>
            </w:r>
          </w:p>
          <w:p>
            <w:pPr>
              <w:pStyle w:val="21"/>
              <w:keepNext w:val="0"/>
              <w:keepLines w:val="0"/>
              <w:pageBreakBefore w:val="0"/>
              <w:widowControl w:val="0"/>
              <w:numPr>
                <w:ilvl w:val="0"/>
                <w:numId w:val="0"/>
              </w:numPr>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4、产品未验收入库前，因存储出现质量等问题，由中标人自行承担，采购人不承担任何责任；因存储期超过 25 天以上且产品检验为不合格的，采购人有权利收取一定超期仓储占用费。 </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、其他未尽事宜应严格按照《关于印发广西壮族自治区政府采购项目履约验收管理办法的通知》 [桂财采〔2015〕22 号]以及《财政部关于进一步加强政府采购需求和履约验收管理的指导意见》[财库〔2016〕205 号]规定执行。</w:t>
            </w:r>
          </w:p>
          <w:p>
            <w:pPr>
              <w:rPr>
                <w:rFonts w:hint="eastAsia"/>
                <w:color w:val="auto"/>
              </w:rPr>
            </w:pPr>
            <w:r>
              <w:rPr>
                <w:rFonts w:hint="eastAsia" w:ascii="宋体" w:hAnsi="宋体" w:eastAsia="宋体" w:cs="宋体"/>
                <w:color w:val="auto"/>
                <w:sz w:val="21"/>
                <w:szCs w:val="21"/>
                <w:lang w:val="en-US" w:eastAsia="zh-CN"/>
              </w:rPr>
              <w:t>▲</w:t>
            </w:r>
            <w:bookmarkStart w:id="53" w:name="OLE_LINK2"/>
            <w:r>
              <w:rPr>
                <w:rFonts w:hint="eastAsia" w:ascii="宋体" w:hAnsi="宋体" w:cs="宋体"/>
                <w:color w:val="auto"/>
                <w:sz w:val="21"/>
                <w:szCs w:val="21"/>
                <w:highlight w:val="none"/>
                <w:lang w:val="en-US" w:eastAsia="zh-CN"/>
              </w:rPr>
              <w:t>六、交货及包装要求</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asciiTheme="minorHAnsi" w:hAnsiTheme="minorHAnsi" w:eastAsiaTheme="minorEastAsia" w:cstheme="minorBidi"/>
                <w:color w:val="auto"/>
                <w:kern w:val="2"/>
                <w:sz w:val="21"/>
                <w:szCs w:val="24"/>
                <w:lang w:val="en-US" w:eastAsia="zh-CN" w:bidi="ar-SA"/>
              </w:rPr>
              <w:t>1、</w:t>
            </w:r>
            <w:r>
              <w:rPr>
                <w:rFonts w:hint="eastAsia"/>
                <w:color w:val="auto"/>
              </w:rPr>
              <w:t xml:space="preserve">交货要求：中标人免费送货上门。按包装相关条款要求交货，中标人应保证所提供的货物是全新的、未使用过的，并完全符合招标文件规定的技术指标、质量、规格要求及中标人投标文件及承诺，如实际供货参数与投标响应参数不一致的，验收不通过采购人有权退货。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2、包装要求：</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lang w:val="en-US" w:eastAsia="zh-CN"/>
              </w:rPr>
              <w:t>1）</w:t>
            </w:r>
            <w:r>
              <w:rPr>
                <w:rFonts w:hint="eastAsia"/>
                <w:color w:val="auto"/>
              </w:rPr>
              <w:t>包装要求：单件产品应单独有塑料袋包装；打包件内包装应有内薄膜袋；外包装袋应具备较好防雨性能。包装规格、版面设计等需经采购人确认。</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lang w:val="en-US" w:eastAsia="zh-CN"/>
              </w:rPr>
              <w:t>2</w:t>
            </w:r>
            <w:r>
              <w:rPr>
                <w:rFonts w:hint="eastAsia"/>
                <w:color w:val="auto"/>
              </w:rPr>
              <w:t>）外包印制标识：按应急救灾物资标识推广使用指南印制，如图所示：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eastAsia="宋体"/>
                <w:color w:val="auto"/>
                <w:lang w:val="en-US" w:eastAsia="zh-CN"/>
              </w:rPr>
            </w:pPr>
            <w:r>
              <w:rPr>
                <w:rFonts w:hint="default"/>
                <w:color w:val="auto"/>
                <w:lang w:val="en-US"/>
              </w:rPr>
              <w:drawing>
                <wp:anchor distT="0" distB="0" distL="114300" distR="114300" simplePos="0" relativeHeight="251659264" behindDoc="0" locked="0" layoutInCell="1" allowOverlap="1">
                  <wp:simplePos x="0" y="0"/>
                  <wp:positionH relativeFrom="column">
                    <wp:posOffset>-20320</wp:posOffset>
                  </wp:positionH>
                  <wp:positionV relativeFrom="paragraph">
                    <wp:posOffset>132080</wp:posOffset>
                  </wp:positionV>
                  <wp:extent cx="1964690" cy="2268220"/>
                  <wp:effectExtent l="0" t="0" r="16510" b="17780"/>
                  <wp:wrapSquare wrapText="bothSides"/>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8"/>
                          <a:stretch>
                            <a:fillRect/>
                          </a:stretch>
                        </pic:blipFill>
                        <pic:spPr>
                          <a:xfrm>
                            <a:off x="0" y="0"/>
                            <a:ext cx="1964690" cy="2268220"/>
                          </a:xfrm>
                          <a:prstGeom prst="rect">
                            <a:avLst/>
                          </a:prstGeom>
                          <a:noFill/>
                          <a:ln>
                            <a:noFill/>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color w:val="auto"/>
                <w:lang w:val="en-US"/>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color w:val="auto"/>
                <w:lang w:val="en-US"/>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color w:val="auto"/>
                <w:lang w:val="en-US"/>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color w:val="auto"/>
                <w:lang w:val="en-US"/>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color w:val="auto"/>
                <w:lang w:val="en-US"/>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color w:val="auto"/>
                <w:lang w:val="en-US"/>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color w:val="auto"/>
                <w:lang w:val="en-US"/>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color w:val="auto"/>
                <w:lang w:val="en-US"/>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color w:val="auto"/>
                <w:lang w:val="en-US"/>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color w:val="auto"/>
                <w:lang w:val="en-US"/>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lang w:val="en-US" w:eastAsia="zh-CN"/>
              </w:rPr>
              <w:t>3</w:t>
            </w:r>
            <w:r>
              <w:rPr>
                <w:rFonts w:hint="eastAsia"/>
                <w:color w:val="auto"/>
              </w:rPr>
              <w:t>）、内包装</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szCs w:val="21"/>
              </w:rPr>
            </w:pPr>
            <w:r>
              <w:rPr>
                <w:rFonts w:hint="eastAsia" w:ascii="宋体" w:hAnsi="宋体" w:eastAsia="宋体" w:cs="宋体"/>
                <w:color w:val="auto"/>
                <w:sz w:val="21"/>
                <w:szCs w:val="21"/>
                <w:highlight w:val="none"/>
              </w:rPr>
              <w:t>整叠、装袋</w:t>
            </w:r>
            <w:r>
              <w:rPr>
                <w:rFonts w:hint="eastAsia" w:ascii="宋体" w:hAnsi="宋体" w:cs="宋体"/>
                <w:color w:val="auto"/>
                <w:sz w:val="21"/>
                <w:szCs w:val="21"/>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大衣内胆、风帽、绒领与外装组合。袖子折向后背，风帽平铺于后身，领绒整理平服，前身向后对折，整叠见示例</w:t>
            </w:r>
            <w:r>
              <w:rPr>
                <w:rFonts w:hint="eastAsia"/>
                <w:color w:val="auto"/>
                <w:lang w:val="en-US" w:eastAsia="zh-CN"/>
              </w:rPr>
              <w:t>1</w:t>
            </w:r>
            <w:r>
              <w:rPr>
                <w:rFonts w:hint="eastAsia"/>
                <w:color w:val="auto"/>
              </w:rPr>
              <w:t>。整叠后，每件装入一个塑料袋，由包装挤压设备挤出袋内空气，立即用热熔封口机封住袋口，密封牢固。挤压程度以纸箱高度和装箱数量相适宜为准，挤压时注意避免绒领压皱和压坏拉链、扣子。</w:t>
            </w:r>
          </w:p>
          <w:p>
            <w:pPr>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示例1：</w:t>
            </w:r>
          </w:p>
          <w:p>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Cs w:val="22"/>
                <w:highlight w:val="none"/>
              </w:rPr>
              <w:drawing>
                <wp:inline distT="0" distB="0" distL="114300" distR="114300">
                  <wp:extent cx="4714240" cy="2276475"/>
                  <wp:effectExtent l="0" t="0" r="10160" b="9525"/>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9"/>
                          <a:srcRect l="6249" r="2603"/>
                          <a:stretch>
                            <a:fillRect/>
                          </a:stretch>
                        </pic:blipFill>
                        <pic:spPr>
                          <a:xfrm>
                            <a:off x="0" y="0"/>
                            <a:ext cx="4714240" cy="2276475"/>
                          </a:xfrm>
                          <a:prstGeom prst="rect">
                            <a:avLst/>
                          </a:prstGeom>
                          <a:noFill/>
                          <a:ln>
                            <a:noFill/>
                          </a:ln>
                        </pic:spPr>
                      </pic:pic>
                    </a:graphicData>
                  </a:graphic>
                </wp:inline>
              </w:drawing>
            </w:r>
          </w:p>
          <w:p>
            <w:pPr>
              <w:pStyle w:val="2"/>
              <w:rPr>
                <w:rFonts w:hint="eastAsia"/>
                <w:color w:val="auto"/>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lang w:val="en-US" w:eastAsia="zh-CN"/>
              </w:rPr>
              <w:t>4</w:t>
            </w:r>
            <w:r>
              <w:rPr>
                <w:rFonts w:hint="eastAsia"/>
                <w:color w:val="auto"/>
              </w:rPr>
              <w:t>）、外包装</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（1）纸箱</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外包装采用纸箱包装方式，纸箱应符合 GJB1109A瓦楞纸箱的相关规定，参考尺寸为长 800mm×宽 600mm×高 380mm,根据实际可适当调整尺寸。纸箱材料：五层抗压纸箱；纸箱厚度：6.5MM；材料面纸：高克重优质牛卡+B坑 140 高瓦+芯纸优质牛卡+C 坑 140 高瓦+底纸 高克重优质牛卡。</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（2）装箱</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棉大衣每箱10件。配号包装，每箱内大号</w:t>
            </w:r>
            <w:r>
              <w:rPr>
                <w:rFonts w:hint="eastAsia"/>
                <w:color w:val="auto"/>
                <w:lang w:val="en-US" w:eastAsia="zh-CN"/>
              </w:rPr>
              <w:t>2</w:t>
            </w:r>
            <w:r>
              <w:rPr>
                <w:rFonts w:hint="eastAsia"/>
                <w:color w:val="auto"/>
              </w:rPr>
              <w:t>件</w:t>
            </w:r>
            <w:r>
              <w:rPr>
                <w:rFonts w:hint="eastAsia"/>
                <w:color w:val="auto"/>
                <w:lang w:eastAsia="zh-CN"/>
              </w:rPr>
              <w:t>、</w:t>
            </w:r>
            <w:r>
              <w:rPr>
                <w:rFonts w:hint="eastAsia"/>
                <w:color w:val="auto"/>
              </w:rPr>
              <w:t>中号5件</w:t>
            </w:r>
            <w:r>
              <w:rPr>
                <w:rFonts w:hint="eastAsia"/>
                <w:color w:val="auto"/>
                <w:lang w:eastAsia="zh-CN"/>
              </w:rPr>
              <w:t>、</w:t>
            </w:r>
            <w:r>
              <w:rPr>
                <w:rFonts w:hint="eastAsia"/>
                <w:color w:val="auto"/>
              </w:rPr>
              <w:t>小号</w:t>
            </w:r>
            <w:r>
              <w:rPr>
                <w:rFonts w:hint="eastAsia"/>
                <w:color w:val="auto"/>
                <w:lang w:val="en-US" w:eastAsia="zh-CN"/>
              </w:rPr>
              <w:t>3</w:t>
            </w:r>
            <w:r>
              <w:rPr>
                <w:rFonts w:hint="eastAsia"/>
                <w:color w:val="auto"/>
              </w:rPr>
              <w:t>件。箱顶应放入“检验单”，其中“检验单”、“产品名称”、“数量和号型”、“生产日期”、“检验人员”、“承制单位名称”标题为黑体字，其他为宋体字。检验单尺寸为 B5 纸的 1/4，字体大小适宜。样式见示例</w:t>
            </w:r>
            <w:r>
              <w:rPr>
                <w:rFonts w:hint="eastAsia"/>
                <w:color w:val="auto"/>
                <w:lang w:val="en-US" w:eastAsia="zh-CN"/>
              </w:rPr>
              <w:t>2</w:t>
            </w:r>
            <w:r>
              <w:rPr>
                <w:rFonts w:hint="eastAsia"/>
                <w:color w:val="auto"/>
              </w:rPr>
              <w:t>。包装数量可具体据合同定制。</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示例</w:t>
            </w:r>
            <w:r>
              <w:rPr>
                <w:rFonts w:hint="eastAsia"/>
                <w:color w:val="auto"/>
                <w:lang w:val="en-US" w:eastAsia="zh-CN"/>
              </w:rPr>
              <w:t>2</w:t>
            </w:r>
            <w:r>
              <w:rPr>
                <w:rFonts w:hint="eastAsia"/>
                <w:color w:val="auto"/>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 xml:space="preserve">检 验 单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产品名称</w:t>
            </w:r>
            <w:r>
              <w:rPr>
                <w:rFonts w:hint="eastAsia"/>
                <w:color w:val="auto"/>
              </w:rPr>
              <w:tab/>
            </w:r>
            <w:r>
              <w:rPr>
                <w:rFonts w:hint="eastAsia"/>
                <w:color w:val="auto"/>
              </w:rPr>
              <w:t>救灾专用  棉大衣</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数量和号型</w:t>
            </w:r>
            <w:r>
              <w:rPr>
                <w:rFonts w:hint="eastAsia"/>
                <w:color w:val="auto"/>
              </w:rPr>
              <w:tab/>
            </w:r>
            <w:r>
              <w:rPr>
                <w:rFonts w:hint="eastAsia"/>
                <w:color w:val="auto"/>
              </w:rPr>
              <w:t>大号</w:t>
            </w:r>
            <w:r>
              <w:rPr>
                <w:rFonts w:hint="eastAsia"/>
                <w:color w:val="auto"/>
                <w:lang w:val="en-US" w:eastAsia="zh-CN"/>
              </w:rPr>
              <w:t>2</w:t>
            </w:r>
            <w:r>
              <w:rPr>
                <w:rFonts w:hint="eastAsia"/>
                <w:color w:val="auto"/>
              </w:rPr>
              <w:t>件 中号5件 小号</w:t>
            </w:r>
            <w:r>
              <w:rPr>
                <w:rFonts w:hint="eastAsia"/>
                <w:color w:val="auto"/>
                <w:lang w:val="en-US" w:eastAsia="zh-CN"/>
              </w:rPr>
              <w:t>3</w:t>
            </w:r>
            <w:r>
              <w:rPr>
                <w:rFonts w:hint="eastAsia"/>
                <w:color w:val="auto"/>
              </w:rPr>
              <w:t>件</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生产日期</w:t>
            </w:r>
            <w:r>
              <w:rPr>
                <w:rFonts w:hint="eastAsia"/>
                <w:color w:val="auto"/>
              </w:rPr>
              <w:tab/>
            </w:r>
            <w:r>
              <w:rPr>
                <w:rFonts w:hint="eastAsia"/>
                <w:color w:val="auto"/>
              </w:rPr>
              <w:t>××××年××月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检验人员</w:t>
            </w:r>
            <w:r>
              <w:rPr>
                <w:rFonts w:hint="eastAsia"/>
                <w:color w:val="auto"/>
              </w:rPr>
              <w:tab/>
            </w:r>
            <w:r>
              <w:rPr>
                <w:rFonts w:hint="eastAsia"/>
                <w:color w:val="auto"/>
              </w:rPr>
              <w:t>（检验工号）</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承制单位</w:t>
            </w:r>
            <w:r>
              <w:rPr>
                <w:rFonts w:hint="eastAsia"/>
                <w:color w:val="auto"/>
              </w:rPr>
              <w:tab/>
            </w:r>
            <w:r>
              <w:rPr>
                <w:rFonts w:hint="eastAsia"/>
                <w:color w:val="auto"/>
              </w:rPr>
              <w:t>（单位全称）</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（3）封箱</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纸箱上下口盖对接应采用印有承制方名称的塑料基胶带封牢，两端预留长度不应小于 5cm。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（4）捆扎</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打包带捆成“#”字型，横竖互压(最后一道除外)，捆扎牢固，打包带捆扎不应遮挡号型标识。打包带粘合后搭头长度不小于 2.0cm，粘合不得起翘，偏歪不得超过0.2cm，禁止使用再生打包带,应符合 QB/T 3811 中一等品规定。</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（5）包装标志</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eastAsia="宋体"/>
                <w:color w:val="auto"/>
                <w:lang w:eastAsia="zh-CN"/>
              </w:rPr>
            </w:pPr>
            <w:r>
              <w:rPr>
                <w:rFonts w:hint="eastAsia"/>
                <w:color w:val="auto"/>
              </w:rPr>
              <w:t>外包装</w:t>
            </w:r>
            <w:r>
              <w:rPr>
                <w:rFonts w:hint="eastAsia"/>
                <w:color w:val="auto"/>
                <w:lang w:val="en-US" w:eastAsia="zh-CN"/>
              </w:rPr>
              <w:t>正面双</w:t>
            </w:r>
            <w:r>
              <w:rPr>
                <w:rFonts w:hint="eastAsia"/>
                <w:color w:val="auto"/>
              </w:rPr>
              <w:t>面需标注产品名称、数量、重量、号型配比、生产日期、承制单位名称和监制单位名称。其中，产品名称、承制单位名称及监制单位名称为黑体字;字体大小适宜、布局合理，并根据各单位名称字数选择合适的字号。侧面需标注“救灾专用”、“注意防潮”字样;字体为黑体字，字体大小适宜、布局合理，样式见示例</w:t>
            </w:r>
            <w:r>
              <w:rPr>
                <w:rFonts w:hint="eastAsia"/>
                <w:color w:val="auto"/>
                <w:lang w:val="en-US" w:eastAsia="zh-CN"/>
              </w:rPr>
              <w:t>3</w:t>
            </w:r>
            <w:r>
              <w:rPr>
                <w:rFonts w:hint="eastAsia"/>
                <w:color w:val="auto"/>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示例</w:t>
            </w:r>
            <w:r>
              <w:rPr>
                <w:rFonts w:hint="eastAsia"/>
                <w:color w:val="auto"/>
                <w:lang w:val="en-US" w:eastAsia="zh-CN"/>
              </w:rPr>
              <w:t>3</w:t>
            </w:r>
            <w:r>
              <w:rPr>
                <w:rFonts w:hint="eastAsia"/>
                <w:color w:val="auto"/>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救灾专用 棉大衣</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数量</w:t>
            </w:r>
            <w:r>
              <w:rPr>
                <w:rFonts w:hint="eastAsia"/>
                <w:color w:val="auto"/>
              </w:rPr>
              <w:tab/>
            </w:r>
            <w:r>
              <w:rPr>
                <w:rFonts w:hint="eastAsia"/>
                <w:color w:val="auto"/>
              </w:rPr>
              <w:t>大号：</w:t>
            </w:r>
            <w:r>
              <w:rPr>
                <w:rFonts w:hint="eastAsia"/>
                <w:color w:val="auto"/>
                <w:lang w:val="en-US" w:eastAsia="zh-CN"/>
              </w:rPr>
              <w:t>2</w:t>
            </w:r>
            <w:r>
              <w:rPr>
                <w:rFonts w:hint="eastAsia"/>
                <w:color w:val="auto"/>
              </w:rPr>
              <w:t>件 中号：</w:t>
            </w:r>
            <w:r>
              <w:rPr>
                <w:rFonts w:hint="eastAsia"/>
                <w:color w:val="auto"/>
                <w:lang w:val="en-US" w:eastAsia="zh-CN"/>
              </w:rPr>
              <w:t>5</w:t>
            </w:r>
            <w:r>
              <w:rPr>
                <w:rFonts w:hint="eastAsia"/>
                <w:color w:val="auto"/>
              </w:rPr>
              <w:t>件 小号：</w:t>
            </w:r>
            <w:r>
              <w:rPr>
                <w:rFonts w:hint="eastAsia"/>
                <w:color w:val="auto"/>
                <w:lang w:val="en-US" w:eastAsia="zh-CN"/>
              </w:rPr>
              <w:t>3</w:t>
            </w:r>
            <w:r>
              <w:rPr>
                <w:rFonts w:hint="eastAsia"/>
                <w:color w:val="auto"/>
              </w:rPr>
              <w:t>件</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重量</w:t>
            </w:r>
            <w:r>
              <w:rPr>
                <w:rFonts w:hint="eastAsia"/>
                <w:color w:val="auto"/>
              </w:rPr>
              <w:tab/>
            </w:r>
            <w:r>
              <w:rPr>
                <w:rFonts w:hint="eastAsia"/>
                <w:color w:val="auto"/>
              </w:rPr>
              <w:t>××××kg</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生产日期</w:t>
            </w:r>
            <w:r>
              <w:rPr>
                <w:rFonts w:hint="eastAsia"/>
                <w:color w:val="auto"/>
              </w:rPr>
              <w:tab/>
            </w:r>
            <w:r>
              <w:rPr>
                <w:rFonts w:hint="eastAsia"/>
                <w:color w:val="auto"/>
              </w:rPr>
              <w:t>××××年××月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承制方</w:t>
            </w:r>
            <w:r>
              <w:rPr>
                <w:rFonts w:hint="eastAsia"/>
                <w:color w:val="auto"/>
              </w:rPr>
              <w:tab/>
            </w:r>
            <w:r>
              <w:rPr>
                <w:rFonts w:hint="eastAsia"/>
                <w:color w:val="auto"/>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监制单位：××××××××</w:t>
            </w:r>
          </w:p>
          <w:p>
            <w:pPr>
              <w:pStyle w:val="2"/>
              <w:rPr>
                <w:rFonts w:hint="eastAsia"/>
                <w:color w:val="auto"/>
              </w:rPr>
            </w:pPr>
          </w:p>
          <w:p>
            <w:pPr>
              <w:pStyle w:val="2"/>
              <w:rPr>
                <w:rFonts w:hint="eastAsia" w:eastAsia="宋体"/>
                <w:color w:val="auto"/>
                <w:lang w:val="en-US" w:eastAsia="zh-CN"/>
              </w:rPr>
            </w:pPr>
            <w:r>
              <w:rPr>
                <w:rFonts w:hint="eastAsia"/>
                <w:b/>
                <w:bCs/>
                <w:color w:val="auto"/>
                <w:sz w:val="21"/>
                <w:szCs w:val="21"/>
                <w:lang w:val="en-US" w:eastAsia="zh-CN"/>
              </w:rPr>
              <w:t>注：中标人必须与采购人进一步协商包装方式，并由采购人确认后，中标人才能进行包装。</w:t>
            </w:r>
          </w:p>
          <w:p>
            <w:pPr>
              <w:pStyle w:val="2"/>
              <w:rPr>
                <w:rFonts w:hint="eastAsia"/>
                <w:color w:val="auto"/>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eastAsia="宋体"/>
                <w:color w:val="auto"/>
                <w:lang w:val="en-US" w:eastAsia="zh-CN"/>
              </w:rPr>
            </w:pPr>
            <w:r>
              <w:rPr>
                <w:rFonts w:hint="eastAsia" w:ascii="宋体" w:hAnsi="宋体" w:eastAsia="宋体" w:cs="宋体"/>
                <w:color w:val="auto"/>
                <w:sz w:val="21"/>
                <w:szCs w:val="21"/>
                <w:lang w:val="en-US" w:eastAsia="zh-CN"/>
              </w:rPr>
              <w:t>▲</w:t>
            </w:r>
            <w:r>
              <w:rPr>
                <w:rFonts w:hint="eastAsia"/>
                <w:color w:val="auto"/>
                <w:lang w:val="en-US" w:eastAsia="zh-CN"/>
              </w:rPr>
              <w:t>七、报价要求</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lang w:val="en-US" w:eastAsia="zh-CN"/>
              </w:rPr>
            </w:pPr>
            <w:r>
              <w:rPr>
                <w:rFonts w:hint="eastAsia"/>
                <w:color w:val="auto"/>
                <w:lang w:val="en-US" w:eastAsia="zh-CN"/>
              </w:rPr>
              <w:t>1、货物的价格：包括产品货款、包装费、杂配件、各项检验验收等各种费用费及各项税金等；</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lang w:val="en-US" w:eastAsia="zh-CN"/>
              </w:rPr>
            </w:pPr>
            <w:r>
              <w:rPr>
                <w:rFonts w:hint="eastAsia"/>
                <w:color w:val="auto"/>
                <w:lang w:val="en-US" w:eastAsia="zh-CN"/>
              </w:rPr>
              <w:t>2、货物的标准附件、备品备件、专用工具的价格。</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lang w:val="en-US" w:eastAsia="zh-CN"/>
              </w:rPr>
            </w:pPr>
            <w:r>
              <w:rPr>
                <w:rFonts w:hint="eastAsia"/>
                <w:color w:val="auto"/>
                <w:lang w:val="en-US" w:eastAsia="zh-CN"/>
              </w:rPr>
              <w:t>3、运输、装卸、调整、退换、开箱检验、保险费、仓储费、损耗费、售后服务费。</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lang w:val="en-US" w:eastAsia="zh-CN"/>
              </w:rPr>
            </w:pPr>
            <w:r>
              <w:rPr>
                <w:rFonts w:hint="eastAsia"/>
                <w:color w:val="auto"/>
                <w:lang w:val="en-US" w:eastAsia="zh-CN"/>
              </w:rPr>
              <w:t>4、招标代理服务费、保险费及其他所有费用总和。</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lang w:val="en-US" w:eastAsia="zh-CN"/>
              </w:rPr>
            </w:pPr>
            <w:r>
              <w:rPr>
                <w:rFonts w:hint="eastAsia"/>
                <w:color w:val="auto"/>
                <w:lang w:val="en-US" w:eastAsia="zh-CN"/>
              </w:rPr>
              <w:t>5、投标人根据采购预算具体金额，报出所供货物的具体数量和单价。投标人响应的供应数量不得少于本项目采购需求中的数量，投标总报价不得高于采购预算。</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lang w:val="en-US" w:eastAsia="zh-CN"/>
              </w:rPr>
            </w:pPr>
            <w:r>
              <w:rPr>
                <w:rFonts w:hint="eastAsia"/>
                <w:color w:val="auto"/>
                <w:lang w:val="en-US" w:eastAsia="zh-CN"/>
              </w:rPr>
              <w:t>6、中标人供货数量以实际供货数量为准，最终结算金额按中标人最终实际供货的数量*中标单价计算，最终结算金额不能超过本项目总预算。</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lang w:val="en-US" w:eastAsia="zh-CN"/>
              </w:rPr>
            </w:pPr>
            <w:r>
              <w:rPr>
                <w:rFonts w:hint="eastAsia"/>
                <w:color w:val="auto"/>
                <w:lang w:val="en-US" w:eastAsia="zh-CN"/>
              </w:rPr>
              <w:t>7、本项目评标以投标人所报单价计算价格分。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lang w:val="en-US" w:eastAsia="zh-CN"/>
              </w:rPr>
            </w:pPr>
            <w:r>
              <w:rPr>
                <w:rFonts w:hint="eastAsia"/>
                <w:color w:val="auto"/>
                <w:lang w:val="en-US" w:eastAsia="zh-CN"/>
              </w:rPr>
              <w:t>注：投标人自行考虑完成项目所需的辅材、杂配件等数量，投标报价中应包含全部内容，中标后采购人不再另行支付额外费用。</w:t>
            </w:r>
            <w:bookmarkEnd w:id="53"/>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▲八、检验报告</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1、招标文件中</w:t>
            </w:r>
            <w:r>
              <w:rPr>
                <w:rFonts w:hint="eastAsia" w:ascii="宋体" w:hAnsi="宋体" w:cs="宋体"/>
                <w:color w:val="auto"/>
                <w:sz w:val="21"/>
                <w:szCs w:val="21"/>
                <w:lang w:val="en-US" w:eastAsia="zh-CN"/>
              </w:rPr>
              <w:t>“表5 理化性能要求”中的技术条款，</w:t>
            </w:r>
            <w:r>
              <w:rPr>
                <w:rFonts w:hint="eastAsia" w:ascii="宋体" w:hAnsi="宋体" w:eastAsia="宋体" w:cs="宋体"/>
                <w:color w:val="auto"/>
                <w:sz w:val="21"/>
                <w:szCs w:val="21"/>
                <w:lang w:val="en-US" w:eastAsia="zh-CN"/>
              </w:rPr>
              <w:t>投标人必须在投标文件中</w:t>
            </w:r>
            <w:r>
              <w:rPr>
                <w:rFonts w:hint="eastAsia" w:ascii="宋体" w:hAnsi="宋体" w:cs="宋体"/>
                <w:color w:val="auto"/>
                <w:sz w:val="21"/>
                <w:szCs w:val="21"/>
                <w:lang w:val="en-US" w:eastAsia="zh-CN"/>
              </w:rPr>
              <w:t>提供</w:t>
            </w:r>
            <w:r>
              <w:rPr>
                <w:rFonts w:hint="eastAsia" w:ascii="宋体" w:hAnsi="宋体" w:eastAsia="宋体" w:cs="宋体"/>
                <w:color w:val="auto"/>
                <w:sz w:val="21"/>
                <w:szCs w:val="21"/>
                <w:lang w:val="en-US" w:eastAsia="zh-CN"/>
              </w:rPr>
              <w:t>投标产品</w:t>
            </w:r>
            <w:r>
              <w:rPr>
                <w:rFonts w:hint="eastAsia" w:ascii="宋体" w:hAnsi="宋体" w:cs="宋体"/>
                <w:color w:val="auto"/>
                <w:sz w:val="21"/>
                <w:szCs w:val="21"/>
                <w:lang w:val="en-US" w:eastAsia="zh-CN"/>
              </w:rPr>
              <w:t>由国家认可的有资质的第三方检测机构出具的</w:t>
            </w:r>
            <w:r>
              <w:rPr>
                <w:rFonts w:hint="eastAsia" w:ascii="宋体" w:hAnsi="宋体" w:eastAsia="宋体" w:cs="宋体"/>
                <w:color w:val="auto"/>
                <w:sz w:val="21"/>
                <w:szCs w:val="21"/>
                <w:lang w:val="en-US" w:eastAsia="zh-CN"/>
              </w:rPr>
              <w:t>检验报告复印件，必须为2024年1月1日之后出具的检测报告。</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2、投标人所提供的检验报告，必须体现“表5 理化性能要求”</w:t>
            </w:r>
            <w:r>
              <w:rPr>
                <w:rFonts w:hint="eastAsia" w:ascii="宋体" w:hAnsi="宋体" w:cs="宋体"/>
                <w:color w:val="auto"/>
                <w:sz w:val="21"/>
                <w:szCs w:val="21"/>
                <w:lang w:val="en-US" w:eastAsia="zh-CN"/>
              </w:rPr>
              <w:t>中所有的技术条款</w:t>
            </w:r>
            <w:r>
              <w:rPr>
                <w:rFonts w:hint="eastAsia" w:ascii="宋体" w:hAnsi="宋体" w:eastAsia="宋体" w:cs="宋体"/>
                <w:color w:val="auto"/>
                <w:sz w:val="21"/>
                <w:szCs w:val="21"/>
                <w:lang w:val="en-US" w:eastAsia="zh-CN"/>
              </w:rPr>
              <w:t>，不能缺项漏项，检验结果必须符合招标文件的标准，否则按投标无效处理。</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投标人必须承诺所提供的样品与送验样品质量外观是一致的，验收时一旦发现货物与投标承诺不一致时，验收不通过的，采购人有权按违约处理解除合同，并报政府采购监督管理部门处理。必须在投标文件中提供产品质量承诺书，质量承诺书内容必须包含以上内容，格式自拟。</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4、如出现投标文件中所承诺的某项参数与投标实物样品对应该项参数不一致时，在符合招标文件要求的前提下：</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①评审时，以最差的参数作为评审依据，进行评定；</w:t>
            </w:r>
          </w:p>
          <w:p>
            <w:pPr>
              <w:pStyle w:val="12"/>
              <w:rPr>
                <w:rFonts w:hint="eastAsia"/>
                <w:color w:val="auto"/>
                <w:lang w:val="en-US" w:eastAsia="zh-CN"/>
              </w:rPr>
            </w:pPr>
            <w:r>
              <w:rPr>
                <w:rFonts w:hint="eastAsia" w:ascii="宋体" w:hAnsi="宋体" w:eastAsia="宋体" w:cs="宋体"/>
                <w:color w:val="auto"/>
                <w:sz w:val="21"/>
                <w:szCs w:val="21"/>
                <w:lang w:val="en-US" w:eastAsia="zh-CN"/>
              </w:rPr>
              <w:t>②供货、履约及验收时，以最优的参数作为供货、履约及验收的标准和依据。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6" w:type="dxa"/>
            <w:tcBorders>
              <w:top w:val="single" w:color="auto" w:sz="4" w:space="0"/>
              <w:left w:val="single" w:color="auto" w:sz="4" w:space="0"/>
              <w:bottom w:val="single" w:color="auto" w:sz="4" w:space="0"/>
              <w:right w:val="single" w:color="auto" w:sz="4" w:space="0"/>
            </w:tcBorders>
            <w:noWrap/>
            <w:vAlign w:val="center"/>
          </w:tcPr>
          <w:p>
            <w:pPr>
              <w:pStyle w:val="21"/>
              <w:spacing w:line="360" w:lineRule="exact"/>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其他说明</w:t>
            </w:r>
          </w:p>
        </w:tc>
        <w:tc>
          <w:tcPr>
            <w:tcW w:w="9386" w:type="dxa"/>
            <w:gridSpan w:val="5"/>
            <w:tcBorders>
              <w:top w:val="single" w:color="auto" w:sz="4" w:space="0"/>
              <w:left w:val="nil"/>
              <w:bottom w:val="single" w:color="auto" w:sz="4" w:space="0"/>
              <w:right w:val="single" w:color="auto" w:sz="4" w:space="0"/>
            </w:tcBorders>
            <w:noWrap/>
            <w:vAlign w:val="center"/>
          </w:tcPr>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一、进口产品说明：本分标货物所涉及的货物不接受进口产品（即通过中国海关报关验放进入中国境内且产自关境外的产品）参与投标，如有进口产品参与投标的作无效投标处理。</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二、样品递交</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1、投标人可根据评分标准提供样品：棉大衣（</w:t>
            </w:r>
            <w:r>
              <w:rPr>
                <w:rFonts w:hint="eastAsia" w:ascii="宋体" w:hAnsi="宋体" w:cs="宋体"/>
                <w:color w:val="auto"/>
                <w:sz w:val="21"/>
                <w:szCs w:val="21"/>
                <w:highlight w:val="none"/>
                <w:lang w:val="en-US" w:eastAsia="zh-CN"/>
              </w:rPr>
              <w:t>大</w:t>
            </w:r>
            <w:r>
              <w:rPr>
                <w:rFonts w:hint="eastAsia" w:ascii="宋体" w:hAnsi="宋体" w:eastAsia="宋体" w:cs="宋体"/>
                <w:color w:val="auto"/>
                <w:sz w:val="21"/>
                <w:szCs w:val="21"/>
                <w:highlight w:val="none"/>
                <w:lang w:val="en-US" w:eastAsia="zh-CN"/>
              </w:rPr>
              <w:t>号一件）</w:t>
            </w:r>
            <w:r>
              <w:rPr>
                <w:rFonts w:hint="eastAsia" w:ascii="宋体" w:hAnsi="宋体" w:cs="宋体"/>
                <w:color w:val="auto"/>
                <w:sz w:val="21"/>
                <w:szCs w:val="21"/>
                <w:highlight w:val="none"/>
                <w:lang w:val="en-US" w:eastAsia="zh-CN"/>
              </w:rPr>
              <w:t>。</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2、样品递交方式：由投标人亲自将样品送达到样品递交地点，并办理样品接收登记手续。</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3、样品递交时间：2025年</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月</w:t>
            </w:r>
            <w:r>
              <w:rPr>
                <w:rFonts w:hint="eastAsia" w:ascii="宋体" w:hAnsi="宋体" w:cs="宋体"/>
                <w:color w:val="auto"/>
                <w:sz w:val="21"/>
                <w:szCs w:val="21"/>
                <w:highlight w:val="none"/>
                <w:lang w:val="en-US" w:eastAsia="zh-CN"/>
              </w:rPr>
              <w:t>29</w:t>
            </w:r>
            <w:r>
              <w:rPr>
                <w:rFonts w:hint="eastAsia" w:ascii="宋体" w:hAnsi="宋体" w:eastAsia="宋体" w:cs="宋体"/>
                <w:color w:val="auto"/>
                <w:sz w:val="21"/>
                <w:szCs w:val="21"/>
                <w:highlight w:val="none"/>
                <w:lang w:val="en-US" w:eastAsia="zh-CN"/>
              </w:rPr>
              <w:t>日8时30分至9时30分；逾期递交所造成的一切后果由投标人自行承担。</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4、样品递交地点：广西壮族自治区公共资源交易中心（南宁市星湖路22号）</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5、样品清退：递交样品时投标人须明确其样品清退方式。投标人亲自来领取的，接通知后48小时内办理清退交接手续（逾期领取所造成的丢失责任由投标人自行承担。为防冒领，领取人须出示原递交样品人身份证原件或原递交样品单位的授权书原件）。样品邮寄的须写明联系地址、联系人、联系电话，邮费由投标人承担。不明确清退方式且超过48小时未来领取的，采购代理机构将不再负保管责任，按无主货物处理，所有无主样品送采购单位。      </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注：</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1、样品的外包装及标识不应出现暴露供应商身份的信息，如投标人名称、地址、电话、商标等。递交样品前请自觉对类似信息作密封隐藏处理。否则，该样品有可能被拒绝接收。</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2、所有样品均有可能因评标检测造成破坏，由此造成的损失由投标人负责。</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3、中标供应商的样品不退，交由采购人封存作为验收依据。</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4、未中标的投标人的样品于结果公示期结束后10个工作日内由采购代理机构电话通知领回。</w:t>
            </w:r>
          </w:p>
        </w:tc>
      </w:tr>
    </w:tbl>
    <w:p>
      <w:pPr>
        <w:pStyle w:val="12"/>
        <w:rPr>
          <w:rFonts w:hint="eastAsia"/>
          <w:color w:val="auto"/>
        </w:rPr>
      </w:pPr>
    </w:p>
    <w:tbl>
      <w:tblPr>
        <w:tblStyle w:val="32"/>
        <w:tblW w:w="9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6"/>
        <w:gridCol w:w="653"/>
        <w:gridCol w:w="1302"/>
        <w:gridCol w:w="1107"/>
        <w:gridCol w:w="5300"/>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862" w:type="dxa"/>
            <w:gridSpan w:val="6"/>
            <w:tcBorders>
              <w:top w:val="single" w:color="auto" w:sz="4" w:space="0"/>
              <w:left w:val="single" w:color="auto" w:sz="4" w:space="0"/>
              <w:bottom w:val="single" w:color="auto" w:sz="4" w:space="0"/>
              <w:right w:val="single" w:color="auto" w:sz="4" w:space="0"/>
            </w:tcBorders>
            <w:noWrap/>
            <w:vAlign w:val="center"/>
          </w:tcPr>
          <w:p>
            <w:pPr>
              <w:pStyle w:val="21"/>
              <w:spacing w:line="360" w:lineRule="exact"/>
              <w:ind w:left="-107" w:leftChars="-51" w:right="-107" w:rightChars="-51"/>
              <w:jc w:val="both"/>
              <w:rPr>
                <w:rFonts w:ascii="宋体" w:hAnsi="宋体" w:cs="宋体"/>
                <w:b/>
                <w:color w:val="auto"/>
                <w:sz w:val="21"/>
                <w:szCs w:val="21"/>
                <w:highlight w:val="none"/>
              </w:rPr>
            </w:pPr>
            <w:r>
              <w:rPr>
                <w:rFonts w:hint="eastAsia" w:ascii="宋体" w:hAnsi="宋体" w:cs="宋体"/>
                <w:b/>
                <w:color w:val="auto"/>
                <w:sz w:val="24"/>
                <w:szCs w:val="24"/>
                <w:highlight w:val="none"/>
              </w:rPr>
              <w:t>分标</w:t>
            </w:r>
            <w:r>
              <w:rPr>
                <w:rFonts w:hint="eastAsia" w:ascii="宋体" w:hAnsi="宋体" w:cs="宋体"/>
                <w:b/>
                <w:color w:val="auto"/>
                <w:sz w:val="24"/>
                <w:szCs w:val="24"/>
                <w:highlight w:val="none"/>
                <w:lang w:val="en-US" w:eastAsia="zh-CN"/>
              </w:rPr>
              <w:t>2</w:t>
            </w:r>
            <w:r>
              <w:rPr>
                <w:rFonts w:hint="eastAsia" w:ascii="宋体" w:hAnsi="宋体" w:cs="宋体"/>
                <w:b/>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6" w:type="dxa"/>
            <w:vMerge w:val="restart"/>
            <w:tcBorders>
              <w:top w:val="single" w:color="auto" w:sz="4" w:space="0"/>
              <w:left w:val="single" w:color="auto" w:sz="4" w:space="0"/>
              <w:right w:val="single" w:color="auto" w:sz="4" w:space="0"/>
            </w:tcBorders>
            <w:shd w:val="clear" w:color="auto" w:fill="auto"/>
            <w:noWrap/>
            <w:vAlign w:val="center"/>
          </w:tcPr>
          <w:p>
            <w:pPr>
              <w:pStyle w:val="21"/>
              <w:spacing w:line="360" w:lineRule="exact"/>
              <w:jc w:val="center"/>
              <w:rPr>
                <w:rFonts w:ascii="宋体" w:hAnsi="宋体" w:cs="宋体"/>
                <w:color w:val="auto"/>
                <w:sz w:val="21"/>
                <w:szCs w:val="21"/>
                <w:highlight w:val="none"/>
              </w:rPr>
            </w:pPr>
            <w:r>
              <w:rPr>
                <w:rFonts w:hint="eastAsia" w:ascii="宋体" w:hAnsi="宋体" w:cs="宋体"/>
                <w:b/>
                <w:color w:val="auto"/>
                <w:sz w:val="21"/>
                <w:szCs w:val="21"/>
                <w:highlight w:val="none"/>
              </w:rPr>
              <w:t>需求一览表</w:t>
            </w:r>
          </w:p>
        </w:tc>
        <w:tc>
          <w:tcPr>
            <w:tcW w:w="653" w:type="dxa"/>
            <w:tcBorders>
              <w:top w:val="single" w:color="auto" w:sz="4" w:space="0"/>
              <w:left w:val="nil"/>
              <w:bottom w:val="single" w:color="auto" w:sz="4" w:space="0"/>
              <w:right w:val="single" w:color="auto" w:sz="4" w:space="0"/>
            </w:tcBorders>
            <w:shd w:val="clear" w:color="auto" w:fill="auto"/>
            <w:noWrap/>
            <w:vAlign w:val="center"/>
          </w:tcPr>
          <w:p>
            <w:pPr>
              <w:pStyle w:val="21"/>
              <w:spacing w:line="360" w:lineRule="exact"/>
              <w:jc w:val="center"/>
              <w:rPr>
                <w:rFonts w:ascii="宋体" w:hAnsi="宋体" w:cs="宋体"/>
                <w:b/>
                <w:color w:val="auto"/>
                <w:sz w:val="21"/>
                <w:szCs w:val="21"/>
                <w:highlight w:val="none"/>
              </w:rPr>
            </w:pPr>
            <w:r>
              <w:rPr>
                <w:rFonts w:hint="eastAsia" w:ascii="宋体" w:hAnsi="宋体" w:cs="宋体"/>
                <w:b/>
                <w:color w:val="auto"/>
                <w:sz w:val="21"/>
                <w:szCs w:val="21"/>
                <w:highlight w:val="none"/>
              </w:rPr>
              <w:t>序号</w:t>
            </w:r>
          </w:p>
        </w:tc>
        <w:tc>
          <w:tcPr>
            <w:tcW w:w="1302" w:type="dxa"/>
            <w:tcBorders>
              <w:top w:val="single" w:color="auto" w:sz="4" w:space="0"/>
              <w:left w:val="nil"/>
              <w:bottom w:val="single" w:color="auto" w:sz="4" w:space="0"/>
              <w:right w:val="single" w:color="auto" w:sz="4" w:space="0"/>
            </w:tcBorders>
            <w:shd w:val="clear" w:color="auto" w:fill="auto"/>
            <w:noWrap/>
            <w:vAlign w:val="center"/>
          </w:tcPr>
          <w:p>
            <w:pPr>
              <w:pStyle w:val="21"/>
              <w:spacing w:line="360" w:lineRule="exact"/>
              <w:jc w:val="center"/>
              <w:rPr>
                <w:rFonts w:ascii="宋体" w:hAnsi="宋体" w:cs="宋体"/>
                <w:b/>
                <w:color w:val="auto"/>
                <w:sz w:val="21"/>
                <w:szCs w:val="21"/>
                <w:highlight w:val="none"/>
              </w:rPr>
            </w:pPr>
            <w:r>
              <w:rPr>
                <w:rFonts w:hint="eastAsia" w:ascii="宋体" w:hAnsi="宋体" w:cs="宋体"/>
                <w:b/>
                <w:color w:val="auto"/>
                <w:sz w:val="21"/>
                <w:szCs w:val="21"/>
                <w:highlight w:val="none"/>
              </w:rPr>
              <w:t>标的名称</w:t>
            </w:r>
          </w:p>
        </w:tc>
        <w:tc>
          <w:tcPr>
            <w:tcW w:w="1107" w:type="dxa"/>
            <w:tcBorders>
              <w:top w:val="single" w:color="auto" w:sz="4" w:space="0"/>
              <w:left w:val="nil"/>
              <w:bottom w:val="single" w:color="auto" w:sz="4" w:space="0"/>
              <w:right w:val="single" w:color="auto" w:sz="4" w:space="0"/>
            </w:tcBorders>
            <w:shd w:val="clear" w:color="auto" w:fill="auto"/>
            <w:noWrap/>
            <w:vAlign w:val="center"/>
          </w:tcPr>
          <w:p>
            <w:pPr>
              <w:pStyle w:val="21"/>
              <w:spacing w:line="360" w:lineRule="exact"/>
              <w:ind w:left="-107" w:leftChars="-51" w:right="-107" w:rightChars="-51"/>
              <w:jc w:val="center"/>
              <w:rPr>
                <w:rFonts w:ascii="宋体" w:hAnsi="宋体" w:cs="宋体"/>
                <w:b/>
                <w:color w:val="auto"/>
                <w:sz w:val="21"/>
                <w:szCs w:val="21"/>
                <w:highlight w:val="none"/>
              </w:rPr>
            </w:pPr>
            <w:r>
              <w:rPr>
                <w:rFonts w:hint="eastAsia" w:ascii="宋体" w:hAnsi="宋体" w:cs="宋体"/>
                <w:b/>
                <w:color w:val="auto"/>
                <w:sz w:val="21"/>
                <w:szCs w:val="21"/>
                <w:highlight w:val="none"/>
              </w:rPr>
              <w:t>数量及单位</w:t>
            </w:r>
          </w:p>
        </w:tc>
        <w:tc>
          <w:tcPr>
            <w:tcW w:w="5300" w:type="dxa"/>
            <w:tcBorders>
              <w:top w:val="single" w:color="auto" w:sz="4" w:space="0"/>
              <w:left w:val="nil"/>
              <w:bottom w:val="single" w:color="auto" w:sz="4" w:space="0"/>
              <w:right w:val="single" w:color="auto" w:sz="4" w:space="0"/>
            </w:tcBorders>
            <w:shd w:val="clear" w:color="auto" w:fill="auto"/>
            <w:noWrap/>
            <w:vAlign w:val="center"/>
          </w:tcPr>
          <w:p>
            <w:pPr>
              <w:pStyle w:val="21"/>
              <w:spacing w:line="360" w:lineRule="exact"/>
              <w:ind w:left="-107" w:leftChars="-51" w:right="-107" w:rightChars="-51"/>
              <w:jc w:val="center"/>
              <w:rPr>
                <w:rFonts w:ascii="宋体" w:hAnsi="宋体" w:cs="宋体"/>
                <w:b/>
                <w:color w:val="auto"/>
                <w:sz w:val="21"/>
                <w:szCs w:val="21"/>
                <w:highlight w:val="none"/>
              </w:rPr>
            </w:pPr>
            <w:r>
              <w:rPr>
                <w:rFonts w:hint="eastAsia" w:ascii="宋体" w:hAnsi="宋体" w:cs="宋体"/>
                <w:b/>
                <w:color w:val="auto"/>
                <w:sz w:val="21"/>
                <w:szCs w:val="21"/>
                <w:highlight w:val="none"/>
              </w:rPr>
              <w:t>技术参数及配置</w:t>
            </w:r>
          </w:p>
        </w:tc>
        <w:tc>
          <w:tcPr>
            <w:tcW w:w="1024"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21"/>
              <w:spacing w:line="360" w:lineRule="exact"/>
              <w:ind w:left="-107" w:leftChars="-51" w:right="-107" w:rightChars="-51"/>
              <w:jc w:val="center"/>
              <w:rPr>
                <w:rFonts w:hint="eastAsia" w:ascii="宋体" w:hAnsi="宋体" w:cs="宋体"/>
                <w:b/>
                <w:color w:val="auto"/>
                <w:sz w:val="21"/>
                <w:szCs w:val="21"/>
                <w:highlight w:val="none"/>
              </w:rPr>
            </w:pPr>
            <w:r>
              <w:rPr>
                <w:rFonts w:hint="eastAsia" w:ascii="宋体" w:hAnsi="宋体" w:cs="宋体"/>
                <w:b/>
                <w:color w:val="auto"/>
                <w:sz w:val="21"/>
                <w:szCs w:val="21"/>
                <w:highlight w:val="none"/>
              </w:rPr>
              <w:t>分项预算</w:t>
            </w:r>
          </w:p>
          <w:p>
            <w:pPr>
              <w:pStyle w:val="21"/>
              <w:spacing w:line="360" w:lineRule="exact"/>
              <w:ind w:left="-107" w:leftChars="-51" w:right="-107" w:rightChars="-51"/>
              <w:jc w:val="center"/>
              <w:rPr>
                <w:rFonts w:hint="eastAsia" w:ascii="宋体" w:hAnsi="宋体" w:eastAsia="宋体" w:cs="宋体"/>
                <w:b/>
                <w:color w:val="auto"/>
                <w:sz w:val="21"/>
                <w:szCs w:val="21"/>
                <w:highlight w:val="none"/>
                <w:lang w:eastAsia="zh-CN"/>
              </w:rPr>
            </w:pPr>
            <w:r>
              <w:rPr>
                <w:rFonts w:hint="eastAsia" w:ascii="宋体" w:hAnsi="宋体" w:cs="宋体"/>
                <w:b/>
                <w:color w:val="auto"/>
                <w:sz w:val="21"/>
                <w:szCs w:val="21"/>
                <w:highlight w:val="none"/>
                <w:lang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6" w:type="dxa"/>
            <w:vMerge w:val="continue"/>
            <w:tcBorders>
              <w:left w:val="single" w:color="auto" w:sz="4" w:space="0"/>
              <w:right w:val="single" w:color="auto" w:sz="4" w:space="0"/>
            </w:tcBorders>
            <w:noWrap/>
            <w:vAlign w:val="center"/>
          </w:tcPr>
          <w:p>
            <w:pPr>
              <w:pStyle w:val="21"/>
              <w:spacing w:line="360" w:lineRule="exact"/>
              <w:jc w:val="center"/>
              <w:rPr>
                <w:rFonts w:ascii="宋体" w:hAnsi="宋体" w:cs="宋体"/>
                <w:color w:val="auto"/>
                <w:sz w:val="21"/>
                <w:szCs w:val="21"/>
                <w:highlight w:val="none"/>
              </w:rPr>
            </w:pPr>
          </w:p>
        </w:tc>
        <w:tc>
          <w:tcPr>
            <w:tcW w:w="653" w:type="dxa"/>
            <w:tcBorders>
              <w:top w:val="single" w:color="auto" w:sz="4" w:space="0"/>
              <w:left w:val="nil"/>
              <w:right w:val="single" w:color="auto" w:sz="4" w:space="0"/>
            </w:tcBorders>
            <w:shd w:val="clear" w:color="auto" w:fill="auto"/>
            <w:noWrap/>
            <w:vAlign w:val="center"/>
          </w:tcPr>
          <w:p>
            <w:pPr>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p>
        </w:tc>
        <w:tc>
          <w:tcPr>
            <w:tcW w:w="1302" w:type="dxa"/>
            <w:tcBorders>
              <w:top w:val="single" w:color="auto" w:sz="4" w:space="0"/>
              <w:left w:val="nil"/>
              <w:right w:val="single" w:color="auto" w:sz="4" w:space="0"/>
            </w:tcBorders>
            <w:shd w:val="clear" w:color="000000" w:fill="auto"/>
            <w:noWrap/>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bookmarkStart w:id="54" w:name="OLE_LINK5"/>
            <w:r>
              <w:rPr>
                <w:rFonts w:hint="eastAsia" w:ascii="宋体" w:hAnsi="宋体" w:eastAsia="宋体" w:cs="宋体"/>
                <w:i w:val="0"/>
                <w:color w:val="auto"/>
                <w:kern w:val="0"/>
                <w:sz w:val="21"/>
                <w:szCs w:val="21"/>
                <w:u w:val="none"/>
                <w:lang w:val="en-US" w:eastAsia="zh-CN" w:bidi="ar"/>
              </w:rPr>
              <w:t>防寒服</w:t>
            </w:r>
            <w:bookmarkEnd w:id="54"/>
          </w:p>
        </w:tc>
        <w:tc>
          <w:tcPr>
            <w:tcW w:w="1107" w:type="dxa"/>
            <w:tcBorders>
              <w:top w:val="single" w:color="auto" w:sz="4" w:space="0"/>
              <w:left w:val="nil"/>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auto"/>
                <w:sz w:val="21"/>
                <w:szCs w:val="21"/>
                <w:highlight w:val="none"/>
              </w:rPr>
            </w:pPr>
            <w:r>
              <w:rPr>
                <w:rFonts w:hint="eastAsia" w:ascii="宋体" w:hAnsi="宋体"/>
                <w:color w:val="auto"/>
                <w:szCs w:val="21"/>
                <w:highlight w:val="none"/>
              </w:rPr>
              <w:t>不低于</w:t>
            </w:r>
            <w:r>
              <w:rPr>
                <w:rFonts w:hint="eastAsia" w:ascii="宋体" w:hAnsi="宋体" w:eastAsia="宋体" w:cs="宋体"/>
                <w:i w:val="0"/>
                <w:color w:val="auto"/>
                <w:kern w:val="0"/>
                <w:sz w:val="21"/>
                <w:szCs w:val="21"/>
                <w:u w:val="none"/>
                <w:lang w:val="en-US" w:eastAsia="zh-CN" w:bidi="ar"/>
              </w:rPr>
              <w:t>9000件</w:t>
            </w:r>
          </w:p>
        </w:tc>
        <w:tc>
          <w:tcPr>
            <w:tcW w:w="5300" w:type="dxa"/>
            <w:tcBorders>
              <w:top w:val="single" w:color="auto" w:sz="4" w:space="0"/>
              <w:left w:val="nil"/>
              <w:right w:val="single" w:color="auto" w:sz="4" w:space="0"/>
            </w:tcBorders>
            <w:shd w:val="clear" w:color="auto" w:fill="auto"/>
            <w:noWrap/>
            <w:vAlign w:val="center"/>
          </w:tcPr>
          <w:p>
            <w:pPr>
              <w:pStyle w:val="21"/>
              <w:rPr>
                <w:rFonts w:ascii="宋体" w:hAnsi="宋体" w:cs="宋体"/>
                <w:color w:val="auto"/>
                <w:sz w:val="21"/>
                <w:szCs w:val="21"/>
                <w:highlight w:val="none"/>
              </w:rPr>
            </w:pPr>
            <w:r>
              <w:rPr>
                <w:rFonts w:hint="eastAsia" w:ascii="宋体" w:hAnsi="宋体" w:eastAsia="宋体" w:cs="宋体"/>
                <w:b/>
                <w:bCs/>
                <w:color w:val="auto"/>
                <w:sz w:val="28"/>
                <w:szCs w:val="36"/>
              </w:rPr>
              <w:drawing>
                <wp:inline distT="0" distB="0" distL="114300" distR="114300">
                  <wp:extent cx="2007235" cy="2802890"/>
                  <wp:effectExtent l="0" t="0" r="12065" b="16510"/>
                  <wp:docPr id="9" name="图片 3" descr="5dd9d75c6e572737558b529b0d474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5dd9d75c6e572737558b529b0d4741a"/>
                          <pic:cNvPicPr>
                            <a:picLocks noChangeAspect="1"/>
                          </pic:cNvPicPr>
                        </pic:nvPicPr>
                        <pic:blipFill>
                          <a:blip r:embed="rId10"/>
                          <a:stretch>
                            <a:fillRect/>
                          </a:stretch>
                        </pic:blipFill>
                        <pic:spPr>
                          <a:xfrm>
                            <a:off x="0" y="0"/>
                            <a:ext cx="2007235" cy="2802890"/>
                          </a:xfrm>
                          <a:prstGeom prst="rect">
                            <a:avLst/>
                          </a:prstGeom>
                          <a:noFill/>
                          <a:ln>
                            <a:noFill/>
                          </a:ln>
                        </pic:spPr>
                      </pic:pic>
                    </a:graphicData>
                  </a:graphic>
                </wp:inline>
              </w:drawing>
            </w:r>
          </w:p>
          <w:p>
            <w:pPr>
              <w:pStyle w:val="21"/>
              <w:rPr>
                <w:rFonts w:ascii="宋体" w:hAnsi="宋体" w:cs="宋体"/>
                <w:color w:val="auto"/>
                <w:sz w:val="21"/>
                <w:szCs w:val="21"/>
                <w:highlight w:val="none"/>
              </w:rPr>
            </w:pPr>
          </w:p>
          <w:p>
            <w:pPr>
              <w:ind w:firstLine="420" w:firstLineChars="200"/>
              <w:rPr>
                <w:rFonts w:ascii="宋体" w:hAnsi="宋体" w:eastAsia="宋体" w:cs="宋体"/>
                <w:color w:val="auto"/>
                <w:sz w:val="21"/>
                <w:szCs w:val="21"/>
              </w:rPr>
            </w:pPr>
            <w:r>
              <w:rPr>
                <w:rFonts w:hint="eastAsia" w:ascii="宋体" w:hAnsi="宋体" w:eastAsia="宋体" w:cs="宋体"/>
                <w:color w:val="auto"/>
                <w:sz w:val="21"/>
                <w:szCs w:val="21"/>
              </w:rPr>
              <w:t>(一)款式：</w:t>
            </w:r>
          </w:p>
          <w:p>
            <w:pPr>
              <w:ind w:firstLine="562" w:firstLineChars="200"/>
              <w:rPr>
                <w:rFonts w:ascii="宋体" w:hAnsi="宋体" w:eastAsia="宋体" w:cs="宋体"/>
                <w:color w:val="auto"/>
                <w:sz w:val="28"/>
                <w:szCs w:val="36"/>
              </w:rPr>
            </w:pPr>
            <w:r>
              <w:rPr>
                <w:rFonts w:hint="eastAsia" w:ascii="宋体" w:hAnsi="宋体" w:eastAsia="宋体" w:cs="宋体"/>
                <w:b/>
                <w:bCs/>
                <w:color w:val="auto"/>
                <w:sz w:val="28"/>
                <w:szCs w:val="36"/>
              </w:rPr>
              <w:drawing>
                <wp:inline distT="0" distB="0" distL="114300" distR="114300">
                  <wp:extent cx="2729230" cy="1871980"/>
                  <wp:effectExtent l="0" t="0" r="13970" b="13970"/>
                  <wp:docPr id="10" name="图片 4" descr="4e2a59154bd1f81f548da8bdba970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descr="4e2a59154bd1f81f548da8bdba970fa"/>
                          <pic:cNvPicPr>
                            <a:picLocks noChangeAspect="1"/>
                          </pic:cNvPicPr>
                        </pic:nvPicPr>
                        <pic:blipFill>
                          <a:blip r:embed="rId11"/>
                          <a:stretch>
                            <a:fillRect/>
                          </a:stretch>
                        </pic:blipFill>
                        <pic:spPr>
                          <a:xfrm>
                            <a:off x="0" y="0"/>
                            <a:ext cx="2729230" cy="187198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中款（中褛）款式，需按照人体曲线设计尺寸，立体裁剪，里面一体，领口为毛领翻领，并带有可拆卸防风薄棉帽、内胆。前中为防风拉链面抽上订有上下二个四合扣，两侧为斜插口袋，袖子袖口为直口，后片分割下摆为中间开叉订有二个四合扣，具有多功能、保暖、防寒、防风、舒适、美观大方等使用优点。按大、中、小实际需求制作，</w:t>
            </w:r>
            <w:r>
              <w:rPr>
                <w:rFonts w:hint="eastAsia" w:ascii="宋体" w:hAnsi="宋体" w:eastAsia="宋体" w:cs="宋体"/>
                <w:color w:val="0000FF"/>
                <w:sz w:val="21"/>
                <w:szCs w:val="21"/>
              </w:rPr>
              <w:t>单件重量≥1.2kg。</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(二)面料:</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1、颜色：藏青色</w:t>
            </w:r>
            <w:r>
              <w:rPr>
                <w:rFonts w:hint="eastAsia" w:ascii="宋体" w:hAnsi="宋体" w:cs="宋体"/>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0000FF"/>
                <w:sz w:val="21"/>
                <w:szCs w:val="21"/>
                <w:lang w:eastAsia="zh-CN"/>
              </w:rPr>
            </w:pPr>
            <w:r>
              <w:rPr>
                <w:rFonts w:hint="eastAsia" w:ascii="宋体" w:hAnsi="宋体" w:eastAsia="宋体" w:cs="宋体"/>
                <w:color w:val="0000FF"/>
                <w:sz w:val="21"/>
                <w:szCs w:val="21"/>
              </w:rPr>
              <w:t>2、成分含量:100%聚酯纤维、防水</w:t>
            </w:r>
            <w:r>
              <w:rPr>
                <w:rFonts w:hint="eastAsia" w:ascii="宋体" w:hAnsi="宋体" w:cs="宋体"/>
                <w:color w:val="0000FF"/>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0000FF"/>
                <w:sz w:val="21"/>
                <w:szCs w:val="21"/>
                <w:lang w:eastAsia="zh-CN"/>
              </w:rPr>
            </w:pPr>
            <w:r>
              <w:rPr>
                <w:rFonts w:hint="eastAsia" w:ascii="宋体" w:hAnsi="宋体" w:eastAsia="宋体" w:cs="宋体"/>
                <w:color w:val="0000FF"/>
                <w:sz w:val="21"/>
                <w:szCs w:val="21"/>
              </w:rPr>
              <w:t>3、甲醛含量:≤75mg/kg</w:t>
            </w:r>
            <w:r>
              <w:rPr>
                <w:rFonts w:hint="eastAsia" w:ascii="宋体" w:hAnsi="宋体" w:cs="宋体"/>
                <w:color w:val="0000FF"/>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0000FF"/>
                <w:sz w:val="21"/>
                <w:szCs w:val="21"/>
                <w:lang w:eastAsia="zh-CN"/>
              </w:rPr>
            </w:pPr>
            <w:r>
              <w:rPr>
                <w:rFonts w:hint="eastAsia" w:ascii="宋体" w:hAnsi="宋体" w:eastAsia="宋体" w:cs="宋体"/>
                <w:color w:val="0000FF"/>
                <w:sz w:val="21"/>
                <w:szCs w:val="21"/>
              </w:rPr>
              <w:t>4、PH值:4.0～8.5</w:t>
            </w:r>
            <w:r>
              <w:rPr>
                <w:rFonts w:hint="eastAsia" w:ascii="宋体" w:hAnsi="宋体" w:cs="宋体"/>
                <w:color w:val="0000FF"/>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0000FF"/>
                <w:sz w:val="21"/>
                <w:szCs w:val="21"/>
              </w:rPr>
              <w:t>5、禁用可分解致癌芳香胺染料</w:t>
            </w:r>
            <w:r>
              <w:rPr>
                <w:rFonts w:hint="eastAsia" w:ascii="宋体" w:hAnsi="宋体" w:cs="宋体"/>
                <w:color w:val="0000FF"/>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0000FF"/>
                <w:sz w:val="21"/>
                <w:szCs w:val="21"/>
                <w:lang w:eastAsia="zh-CN"/>
              </w:rPr>
            </w:pPr>
            <w:r>
              <w:rPr>
                <w:rFonts w:hint="eastAsia" w:ascii="宋体" w:hAnsi="宋体" w:eastAsia="宋体" w:cs="宋体"/>
                <w:color w:val="0000FF"/>
                <w:sz w:val="21"/>
                <w:szCs w:val="21"/>
              </w:rPr>
              <w:t>6、起毛起球:≥3～4级</w:t>
            </w:r>
            <w:r>
              <w:rPr>
                <w:rFonts w:hint="eastAsia" w:ascii="宋体" w:hAnsi="宋体" w:cs="宋体"/>
                <w:color w:val="0000FF"/>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0000FF"/>
                <w:sz w:val="21"/>
                <w:szCs w:val="21"/>
                <w:lang w:eastAsia="zh-CN"/>
              </w:rPr>
            </w:pPr>
            <w:r>
              <w:rPr>
                <w:rFonts w:hint="eastAsia" w:ascii="宋体" w:hAnsi="宋体" w:eastAsia="宋体" w:cs="宋体"/>
                <w:color w:val="0000FF"/>
                <w:sz w:val="21"/>
                <w:szCs w:val="21"/>
              </w:rPr>
              <w:t>7、缝纫针距:明线针距12-14针/3cm、暗线针距14-16针/3cm、绗缝针距不少于9针/3cm</w:t>
            </w:r>
            <w:r>
              <w:rPr>
                <w:rFonts w:hint="eastAsia" w:ascii="宋体" w:hAnsi="宋体" w:cs="宋体"/>
                <w:color w:val="0000FF"/>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0000FF"/>
                <w:sz w:val="21"/>
                <w:szCs w:val="21"/>
                <w:lang w:eastAsia="zh-CN"/>
              </w:rPr>
            </w:pPr>
            <w:r>
              <w:rPr>
                <w:rFonts w:hint="eastAsia" w:ascii="宋体" w:hAnsi="宋体" w:eastAsia="宋体" w:cs="宋体"/>
                <w:color w:val="0000FF"/>
                <w:sz w:val="21"/>
                <w:szCs w:val="21"/>
              </w:rPr>
              <w:t>8、耐光色牢度、耐摩擦色牢度、耐皂洗色牢度、耐水色牢度、耐汗渍色牢度:≥3～4；耐干洗色牢度≥4</w:t>
            </w:r>
            <w:r>
              <w:rPr>
                <w:rFonts w:hint="eastAsia" w:ascii="宋体" w:hAnsi="宋体" w:cs="宋体"/>
                <w:color w:val="0000FF"/>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0000FF"/>
                <w:sz w:val="21"/>
                <w:szCs w:val="21"/>
              </w:rPr>
            </w:pPr>
            <w:r>
              <w:rPr>
                <w:rFonts w:hint="eastAsia" w:ascii="宋体" w:hAnsi="宋体" w:eastAsia="宋体" w:cs="宋体"/>
                <w:color w:val="0000FF"/>
                <w:sz w:val="21"/>
                <w:szCs w:val="21"/>
              </w:rPr>
              <w:t>9、符合GB 18401-2010《国家纺织产品基本安全技术规范》、GB/T2662-2017《棉服装》标准一等品。</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(三)里料:</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1、颜色：藏青色</w:t>
            </w:r>
            <w:r>
              <w:rPr>
                <w:rFonts w:hint="eastAsia" w:ascii="宋体" w:hAnsi="宋体" w:eastAsia="宋体" w:cs="宋体"/>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0000FF"/>
                <w:sz w:val="21"/>
                <w:szCs w:val="21"/>
                <w:lang w:eastAsia="zh-CN"/>
              </w:rPr>
            </w:pPr>
            <w:r>
              <w:rPr>
                <w:rFonts w:hint="eastAsia" w:ascii="宋体" w:hAnsi="宋体" w:eastAsia="宋体" w:cs="宋体"/>
                <w:color w:val="0000FF"/>
                <w:sz w:val="21"/>
                <w:szCs w:val="21"/>
              </w:rPr>
              <w:t>2、成分含量:100%聚酯纤维</w:t>
            </w:r>
            <w:r>
              <w:rPr>
                <w:rFonts w:hint="eastAsia" w:ascii="宋体" w:hAnsi="宋体" w:eastAsia="宋体" w:cs="宋体"/>
                <w:color w:val="0000FF"/>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0000FF"/>
                <w:sz w:val="21"/>
                <w:szCs w:val="21"/>
                <w:lang w:eastAsia="zh-CN"/>
              </w:rPr>
            </w:pPr>
            <w:r>
              <w:rPr>
                <w:rFonts w:hint="eastAsia" w:ascii="宋体" w:hAnsi="宋体" w:eastAsia="宋体" w:cs="宋体"/>
                <w:color w:val="0000FF"/>
                <w:sz w:val="21"/>
                <w:szCs w:val="21"/>
              </w:rPr>
              <w:t>3、甲醛含量:≤75mg/kg</w:t>
            </w:r>
            <w:r>
              <w:rPr>
                <w:rFonts w:hint="eastAsia" w:ascii="宋体" w:hAnsi="宋体" w:eastAsia="宋体" w:cs="宋体"/>
                <w:color w:val="0000FF"/>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0000FF"/>
                <w:sz w:val="21"/>
                <w:szCs w:val="21"/>
                <w:lang w:eastAsia="zh-CN"/>
              </w:rPr>
            </w:pPr>
            <w:r>
              <w:rPr>
                <w:rFonts w:hint="eastAsia" w:ascii="宋体" w:hAnsi="宋体" w:eastAsia="宋体" w:cs="宋体"/>
                <w:color w:val="0000FF"/>
                <w:sz w:val="21"/>
                <w:szCs w:val="21"/>
              </w:rPr>
              <w:t>4、PH值:4.0～8.5</w:t>
            </w:r>
            <w:r>
              <w:rPr>
                <w:rFonts w:hint="eastAsia" w:ascii="宋体" w:hAnsi="宋体" w:eastAsia="宋体" w:cs="宋体"/>
                <w:color w:val="0000FF"/>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0000FF"/>
                <w:sz w:val="21"/>
                <w:szCs w:val="21"/>
                <w:lang w:eastAsia="zh-CN"/>
              </w:rPr>
            </w:pPr>
            <w:r>
              <w:rPr>
                <w:rFonts w:hint="eastAsia" w:ascii="宋体" w:hAnsi="宋体" w:eastAsia="宋体" w:cs="宋体"/>
                <w:color w:val="0000FF"/>
                <w:sz w:val="21"/>
                <w:szCs w:val="21"/>
              </w:rPr>
              <w:t>5、耐皂洗色牢度、耐水色牢度、耐汗渍色牢度:≥3级；耐干摩擦色牢度≥3～4级</w:t>
            </w:r>
            <w:r>
              <w:rPr>
                <w:rFonts w:hint="eastAsia" w:ascii="宋体" w:hAnsi="宋体" w:eastAsia="宋体" w:cs="宋体"/>
                <w:color w:val="0000FF"/>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0000FF"/>
                <w:sz w:val="21"/>
                <w:szCs w:val="21"/>
              </w:rPr>
            </w:pPr>
            <w:r>
              <w:rPr>
                <w:rFonts w:hint="eastAsia" w:ascii="宋体" w:hAnsi="宋体" w:eastAsia="宋体" w:cs="宋体"/>
                <w:color w:val="0000FF"/>
                <w:sz w:val="21"/>
                <w:szCs w:val="21"/>
              </w:rPr>
              <w:t>6、符合 GB 18401-2010《国家纺织产品基本安全技术规范》、GB/T2662-2017《棉服装》标准一等品。</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(四)填充物:</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0000FF"/>
                <w:sz w:val="21"/>
                <w:szCs w:val="21"/>
              </w:rPr>
            </w:pPr>
            <w:r>
              <w:rPr>
                <w:rFonts w:hint="eastAsia" w:ascii="宋体" w:hAnsi="宋体" w:eastAsia="宋体" w:cs="宋体"/>
                <w:color w:val="0000FF"/>
                <w:sz w:val="21"/>
                <w:szCs w:val="21"/>
              </w:rPr>
              <w:t>1、成分含量:100%聚酯纤维</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0000FF"/>
                <w:sz w:val="21"/>
                <w:szCs w:val="21"/>
              </w:rPr>
            </w:pPr>
            <w:r>
              <w:rPr>
                <w:rFonts w:hint="eastAsia" w:ascii="宋体" w:hAnsi="宋体" w:eastAsia="宋体" w:cs="宋体"/>
                <w:color w:val="0000FF"/>
                <w:sz w:val="21"/>
                <w:szCs w:val="21"/>
              </w:rPr>
              <w:t>2、符合GB 18401-2010《国家纺织产品基本安全技术规范》、GB/T2662-2017《棉服装》标准一等品。</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 w:val="21"/>
                <w:szCs w:val="21"/>
                <w:highlight w:val="none"/>
              </w:rPr>
            </w:pPr>
            <w:r>
              <w:rPr>
                <w:rFonts w:hint="eastAsia" w:ascii="宋体" w:hAnsi="宋体" w:eastAsia="宋体" w:cs="宋体"/>
                <w:color w:val="0000FF"/>
                <w:sz w:val="21"/>
                <w:szCs w:val="21"/>
              </w:rPr>
              <w:t>3、内胆采用绗缝。</w:t>
            </w:r>
          </w:p>
        </w:tc>
        <w:tc>
          <w:tcPr>
            <w:tcW w:w="1024" w:type="dxa"/>
            <w:tcBorders>
              <w:top w:val="single" w:color="auto" w:sz="4" w:space="0"/>
              <w:left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rPr>
              <w:t>117</w:t>
            </w:r>
            <w:r>
              <w:rPr>
                <w:rFonts w:hint="eastAsia" w:ascii="宋体" w:hAnsi="宋体" w:cs="宋体"/>
                <w:color w:val="auto"/>
                <w:sz w:val="21"/>
                <w:szCs w:val="21"/>
                <w:highlight w:val="none"/>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6" w:type="dxa"/>
            <w:tcBorders>
              <w:top w:val="single" w:color="auto" w:sz="4" w:space="0"/>
              <w:left w:val="single" w:color="auto" w:sz="4" w:space="0"/>
              <w:bottom w:val="single" w:color="auto" w:sz="4" w:space="0"/>
              <w:right w:val="single" w:color="auto" w:sz="4" w:space="0"/>
            </w:tcBorders>
            <w:noWrap/>
            <w:vAlign w:val="center"/>
          </w:tcPr>
          <w:p>
            <w:pPr>
              <w:pStyle w:val="21"/>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宋体" w:hAnsi="宋体" w:cs="宋体"/>
                <w:color w:val="auto"/>
                <w:sz w:val="21"/>
                <w:szCs w:val="21"/>
                <w:highlight w:val="none"/>
              </w:rPr>
            </w:pPr>
            <w:r>
              <w:rPr>
                <w:rFonts w:hint="eastAsia" w:ascii="宋体" w:hAnsi="宋体" w:cs="宋体"/>
                <w:b/>
                <w:bCs/>
                <w:color w:val="auto"/>
                <w:sz w:val="21"/>
                <w:szCs w:val="21"/>
                <w:highlight w:val="none"/>
              </w:rPr>
              <w:t>商务条款</w:t>
            </w:r>
          </w:p>
        </w:tc>
        <w:tc>
          <w:tcPr>
            <w:tcW w:w="9386" w:type="dxa"/>
            <w:gridSpan w:val="5"/>
            <w:tcBorders>
              <w:top w:val="single" w:color="auto" w:sz="4" w:space="0"/>
              <w:left w:val="nil"/>
              <w:bottom w:val="single" w:color="auto" w:sz="4" w:space="0"/>
              <w:right w:val="single" w:color="auto" w:sz="4" w:space="0"/>
            </w:tcBorders>
            <w:noWrap/>
            <w:vAlign w:val="center"/>
          </w:tcPr>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一、合同签订时间：</w:t>
            </w:r>
            <w:r>
              <w:rPr>
                <w:rFonts w:hint="eastAsia" w:ascii="宋体" w:hAnsi="宋体" w:eastAsia="宋体" w:cs="宋体"/>
                <w:color w:val="auto"/>
                <w:sz w:val="21"/>
                <w:szCs w:val="21"/>
              </w:rPr>
              <w:t>自中标通知书发出之日起</w:t>
            </w:r>
            <w:r>
              <w:rPr>
                <w:rFonts w:hint="eastAsia" w:ascii="宋体" w:hAnsi="宋体" w:cs="宋体"/>
                <w:color w:val="auto"/>
                <w:sz w:val="21"/>
                <w:szCs w:val="21"/>
                <w:lang w:val="en-US" w:eastAsia="zh-CN"/>
              </w:rPr>
              <w:t>15</w:t>
            </w:r>
            <w:r>
              <w:rPr>
                <w:rFonts w:hint="eastAsia" w:ascii="宋体" w:hAnsi="宋体" w:eastAsia="宋体" w:cs="宋体"/>
                <w:color w:val="auto"/>
                <w:sz w:val="21"/>
                <w:szCs w:val="21"/>
              </w:rPr>
              <w:t>个日历日内。</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二、交货时间及地点：</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交货时间：自合同签订之日起</w:t>
            </w:r>
            <w:r>
              <w:rPr>
                <w:rFonts w:hint="eastAsia" w:ascii="宋体" w:hAnsi="宋体" w:cs="宋体"/>
                <w:color w:val="auto"/>
                <w:sz w:val="21"/>
                <w:szCs w:val="21"/>
                <w:highlight w:val="none"/>
                <w:lang w:val="en-US" w:eastAsia="zh-CN"/>
              </w:rPr>
              <w:t>30</w:t>
            </w:r>
            <w:r>
              <w:rPr>
                <w:rFonts w:hint="eastAsia" w:ascii="宋体" w:hAnsi="宋体" w:eastAsia="宋体" w:cs="宋体"/>
                <w:color w:val="auto"/>
                <w:sz w:val="21"/>
                <w:szCs w:val="21"/>
                <w:highlight w:val="none"/>
                <w:lang w:val="en-US" w:eastAsia="zh-CN"/>
              </w:rPr>
              <w:t>日内交货完毕。</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交货地点：广西区内采购人指定地点。</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三、付款方式：</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采购人通过银行转账方式向乙方支付合同款，具体付款方式为：</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中标人在签订合同之前，5个工作日内，按中标金额的5%，足额提交履约保证金，即可签订采购合同。未提交履约保证金的，不予签订合同。履约保证金在项目履约完成后</w:t>
            </w:r>
            <w:r>
              <w:rPr>
                <w:rFonts w:hint="eastAsia" w:ascii="宋体" w:hAnsi="宋体" w:cs="宋体"/>
                <w:color w:val="auto"/>
                <w:sz w:val="21"/>
                <w:szCs w:val="21"/>
                <w:highlight w:val="none"/>
                <w:lang w:val="en-US" w:eastAsia="zh-CN"/>
              </w:rPr>
              <w:t>5个工作日</w:t>
            </w:r>
            <w:r>
              <w:rPr>
                <w:rFonts w:hint="eastAsia" w:ascii="宋体" w:hAnsi="宋体" w:eastAsia="宋体" w:cs="宋体"/>
                <w:color w:val="auto"/>
                <w:sz w:val="21"/>
                <w:szCs w:val="21"/>
                <w:highlight w:val="none"/>
                <w:lang w:val="en-US" w:eastAsia="zh-CN"/>
              </w:rPr>
              <w:t>内无息退还。中标货物由中小企业制造，即货物由中小企业生产且使用该中小企业商号或者注册商标的（提供有合格的《中小企业声明函》），按中标金额的</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提交</w:t>
            </w:r>
            <w:r>
              <w:rPr>
                <w:rFonts w:hint="eastAsia" w:ascii="宋体" w:hAnsi="宋体" w:eastAsia="宋体" w:cs="宋体"/>
                <w:color w:val="auto"/>
                <w:sz w:val="21"/>
                <w:szCs w:val="21"/>
                <w:highlight w:val="none"/>
                <w:lang w:val="en-US" w:eastAsia="zh-CN"/>
              </w:rPr>
              <w:t>。</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所有货物全部到货且验收合格后10个工作日内，由中标人提供验收入库单及开具符合国家规定的发票向采购人申请一次性支付中标人全额合同货款。</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四、售后服务：</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按国家有关产品“三包”规定执行“三包”。采购范围内的货物在验收合格后</w:t>
            </w:r>
            <w:r>
              <w:rPr>
                <w:rFonts w:hint="eastAsia" w:ascii="宋体" w:hAnsi="宋体" w:cs="宋体"/>
                <w:color w:val="auto"/>
                <w:sz w:val="21"/>
                <w:szCs w:val="21"/>
                <w:highlight w:val="none"/>
                <w:lang w:val="en-US" w:eastAsia="zh-CN"/>
              </w:rPr>
              <w:t>90天</w:t>
            </w:r>
            <w:r>
              <w:rPr>
                <w:rFonts w:hint="eastAsia" w:ascii="宋体" w:hAnsi="宋体" w:eastAsia="宋体" w:cs="宋体"/>
                <w:color w:val="auto"/>
                <w:sz w:val="21"/>
                <w:szCs w:val="21"/>
                <w:highlight w:val="none"/>
                <w:lang w:val="en-US" w:eastAsia="zh-CN"/>
              </w:rPr>
              <w:t>内出现质量问题，</w:t>
            </w:r>
            <w:r>
              <w:rPr>
                <w:rFonts w:hint="eastAsia" w:ascii="宋体" w:hAnsi="宋体" w:cs="宋体"/>
                <w:color w:val="auto"/>
                <w:sz w:val="21"/>
                <w:szCs w:val="21"/>
                <w:highlight w:val="none"/>
                <w:lang w:val="en-US" w:eastAsia="zh-CN"/>
              </w:rPr>
              <w:t>售后响应时间在4小时以内，中标供应商保证在接到通知72小时内赶到现场,</w:t>
            </w:r>
            <w:r>
              <w:rPr>
                <w:rFonts w:hint="eastAsia" w:ascii="宋体" w:hAnsi="宋体" w:eastAsia="宋体" w:cs="宋体"/>
                <w:color w:val="auto"/>
                <w:sz w:val="21"/>
                <w:szCs w:val="21"/>
                <w:highlight w:val="none"/>
                <w:lang w:val="en-US" w:eastAsia="zh-CN"/>
              </w:rPr>
              <w:t>由中标供应商无条件免费进行更换。</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2、负责送货到采购人指定地点。</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五、验收要求</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（一）</w:t>
            </w:r>
            <w:r>
              <w:rPr>
                <w:rFonts w:hint="eastAsia" w:ascii="宋体" w:hAnsi="宋体" w:eastAsia="宋体" w:cs="宋体"/>
                <w:color w:val="auto"/>
                <w:sz w:val="21"/>
                <w:szCs w:val="21"/>
                <w:highlight w:val="none"/>
                <w:lang w:val="en-US" w:eastAsia="zh-CN"/>
              </w:rPr>
              <w:t>验收总体要求：</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1、中标人应随货提供货物合格的检验报告（由具备国家认可的有资质的第三方检测机构出具），经采购人认可后，与</w:t>
            </w:r>
            <w:r>
              <w:rPr>
                <w:rFonts w:hint="eastAsia" w:ascii="宋体" w:hAnsi="宋体" w:cs="宋体"/>
                <w:color w:val="auto"/>
                <w:sz w:val="21"/>
                <w:szCs w:val="21"/>
                <w:highlight w:val="none"/>
                <w:lang w:val="en-US" w:eastAsia="zh-CN"/>
              </w:rPr>
              <w:t>招标文件、投标文件、中标样品</w:t>
            </w:r>
            <w:r>
              <w:rPr>
                <w:rFonts w:hint="eastAsia" w:ascii="宋体" w:hAnsi="宋体" w:eastAsia="宋体" w:cs="宋体"/>
                <w:color w:val="auto"/>
                <w:sz w:val="21"/>
                <w:szCs w:val="21"/>
                <w:highlight w:val="none"/>
                <w:lang w:val="en-US" w:eastAsia="zh-CN"/>
              </w:rPr>
              <w:t>的性能指标一起作为货物验收标准</w:t>
            </w:r>
            <w:r>
              <w:rPr>
                <w:rFonts w:hint="eastAsia" w:ascii="宋体" w:hAnsi="宋体" w:cs="宋体"/>
                <w:color w:val="auto"/>
                <w:sz w:val="21"/>
                <w:szCs w:val="21"/>
                <w:highlight w:val="none"/>
                <w:lang w:val="en-US" w:eastAsia="zh-CN"/>
              </w:rPr>
              <w:t>，中标人</w:t>
            </w:r>
            <w:r>
              <w:rPr>
                <w:rFonts w:hint="eastAsia" w:ascii="宋体" w:hAnsi="宋体" w:eastAsia="宋体" w:cs="宋体"/>
                <w:color w:val="auto"/>
                <w:sz w:val="21"/>
                <w:szCs w:val="21"/>
                <w:highlight w:val="none"/>
                <w:lang w:val="en-US" w:eastAsia="zh-CN"/>
              </w:rPr>
              <w:t>交付的货物</w:t>
            </w:r>
            <w:r>
              <w:rPr>
                <w:rFonts w:hint="eastAsia"/>
                <w:color w:val="auto"/>
                <w:sz w:val="21"/>
                <w:szCs w:val="21"/>
                <w:lang w:val="en-US" w:eastAsia="zh-CN"/>
              </w:rPr>
              <w:t>与样品一致</w:t>
            </w:r>
            <w:r>
              <w:rPr>
                <w:rFonts w:hint="eastAsia"/>
                <w:color w:val="auto"/>
                <w:lang w:val="en-US" w:eastAsia="zh-CN"/>
              </w:rPr>
              <w:t>，</w:t>
            </w:r>
            <w:r>
              <w:rPr>
                <w:rFonts w:hint="eastAsia" w:ascii="宋体" w:hAnsi="宋体" w:cs="宋体"/>
                <w:color w:val="auto"/>
                <w:sz w:val="21"/>
                <w:szCs w:val="21"/>
                <w:highlight w:val="none"/>
                <w:lang w:val="en-US" w:eastAsia="zh-CN"/>
              </w:rPr>
              <w:t>招标文件、投标文件、中标样品</w:t>
            </w:r>
            <w:r>
              <w:rPr>
                <w:rFonts w:hint="eastAsia" w:ascii="宋体" w:hAnsi="宋体" w:eastAsia="宋体" w:cs="宋体"/>
                <w:color w:val="auto"/>
                <w:sz w:val="21"/>
                <w:szCs w:val="21"/>
                <w:highlight w:val="none"/>
                <w:lang w:val="en-US" w:eastAsia="zh-CN"/>
              </w:rPr>
              <w:t>的性能指标</w:t>
            </w:r>
            <w:r>
              <w:rPr>
                <w:rFonts w:hint="eastAsia" w:ascii="宋体" w:hAnsi="宋体" w:cs="宋体"/>
                <w:color w:val="auto"/>
                <w:sz w:val="21"/>
                <w:szCs w:val="21"/>
                <w:highlight w:val="none"/>
                <w:lang w:val="en-US" w:eastAsia="zh-CN"/>
              </w:rPr>
              <w:t>不一致时以最优的性能指标为准</w:t>
            </w:r>
            <w:r>
              <w:rPr>
                <w:rFonts w:hint="eastAsia" w:ascii="宋体" w:hAnsi="宋体" w:eastAsia="宋体" w:cs="宋体"/>
                <w:color w:val="auto"/>
                <w:sz w:val="21"/>
                <w:szCs w:val="21"/>
                <w:highlight w:val="none"/>
                <w:lang w:val="en-US" w:eastAsia="zh-CN"/>
              </w:rPr>
              <w:t>，采购人委托具备国家认可的有资质的第三方检测机构进行抽检并出具检验报告，符合中标人投标文件</w:t>
            </w:r>
            <w:r>
              <w:rPr>
                <w:rFonts w:hint="eastAsia" w:ascii="宋体" w:hAnsi="宋体" w:cs="宋体"/>
                <w:color w:val="auto"/>
                <w:sz w:val="21"/>
                <w:szCs w:val="21"/>
                <w:highlight w:val="none"/>
                <w:lang w:val="en-US" w:eastAsia="zh-CN"/>
              </w:rPr>
              <w:t>、中标样品</w:t>
            </w:r>
            <w:r>
              <w:rPr>
                <w:rFonts w:hint="eastAsia" w:ascii="宋体" w:hAnsi="宋体" w:eastAsia="宋体" w:cs="宋体"/>
                <w:color w:val="auto"/>
                <w:sz w:val="21"/>
                <w:szCs w:val="21"/>
                <w:highlight w:val="none"/>
                <w:lang w:val="en-US" w:eastAsia="zh-CN"/>
              </w:rPr>
              <w:t>及承诺的，给予验收，不符合中标人投标文件及承诺的，不予验收。</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如实际供货参数与投标响应参数不一致的，采购人与中标人双方如对质量要求和技术指标的约定标准有相互抵触或异议的事项，须以中标人投标响应参数为准，中标人须限时整改，整改后仍不满足投标响应承诺</w:t>
            </w:r>
            <w:r>
              <w:rPr>
                <w:rFonts w:hint="eastAsia" w:ascii="宋体" w:hAnsi="宋体" w:cs="宋体"/>
                <w:color w:val="auto"/>
                <w:sz w:val="21"/>
                <w:szCs w:val="21"/>
                <w:highlight w:val="none"/>
                <w:lang w:val="en-US" w:eastAsia="zh-CN"/>
              </w:rPr>
              <w:t>、中标样品</w:t>
            </w:r>
            <w:r>
              <w:rPr>
                <w:rFonts w:hint="eastAsia" w:ascii="宋体" w:hAnsi="宋体" w:eastAsia="宋体" w:cs="宋体"/>
                <w:color w:val="auto"/>
                <w:sz w:val="21"/>
                <w:szCs w:val="21"/>
                <w:highlight w:val="none"/>
                <w:lang w:val="en-US" w:eastAsia="zh-CN"/>
              </w:rPr>
              <w:t xml:space="preserve">的，可判定为验收不合格，采购人有权按中标人不履约的相关规定进行处罚。 </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3、采购人对货物进行初步验收及具备国家认可的有资质的第三方检测机构抽检合格后，双方共同签署验收合格入库单。 </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（二）验收具体要求： </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1、所有供货产品的检验标准应符合“技术要求”表参数中的执行标准等相关技术标准。 </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2、验收入库： </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①货物送达经采购人组织初步验收，初步验收包括数量、外观检测和产品质检报告（由具备国家认可的有资质的第三方检测机构出具）审核。初验不合格的，采购人有权拒绝接收货物，因退还货物产生的风险及全部费用由中标人自行承担。 </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②初步验收通过后，由采购人委托具备国家认可的有资质的第三方检测机构抽查检验并出具检验报告。第三方检验机构抽查检验费用由中标人承担。</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③经第三方检测机构抽查检验合格后,进行正式验收入库。 </w:t>
            </w:r>
          </w:p>
          <w:p>
            <w:pPr>
              <w:pStyle w:val="21"/>
              <w:keepNext w:val="0"/>
              <w:keepLines w:val="0"/>
              <w:pageBreakBefore w:val="0"/>
              <w:widowControl w:val="0"/>
              <w:numPr>
                <w:ilvl w:val="0"/>
                <w:numId w:val="0"/>
              </w:numPr>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lang w:val="en-US" w:eastAsia="zh-CN" w:bidi="ar-SA"/>
              </w:rPr>
              <w:t>3、</w:t>
            </w:r>
            <w:r>
              <w:rPr>
                <w:rFonts w:hint="eastAsia" w:ascii="宋体" w:hAnsi="宋体" w:eastAsia="宋体" w:cs="宋体"/>
                <w:color w:val="auto"/>
                <w:sz w:val="21"/>
                <w:szCs w:val="21"/>
                <w:highlight w:val="none"/>
                <w:lang w:val="en-US" w:eastAsia="zh-CN"/>
              </w:rPr>
              <w:t xml:space="preserve">中标人所交付的货物经有具备国家认可的有资质的第三方检测机构检验不合格的，采购人有权直接退货，中标人要在接到采购人的通知后 10 日内把货物搬离暂存地点，因搬离货物产生的风险及全部费用由中标人自行承担。 </w:t>
            </w:r>
          </w:p>
          <w:p>
            <w:pPr>
              <w:pStyle w:val="21"/>
              <w:keepNext w:val="0"/>
              <w:keepLines w:val="0"/>
              <w:pageBreakBefore w:val="0"/>
              <w:widowControl w:val="0"/>
              <w:numPr>
                <w:ilvl w:val="0"/>
                <w:numId w:val="0"/>
              </w:numPr>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4、产品未验收入库前，因存储出现质量等问题，由中标人自行承担，采购人不承担任何责任；因存储期超过 25 天以上且产品检验为不合格的，采购人有权利收取一定超期仓储占用费。 </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、其他未尽事宜应严格按照《关于印发广西壮族自治区政府采购项目履约验收管理办法的通知》 [桂财采〔2015〕22 号]以及《财政部关于进一步加强政府采购需求和履约验收管理的指导意见》[财库〔2016〕205 号]规定执行。</w:t>
            </w:r>
          </w:p>
          <w:p>
            <w:pPr>
              <w:rPr>
                <w:rFonts w:hint="eastAsia"/>
                <w:color w:val="auto"/>
              </w:rPr>
            </w:pPr>
            <w:r>
              <w:rPr>
                <w:rFonts w:hint="eastAsia" w:ascii="宋体" w:hAnsi="宋体" w:eastAsia="宋体" w:cs="宋体"/>
                <w:color w:val="auto"/>
                <w:sz w:val="21"/>
                <w:szCs w:val="21"/>
                <w:lang w:val="en-US" w:eastAsia="zh-CN"/>
              </w:rPr>
              <w:t>▲</w:t>
            </w:r>
            <w:r>
              <w:rPr>
                <w:rFonts w:hint="eastAsia" w:ascii="宋体" w:hAnsi="宋体" w:cs="宋体"/>
                <w:color w:val="auto"/>
                <w:sz w:val="21"/>
                <w:szCs w:val="21"/>
                <w:highlight w:val="none"/>
                <w:lang w:val="en-US" w:eastAsia="zh-CN"/>
              </w:rPr>
              <w:t>六、交货及包装要求</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asciiTheme="minorHAnsi" w:hAnsiTheme="minorHAnsi" w:eastAsiaTheme="minorEastAsia" w:cstheme="minorBidi"/>
                <w:color w:val="auto"/>
                <w:kern w:val="2"/>
                <w:sz w:val="21"/>
                <w:szCs w:val="24"/>
                <w:lang w:val="en-US" w:eastAsia="zh-CN" w:bidi="ar-SA"/>
              </w:rPr>
              <w:t>1、</w:t>
            </w:r>
            <w:r>
              <w:rPr>
                <w:rFonts w:hint="eastAsia"/>
                <w:color w:val="auto"/>
              </w:rPr>
              <w:t xml:space="preserve">交货要求：中标人免费送货上门。按包装相关条款要求交货，中标人应保证所提供的货物是全新的、未使用过的，并完全符合招标文件规定的技术指标、质量、规格要求及中标人投标文件及承诺，如实际供货参数与投标响应参数不一致的，验收不通过采购人有权退货。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2、包装要求：</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lang w:val="en-US" w:eastAsia="zh-CN"/>
              </w:rPr>
              <w:t>1）</w:t>
            </w:r>
            <w:r>
              <w:rPr>
                <w:rFonts w:hint="eastAsia"/>
                <w:color w:val="auto"/>
              </w:rPr>
              <w:t>包装要求：单件产品应单独有塑料袋包装；打包件内包装应有内薄膜袋；外包装袋应具备较好防雨性能。包装规格、版面设计等需经采购人确认。</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lang w:val="en-US" w:eastAsia="zh-CN"/>
              </w:rPr>
              <w:t>2</w:t>
            </w:r>
            <w:r>
              <w:rPr>
                <w:rFonts w:hint="eastAsia"/>
                <w:color w:val="auto"/>
              </w:rPr>
              <w:t>）外包印制标识：按应急救灾物资标识推广使用指南印制，如图所示：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eastAsia="宋体"/>
                <w:color w:val="auto"/>
                <w:lang w:val="en-US" w:eastAsia="zh-CN"/>
              </w:rPr>
            </w:pPr>
            <w:r>
              <w:rPr>
                <w:rFonts w:hint="default"/>
                <w:color w:val="auto"/>
                <w:lang w:val="en-US"/>
              </w:rPr>
              <w:drawing>
                <wp:anchor distT="0" distB="0" distL="114300" distR="114300" simplePos="0" relativeHeight="251662336" behindDoc="0" locked="0" layoutInCell="1" allowOverlap="1">
                  <wp:simplePos x="0" y="0"/>
                  <wp:positionH relativeFrom="column">
                    <wp:posOffset>-20320</wp:posOffset>
                  </wp:positionH>
                  <wp:positionV relativeFrom="paragraph">
                    <wp:posOffset>132080</wp:posOffset>
                  </wp:positionV>
                  <wp:extent cx="1964690" cy="2268220"/>
                  <wp:effectExtent l="0" t="0" r="1270" b="2540"/>
                  <wp:wrapSquare wrapText="bothSides"/>
                  <wp:docPr id="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
                          <pic:cNvPicPr>
                            <a:picLocks noChangeAspect="1"/>
                          </pic:cNvPicPr>
                        </pic:nvPicPr>
                        <pic:blipFill>
                          <a:blip r:embed="rId8"/>
                          <a:stretch>
                            <a:fillRect/>
                          </a:stretch>
                        </pic:blipFill>
                        <pic:spPr>
                          <a:xfrm>
                            <a:off x="0" y="0"/>
                            <a:ext cx="1964690" cy="2268220"/>
                          </a:xfrm>
                          <a:prstGeom prst="rect">
                            <a:avLst/>
                          </a:prstGeom>
                          <a:noFill/>
                          <a:ln>
                            <a:noFill/>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color w:val="auto"/>
                <w:lang w:val="en-US"/>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color w:val="auto"/>
                <w:lang w:val="en-US"/>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color w:val="auto"/>
                <w:lang w:val="en-US"/>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color w:val="auto"/>
                <w:lang w:val="en-US"/>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color w:val="auto"/>
                <w:lang w:val="en-US"/>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color w:val="auto"/>
                <w:lang w:val="en-US"/>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color w:val="auto"/>
                <w:lang w:val="en-US"/>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color w:val="auto"/>
                <w:lang w:val="en-US"/>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color w:val="auto"/>
                <w:lang w:val="en-US"/>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color w:val="auto"/>
                <w:lang w:val="en-US"/>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lang w:val="en-US" w:eastAsia="zh-CN"/>
              </w:rPr>
              <w:t>3</w:t>
            </w:r>
            <w:r>
              <w:rPr>
                <w:rFonts w:hint="eastAsia"/>
                <w:color w:val="auto"/>
              </w:rPr>
              <w:t>）、内包装</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szCs w:val="21"/>
              </w:rPr>
            </w:pPr>
            <w:r>
              <w:rPr>
                <w:rFonts w:hint="eastAsia" w:ascii="宋体" w:hAnsi="宋体" w:eastAsia="宋体" w:cs="宋体"/>
                <w:color w:val="auto"/>
                <w:sz w:val="21"/>
                <w:szCs w:val="21"/>
                <w:highlight w:val="none"/>
              </w:rPr>
              <w:t>整叠、装袋</w:t>
            </w:r>
            <w:r>
              <w:rPr>
                <w:rFonts w:hint="eastAsia" w:ascii="宋体" w:hAnsi="宋体" w:cs="宋体"/>
                <w:color w:val="auto"/>
                <w:sz w:val="21"/>
                <w:szCs w:val="21"/>
                <w:highlight w:val="none"/>
                <w:lang w:eastAsia="zh-CN"/>
              </w:rPr>
              <w:t>：</w:t>
            </w:r>
          </w:p>
          <w:p>
            <w:pPr>
              <w:spacing w:line="360" w:lineRule="auto"/>
              <w:rPr>
                <w:rFonts w:hint="eastAsia" w:ascii="宋体" w:hAnsi="宋体" w:eastAsia="宋体" w:cs="宋体"/>
                <w:color w:val="auto"/>
                <w:sz w:val="21"/>
                <w:szCs w:val="21"/>
                <w:highlight w:val="none"/>
                <w:lang w:val="en-US" w:eastAsia="zh-CN"/>
              </w:rPr>
            </w:pPr>
            <w:r>
              <w:rPr>
                <w:rFonts w:hint="eastAsia"/>
                <w:color w:val="auto"/>
              </w:rPr>
              <w:t>大衣内胆、风帽、绒领与外装组合。袖子折向后背，风帽平铺于后身，领绒整理平服，前身向后对折。整叠后，每件装入一个塑料袋，由包装挤压设备挤出袋内空气，立即用热熔封口机封住袋口，密封牢固。挤压程度以纸箱高度和装箱数量相适宜为准，挤压时注意避免绒领压皱和压坏拉链、扣子。</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lang w:val="en-US" w:eastAsia="zh-CN"/>
              </w:rPr>
              <w:t>4</w:t>
            </w:r>
            <w:r>
              <w:rPr>
                <w:rFonts w:hint="eastAsia"/>
                <w:color w:val="auto"/>
              </w:rPr>
              <w:t>）、外包装</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（1）纸箱</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外包装采用纸箱包装方式，纸箱应符合 GJB1109A瓦楞纸箱的相关规定，参考尺寸为长 800mm×宽 600mm×高 380mm,根据实际可适当调整尺寸。纸箱材料：五层抗压纸箱；纸箱厚度：6.5MM；材料面纸：高克重优质牛卡+B坑 140 高瓦+芯纸优质牛卡+C 坑 140 高瓦+底纸 高克重优质牛卡。</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（2）装箱</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棉大衣每箱10件。配号包装，每箱内大号</w:t>
            </w:r>
            <w:r>
              <w:rPr>
                <w:rFonts w:hint="eastAsia"/>
                <w:color w:val="auto"/>
                <w:lang w:val="en-US" w:eastAsia="zh-CN"/>
              </w:rPr>
              <w:t>2</w:t>
            </w:r>
            <w:r>
              <w:rPr>
                <w:rFonts w:hint="eastAsia"/>
                <w:color w:val="auto"/>
              </w:rPr>
              <w:t>件</w:t>
            </w:r>
            <w:r>
              <w:rPr>
                <w:rFonts w:hint="eastAsia"/>
                <w:color w:val="auto"/>
                <w:lang w:eastAsia="zh-CN"/>
              </w:rPr>
              <w:t>、</w:t>
            </w:r>
            <w:r>
              <w:rPr>
                <w:rFonts w:hint="eastAsia"/>
                <w:color w:val="auto"/>
              </w:rPr>
              <w:t>中号5件</w:t>
            </w:r>
            <w:r>
              <w:rPr>
                <w:rFonts w:hint="eastAsia"/>
                <w:color w:val="auto"/>
                <w:lang w:eastAsia="zh-CN"/>
              </w:rPr>
              <w:t>、</w:t>
            </w:r>
            <w:r>
              <w:rPr>
                <w:rFonts w:hint="eastAsia"/>
                <w:color w:val="auto"/>
              </w:rPr>
              <w:t>小号</w:t>
            </w:r>
            <w:r>
              <w:rPr>
                <w:rFonts w:hint="eastAsia"/>
                <w:color w:val="auto"/>
                <w:lang w:val="en-US" w:eastAsia="zh-CN"/>
              </w:rPr>
              <w:t>3</w:t>
            </w:r>
            <w:r>
              <w:rPr>
                <w:rFonts w:hint="eastAsia"/>
                <w:color w:val="auto"/>
              </w:rPr>
              <w:t>件。箱顶应放入“检验单”，其中“检验单”、“产品名称”、“数量和号型”、“生产日期”、“检验人员”、“承制单位名称”标题为黑体字，其他为宋体字。检验单尺寸为 B5 纸的 1/4，字体大小适宜。样式见示例</w:t>
            </w:r>
            <w:r>
              <w:rPr>
                <w:rFonts w:hint="eastAsia"/>
                <w:color w:val="auto"/>
                <w:lang w:val="en-US" w:eastAsia="zh-CN"/>
              </w:rPr>
              <w:t>2</w:t>
            </w:r>
            <w:r>
              <w:rPr>
                <w:rFonts w:hint="eastAsia"/>
                <w:color w:val="auto"/>
              </w:rPr>
              <w:t>。包装数量可具体据合同定制。</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示例</w:t>
            </w:r>
            <w:r>
              <w:rPr>
                <w:rFonts w:hint="eastAsia"/>
                <w:color w:val="auto"/>
                <w:lang w:val="en-US" w:eastAsia="zh-CN"/>
              </w:rPr>
              <w:t>2</w:t>
            </w:r>
            <w:r>
              <w:rPr>
                <w:rFonts w:hint="eastAsia"/>
                <w:color w:val="auto"/>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 xml:space="preserve">检 验 单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eastAsia="宋体"/>
                <w:color w:val="auto"/>
                <w:lang w:eastAsia="zh-CN"/>
              </w:rPr>
            </w:pPr>
            <w:r>
              <w:rPr>
                <w:rFonts w:hint="eastAsia"/>
                <w:color w:val="auto"/>
              </w:rPr>
              <w:t>产品名称</w:t>
            </w:r>
            <w:r>
              <w:rPr>
                <w:rFonts w:hint="eastAsia"/>
                <w:color w:val="auto"/>
              </w:rPr>
              <w:tab/>
            </w:r>
            <w:r>
              <w:rPr>
                <w:rFonts w:hint="eastAsia"/>
                <w:color w:val="auto"/>
              </w:rPr>
              <w:t xml:space="preserve">救灾专用  </w:t>
            </w:r>
            <w:r>
              <w:rPr>
                <w:rFonts w:hint="eastAsia"/>
                <w:color w:val="auto"/>
                <w:lang w:val="en-US" w:eastAsia="zh-CN"/>
              </w:rPr>
              <w:t>防寒服</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数量和号型</w:t>
            </w:r>
            <w:r>
              <w:rPr>
                <w:rFonts w:hint="eastAsia"/>
                <w:color w:val="auto"/>
              </w:rPr>
              <w:tab/>
            </w:r>
            <w:r>
              <w:rPr>
                <w:rFonts w:hint="eastAsia"/>
                <w:color w:val="auto"/>
              </w:rPr>
              <w:t>大号</w:t>
            </w:r>
            <w:r>
              <w:rPr>
                <w:rFonts w:hint="eastAsia"/>
                <w:color w:val="auto"/>
                <w:lang w:val="en-US" w:eastAsia="zh-CN"/>
              </w:rPr>
              <w:t>2</w:t>
            </w:r>
            <w:r>
              <w:rPr>
                <w:rFonts w:hint="eastAsia"/>
                <w:color w:val="auto"/>
              </w:rPr>
              <w:t>件 中号5件 小号</w:t>
            </w:r>
            <w:r>
              <w:rPr>
                <w:rFonts w:hint="eastAsia"/>
                <w:color w:val="auto"/>
                <w:lang w:val="en-US" w:eastAsia="zh-CN"/>
              </w:rPr>
              <w:t>3</w:t>
            </w:r>
            <w:r>
              <w:rPr>
                <w:rFonts w:hint="eastAsia"/>
                <w:color w:val="auto"/>
              </w:rPr>
              <w:t>件</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生产日期</w:t>
            </w:r>
            <w:r>
              <w:rPr>
                <w:rFonts w:hint="eastAsia"/>
                <w:color w:val="auto"/>
              </w:rPr>
              <w:tab/>
            </w:r>
            <w:r>
              <w:rPr>
                <w:rFonts w:hint="eastAsia"/>
                <w:color w:val="auto"/>
              </w:rPr>
              <w:t>××××年××月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检验人员</w:t>
            </w:r>
            <w:r>
              <w:rPr>
                <w:rFonts w:hint="eastAsia"/>
                <w:color w:val="auto"/>
              </w:rPr>
              <w:tab/>
            </w:r>
            <w:r>
              <w:rPr>
                <w:rFonts w:hint="eastAsia"/>
                <w:color w:val="auto"/>
              </w:rPr>
              <w:t>（检验工号）</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承制单位</w:t>
            </w:r>
            <w:r>
              <w:rPr>
                <w:rFonts w:hint="eastAsia"/>
                <w:color w:val="auto"/>
              </w:rPr>
              <w:tab/>
            </w:r>
            <w:r>
              <w:rPr>
                <w:rFonts w:hint="eastAsia"/>
                <w:color w:val="auto"/>
              </w:rPr>
              <w:t>（单位全称）</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（3）封箱</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纸箱上下口盖对接应采用印有承制方名称的塑料基胶带封牢，两端预留长度不应小于 5cm。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（4）捆扎</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打包带捆成“#”字型，横竖互压(最后一道除外)，捆扎牢固，打包带捆扎不应遮挡号型标识。打包带粘合后搭头长度不小于 2.0cm，粘合不得起翘，偏歪不得超过0.2cm，禁止使用再生打包带,应符合 QB/T 3811 中一等品规定。</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（5）包装标志</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eastAsia="宋体"/>
                <w:color w:val="auto"/>
                <w:lang w:eastAsia="zh-CN"/>
              </w:rPr>
            </w:pPr>
            <w:r>
              <w:rPr>
                <w:rFonts w:hint="eastAsia"/>
                <w:color w:val="auto"/>
              </w:rPr>
              <w:t>外包装</w:t>
            </w:r>
            <w:r>
              <w:rPr>
                <w:rFonts w:hint="eastAsia"/>
                <w:color w:val="auto"/>
                <w:lang w:val="en-US" w:eastAsia="zh-CN"/>
              </w:rPr>
              <w:t>正面双</w:t>
            </w:r>
            <w:r>
              <w:rPr>
                <w:rFonts w:hint="eastAsia"/>
                <w:color w:val="auto"/>
              </w:rPr>
              <w:t>面需标注产品名称、数量、重量、号型配比、生产日期、承制单位名称和监制单位名称。其中，产品名称、承制单位名称及监制单位名称为黑体字;字体大小适宜、布局合理，并根据各单位名称字数选择合适的字号。侧面需标注“救灾专用”、“注意防潮”字样;字体为黑体字，字体大小适宜、布局合理，样式见示例</w:t>
            </w:r>
            <w:r>
              <w:rPr>
                <w:rFonts w:hint="eastAsia"/>
                <w:color w:val="auto"/>
                <w:lang w:val="en-US" w:eastAsia="zh-CN"/>
              </w:rPr>
              <w:t>3</w:t>
            </w:r>
            <w:r>
              <w:rPr>
                <w:rFonts w:hint="eastAsia"/>
                <w:color w:val="auto"/>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示例</w:t>
            </w:r>
            <w:r>
              <w:rPr>
                <w:rFonts w:hint="eastAsia"/>
                <w:color w:val="auto"/>
                <w:lang w:val="en-US" w:eastAsia="zh-CN"/>
              </w:rPr>
              <w:t>3</w:t>
            </w:r>
            <w:r>
              <w:rPr>
                <w:rFonts w:hint="eastAsia"/>
                <w:color w:val="auto"/>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eastAsia="宋体"/>
                <w:color w:val="auto"/>
                <w:lang w:eastAsia="zh-CN"/>
              </w:rPr>
            </w:pPr>
            <w:r>
              <w:rPr>
                <w:rFonts w:hint="eastAsia"/>
                <w:color w:val="auto"/>
              </w:rPr>
              <w:t xml:space="preserve">救灾专用 </w:t>
            </w:r>
            <w:r>
              <w:rPr>
                <w:rFonts w:hint="eastAsia"/>
                <w:color w:val="auto"/>
                <w:lang w:val="en-US" w:eastAsia="zh-CN"/>
              </w:rPr>
              <w:t>防寒服</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数量</w:t>
            </w:r>
            <w:r>
              <w:rPr>
                <w:rFonts w:hint="eastAsia"/>
                <w:color w:val="auto"/>
              </w:rPr>
              <w:tab/>
            </w:r>
            <w:r>
              <w:rPr>
                <w:rFonts w:hint="eastAsia"/>
                <w:color w:val="auto"/>
              </w:rPr>
              <w:t>大号：</w:t>
            </w:r>
            <w:r>
              <w:rPr>
                <w:rFonts w:hint="eastAsia"/>
                <w:color w:val="auto"/>
                <w:lang w:val="en-US" w:eastAsia="zh-CN"/>
              </w:rPr>
              <w:t>2</w:t>
            </w:r>
            <w:r>
              <w:rPr>
                <w:rFonts w:hint="eastAsia"/>
                <w:color w:val="auto"/>
              </w:rPr>
              <w:t>件 中号：</w:t>
            </w:r>
            <w:r>
              <w:rPr>
                <w:rFonts w:hint="eastAsia"/>
                <w:color w:val="auto"/>
                <w:lang w:val="en-US" w:eastAsia="zh-CN"/>
              </w:rPr>
              <w:t>5</w:t>
            </w:r>
            <w:r>
              <w:rPr>
                <w:rFonts w:hint="eastAsia"/>
                <w:color w:val="auto"/>
              </w:rPr>
              <w:t>件 小号：</w:t>
            </w:r>
            <w:r>
              <w:rPr>
                <w:rFonts w:hint="eastAsia"/>
                <w:color w:val="auto"/>
                <w:lang w:val="en-US" w:eastAsia="zh-CN"/>
              </w:rPr>
              <w:t>3</w:t>
            </w:r>
            <w:r>
              <w:rPr>
                <w:rFonts w:hint="eastAsia"/>
                <w:color w:val="auto"/>
              </w:rPr>
              <w:t>件</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重量</w:t>
            </w:r>
            <w:r>
              <w:rPr>
                <w:rFonts w:hint="eastAsia"/>
                <w:color w:val="auto"/>
              </w:rPr>
              <w:tab/>
            </w:r>
            <w:r>
              <w:rPr>
                <w:rFonts w:hint="eastAsia"/>
                <w:color w:val="auto"/>
              </w:rPr>
              <w:t>××××kg</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生产日期</w:t>
            </w:r>
            <w:r>
              <w:rPr>
                <w:rFonts w:hint="eastAsia"/>
                <w:color w:val="auto"/>
              </w:rPr>
              <w:tab/>
            </w:r>
            <w:r>
              <w:rPr>
                <w:rFonts w:hint="eastAsia"/>
                <w:color w:val="auto"/>
              </w:rPr>
              <w:t>××××年××月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承制方</w:t>
            </w:r>
            <w:r>
              <w:rPr>
                <w:rFonts w:hint="eastAsia"/>
                <w:color w:val="auto"/>
              </w:rPr>
              <w:tab/>
            </w:r>
            <w:r>
              <w:rPr>
                <w:rFonts w:hint="eastAsia"/>
                <w:color w:val="auto"/>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color w:val="auto"/>
              </w:rPr>
            </w:pPr>
            <w:r>
              <w:rPr>
                <w:rFonts w:hint="eastAsia"/>
                <w:color w:val="auto"/>
              </w:rPr>
              <w:t>监制单位：××××××××</w:t>
            </w:r>
          </w:p>
          <w:p>
            <w:pPr>
              <w:pStyle w:val="2"/>
              <w:rPr>
                <w:rFonts w:hint="eastAsia"/>
                <w:color w:val="auto"/>
              </w:rPr>
            </w:pPr>
          </w:p>
          <w:p>
            <w:pPr>
              <w:pStyle w:val="2"/>
              <w:rPr>
                <w:rFonts w:hint="eastAsia" w:eastAsia="宋体"/>
                <w:color w:val="auto"/>
                <w:lang w:val="en-US" w:eastAsia="zh-CN"/>
              </w:rPr>
            </w:pPr>
            <w:r>
              <w:rPr>
                <w:rFonts w:hint="eastAsia"/>
                <w:b/>
                <w:bCs/>
                <w:color w:val="auto"/>
                <w:sz w:val="21"/>
                <w:szCs w:val="21"/>
                <w:lang w:val="en-US" w:eastAsia="zh-CN"/>
              </w:rPr>
              <w:t>注：中标人必须与采购人进一步协商包装方式，并由采购人确认后，中标人才能进行包装。</w:t>
            </w:r>
          </w:p>
          <w:p>
            <w:pPr>
              <w:rPr>
                <w:color w:val="auto"/>
              </w:rPr>
            </w:pPr>
          </w:p>
          <w:p>
            <w:pPr>
              <w:pStyle w:val="2"/>
              <w:rPr>
                <w:rFonts w:hint="eastAsia"/>
                <w:color w:val="auto"/>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eastAsia="宋体"/>
                <w:color w:val="auto"/>
                <w:lang w:val="en-US" w:eastAsia="zh-CN"/>
              </w:rPr>
            </w:pPr>
            <w:r>
              <w:rPr>
                <w:rFonts w:hint="eastAsia" w:ascii="宋体" w:hAnsi="宋体" w:eastAsia="宋体" w:cs="宋体"/>
                <w:color w:val="auto"/>
                <w:sz w:val="21"/>
                <w:szCs w:val="21"/>
                <w:lang w:val="en-US" w:eastAsia="zh-CN"/>
              </w:rPr>
              <w:t>▲</w:t>
            </w:r>
            <w:r>
              <w:rPr>
                <w:rFonts w:hint="eastAsia"/>
                <w:color w:val="auto"/>
                <w:lang w:val="en-US" w:eastAsia="zh-CN"/>
              </w:rPr>
              <w:t>七、报价要求</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lang w:val="en-US" w:eastAsia="zh-CN"/>
              </w:rPr>
            </w:pPr>
            <w:r>
              <w:rPr>
                <w:rFonts w:hint="eastAsia"/>
                <w:color w:val="auto"/>
                <w:lang w:val="en-US" w:eastAsia="zh-CN"/>
              </w:rPr>
              <w:t>1、货物的价格：包括产品货款、包装费、杂配件、各项检验验收等各种费用费及各项税金等；</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lang w:val="en-US" w:eastAsia="zh-CN"/>
              </w:rPr>
            </w:pPr>
            <w:r>
              <w:rPr>
                <w:rFonts w:hint="eastAsia"/>
                <w:color w:val="auto"/>
                <w:lang w:val="en-US" w:eastAsia="zh-CN"/>
              </w:rPr>
              <w:t>2、货物的标准附件、备品备件、专用工具的价格。</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lang w:val="en-US" w:eastAsia="zh-CN"/>
              </w:rPr>
            </w:pPr>
            <w:r>
              <w:rPr>
                <w:rFonts w:hint="eastAsia"/>
                <w:color w:val="auto"/>
                <w:lang w:val="en-US" w:eastAsia="zh-CN"/>
              </w:rPr>
              <w:t>3、运输、装卸、调整、退换、开箱检验、保险费、仓储费、损耗费、售后服务费。</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lang w:val="en-US" w:eastAsia="zh-CN"/>
              </w:rPr>
            </w:pPr>
            <w:r>
              <w:rPr>
                <w:rFonts w:hint="eastAsia"/>
                <w:color w:val="auto"/>
                <w:lang w:val="en-US" w:eastAsia="zh-CN"/>
              </w:rPr>
              <w:t>4、招标代理服务费、保险费及其他所有费用总和。</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lang w:val="en-US" w:eastAsia="zh-CN"/>
              </w:rPr>
            </w:pPr>
            <w:r>
              <w:rPr>
                <w:rFonts w:hint="eastAsia"/>
                <w:color w:val="auto"/>
                <w:lang w:val="en-US" w:eastAsia="zh-CN"/>
              </w:rPr>
              <w:t>5、投标人根据采购预算具体金额，报出所供货物的具体数量和单价。投标人响应的供应数量不得少于本项目采购需求中的数量，投标总报价不得高于采购预算。</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lang w:val="en-US" w:eastAsia="zh-CN"/>
              </w:rPr>
            </w:pPr>
            <w:r>
              <w:rPr>
                <w:rFonts w:hint="eastAsia"/>
                <w:color w:val="auto"/>
                <w:lang w:val="en-US" w:eastAsia="zh-CN"/>
              </w:rPr>
              <w:t>6、中标人供货数量以实际供货数量为准，最终结算金额按中标人最终实际供货的数量*中标单价计算，最终结算金额不能超过本项目总预算。</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lang w:val="en-US" w:eastAsia="zh-CN"/>
              </w:rPr>
            </w:pPr>
            <w:r>
              <w:rPr>
                <w:rFonts w:hint="eastAsia"/>
                <w:color w:val="auto"/>
                <w:lang w:val="en-US" w:eastAsia="zh-CN"/>
              </w:rPr>
              <w:t>7、本项目评标以投标人所报单价计算价格分。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lang w:val="en-US" w:eastAsia="zh-CN"/>
              </w:rPr>
            </w:pPr>
            <w:r>
              <w:rPr>
                <w:rFonts w:hint="eastAsia"/>
                <w:color w:val="auto"/>
                <w:lang w:val="en-US" w:eastAsia="zh-CN"/>
              </w:rPr>
              <w:t>注：投标人自行考虑完成项目所需的辅材、杂配件等数量，投标报价中应包含全部内容，中标后采购人不再另行支付额外费用。</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▲八、检验报告</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1、招标文件中</w:t>
            </w:r>
            <w:bookmarkStart w:id="55" w:name="OLE_LINK12"/>
            <w:r>
              <w:rPr>
                <w:rFonts w:hint="eastAsia" w:ascii="宋体" w:hAnsi="宋体" w:cs="宋体"/>
                <w:color w:val="auto"/>
                <w:sz w:val="21"/>
                <w:szCs w:val="21"/>
                <w:lang w:val="en-US" w:eastAsia="zh-CN"/>
              </w:rPr>
              <w:t>“表5 理化性能要求”</w:t>
            </w:r>
            <w:bookmarkEnd w:id="55"/>
            <w:r>
              <w:rPr>
                <w:rFonts w:hint="eastAsia" w:ascii="宋体" w:hAnsi="宋体" w:cs="宋体"/>
                <w:color w:val="auto"/>
                <w:sz w:val="21"/>
                <w:szCs w:val="21"/>
                <w:lang w:val="en-US" w:eastAsia="zh-CN"/>
              </w:rPr>
              <w:t>中的技术条款，</w:t>
            </w:r>
            <w:r>
              <w:rPr>
                <w:rFonts w:hint="eastAsia" w:ascii="宋体" w:hAnsi="宋体" w:eastAsia="宋体" w:cs="宋体"/>
                <w:color w:val="auto"/>
                <w:sz w:val="21"/>
                <w:szCs w:val="21"/>
                <w:lang w:val="en-US" w:eastAsia="zh-CN"/>
              </w:rPr>
              <w:t>投标人必须在投标文件中</w:t>
            </w:r>
            <w:r>
              <w:rPr>
                <w:rFonts w:hint="eastAsia" w:ascii="宋体" w:hAnsi="宋体" w:cs="宋体"/>
                <w:color w:val="auto"/>
                <w:sz w:val="21"/>
                <w:szCs w:val="21"/>
                <w:lang w:val="en-US" w:eastAsia="zh-CN"/>
              </w:rPr>
              <w:t>提供</w:t>
            </w:r>
            <w:r>
              <w:rPr>
                <w:rFonts w:hint="eastAsia" w:ascii="宋体" w:hAnsi="宋体" w:eastAsia="宋体" w:cs="宋体"/>
                <w:color w:val="auto"/>
                <w:sz w:val="21"/>
                <w:szCs w:val="21"/>
                <w:lang w:val="en-US" w:eastAsia="zh-CN"/>
              </w:rPr>
              <w:t>投标产品</w:t>
            </w:r>
            <w:r>
              <w:rPr>
                <w:rFonts w:hint="eastAsia" w:ascii="宋体" w:hAnsi="宋体" w:cs="宋体"/>
                <w:color w:val="auto"/>
                <w:sz w:val="21"/>
                <w:szCs w:val="21"/>
                <w:lang w:val="en-US" w:eastAsia="zh-CN"/>
              </w:rPr>
              <w:t>由国家认可的有资质的第三方检测机构出具的</w:t>
            </w:r>
            <w:r>
              <w:rPr>
                <w:rFonts w:hint="eastAsia" w:ascii="宋体" w:hAnsi="宋体" w:eastAsia="宋体" w:cs="宋体"/>
                <w:color w:val="auto"/>
                <w:sz w:val="21"/>
                <w:szCs w:val="21"/>
                <w:lang w:val="en-US" w:eastAsia="zh-CN"/>
              </w:rPr>
              <w:t>检验报告复印件，必须为2024年1月1日之后出具的检测报告。</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2、投标人所提供的检验报告，必须体现“表5 理化性能要求”</w:t>
            </w:r>
            <w:r>
              <w:rPr>
                <w:rFonts w:hint="eastAsia" w:ascii="宋体" w:hAnsi="宋体" w:cs="宋体"/>
                <w:color w:val="auto"/>
                <w:sz w:val="21"/>
                <w:szCs w:val="21"/>
                <w:lang w:val="en-US" w:eastAsia="zh-CN"/>
              </w:rPr>
              <w:t>中所有的技术条款</w:t>
            </w:r>
            <w:r>
              <w:rPr>
                <w:rFonts w:hint="eastAsia" w:ascii="宋体" w:hAnsi="宋体" w:eastAsia="宋体" w:cs="宋体"/>
                <w:color w:val="auto"/>
                <w:sz w:val="21"/>
                <w:szCs w:val="21"/>
                <w:lang w:val="en-US" w:eastAsia="zh-CN"/>
              </w:rPr>
              <w:t>，不能缺项漏项，检验结果必须符合招标文件的标准，否则按投标无效处理。</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投标人必须承诺所提供的样品与送验样品质量外观是一致的，验收时一旦发现货物与投标承诺不一致时，验收不通过的，采购人有权按违约处理解除合同，并报政府采购监督管理部门处理。必须在投标文件中提供产品质量承诺书，质量承诺书内容必须包含以上内容，格式自拟。</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4、如出现投标文件中所承诺的某项参数与投标实物样品对应该项参数不一致时，在符合招标文件要求的前提下：</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①评审时，以最差的参数作为评审依据，进行评定；</w:t>
            </w:r>
          </w:p>
          <w:p>
            <w:pPr>
              <w:pStyle w:val="12"/>
              <w:rPr>
                <w:rFonts w:hint="default"/>
                <w:color w:val="auto"/>
                <w:lang w:val="en-US" w:eastAsia="zh-CN"/>
              </w:rPr>
            </w:pPr>
            <w:r>
              <w:rPr>
                <w:rFonts w:hint="eastAsia" w:ascii="宋体" w:hAnsi="宋体" w:eastAsia="宋体" w:cs="宋体"/>
                <w:color w:val="auto"/>
                <w:sz w:val="21"/>
                <w:szCs w:val="21"/>
                <w:lang w:val="en-US" w:eastAsia="zh-CN"/>
              </w:rPr>
              <w:t>②供货、履约及验收时，以最优的参数作为供货、履约及验收的标准和依据。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76" w:type="dxa"/>
            <w:tcBorders>
              <w:top w:val="single" w:color="auto" w:sz="4" w:space="0"/>
              <w:left w:val="single" w:color="auto" w:sz="4" w:space="0"/>
              <w:bottom w:val="single" w:color="auto" w:sz="4" w:space="0"/>
              <w:right w:val="single" w:color="auto" w:sz="4" w:space="0"/>
            </w:tcBorders>
            <w:noWrap/>
            <w:vAlign w:val="center"/>
          </w:tcPr>
          <w:p>
            <w:pPr>
              <w:pStyle w:val="21"/>
              <w:spacing w:line="360" w:lineRule="exact"/>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其他说明</w:t>
            </w:r>
          </w:p>
        </w:tc>
        <w:tc>
          <w:tcPr>
            <w:tcW w:w="9386" w:type="dxa"/>
            <w:gridSpan w:val="5"/>
            <w:tcBorders>
              <w:top w:val="single" w:color="auto" w:sz="4" w:space="0"/>
              <w:left w:val="nil"/>
              <w:bottom w:val="single" w:color="auto" w:sz="4" w:space="0"/>
              <w:right w:val="single" w:color="auto" w:sz="4" w:space="0"/>
            </w:tcBorders>
            <w:noWrap/>
            <w:vAlign w:val="center"/>
          </w:tcPr>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一、进口产品说明：本分标货物所涉及的货物不接受进口产品（即通过中国海关报关验放进入中国境内且产自关境外的产品）参与投标，如有进口产品参与投标的作无效投标处理。</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二、样品递交</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1、投标人可根据评分标准提供样品：防寒服（</w:t>
            </w:r>
            <w:r>
              <w:rPr>
                <w:rFonts w:hint="eastAsia" w:ascii="宋体" w:hAnsi="宋体" w:cs="宋体"/>
                <w:color w:val="auto"/>
                <w:sz w:val="21"/>
                <w:szCs w:val="21"/>
                <w:highlight w:val="none"/>
                <w:lang w:val="en-US" w:eastAsia="zh-CN"/>
              </w:rPr>
              <w:t>大</w:t>
            </w:r>
            <w:r>
              <w:rPr>
                <w:rFonts w:hint="eastAsia" w:ascii="宋体" w:hAnsi="宋体" w:eastAsia="宋体" w:cs="宋体"/>
                <w:color w:val="auto"/>
                <w:sz w:val="21"/>
                <w:szCs w:val="21"/>
                <w:highlight w:val="none"/>
                <w:lang w:val="en-US" w:eastAsia="zh-CN"/>
              </w:rPr>
              <w:t>号一件）</w:t>
            </w:r>
            <w:r>
              <w:rPr>
                <w:rFonts w:hint="eastAsia" w:ascii="宋体" w:hAnsi="宋体" w:cs="宋体"/>
                <w:color w:val="auto"/>
                <w:sz w:val="21"/>
                <w:szCs w:val="21"/>
                <w:highlight w:val="none"/>
                <w:lang w:val="en-US" w:eastAsia="zh-CN"/>
              </w:rPr>
              <w:t>。</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2、样品递交方式：由投标人亲自将样品送达到样品递交地点，并办理样品接收登记手续。</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3、样品递交时间：2025年</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月</w:t>
            </w:r>
            <w:r>
              <w:rPr>
                <w:rFonts w:hint="eastAsia" w:ascii="宋体" w:hAnsi="宋体" w:cs="宋体"/>
                <w:color w:val="auto"/>
                <w:sz w:val="21"/>
                <w:szCs w:val="21"/>
                <w:highlight w:val="none"/>
                <w:lang w:val="en-US" w:eastAsia="zh-CN"/>
              </w:rPr>
              <w:t>29</w:t>
            </w:r>
            <w:r>
              <w:rPr>
                <w:rFonts w:hint="eastAsia" w:ascii="宋体" w:hAnsi="宋体" w:eastAsia="宋体" w:cs="宋体"/>
                <w:color w:val="auto"/>
                <w:sz w:val="21"/>
                <w:szCs w:val="21"/>
                <w:highlight w:val="none"/>
                <w:lang w:val="en-US" w:eastAsia="zh-CN"/>
              </w:rPr>
              <w:t>日8时30分至9时30分；逾期递交所造成的一切后果由投标人自行承担。</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4、样品递交地点：广西壮族自治区公共资源交易中心（南宁市星湖路22号）</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5、样品清退：递交样品时投标人须明确其样品清退方式。投标人亲自来领取的，接通知后48小时内办理清退交接手续（逾期领取所造成的丢失责任由投标人自行承担。为防冒领，领取人须出示原递交样品人身份证原件或原递交样品单位的授权书原件）。样品邮寄的须写明联系地址、联系人、联系电话，邮费由投标人承担。不明确清退方式且超过48小时未来领取的，采购代理机构将不再负保管责任，按无主货物处理，所有无主样品送采购单位。      </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注：</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1、样品的外包装及标识不应出现暴露供应商身份的信息，如投标人名称、地址、电话、商标等。递交样品前请自觉对类似信息作密封隐藏处理。否则，该样品有可能被拒绝接收。</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2、所有样品均有可能因评标检测造成破坏，由此造成的损失由投标人负责。</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3、中标供应商的样品不退，交由采购人封存作为验收依据。</w:t>
            </w:r>
          </w:p>
          <w:p>
            <w:pPr>
              <w:pStyle w:val="21"/>
              <w:keepNext w:val="0"/>
              <w:keepLines w:val="0"/>
              <w:pageBreakBefore w:val="0"/>
              <w:widowControl w:val="0"/>
              <w:kinsoku/>
              <w:wordWrap/>
              <w:overflowPunct/>
              <w:topLinePunct w:val="0"/>
              <w:autoSpaceDE/>
              <w:autoSpaceDN/>
              <w:bidi w:val="0"/>
              <w:adjustRightInd/>
              <w:snapToGrid w:val="0"/>
              <w:spacing w:line="400" w:lineRule="exact"/>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4、未中标的投标人的样品于结果公示期结束后10个工作日内由采购代理机构电话通知领回。</w:t>
            </w:r>
          </w:p>
        </w:tc>
      </w:tr>
    </w:tbl>
    <w:p>
      <w:pPr>
        <w:rPr>
          <w:rFonts w:hint="eastAsia" w:ascii="宋体" w:hAnsi="宋体" w:cs="宋体"/>
          <w:color w:val="auto"/>
          <w:sz w:val="30"/>
          <w:szCs w:val="30"/>
          <w:highlight w:val="none"/>
        </w:rPr>
      </w:pPr>
    </w:p>
    <w:p>
      <w:pPr>
        <w:rPr>
          <w:rFonts w:ascii="宋体" w:hAnsi="宋体" w:cs="宋体"/>
          <w:color w:val="auto"/>
          <w:sz w:val="32"/>
          <w:szCs w:val="32"/>
          <w:highlight w:val="none"/>
        </w:rPr>
      </w:pPr>
      <w:r>
        <w:rPr>
          <w:rFonts w:hint="eastAsia" w:ascii="宋体" w:hAnsi="宋体" w:cs="宋体"/>
          <w:color w:val="auto"/>
          <w:sz w:val="30"/>
          <w:szCs w:val="30"/>
          <w:highlight w:val="none"/>
        </w:rPr>
        <w:br w:type="page"/>
      </w:r>
      <w:r>
        <w:rPr>
          <w:rFonts w:hint="eastAsia" w:ascii="宋体" w:hAnsi="宋体" w:cs="宋体"/>
          <w:color w:val="auto"/>
          <w:sz w:val="32"/>
          <w:szCs w:val="32"/>
          <w:highlight w:val="none"/>
        </w:rPr>
        <w:t>附件1：</w:t>
      </w:r>
    </w:p>
    <w:p>
      <w:pPr>
        <w:widowControl/>
        <w:jc w:val="center"/>
        <w:rPr>
          <w:rFonts w:ascii="宋体" w:hAnsi="宋体" w:cs="宋体"/>
          <w:b/>
          <w:bCs/>
          <w:color w:val="auto"/>
          <w:kern w:val="0"/>
          <w:sz w:val="30"/>
          <w:szCs w:val="30"/>
          <w:highlight w:val="none"/>
        </w:rPr>
      </w:pPr>
      <w:bookmarkStart w:id="56" w:name="_Toc28361_WPSOffice_Level2"/>
      <w:r>
        <w:rPr>
          <w:rFonts w:hint="eastAsia" w:ascii="宋体" w:hAnsi="宋体" w:cs="宋体"/>
          <w:b/>
          <w:bCs/>
          <w:color w:val="auto"/>
          <w:kern w:val="0"/>
          <w:sz w:val="30"/>
          <w:szCs w:val="30"/>
          <w:highlight w:val="none"/>
        </w:rPr>
        <w:t>统计上大中小微型企业划分标准</w:t>
      </w:r>
      <w:bookmarkEnd w:id="56"/>
    </w:p>
    <w:tbl>
      <w:tblPr>
        <w:tblStyle w:val="32"/>
        <w:tblW w:w="94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3"/>
        <w:gridCol w:w="1369"/>
        <w:gridCol w:w="709"/>
        <w:gridCol w:w="1125"/>
        <w:gridCol w:w="1701"/>
        <w:gridCol w:w="142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113" w:type="dxa"/>
            <w:noWrap/>
            <w:vAlign w:val="center"/>
          </w:tcPr>
          <w:p>
            <w:pPr>
              <w:widowControl/>
              <w:spacing w:line="280" w:lineRule="exact"/>
              <w:jc w:val="center"/>
              <w:rPr>
                <w:rFonts w:ascii="宋体" w:hAnsi="宋体" w:cs="宋体"/>
                <w:b/>
                <w:bCs/>
                <w:color w:val="auto"/>
                <w:kern w:val="0"/>
                <w:sz w:val="18"/>
                <w:szCs w:val="21"/>
                <w:highlight w:val="none"/>
              </w:rPr>
            </w:pPr>
            <w:r>
              <w:rPr>
                <w:rFonts w:hint="eastAsia" w:ascii="宋体" w:hAnsi="宋体" w:cs="宋体"/>
                <w:b/>
                <w:bCs/>
                <w:color w:val="auto"/>
                <w:kern w:val="0"/>
                <w:sz w:val="18"/>
                <w:szCs w:val="21"/>
                <w:highlight w:val="none"/>
              </w:rPr>
              <w:t>行业名称</w:t>
            </w:r>
          </w:p>
        </w:tc>
        <w:tc>
          <w:tcPr>
            <w:tcW w:w="1369" w:type="dxa"/>
            <w:noWrap/>
            <w:vAlign w:val="center"/>
          </w:tcPr>
          <w:p>
            <w:pPr>
              <w:widowControl/>
              <w:spacing w:line="280" w:lineRule="exact"/>
              <w:jc w:val="center"/>
              <w:rPr>
                <w:rFonts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指标名称</w:t>
            </w:r>
          </w:p>
        </w:tc>
        <w:tc>
          <w:tcPr>
            <w:tcW w:w="709" w:type="dxa"/>
            <w:noWrap/>
            <w:vAlign w:val="center"/>
          </w:tcPr>
          <w:p>
            <w:pPr>
              <w:widowControl/>
              <w:spacing w:line="280" w:lineRule="exact"/>
              <w:jc w:val="center"/>
              <w:rPr>
                <w:rFonts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计量单位</w:t>
            </w:r>
          </w:p>
        </w:tc>
        <w:tc>
          <w:tcPr>
            <w:tcW w:w="1125" w:type="dxa"/>
            <w:noWrap/>
            <w:vAlign w:val="center"/>
          </w:tcPr>
          <w:p>
            <w:pPr>
              <w:widowControl/>
              <w:spacing w:line="280" w:lineRule="exact"/>
              <w:jc w:val="center"/>
              <w:rPr>
                <w:rFonts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大型</w:t>
            </w:r>
          </w:p>
        </w:tc>
        <w:tc>
          <w:tcPr>
            <w:tcW w:w="1701" w:type="dxa"/>
            <w:noWrap/>
            <w:vAlign w:val="center"/>
          </w:tcPr>
          <w:p>
            <w:pPr>
              <w:widowControl/>
              <w:spacing w:line="280" w:lineRule="exact"/>
              <w:jc w:val="center"/>
              <w:rPr>
                <w:rFonts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中型</w:t>
            </w:r>
          </w:p>
        </w:tc>
        <w:tc>
          <w:tcPr>
            <w:tcW w:w="1426" w:type="dxa"/>
            <w:noWrap/>
            <w:vAlign w:val="center"/>
          </w:tcPr>
          <w:p>
            <w:pPr>
              <w:widowControl/>
              <w:spacing w:line="280" w:lineRule="exact"/>
              <w:jc w:val="center"/>
              <w:rPr>
                <w:rFonts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小型</w:t>
            </w:r>
          </w:p>
        </w:tc>
        <w:tc>
          <w:tcPr>
            <w:tcW w:w="992" w:type="dxa"/>
            <w:noWrap/>
            <w:vAlign w:val="center"/>
          </w:tcPr>
          <w:p>
            <w:pPr>
              <w:widowControl/>
              <w:spacing w:line="280" w:lineRule="exact"/>
              <w:jc w:val="center"/>
              <w:rPr>
                <w:rFonts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noWrap/>
            <w:vAlign w:val="center"/>
          </w:tcPr>
          <w:p>
            <w:pPr>
              <w:rPr>
                <w:color w:val="auto"/>
                <w:sz w:val="18"/>
                <w:szCs w:val="21"/>
                <w:highlight w:val="none"/>
              </w:rPr>
            </w:pPr>
            <w:r>
              <w:rPr>
                <w:rFonts w:hint="eastAsia"/>
                <w:color w:val="auto"/>
                <w:sz w:val="18"/>
                <w:szCs w:val="21"/>
                <w:highlight w:val="none"/>
              </w:rPr>
              <w:t>农、林、牧、渔业</w:t>
            </w: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Y≥20000</w:t>
            </w:r>
          </w:p>
        </w:tc>
        <w:tc>
          <w:tcPr>
            <w:tcW w:w="1701"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500≤Y＜20000</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50≤Y＜500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pPr>
              <w:rPr>
                <w:color w:val="auto"/>
                <w:sz w:val="18"/>
                <w:szCs w:val="21"/>
                <w:highlight w:val="none"/>
              </w:rPr>
            </w:pPr>
            <w:r>
              <w:rPr>
                <w:rFonts w:hint="eastAsia"/>
                <w:color w:val="auto"/>
                <w:sz w:val="18"/>
                <w:szCs w:val="21"/>
                <w:highlight w:val="none"/>
              </w:rPr>
              <w:t>工业 *</w:t>
            </w: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X≥1000</w:t>
            </w:r>
          </w:p>
        </w:tc>
        <w:tc>
          <w:tcPr>
            <w:tcW w:w="1701"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300≤X＜1000</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20≤X＜300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pPr>
              <w:rPr>
                <w:color w:val="auto"/>
                <w:sz w:val="18"/>
                <w:szCs w:val="21"/>
                <w:highlight w:val="none"/>
              </w:rPr>
            </w:pP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Y≥40000</w:t>
            </w:r>
          </w:p>
        </w:tc>
        <w:tc>
          <w:tcPr>
            <w:tcW w:w="1701"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2000≤Y＜40000</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300≤Y＜2000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pPr>
              <w:rPr>
                <w:color w:val="auto"/>
                <w:sz w:val="18"/>
                <w:szCs w:val="21"/>
                <w:highlight w:val="none"/>
              </w:rPr>
            </w:pPr>
            <w:r>
              <w:rPr>
                <w:rFonts w:hint="eastAsia"/>
                <w:color w:val="auto"/>
                <w:sz w:val="18"/>
                <w:szCs w:val="21"/>
                <w:highlight w:val="none"/>
              </w:rPr>
              <w:t>建筑业</w:t>
            </w: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Y≥80000</w:t>
            </w:r>
          </w:p>
        </w:tc>
        <w:tc>
          <w:tcPr>
            <w:tcW w:w="1701"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6000≤Y＜80000</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300≤Y＜6000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pPr>
              <w:rPr>
                <w:color w:val="auto"/>
                <w:sz w:val="18"/>
                <w:szCs w:val="21"/>
                <w:highlight w:val="none"/>
              </w:rPr>
            </w:pP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资产总额(Z)</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Z≥80000</w:t>
            </w:r>
          </w:p>
        </w:tc>
        <w:tc>
          <w:tcPr>
            <w:tcW w:w="1701"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5000≤Z＜80000</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300≤Z＜5000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Z＜300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pPr>
              <w:rPr>
                <w:color w:val="auto"/>
                <w:sz w:val="18"/>
                <w:szCs w:val="21"/>
                <w:highlight w:val="none"/>
              </w:rPr>
            </w:pPr>
            <w:r>
              <w:rPr>
                <w:rFonts w:hint="eastAsia"/>
                <w:color w:val="auto"/>
                <w:sz w:val="18"/>
                <w:szCs w:val="21"/>
                <w:highlight w:val="none"/>
              </w:rPr>
              <w:t>批发业</w:t>
            </w: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X≥200</w:t>
            </w:r>
          </w:p>
        </w:tc>
        <w:tc>
          <w:tcPr>
            <w:tcW w:w="1701"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20≤X＜200</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5≤X＜20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pPr>
              <w:rPr>
                <w:color w:val="auto"/>
                <w:sz w:val="18"/>
                <w:szCs w:val="21"/>
                <w:highlight w:val="none"/>
              </w:rPr>
            </w:pP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Y≥40000</w:t>
            </w:r>
          </w:p>
        </w:tc>
        <w:tc>
          <w:tcPr>
            <w:tcW w:w="1701"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5000≤Y＜40000</w:t>
            </w:r>
          </w:p>
        </w:tc>
        <w:tc>
          <w:tcPr>
            <w:tcW w:w="1426" w:type="dxa"/>
            <w:noWrap/>
            <w:vAlign w:val="center"/>
          </w:tcPr>
          <w:p>
            <w:pPr>
              <w:widowControl/>
              <w:spacing w:line="280" w:lineRule="exact"/>
              <w:ind w:left="-1" w:leftChars="-1" w:hanging="1"/>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1000≤Y＜5000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pPr>
              <w:rPr>
                <w:color w:val="auto"/>
                <w:sz w:val="18"/>
                <w:szCs w:val="21"/>
                <w:highlight w:val="none"/>
              </w:rPr>
            </w:pPr>
            <w:r>
              <w:rPr>
                <w:rFonts w:hint="eastAsia"/>
                <w:color w:val="auto"/>
                <w:sz w:val="18"/>
                <w:szCs w:val="21"/>
                <w:highlight w:val="none"/>
              </w:rPr>
              <w:t>零售业</w:t>
            </w: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X≥300</w:t>
            </w:r>
          </w:p>
        </w:tc>
        <w:tc>
          <w:tcPr>
            <w:tcW w:w="1701"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50≤X＜300</w:t>
            </w:r>
          </w:p>
        </w:tc>
        <w:tc>
          <w:tcPr>
            <w:tcW w:w="1426" w:type="dxa"/>
            <w:noWrap/>
            <w:vAlign w:val="center"/>
          </w:tcPr>
          <w:p>
            <w:pPr>
              <w:widowControl/>
              <w:spacing w:line="280" w:lineRule="exact"/>
              <w:ind w:left="-1" w:leftChars="-1" w:hanging="1"/>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xml:space="preserve">10≤X＜50 </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pPr>
              <w:rPr>
                <w:color w:val="auto"/>
                <w:sz w:val="18"/>
                <w:szCs w:val="21"/>
                <w:highlight w:val="none"/>
              </w:rPr>
            </w:pP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Y≥20000</w:t>
            </w:r>
          </w:p>
        </w:tc>
        <w:tc>
          <w:tcPr>
            <w:tcW w:w="1701"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500≤Y＜20000</w:t>
            </w:r>
          </w:p>
        </w:tc>
        <w:tc>
          <w:tcPr>
            <w:tcW w:w="1426" w:type="dxa"/>
            <w:noWrap/>
            <w:vAlign w:val="center"/>
          </w:tcPr>
          <w:p>
            <w:pPr>
              <w:widowControl/>
              <w:spacing w:line="280" w:lineRule="exact"/>
              <w:ind w:left="-1" w:leftChars="-1" w:hanging="1"/>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100≤Y＜500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pPr>
              <w:rPr>
                <w:color w:val="auto"/>
                <w:sz w:val="18"/>
                <w:szCs w:val="21"/>
                <w:highlight w:val="none"/>
              </w:rPr>
            </w:pPr>
            <w:r>
              <w:rPr>
                <w:rFonts w:hint="eastAsia"/>
                <w:color w:val="auto"/>
                <w:sz w:val="18"/>
                <w:szCs w:val="21"/>
                <w:highlight w:val="none"/>
              </w:rPr>
              <w:t>交通运输业 *</w:t>
            </w: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X≥1000</w:t>
            </w:r>
          </w:p>
        </w:tc>
        <w:tc>
          <w:tcPr>
            <w:tcW w:w="1701"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300≤X＜1000</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20≤X＜300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pPr>
              <w:rPr>
                <w:color w:val="auto"/>
                <w:sz w:val="18"/>
                <w:szCs w:val="21"/>
                <w:highlight w:val="none"/>
              </w:rPr>
            </w:pP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Y≥30000</w:t>
            </w:r>
          </w:p>
        </w:tc>
        <w:tc>
          <w:tcPr>
            <w:tcW w:w="1701"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3000≤Y＜30000</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200≤Y＜3000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pPr>
              <w:rPr>
                <w:color w:val="auto"/>
                <w:sz w:val="18"/>
                <w:szCs w:val="21"/>
                <w:highlight w:val="none"/>
              </w:rPr>
            </w:pPr>
            <w:r>
              <w:rPr>
                <w:rFonts w:hint="eastAsia"/>
                <w:color w:val="auto"/>
                <w:sz w:val="18"/>
                <w:szCs w:val="21"/>
                <w:highlight w:val="none"/>
              </w:rPr>
              <w:t>仓储业*</w:t>
            </w: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X≥200</w:t>
            </w:r>
          </w:p>
        </w:tc>
        <w:tc>
          <w:tcPr>
            <w:tcW w:w="1701" w:type="dxa"/>
            <w:noWrap/>
            <w:vAlign w:val="center"/>
          </w:tcPr>
          <w:p>
            <w:pPr>
              <w:widowControl/>
              <w:spacing w:line="280" w:lineRule="exact"/>
              <w:ind w:left="1" w:leftChars="-51" w:hanging="108" w:hangingChars="60"/>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100≤X＜200</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20≤X＜100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pPr>
              <w:rPr>
                <w:color w:val="auto"/>
                <w:sz w:val="18"/>
                <w:szCs w:val="21"/>
                <w:highlight w:val="none"/>
              </w:rPr>
            </w:pP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Y≥30000</w:t>
            </w:r>
          </w:p>
        </w:tc>
        <w:tc>
          <w:tcPr>
            <w:tcW w:w="1701"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1000≤Y＜30000</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100≤Y＜1000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pPr>
              <w:rPr>
                <w:color w:val="auto"/>
                <w:sz w:val="18"/>
                <w:szCs w:val="21"/>
                <w:highlight w:val="none"/>
              </w:rPr>
            </w:pPr>
            <w:r>
              <w:rPr>
                <w:rFonts w:hint="eastAsia"/>
                <w:color w:val="auto"/>
                <w:sz w:val="18"/>
                <w:szCs w:val="21"/>
                <w:highlight w:val="none"/>
              </w:rPr>
              <w:t>邮政业</w:t>
            </w: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X≥1000</w:t>
            </w:r>
          </w:p>
        </w:tc>
        <w:tc>
          <w:tcPr>
            <w:tcW w:w="1701"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300≤X＜1000</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20≤X＜300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pPr>
              <w:rPr>
                <w:color w:val="auto"/>
                <w:sz w:val="18"/>
                <w:szCs w:val="21"/>
                <w:highlight w:val="none"/>
              </w:rPr>
            </w:pP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Y≥30000</w:t>
            </w:r>
          </w:p>
        </w:tc>
        <w:tc>
          <w:tcPr>
            <w:tcW w:w="1701"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2000≤Y＜30000</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100≤Y＜2000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pPr>
              <w:rPr>
                <w:color w:val="auto"/>
                <w:sz w:val="18"/>
                <w:szCs w:val="21"/>
                <w:highlight w:val="none"/>
              </w:rPr>
            </w:pPr>
            <w:r>
              <w:rPr>
                <w:rFonts w:hint="eastAsia"/>
                <w:color w:val="auto"/>
                <w:sz w:val="18"/>
                <w:szCs w:val="21"/>
                <w:highlight w:val="none"/>
              </w:rPr>
              <w:t>住宿业</w:t>
            </w: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X≥300</w:t>
            </w:r>
          </w:p>
        </w:tc>
        <w:tc>
          <w:tcPr>
            <w:tcW w:w="1701" w:type="dxa"/>
            <w:noWrap/>
            <w:vAlign w:val="center"/>
          </w:tcPr>
          <w:p>
            <w:pPr>
              <w:widowControl/>
              <w:spacing w:line="280" w:lineRule="exact"/>
              <w:ind w:left="1" w:leftChars="-51" w:hanging="108" w:hangingChars="60"/>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100≤X＜300</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10≤X＜100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pPr>
              <w:rPr>
                <w:color w:val="auto"/>
                <w:sz w:val="18"/>
                <w:szCs w:val="21"/>
                <w:highlight w:val="none"/>
              </w:rPr>
            </w:pP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Y≥10000</w:t>
            </w:r>
          </w:p>
        </w:tc>
        <w:tc>
          <w:tcPr>
            <w:tcW w:w="1701"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2000≤Y＜10000</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100≤Y＜2000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pPr>
              <w:rPr>
                <w:color w:val="auto"/>
                <w:sz w:val="18"/>
                <w:szCs w:val="21"/>
                <w:highlight w:val="none"/>
              </w:rPr>
            </w:pPr>
            <w:r>
              <w:rPr>
                <w:rFonts w:hint="eastAsia"/>
                <w:color w:val="auto"/>
                <w:sz w:val="18"/>
                <w:szCs w:val="21"/>
                <w:highlight w:val="none"/>
              </w:rPr>
              <w:t>餐饮业</w:t>
            </w: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X≥300</w:t>
            </w:r>
          </w:p>
        </w:tc>
        <w:tc>
          <w:tcPr>
            <w:tcW w:w="1701" w:type="dxa"/>
            <w:noWrap/>
            <w:vAlign w:val="center"/>
          </w:tcPr>
          <w:p>
            <w:pPr>
              <w:widowControl/>
              <w:spacing w:line="280" w:lineRule="exact"/>
              <w:ind w:left="1" w:leftChars="-51" w:hanging="108" w:hangingChars="60"/>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xml:space="preserve">100≤X＜300 </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10≤X＜100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pPr>
              <w:rPr>
                <w:color w:val="auto"/>
                <w:sz w:val="18"/>
                <w:szCs w:val="21"/>
                <w:highlight w:val="none"/>
              </w:rPr>
            </w:pP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Y≥10000</w:t>
            </w:r>
          </w:p>
        </w:tc>
        <w:tc>
          <w:tcPr>
            <w:tcW w:w="1701"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2000≤Y＜10000</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100≤Y＜2000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pPr>
              <w:rPr>
                <w:color w:val="auto"/>
                <w:sz w:val="18"/>
                <w:szCs w:val="21"/>
                <w:highlight w:val="none"/>
              </w:rPr>
            </w:pPr>
            <w:r>
              <w:rPr>
                <w:rFonts w:hint="eastAsia"/>
                <w:color w:val="auto"/>
                <w:sz w:val="18"/>
                <w:szCs w:val="21"/>
                <w:highlight w:val="none"/>
              </w:rPr>
              <w:t>信息传输业 *</w:t>
            </w: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X≥2000</w:t>
            </w:r>
          </w:p>
        </w:tc>
        <w:tc>
          <w:tcPr>
            <w:tcW w:w="1701"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100≤X＜2000</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10≤X＜100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pPr>
              <w:rPr>
                <w:color w:val="auto"/>
                <w:sz w:val="18"/>
                <w:szCs w:val="21"/>
                <w:highlight w:val="none"/>
              </w:rPr>
            </w:pP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Y≥100000</w:t>
            </w:r>
          </w:p>
        </w:tc>
        <w:tc>
          <w:tcPr>
            <w:tcW w:w="1701"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1000≤Y＜100000</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100≤Y＜1000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pPr>
              <w:rPr>
                <w:color w:val="auto"/>
                <w:sz w:val="18"/>
                <w:szCs w:val="21"/>
                <w:highlight w:val="none"/>
              </w:rPr>
            </w:pPr>
            <w:r>
              <w:rPr>
                <w:rFonts w:hint="eastAsia"/>
                <w:color w:val="auto"/>
                <w:sz w:val="18"/>
                <w:szCs w:val="21"/>
                <w:highlight w:val="none"/>
              </w:rPr>
              <w:t>软件和信息技术服务业</w:t>
            </w: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X≥300</w:t>
            </w:r>
          </w:p>
        </w:tc>
        <w:tc>
          <w:tcPr>
            <w:tcW w:w="1701" w:type="dxa"/>
            <w:noWrap/>
            <w:vAlign w:val="center"/>
          </w:tcPr>
          <w:p>
            <w:pPr>
              <w:widowControl/>
              <w:spacing w:line="280" w:lineRule="exact"/>
              <w:ind w:left="1" w:leftChars="-51" w:hanging="108" w:hangingChars="60"/>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xml:space="preserve">100≤X＜300 </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10≤X＜100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pPr>
              <w:rPr>
                <w:color w:val="auto"/>
                <w:sz w:val="18"/>
                <w:szCs w:val="21"/>
                <w:highlight w:val="none"/>
              </w:rPr>
            </w:pP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Y≥10000</w:t>
            </w:r>
          </w:p>
        </w:tc>
        <w:tc>
          <w:tcPr>
            <w:tcW w:w="1701"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1000≤Y＜10000</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50≤Y＜1000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pPr>
              <w:rPr>
                <w:color w:val="auto"/>
                <w:sz w:val="18"/>
                <w:szCs w:val="21"/>
                <w:highlight w:val="none"/>
              </w:rPr>
            </w:pPr>
            <w:r>
              <w:rPr>
                <w:rFonts w:hint="eastAsia"/>
                <w:color w:val="auto"/>
                <w:sz w:val="18"/>
                <w:szCs w:val="21"/>
                <w:highlight w:val="none"/>
              </w:rPr>
              <w:t>房地产开发经营</w:t>
            </w: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Y≥200000</w:t>
            </w:r>
          </w:p>
        </w:tc>
        <w:tc>
          <w:tcPr>
            <w:tcW w:w="1701"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1000≤Y＜200000</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100≤Y＜1000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pPr>
              <w:rPr>
                <w:color w:val="auto"/>
                <w:sz w:val="18"/>
                <w:szCs w:val="21"/>
                <w:highlight w:val="none"/>
              </w:rPr>
            </w:pP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资产总额(Z)</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Z≥10000</w:t>
            </w:r>
          </w:p>
        </w:tc>
        <w:tc>
          <w:tcPr>
            <w:tcW w:w="1701"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5000≤Z＜10000</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2000≤Z＜5000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Z＜2000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pPr>
              <w:rPr>
                <w:color w:val="auto"/>
                <w:sz w:val="18"/>
                <w:szCs w:val="21"/>
                <w:highlight w:val="none"/>
              </w:rPr>
            </w:pPr>
            <w:r>
              <w:rPr>
                <w:rFonts w:hint="eastAsia"/>
                <w:color w:val="auto"/>
                <w:sz w:val="18"/>
                <w:szCs w:val="21"/>
                <w:highlight w:val="none"/>
              </w:rPr>
              <w:t>物业管理</w:t>
            </w: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X≥1000</w:t>
            </w:r>
          </w:p>
        </w:tc>
        <w:tc>
          <w:tcPr>
            <w:tcW w:w="1701"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300≤X＜1000</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100≤X＜300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pPr>
              <w:rPr>
                <w:color w:val="auto"/>
                <w:sz w:val="18"/>
                <w:szCs w:val="21"/>
                <w:highlight w:val="none"/>
              </w:rPr>
            </w:pP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营业收入(Y)</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Y≥5000</w:t>
            </w:r>
          </w:p>
        </w:tc>
        <w:tc>
          <w:tcPr>
            <w:tcW w:w="1701" w:type="dxa"/>
            <w:noWrap/>
            <w:vAlign w:val="center"/>
          </w:tcPr>
          <w:p>
            <w:pPr>
              <w:widowControl/>
              <w:spacing w:line="280" w:lineRule="exact"/>
              <w:ind w:left="1" w:leftChars="-51" w:hanging="108" w:hangingChars="60"/>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1000≤Y＜5000</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500≤Y＜1000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Y＜500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pPr>
              <w:rPr>
                <w:color w:val="auto"/>
                <w:sz w:val="18"/>
                <w:szCs w:val="21"/>
                <w:highlight w:val="none"/>
              </w:rPr>
            </w:pPr>
            <w:r>
              <w:rPr>
                <w:rFonts w:hint="eastAsia"/>
                <w:color w:val="auto"/>
                <w:sz w:val="18"/>
                <w:szCs w:val="21"/>
                <w:highlight w:val="none"/>
              </w:rPr>
              <w:t>租赁和商务服务业</w:t>
            </w: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X≥300</w:t>
            </w:r>
          </w:p>
        </w:tc>
        <w:tc>
          <w:tcPr>
            <w:tcW w:w="1701" w:type="dxa"/>
            <w:noWrap/>
            <w:vAlign w:val="center"/>
          </w:tcPr>
          <w:p>
            <w:pPr>
              <w:widowControl/>
              <w:spacing w:line="280" w:lineRule="exact"/>
              <w:ind w:left="1" w:leftChars="-51" w:hanging="108" w:hangingChars="60"/>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100≤X＜300</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10≤X＜100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pPr>
              <w:rPr>
                <w:color w:val="auto"/>
                <w:sz w:val="18"/>
                <w:szCs w:val="21"/>
                <w:highlight w:val="none"/>
              </w:rPr>
            </w:pP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资产总额(Z)</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万元</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Z≥120000</w:t>
            </w:r>
          </w:p>
        </w:tc>
        <w:tc>
          <w:tcPr>
            <w:tcW w:w="1701"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8000≤Z＜120000</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100≤Z＜8000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Z＜100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noWrap/>
            <w:vAlign w:val="center"/>
          </w:tcPr>
          <w:p>
            <w:pPr>
              <w:rPr>
                <w:color w:val="auto"/>
                <w:sz w:val="18"/>
                <w:szCs w:val="21"/>
                <w:highlight w:val="none"/>
              </w:rPr>
            </w:pPr>
            <w:r>
              <w:rPr>
                <w:rFonts w:hint="eastAsia"/>
                <w:color w:val="auto"/>
                <w:sz w:val="18"/>
                <w:szCs w:val="21"/>
                <w:highlight w:val="none"/>
              </w:rPr>
              <w:t>其他未列明行业 *</w:t>
            </w:r>
          </w:p>
        </w:tc>
        <w:tc>
          <w:tcPr>
            <w:tcW w:w="136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从业人员(X)</w:t>
            </w:r>
          </w:p>
        </w:tc>
        <w:tc>
          <w:tcPr>
            <w:tcW w:w="709"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人</w:t>
            </w:r>
          </w:p>
        </w:tc>
        <w:tc>
          <w:tcPr>
            <w:tcW w:w="1125"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X≥300</w:t>
            </w:r>
          </w:p>
        </w:tc>
        <w:tc>
          <w:tcPr>
            <w:tcW w:w="1701" w:type="dxa"/>
            <w:noWrap/>
            <w:vAlign w:val="center"/>
          </w:tcPr>
          <w:p>
            <w:pPr>
              <w:widowControl/>
              <w:spacing w:line="280" w:lineRule="exact"/>
              <w:ind w:left="1" w:leftChars="-51" w:hanging="108" w:hangingChars="60"/>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100≤X＜300</w:t>
            </w:r>
          </w:p>
        </w:tc>
        <w:tc>
          <w:tcPr>
            <w:tcW w:w="1426"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10≤X＜100</w:t>
            </w:r>
          </w:p>
        </w:tc>
        <w:tc>
          <w:tcPr>
            <w:tcW w:w="992" w:type="dxa"/>
            <w:noWrap/>
            <w:vAlign w:val="center"/>
          </w:tcPr>
          <w:p>
            <w:pPr>
              <w:widowControl/>
              <w:spacing w:line="28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X＜10</w:t>
            </w:r>
          </w:p>
        </w:tc>
      </w:tr>
    </w:tbl>
    <w:p>
      <w:pPr>
        <w:widowControl/>
        <w:rPr>
          <w:rFonts w:ascii="宋体" w:hAnsi="宋体" w:cs="宋体"/>
          <w:color w:val="auto"/>
          <w:kern w:val="0"/>
          <w:szCs w:val="21"/>
          <w:highlight w:val="none"/>
        </w:rPr>
      </w:pPr>
      <w:r>
        <w:rPr>
          <w:rFonts w:hint="eastAsia" w:ascii="宋体" w:hAnsi="宋体" w:cs="宋体"/>
          <w:color w:val="auto"/>
          <w:kern w:val="0"/>
          <w:szCs w:val="21"/>
          <w:highlight w:val="none"/>
        </w:rPr>
        <w:t>说明：</w:t>
      </w:r>
    </w:p>
    <w:p>
      <w:pPr>
        <w:pStyle w:val="17"/>
        <w:adjustRightInd w:val="0"/>
        <w:ind w:firstLine="420" w:firstLineChars="200"/>
        <w:contextualSpacing/>
        <w:rPr>
          <w:rFonts w:hAnsi="宋体" w:cs="宋体"/>
          <w:color w:val="auto"/>
          <w:kern w:val="0"/>
          <w:szCs w:val="21"/>
          <w:highlight w:val="none"/>
        </w:rPr>
      </w:pPr>
      <w:r>
        <w:rPr>
          <w:rFonts w:hint="eastAsia" w:hAnsi="宋体" w:cs="宋体"/>
          <w:color w:val="auto"/>
          <w:kern w:val="0"/>
          <w:szCs w:val="21"/>
          <w:highlight w:val="none"/>
        </w:rPr>
        <w:t>1.大型、中型和小型企业须同时满足所列指标的下限，否则下划一档。微型企业只须满足所列指标中的一项即可。</w:t>
      </w:r>
    </w:p>
    <w:p>
      <w:pPr>
        <w:pStyle w:val="17"/>
        <w:adjustRightInd w:val="0"/>
        <w:ind w:firstLine="420" w:firstLineChars="200"/>
        <w:contextualSpacing/>
        <w:rPr>
          <w:rFonts w:hAnsi="宋体" w:cs="宋体"/>
          <w:color w:val="auto"/>
          <w:kern w:val="0"/>
          <w:szCs w:val="21"/>
          <w:highlight w:val="none"/>
        </w:rPr>
      </w:pPr>
      <w:r>
        <w:rPr>
          <w:rFonts w:hint="eastAsia" w:hAnsi="宋体" w:cs="宋体"/>
          <w:color w:val="auto"/>
          <w:kern w:val="0"/>
          <w:szCs w:val="21"/>
          <w:highlight w:val="none"/>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pPr>
        <w:pStyle w:val="17"/>
        <w:ind w:firstLine="420" w:firstLineChars="200"/>
        <w:rPr>
          <w:rFonts w:hAnsi="宋体" w:cs="宋体"/>
          <w:color w:val="auto"/>
          <w:kern w:val="0"/>
          <w:sz w:val="24"/>
          <w:szCs w:val="24"/>
          <w:highlight w:val="none"/>
        </w:rPr>
      </w:pPr>
      <w:r>
        <w:rPr>
          <w:rFonts w:hint="eastAsia" w:hAnsi="宋体" w:cs="宋体"/>
          <w:color w:val="auto"/>
          <w:kern w:val="0"/>
          <w:szCs w:val="21"/>
          <w:highlight w:val="none"/>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pPr>
        <w:pStyle w:val="17"/>
        <w:jc w:val="center"/>
        <w:outlineLvl w:val="0"/>
        <w:rPr>
          <w:rFonts w:hAnsi="宋体" w:cs="宋体"/>
          <w:b/>
          <w:color w:val="auto"/>
          <w:sz w:val="36"/>
          <w:szCs w:val="36"/>
          <w:highlight w:val="none"/>
        </w:rPr>
      </w:pPr>
      <w:r>
        <w:rPr>
          <w:rFonts w:hint="eastAsia" w:hAnsi="宋体" w:cs="宋体"/>
          <w:color w:val="auto"/>
          <w:szCs w:val="21"/>
          <w:highlight w:val="none"/>
        </w:rPr>
        <w:br w:type="page"/>
      </w:r>
      <w:bookmarkStart w:id="57" w:name="_Toc5815"/>
      <w:bookmarkStart w:id="58" w:name="_Toc5641"/>
      <w:bookmarkStart w:id="59" w:name="_Toc9505"/>
      <w:bookmarkStart w:id="60" w:name="_Toc15229"/>
      <w:bookmarkStart w:id="61" w:name="_Toc532545044"/>
      <w:r>
        <w:rPr>
          <w:rFonts w:hint="eastAsia" w:hAnsi="宋体" w:cs="宋体"/>
          <w:b/>
          <w:color w:val="auto"/>
          <w:sz w:val="36"/>
          <w:highlight w:val="none"/>
        </w:rPr>
        <w:t>第三章  投标人须知</w:t>
      </w:r>
      <w:bookmarkEnd w:id="57"/>
      <w:bookmarkEnd w:id="58"/>
      <w:bookmarkEnd w:id="59"/>
      <w:bookmarkEnd w:id="60"/>
      <w:bookmarkEnd w:id="61"/>
    </w:p>
    <w:p>
      <w:pPr>
        <w:pStyle w:val="17"/>
        <w:spacing w:line="360" w:lineRule="auto"/>
        <w:jc w:val="center"/>
        <w:outlineLvl w:val="1"/>
        <w:rPr>
          <w:rFonts w:hAnsi="宋体" w:cs="宋体"/>
          <w:b/>
          <w:color w:val="auto"/>
          <w:sz w:val="30"/>
          <w:szCs w:val="30"/>
          <w:highlight w:val="none"/>
        </w:rPr>
      </w:pPr>
      <w:bookmarkStart w:id="62" w:name="_Toc992"/>
      <w:bookmarkStart w:id="63" w:name="_Toc28990"/>
      <w:bookmarkStart w:id="64" w:name="_Toc20955"/>
      <w:bookmarkStart w:id="65" w:name="_Toc2967"/>
      <w:r>
        <w:rPr>
          <w:rFonts w:hint="eastAsia" w:hAnsi="宋体" w:cs="宋体"/>
          <w:b/>
          <w:color w:val="auto"/>
          <w:sz w:val="30"/>
          <w:szCs w:val="30"/>
          <w:highlight w:val="none"/>
        </w:rPr>
        <w:t>第一节 投标人须知前附表</w:t>
      </w:r>
      <w:bookmarkEnd w:id="62"/>
      <w:bookmarkEnd w:id="63"/>
      <w:bookmarkEnd w:id="64"/>
      <w:bookmarkEnd w:id="65"/>
    </w:p>
    <w:tbl>
      <w:tblPr>
        <w:tblStyle w:val="32"/>
        <w:tblW w:w="1024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0"/>
        <w:gridCol w:w="2083"/>
        <w:gridCol w:w="729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条款号</w:t>
            </w:r>
          </w:p>
        </w:tc>
        <w:tc>
          <w:tcPr>
            <w:tcW w:w="2083"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jc w:val="center"/>
              <w:rPr>
                <w:rFonts w:ascii="宋体" w:hAnsi="宋体" w:cs="宋体"/>
                <w:color w:val="auto"/>
                <w:szCs w:val="21"/>
                <w:highlight w:val="none"/>
              </w:rPr>
            </w:pPr>
            <w:r>
              <w:rPr>
                <w:rFonts w:hint="eastAsia" w:ascii="宋体" w:hAnsi="宋体" w:cs="宋体"/>
                <w:color w:val="auto"/>
                <w:szCs w:val="21"/>
                <w:highlight w:val="none"/>
              </w:rPr>
              <w:t>项目内容</w:t>
            </w:r>
          </w:p>
        </w:tc>
        <w:tc>
          <w:tcPr>
            <w:tcW w:w="7297"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jc w:val="center"/>
              <w:rPr>
                <w:rFonts w:ascii="宋体" w:hAnsi="宋体" w:cs="宋体"/>
                <w:color w:val="auto"/>
                <w:szCs w:val="21"/>
                <w:highlight w:val="none"/>
              </w:rPr>
            </w:pPr>
            <w:r>
              <w:rPr>
                <w:rFonts w:hint="eastAsia" w:ascii="宋体" w:hAnsi="宋体" w:cs="宋体"/>
                <w:color w:val="auto"/>
                <w:szCs w:val="21"/>
                <w:highlight w:val="none"/>
              </w:rPr>
              <w:t>编列内容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3</w:t>
            </w: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投标人的资格要求</w:t>
            </w:r>
          </w:p>
        </w:tc>
        <w:tc>
          <w:tcPr>
            <w:tcW w:w="7297" w:type="dxa"/>
            <w:tcBorders>
              <w:top w:val="single" w:color="auto" w:sz="4" w:space="0"/>
              <w:left w:val="single" w:color="auto" w:sz="4" w:space="0"/>
              <w:bottom w:val="single" w:color="auto" w:sz="4" w:space="0"/>
              <w:right w:val="single" w:color="auto" w:sz="4" w:space="0"/>
            </w:tcBorders>
            <w:noWrap/>
            <w:vAlign w:val="center"/>
          </w:tcPr>
          <w:p>
            <w:pPr>
              <w:pStyle w:val="13"/>
              <w:spacing w:line="360" w:lineRule="exact"/>
              <w:jc w:val="both"/>
              <w:rPr>
                <w:rFonts w:ascii="宋体" w:hAnsi="宋体" w:cs="宋体"/>
                <w:color w:val="auto"/>
                <w:szCs w:val="21"/>
                <w:highlight w:val="none"/>
              </w:rPr>
            </w:pPr>
            <w:r>
              <w:rPr>
                <w:rFonts w:hint="eastAsia" w:ascii="宋体" w:hAnsi="宋体" w:cs="宋体"/>
                <w:color w:val="auto"/>
                <w:szCs w:val="21"/>
                <w:highlight w:val="none"/>
              </w:rPr>
              <w:t>详见招标公告。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6.1</w:t>
            </w: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bookmarkStart w:id="66" w:name="_9.2"/>
            <w:bookmarkEnd w:id="66"/>
            <w:bookmarkStart w:id="67" w:name="_8.1"/>
            <w:bookmarkEnd w:id="67"/>
            <w:bookmarkStart w:id="68" w:name="_5"/>
            <w:bookmarkEnd w:id="68"/>
            <w:r>
              <w:rPr>
                <w:rFonts w:hint="eastAsia" w:ascii="宋体" w:hAnsi="宋体" w:cs="宋体"/>
                <w:color w:val="auto"/>
                <w:szCs w:val="21"/>
                <w:highlight w:val="none"/>
              </w:rPr>
              <w:t>是否接受联合体投标</w:t>
            </w:r>
          </w:p>
        </w:tc>
        <w:tc>
          <w:tcPr>
            <w:tcW w:w="7297" w:type="dxa"/>
            <w:tcBorders>
              <w:top w:val="single" w:color="auto" w:sz="4" w:space="0"/>
              <w:left w:val="single" w:color="auto" w:sz="4" w:space="0"/>
              <w:bottom w:val="single" w:color="auto" w:sz="4" w:space="0"/>
              <w:right w:val="single" w:color="auto" w:sz="4" w:space="0"/>
            </w:tcBorders>
            <w:noWrap/>
            <w:vAlign w:val="center"/>
          </w:tcPr>
          <w:p>
            <w:pPr>
              <w:pStyle w:val="13"/>
              <w:spacing w:line="360" w:lineRule="exact"/>
              <w:jc w:val="both"/>
              <w:rPr>
                <w:rFonts w:ascii="宋体" w:hAnsi="宋体" w:cs="宋体"/>
                <w:color w:val="auto"/>
                <w:szCs w:val="21"/>
                <w:highlight w:val="none"/>
              </w:rPr>
            </w:pPr>
            <w:bookmarkStart w:id="69" w:name="PO_3000001867_PM007_1"/>
            <w:r>
              <w:rPr>
                <w:rFonts w:hint="eastAsia" w:ascii="宋体" w:hAnsi="宋体" w:cs="宋体"/>
                <w:color w:val="auto"/>
                <w:szCs w:val="21"/>
                <w:highlight w:val="none"/>
              </w:rPr>
              <w:t>详见招标公告</w:t>
            </w:r>
            <w:bookmarkEnd w:id="69"/>
            <w:r>
              <w:rPr>
                <w:rFonts w:hint="eastAsia" w:ascii="宋体" w:hAnsi="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6.2</w:t>
            </w: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联合体投标要求</w:t>
            </w:r>
          </w:p>
        </w:tc>
        <w:tc>
          <w:tcPr>
            <w:tcW w:w="7297" w:type="dxa"/>
            <w:tcBorders>
              <w:top w:val="single" w:color="auto" w:sz="4" w:space="0"/>
              <w:left w:val="single" w:color="auto" w:sz="4" w:space="0"/>
              <w:bottom w:val="single" w:color="auto" w:sz="4" w:space="0"/>
              <w:right w:val="single" w:color="auto" w:sz="4" w:space="0"/>
            </w:tcBorders>
            <w:noWrap/>
            <w:vAlign w:val="center"/>
          </w:tcPr>
          <w:p>
            <w:pPr>
              <w:rPr>
                <w:rFonts w:ascii="宋体" w:hAnsi="宋体" w:cs="宋体"/>
                <w:color w:val="auto"/>
                <w:szCs w:val="21"/>
                <w:highlight w:val="none"/>
              </w:rPr>
            </w:pPr>
            <w:r>
              <w:rPr>
                <w:rFonts w:hint="eastAsia" w:ascii="宋体" w:hAnsi="宋体" w:cs="Arial"/>
                <w:color w:val="auto"/>
                <w:highlight w:val="none"/>
              </w:rPr>
              <w:t>本项目不接受联合体投标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7.2</w:t>
            </w: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是否允许分包</w:t>
            </w:r>
          </w:p>
        </w:tc>
        <w:tc>
          <w:tcPr>
            <w:tcW w:w="7297" w:type="dxa"/>
            <w:tcBorders>
              <w:top w:val="single" w:color="auto" w:sz="4" w:space="0"/>
              <w:left w:val="single" w:color="auto" w:sz="4" w:space="0"/>
              <w:bottom w:val="single" w:color="auto" w:sz="4" w:space="0"/>
              <w:right w:val="single" w:color="auto" w:sz="4" w:space="0"/>
            </w:tcBorders>
            <w:noWrap/>
            <w:vAlign w:val="center"/>
          </w:tcPr>
          <w:p>
            <w:pPr>
              <w:pStyle w:val="13"/>
              <w:spacing w:line="360" w:lineRule="exact"/>
              <w:rPr>
                <w:rFonts w:ascii="宋体" w:hAnsi="宋体" w:cs="宋体"/>
                <w:color w:val="auto"/>
                <w:szCs w:val="21"/>
                <w:highlight w:val="none"/>
              </w:rPr>
            </w:pPr>
            <w:bookmarkStart w:id="70" w:name="PO_3000001871_PM044"/>
            <w:bookmarkStart w:id="71" w:name="PO_3000001867_PM044"/>
            <w:r>
              <w:rPr>
                <w:rFonts w:hint="eastAsia" w:asciiTheme="minorEastAsia" w:hAnsiTheme="minorEastAsia" w:eastAsiaTheme="minorEastAsia" w:cstheme="minorEastAsia"/>
                <w:color w:val="auto"/>
                <w:szCs w:val="21"/>
                <w:highlight w:val="none"/>
              </w:rPr>
              <w:t>不允许分包</w:t>
            </w:r>
            <w:bookmarkEnd w:id="70"/>
            <w:r>
              <w:rPr>
                <w:rFonts w:hint="eastAsia" w:asciiTheme="minorEastAsia" w:hAnsiTheme="minorEastAsia" w:eastAsiaTheme="minorEastAsia" w:cstheme="minorEastAsia"/>
                <w:color w:val="auto"/>
                <w:szCs w:val="21"/>
                <w:highlight w:val="none"/>
              </w:rPr>
              <w:t>。</w:t>
            </w:r>
            <w:bookmarkEnd w:id="71"/>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8.4</w:t>
            </w:r>
          </w:p>
        </w:tc>
        <w:tc>
          <w:tcPr>
            <w:tcW w:w="2083" w:type="dxa"/>
            <w:tcBorders>
              <w:top w:val="single" w:color="auto" w:sz="4" w:space="0"/>
              <w:left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提供相同品牌产品且通过资格审查、符合性审查的不同投标人参加同一合同项下投标的获得参加评标资格的投标人或获得中标人推荐资格的确定方式</w:t>
            </w:r>
          </w:p>
        </w:tc>
        <w:tc>
          <w:tcPr>
            <w:tcW w:w="7297" w:type="dxa"/>
            <w:tcBorders>
              <w:top w:val="single" w:color="auto" w:sz="4" w:space="0"/>
              <w:left w:val="single" w:color="auto" w:sz="4" w:space="0"/>
              <w:right w:val="single" w:color="auto" w:sz="4" w:space="0"/>
            </w:tcBorders>
            <w:noWrap/>
            <w:vAlign w:val="center"/>
          </w:tcPr>
          <w:p>
            <w:pPr>
              <w:pStyle w:val="17"/>
              <w:spacing w:line="360" w:lineRule="auto"/>
              <w:rPr>
                <w:rFonts w:hAnsi="宋体" w:cs="宋体"/>
                <w:color w:val="auto"/>
                <w:szCs w:val="21"/>
                <w:highlight w:val="none"/>
              </w:rPr>
            </w:pPr>
            <w:r>
              <w:rPr>
                <w:rFonts w:hint="eastAsia" w:hAnsi="宋体" w:cs="宋体"/>
                <w:b/>
                <w:bCs/>
                <w:color w:val="auto"/>
                <w:szCs w:val="21"/>
                <w:highlight w:val="none"/>
              </w:rPr>
              <w:t>采用综合评分法，</w:t>
            </w:r>
            <w:r>
              <w:rPr>
                <w:rFonts w:hint="eastAsia" w:hAnsi="宋体" w:cs="宋体"/>
                <w:color w:val="auto"/>
                <w:szCs w:val="21"/>
                <w:highlight w:val="none"/>
              </w:rPr>
              <w:t>评审得分相同的，以投标报价由低到高顺序排列。得分相同且投标报价相同的，依次按技术评分高优先、商务评分高优先顺序排列，</w:t>
            </w:r>
            <w:r>
              <w:rPr>
                <w:rFonts w:hint="eastAsia" w:hAnsi="宋体" w:cs="宋体"/>
                <w:color w:val="auto"/>
                <w:highlight w:val="none"/>
              </w:rPr>
              <w:t>均相同时，由采购人随机抽取。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11.4</w:t>
            </w: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媒体发布渠道</w:t>
            </w:r>
          </w:p>
        </w:tc>
        <w:tc>
          <w:tcPr>
            <w:tcW w:w="7297"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与本项目相关的政府采购业务澄清、更正及与之相关的事项将在招标公告中“六、其他补充事宜”中网上查询地址上发布</w:t>
            </w:r>
            <w:r>
              <w:rPr>
                <w:rFonts w:hint="eastAsia" w:ascii="宋体" w:hAnsi="宋体" w:cs="宋体"/>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11.5</w:t>
            </w: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是否组织标前答疑会</w:t>
            </w:r>
          </w:p>
        </w:tc>
        <w:tc>
          <w:tcPr>
            <w:tcW w:w="7297"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sym w:font="Wingdings 2" w:char="0052"/>
            </w:r>
            <w:r>
              <w:rPr>
                <w:rFonts w:hint="eastAsia" w:ascii="宋体" w:hAnsi="宋体" w:cs="宋体"/>
                <w:color w:val="auto"/>
                <w:szCs w:val="21"/>
                <w:highlight w:val="none"/>
              </w:rPr>
              <w:t>不组织召开开标前答疑会</w:t>
            </w:r>
          </w:p>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□组织召开开标前答疑会</w:t>
            </w:r>
          </w:p>
          <w:p>
            <w:pPr>
              <w:snapToGrid w:val="0"/>
              <w:spacing w:line="360" w:lineRule="exact"/>
              <w:rPr>
                <w:rFonts w:ascii="宋体" w:hAnsi="宋体" w:cs="宋体"/>
                <w:color w:val="auto"/>
                <w:szCs w:val="21"/>
                <w:highlight w:val="none"/>
                <w:u w:val="single"/>
              </w:rPr>
            </w:pPr>
            <w:r>
              <w:rPr>
                <w:rFonts w:hint="eastAsia" w:ascii="宋体" w:hAnsi="宋体" w:cs="宋体"/>
                <w:color w:val="auto"/>
                <w:szCs w:val="21"/>
                <w:highlight w:val="none"/>
              </w:rPr>
              <w:t>会议开始时间： 年 月 日 时 分，逾期后果自负。会议地点：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vMerge w:val="restart"/>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13.1</w:t>
            </w:r>
          </w:p>
        </w:tc>
        <w:tc>
          <w:tcPr>
            <w:tcW w:w="2083"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jc w:val="left"/>
              <w:rPr>
                <w:rFonts w:ascii="宋体" w:hAnsi="宋体" w:cs="宋体"/>
                <w:color w:val="auto"/>
                <w:szCs w:val="21"/>
                <w:highlight w:val="none"/>
              </w:rPr>
            </w:pPr>
            <w:bookmarkStart w:id="72" w:name="_13.2"/>
            <w:bookmarkEnd w:id="72"/>
            <w:r>
              <w:rPr>
                <w:rFonts w:hint="eastAsia" w:ascii="宋体" w:hAnsi="宋体" w:cs="宋体"/>
                <w:color w:val="auto"/>
                <w:szCs w:val="21"/>
                <w:highlight w:val="none"/>
              </w:rPr>
              <w:t>资格证明文件组成</w:t>
            </w:r>
          </w:p>
        </w:tc>
        <w:tc>
          <w:tcPr>
            <w:tcW w:w="7297"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jc w:val="left"/>
              <w:rPr>
                <w:rFonts w:ascii="宋体" w:hAnsi="宋体" w:cs="宋体"/>
                <w:color w:val="auto"/>
                <w:szCs w:val="21"/>
                <w:highlight w:val="none"/>
              </w:rPr>
            </w:pPr>
            <w:r>
              <w:rPr>
                <w:rFonts w:hint="eastAsia" w:ascii="宋体" w:hAnsi="宋体" w:cs="宋体"/>
                <w:color w:val="auto"/>
                <w:szCs w:val="21"/>
                <w:highlight w:val="none"/>
              </w:rPr>
              <w:t>1、投标人为法人或者其他组织的，提供营业执照等证明文件复印件（如营业执照或者事业单位法人证书或者执业许可证等），投标人为自然人的，提供有效身份证正反面复印件。（</w:t>
            </w:r>
            <w:r>
              <w:rPr>
                <w:rFonts w:hint="eastAsia" w:ascii="宋体" w:hAnsi="宋体" w:cs="宋体"/>
                <w:b/>
                <w:color w:val="auto"/>
                <w:szCs w:val="21"/>
                <w:highlight w:val="none"/>
              </w:rPr>
              <w:t>必须提供，否则作无效投标处理</w:t>
            </w:r>
            <w:r>
              <w:rPr>
                <w:rFonts w:hint="eastAsia" w:ascii="宋体" w:hAnsi="宋体" w:cs="宋体"/>
                <w:color w:val="auto"/>
                <w:szCs w:val="21"/>
                <w:highlight w:val="none"/>
              </w:rPr>
              <w:t>）</w:t>
            </w:r>
          </w:p>
          <w:p>
            <w:pPr>
              <w:snapToGrid w:val="0"/>
              <w:spacing w:line="360" w:lineRule="exact"/>
              <w:jc w:val="left"/>
              <w:rPr>
                <w:rFonts w:ascii="宋体" w:hAnsi="宋体" w:cs="宋体"/>
                <w:color w:val="auto"/>
                <w:szCs w:val="21"/>
                <w:highlight w:val="none"/>
              </w:rPr>
            </w:pPr>
            <w:r>
              <w:rPr>
                <w:rFonts w:hint="eastAsia" w:ascii="宋体" w:hAnsi="宋体" w:cs="宋体"/>
                <w:color w:val="auto"/>
                <w:szCs w:val="21"/>
                <w:highlight w:val="none"/>
              </w:rPr>
              <w:t>2、投标人依法缴纳税收的相关材料（提供税款所属时期为</w:t>
            </w:r>
            <w:r>
              <w:rPr>
                <w:rFonts w:hint="eastAsia" w:ascii="宋体" w:hAnsi="宋体" w:cs="宋体"/>
                <w:color w:val="auto"/>
                <w:szCs w:val="21"/>
                <w:highlight w:val="none"/>
                <w:lang w:val="en-US" w:eastAsia="zh-CN"/>
              </w:rPr>
              <w:t>2025</w:t>
            </w:r>
            <w:r>
              <w:rPr>
                <w:rFonts w:hint="eastAsia" w:ascii="宋体" w:hAnsi="宋体" w:cs="宋体"/>
                <w:color w:val="auto"/>
                <w:szCs w:val="21"/>
                <w:highlight w:val="none"/>
              </w:rPr>
              <w:t>年1月至投标文件提交截止时间止的任意</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个月的依法缴纳税收的凭据复印件。依法免税的投标人，必须提供相应文件证明其依法免税。从取得营业执照时间起到投标文件提交截止时间为止不足要求月数的，只需提供从取得营业执照起的依法缴纳税收相应证明文件）。（</w:t>
            </w:r>
            <w:r>
              <w:rPr>
                <w:rFonts w:hint="eastAsia" w:ascii="宋体" w:hAnsi="宋体" w:cs="宋体"/>
                <w:b/>
                <w:color w:val="auto"/>
                <w:szCs w:val="21"/>
                <w:highlight w:val="none"/>
              </w:rPr>
              <w:t>必须提供，否则作无效投标处理</w:t>
            </w:r>
            <w:r>
              <w:rPr>
                <w:rFonts w:hint="eastAsia" w:ascii="宋体" w:hAnsi="宋体" w:cs="宋体"/>
                <w:color w:val="auto"/>
                <w:szCs w:val="21"/>
                <w:highlight w:val="none"/>
              </w:rPr>
              <w:t>）</w:t>
            </w:r>
          </w:p>
          <w:p>
            <w:pPr>
              <w:snapToGrid w:val="0"/>
              <w:spacing w:line="360" w:lineRule="exact"/>
              <w:jc w:val="left"/>
              <w:rPr>
                <w:rFonts w:ascii="宋体" w:hAnsi="宋体" w:cs="宋体"/>
                <w:color w:val="auto"/>
                <w:szCs w:val="21"/>
                <w:highlight w:val="none"/>
              </w:rPr>
            </w:pPr>
            <w:r>
              <w:rPr>
                <w:rFonts w:hint="eastAsia" w:ascii="宋体" w:hAnsi="宋体" w:cs="宋体"/>
                <w:color w:val="auto"/>
                <w:szCs w:val="21"/>
                <w:highlight w:val="none"/>
              </w:rPr>
              <w:t>3、投标人依法缴纳社会保障资金的相关材料（提供税款所属时期或缴费起始时间为</w:t>
            </w:r>
            <w:r>
              <w:rPr>
                <w:rFonts w:hint="eastAsia" w:ascii="宋体" w:hAnsi="宋体" w:cs="宋体"/>
                <w:color w:val="auto"/>
                <w:szCs w:val="21"/>
                <w:highlight w:val="none"/>
                <w:lang w:val="en-US" w:eastAsia="zh-CN"/>
              </w:rPr>
              <w:t>2025</w:t>
            </w:r>
            <w:r>
              <w:rPr>
                <w:rFonts w:hint="eastAsia" w:ascii="宋体" w:hAnsi="宋体" w:cs="宋体"/>
                <w:color w:val="auto"/>
                <w:szCs w:val="21"/>
                <w:highlight w:val="none"/>
              </w:rPr>
              <w:t>年1月至投标文件提交截止时间止的任意</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个月的依法缴纳社会保障资金的缴费凭证复印件；依法不需要缴纳社会保障资金的投标人，必须提供相应文件证明不需要缴纳社会保障资金。从取得营业执照时间起到投标文件提交截止时间为止不足要求月数的只需提供从取得营业执照起的依法缴纳社会保障资金的相应证明文件）。（</w:t>
            </w:r>
            <w:r>
              <w:rPr>
                <w:rFonts w:hint="eastAsia" w:ascii="宋体" w:hAnsi="宋体" w:cs="宋体"/>
                <w:b/>
                <w:color w:val="auto"/>
                <w:szCs w:val="21"/>
                <w:highlight w:val="none"/>
              </w:rPr>
              <w:t>必须提供，否则作无效投标处理</w:t>
            </w:r>
            <w:r>
              <w:rPr>
                <w:rFonts w:hint="eastAsia" w:ascii="宋体" w:hAnsi="宋体" w:cs="宋体"/>
                <w:color w:val="auto"/>
                <w:szCs w:val="21"/>
                <w:highlight w:val="none"/>
              </w:rPr>
              <w:t>）</w:t>
            </w:r>
          </w:p>
          <w:p>
            <w:pPr>
              <w:snapToGrid w:val="0"/>
              <w:spacing w:line="360" w:lineRule="exact"/>
              <w:jc w:val="left"/>
              <w:rPr>
                <w:rFonts w:ascii="宋体" w:hAnsi="宋体" w:cs="宋体"/>
                <w:color w:val="auto"/>
                <w:szCs w:val="21"/>
                <w:highlight w:val="none"/>
              </w:rPr>
            </w:pPr>
            <w:r>
              <w:rPr>
                <w:rFonts w:hint="eastAsia" w:ascii="宋体" w:hAnsi="宋体" w:cs="宋体"/>
                <w:color w:val="auto"/>
                <w:szCs w:val="21"/>
                <w:highlight w:val="none"/>
              </w:rPr>
              <w:t>4、投标人财务状况报告（提供2023年度</w:t>
            </w:r>
            <w:r>
              <w:rPr>
                <w:rFonts w:hint="eastAsia" w:ascii="宋体" w:hAnsi="宋体" w:cs="宋体"/>
                <w:color w:val="auto"/>
                <w:szCs w:val="21"/>
                <w:highlight w:val="none"/>
                <w:lang w:val="en-US" w:eastAsia="zh-CN"/>
              </w:rPr>
              <w:t>或2024年度</w:t>
            </w:r>
            <w:r>
              <w:rPr>
                <w:rFonts w:hint="eastAsia" w:ascii="宋体" w:hAnsi="宋体" w:cs="宋体"/>
                <w:color w:val="auto"/>
                <w:szCs w:val="21"/>
                <w:highlight w:val="none"/>
              </w:rPr>
              <w:t>财务报告复印件或者截标时间前半年内至少一个月能反映财务状况的报表或者投标人自拟的截标时间前半年内至少一个月的财务情况说明）。（</w:t>
            </w:r>
            <w:r>
              <w:rPr>
                <w:rFonts w:hint="eastAsia" w:ascii="宋体" w:hAnsi="宋体" w:cs="宋体"/>
                <w:b/>
                <w:color w:val="auto"/>
                <w:szCs w:val="21"/>
                <w:highlight w:val="none"/>
              </w:rPr>
              <w:t>必须提供，否则作无效投标处理</w:t>
            </w:r>
            <w:r>
              <w:rPr>
                <w:rFonts w:hint="eastAsia" w:ascii="宋体" w:hAnsi="宋体" w:cs="宋体"/>
                <w:color w:val="auto"/>
                <w:szCs w:val="21"/>
                <w:highlight w:val="none"/>
              </w:rPr>
              <w:t>）</w:t>
            </w:r>
          </w:p>
          <w:p>
            <w:pPr>
              <w:snapToGrid w:val="0"/>
              <w:spacing w:line="360" w:lineRule="exact"/>
              <w:jc w:val="left"/>
              <w:rPr>
                <w:rFonts w:ascii="宋体" w:hAnsi="宋体" w:cs="宋体"/>
                <w:color w:val="auto"/>
                <w:szCs w:val="21"/>
                <w:highlight w:val="none"/>
              </w:rPr>
            </w:pPr>
            <w:r>
              <w:rPr>
                <w:rFonts w:hint="eastAsia" w:ascii="宋体" w:hAnsi="宋体" w:cs="宋体"/>
                <w:color w:val="auto"/>
                <w:szCs w:val="21"/>
                <w:highlight w:val="none"/>
              </w:rPr>
              <w:t>5、声明函（格式后附）。（</w:t>
            </w:r>
            <w:r>
              <w:rPr>
                <w:rFonts w:hint="eastAsia" w:ascii="宋体" w:hAnsi="宋体" w:cs="宋体"/>
                <w:b/>
                <w:color w:val="auto"/>
                <w:szCs w:val="21"/>
                <w:highlight w:val="none"/>
              </w:rPr>
              <w:t>必须提供，否则作无效投标处理</w:t>
            </w:r>
            <w:r>
              <w:rPr>
                <w:rFonts w:hint="eastAsia" w:ascii="宋体" w:hAnsi="宋体" w:cs="宋体"/>
                <w:color w:val="auto"/>
                <w:szCs w:val="21"/>
                <w:highlight w:val="none"/>
              </w:rPr>
              <w:t>）</w:t>
            </w:r>
          </w:p>
          <w:p>
            <w:pPr>
              <w:snapToGrid w:val="0"/>
              <w:spacing w:line="360" w:lineRule="exact"/>
              <w:jc w:val="left"/>
              <w:rPr>
                <w:rFonts w:ascii="宋体" w:hAnsi="宋体" w:cs="宋体"/>
                <w:color w:val="auto"/>
                <w:szCs w:val="21"/>
                <w:highlight w:val="none"/>
              </w:rPr>
            </w:pPr>
            <w:r>
              <w:rPr>
                <w:rFonts w:hint="eastAsia" w:ascii="宋体" w:hAnsi="宋体" w:cs="宋体"/>
                <w:color w:val="auto"/>
                <w:szCs w:val="21"/>
                <w:highlight w:val="none"/>
              </w:rPr>
              <w:t>6、投标人直接控股股东信息表（格式后附）。（</w:t>
            </w:r>
            <w:r>
              <w:rPr>
                <w:rFonts w:hint="eastAsia" w:ascii="宋体" w:hAnsi="宋体" w:cs="宋体"/>
                <w:b/>
                <w:color w:val="auto"/>
                <w:szCs w:val="21"/>
                <w:highlight w:val="none"/>
              </w:rPr>
              <w:t>必须提供，否则作无效投标处理</w:t>
            </w:r>
            <w:r>
              <w:rPr>
                <w:rFonts w:hint="eastAsia" w:ascii="宋体" w:hAnsi="宋体" w:cs="宋体"/>
                <w:color w:val="auto"/>
                <w:szCs w:val="21"/>
                <w:highlight w:val="none"/>
              </w:rPr>
              <w:t>）</w:t>
            </w:r>
          </w:p>
          <w:p>
            <w:pPr>
              <w:snapToGrid w:val="0"/>
              <w:spacing w:line="360" w:lineRule="exact"/>
              <w:jc w:val="left"/>
              <w:rPr>
                <w:rFonts w:ascii="宋体" w:hAnsi="宋体" w:cs="宋体"/>
                <w:color w:val="auto"/>
                <w:szCs w:val="21"/>
                <w:highlight w:val="none"/>
              </w:rPr>
            </w:pPr>
            <w:r>
              <w:rPr>
                <w:rFonts w:hint="eastAsia" w:ascii="宋体" w:hAnsi="宋体" w:cs="宋体"/>
                <w:color w:val="auto"/>
                <w:szCs w:val="21"/>
                <w:highlight w:val="none"/>
              </w:rPr>
              <w:t>7、投标人直接管理关系信息表（格式后附）。（</w:t>
            </w:r>
            <w:r>
              <w:rPr>
                <w:rFonts w:hint="eastAsia" w:ascii="宋体" w:hAnsi="宋体" w:cs="宋体"/>
                <w:b/>
                <w:color w:val="auto"/>
                <w:szCs w:val="21"/>
                <w:highlight w:val="none"/>
              </w:rPr>
              <w:t>必须提供，否则作无效投标处理</w:t>
            </w:r>
            <w:r>
              <w:rPr>
                <w:rFonts w:hint="eastAsia" w:ascii="宋体" w:hAnsi="宋体" w:cs="宋体"/>
                <w:color w:val="auto"/>
                <w:szCs w:val="21"/>
                <w:highlight w:val="none"/>
              </w:rPr>
              <w:t>）</w:t>
            </w:r>
          </w:p>
          <w:p>
            <w:pPr>
              <w:snapToGrid w:val="0"/>
              <w:spacing w:line="360" w:lineRule="exact"/>
              <w:jc w:val="left"/>
              <w:rPr>
                <w:rFonts w:ascii="宋体" w:hAnsi="宋体" w:cs="宋体"/>
                <w:color w:val="auto"/>
                <w:szCs w:val="21"/>
                <w:highlight w:val="none"/>
              </w:rPr>
            </w:pPr>
            <w:r>
              <w:rPr>
                <w:rFonts w:hint="eastAsia" w:ascii="宋体" w:hAnsi="宋体" w:cs="宋体"/>
                <w:color w:val="auto"/>
                <w:szCs w:val="21"/>
                <w:highlight w:val="none"/>
              </w:rPr>
              <w:t>8、联合体投标协议书（格式后附）。（</w:t>
            </w:r>
            <w:r>
              <w:rPr>
                <w:rFonts w:hint="eastAsia" w:ascii="宋体" w:hAnsi="宋体" w:cs="宋体"/>
                <w:b/>
                <w:color w:val="auto"/>
                <w:szCs w:val="21"/>
                <w:highlight w:val="none"/>
              </w:rPr>
              <w:t>联合体投标时必须提供，否则作无效投标处理</w:t>
            </w:r>
            <w:r>
              <w:rPr>
                <w:rFonts w:hint="eastAsia" w:ascii="宋体" w:hAnsi="宋体" w:cs="宋体"/>
                <w:color w:val="auto"/>
                <w:szCs w:val="21"/>
                <w:highlight w:val="none"/>
              </w:rPr>
              <w:t>）</w:t>
            </w:r>
          </w:p>
          <w:p>
            <w:pPr>
              <w:snapToGrid w:val="0"/>
              <w:spacing w:line="360" w:lineRule="exact"/>
              <w:jc w:val="left"/>
              <w:rPr>
                <w:rFonts w:ascii="宋体" w:hAnsi="宋体" w:cs="宋体"/>
                <w:color w:val="auto"/>
                <w:szCs w:val="21"/>
                <w:highlight w:val="none"/>
              </w:rPr>
            </w:pPr>
            <w:r>
              <w:rPr>
                <w:rFonts w:hint="eastAsia" w:ascii="宋体" w:hAnsi="宋体" w:cs="宋体"/>
                <w:color w:val="auto"/>
                <w:szCs w:val="21"/>
                <w:highlight w:val="none"/>
              </w:rPr>
              <w:t>9、除招标文件规定必须提供以外，投标人认为需要提供的其他证明材料（格式自拟）。</w:t>
            </w:r>
          </w:p>
          <w:p>
            <w:pPr>
              <w:snapToGrid w:val="0"/>
              <w:spacing w:line="360" w:lineRule="exact"/>
              <w:jc w:val="left"/>
              <w:rPr>
                <w:rFonts w:ascii="宋体" w:hAnsi="宋体" w:cs="宋体"/>
                <w:b/>
                <w:bCs/>
                <w:color w:val="auto"/>
                <w:szCs w:val="21"/>
                <w:highlight w:val="none"/>
              </w:rPr>
            </w:pPr>
            <w:r>
              <w:rPr>
                <w:rFonts w:hint="eastAsia" w:ascii="宋体" w:hAnsi="宋体" w:cs="宋体"/>
                <w:b/>
                <w:bCs/>
                <w:color w:val="auto"/>
                <w:szCs w:val="21"/>
                <w:highlight w:val="none"/>
              </w:rPr>
              <w:t>注：1.以上标明“必须提供”的材料</w:t>
            </w:r>
            <w:r>
              <w:rPr>
                <w:rFonts w:hint="eastAsia" w:ascii="宋体" w:hAnsi="宋体" w:cs="宋体"/>
                <w:b/>
                <w:color w:val="auto"/>
                <w:szCs w:val="21"/>
                <w:highlight w:val="none"/>
              </w:rPr>
              <w:t>属于复印件的扫描件的</w:t>
            </w:r>
            <w:r>
              <w:rPr>
                <w:rFonts w:hint="eastAsia" w:ascii="宋体" w:hAnsi="宋体" w:cs="宋体"/>
                <w:b/>
                <w:bCs/>
                <w:color w:val="auto"/>
                <w:szCs w:val="21"/>
                <w:highlight w:val="none"/>
              </w:rPr>
              <w:t>，必须加盖投标人公章，否则</w:t>
            </w:r>
            <w:r>
              <w:rPr>
                <w:rFonts w:hint="eastAsia" w:ascii="宋体" w:hAnsi="宋体" w:cs="宋体"/>
                <w:b/>
                <w:color w:val="auto"/>
                <w:szCs w:val="21"/>
                <w:highlight w:val="none"/>
              </w:rPr>
              <w:t>作无效投标处理。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vMerge w:val="continue"/>
            <w:tcBorders>
              <w:top w:val="single" w:color="auto" w:sz="4" w:space="0"/>
              <w:left w:val="single" w:color="auto" w:sz="4" w:space="0"/>
              <w:right w:val="single" w:color="auto" w:sz="4" w:space="0"/>
            </w:tcBorders>
            <w:noWrap/>
            <w:vAlign w:val="center"/>
          </w:tcPr>
          <w:p>
            <w:pPr>
              <w:spacing w:line="360" w:lineRule="exact"/>
              <w:rPr>
                <w:rFonts w:ascii="宋体" w:hAnsi="宋体" w:cs="宋体"/>
                <w:color w:val="auto"/>
                <w:szCs w:val="21"/>
                <w:highlight w:val="none"/>
              </w:rPr>
            </w:pPr>
          </w:p>
        </w:tc>
        <w:tc>
          <w:tcPr>
            <w:tcW w:w="2083"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jc w:val="left"/>
              <w:rPr>
                <w:rFonts w:ascii="宋体" w:hAnsi="宋体" w:cs="宋体"/>
                <w:color w:val="auto"/>
                <w:szCs w:val="21"/>
                <w:highlight w:val="none"/>
              </w:rPr>
            </w:pPr>
            <w:bookmarkStart w:id="73" w:name="_13.3"/>
            <w:bookmarkEnd w:id="73"/>
            <w:r>
              <w:rPr>
                <w:rFonts w:hint="eastAsia" w:ascii="宋体" w:hAnsi="宋体" w:cs="宋体"/>
                <w:color w:val="auto"/>
                <w:szCs w:val="21"/>
                <w:highlight w:val="none"/>
              </w:rPr>
              <w:t>商务文件组成</w:t>
            </w:r>
          </w:p>
        </w:tc>
        <w:tc>
          <w:tcPr>
            <w:tcW w:w="7297"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jc w:val="left"/>
              <w:rPr>
                <w:rFonts w:ascii="宋体" w:hAnsi="宋体" w:cs="宋体"/>
                <w:color w:val="auto"/>
                <w:szCs w:val="21"/>
                <w:highlight w:val="none"/>
              </w:rPr>
            </w:pPr>
            <w:r>
              <w:rPr>
                <w:rFonts w:hint="eastAsia" w:ascii="宋体" w:hAnsi="宋体" w:cs="宋体"/>
                <w:color w:val="auto"/>
                <w:szCs w:val="21"/>
                <w:highlight w:val="none"/>
              </w:rPr>
              <w:t>1、无串通投标行为的承诺函（格式后附）。（</w:t>
            </w:r>
            <w:r>
              <w:rPr>
                <w:rFonts w:hint="eastAsia" w:ascii="宋体" w:hAnsi="宋体" w:cs="宋体"/>
                <w:b/>
                <w:color w:val="auto"/>
                <w:szCs w:val="21"/>
                <w:highlight w:val="none"/>
              </w:rPr>
              <w:t>必须提供，否则作无效投标处理</w:t>
            </w:r>
            <w:r>
              <w:rPr>
                <w:rFonts w:hint="eastAsia" w:ascii="宋体" w:hAnsi="宋体" w:cs="宋体"/>
                <w:color w:val="auto"/>
                <w:szCs w:val="21"/>
                <w:highlight w:val="none"/>
              </w:rPr>
              <w:t>）</w:t>
            </w:r>
          </w:p>
          <w:p>
            <w:pPr>
              <w:snapToGrid w:val="0"/>
              <w:spacing w:line="360" w:lineRule="exact"/>
              <w:jc w:val="left"/>
              <w:rPr>
                <w:rFonts w:ascii="宋体" w:hAnsi="宋体" w:cs="宋体"/>
                <w:color w:val="auto"/>
                <w:szCs w:val="21"/>
                <w:highlight w:val="none"/>
              </w:rPr>
            </w:pPr>
            <w:r>
              <w:rPr>
                <w:rFonts w:hint="eastAsia" w:ascii="宋体" w:hAnsi="宋体" w:cs="宋体"/>
                <w:color w:val="auto"/>
                <w:szCs w:val="21"/>
                <w:highlight w:val="none"/>
              </w:rPr>
              <w:t>2、法定代表人身份证明及法定代表人有效身份证正反面复印件（格式后附）。（</w:t>
            </w:r>
            <w:r>
              <w:rPr>
                <w:rFonts w:hint="eastAsia" w:ascii="宋体" w:hAnsi="宋体" w:cs="宋体"/>
                <w:b/>
                <w:bCs/>
                <w:color w:val="auto"/>
                <w:szCs w:val="21"/>
                <w:highlight w:val="none"/>
              </w:rPr>
              <w:t>除自然人投标外</w:t>
            </w:r>
            <w:r>
              <w:rPr>
                <w:rFonts w:hint="eastAsia" w:ascii="宋体" w:hAnsi="宋体" w:cs="宋体"/>
                <w:b/>
                <w:color w:val="auto"/>
                <w:szCs w:val="21"/>
                <w:highlight w:val="none"/>
              </w:rPr>
              <w:t>必须提供，否则作无效投标处理</w:t>
            </w:r>
            <w:r>
              <w:rPr>
                <w:rFonts w:hint="eastAsia" w:ascii="宋体" w:hAnsi="宋体" w:cs="宋体"/>
                <w:color w:val="auto"/>
                <w:szCs w:val="21"/>
                <w:highlight w:val="none"/>
              </w:rPr>
              <w:t>）</w:t>
            </w:r>
          </w:p>
          <w:p>
            <w:pPr>
              <w:snapToGrid w:val="0"/>
              <w:spacing w:line="360" w:lineRule="exact"/>
              <w:jc w:val="left"/>
              <w:rPr>
                <w:rFonts w:ascii="宋体" w:hAnsi="宋体" w:cs="宋体"/>
                <w:color w:val="auto"/>
                <w:szCs w:val="21"/>
                <w:highlight w:val="none"/>
              </w:rPr>
            </w:pPr>
            <w:r>
              <w:rPr>
                <w:rFonts w:hint="eastAsia" w:ascii="宋体" w:hAnsi="宋体" w:cs="宋体"/>
                <w:color w:val="auto"/>
                <w:szCs w:val="21"/>
                <w:highlight w:val="none"/>
              </w:rPr>
              <w:t>3、法定代表人授权委托书及委托代理人有效身份证正反面复印件（格式后附）。（</w:t>
            </w:r>
            <w:r>
              <w:rPr>
                <w:rFonts w:hint="eastAsia" w:ascii="宋体" w:hAnsi="宋体" w:cs="宋体"/>
                <w:b/>
                <w:color w:val="auto"/>
                <w:szCs w:val="21"/>
                <w:highlight w:val="none"/>
              </w:rPr>
              <w:t>委托时必须提供，否则作无效投标处理</w:t>
            </w:r>
            <w:r>
              <w:rPr>
                <w:rFonts w:hint="eastAsia" w:ascii="宋体" w:hAnsi="宋体" w:cs="宋体"/>
                <w:color w:val="auto"/>
                <w:szCs w:val="21"/>
                <w:highlight w:val="none"/>
              </w:rPr>
              <w:t>）</w:t>
            </w:r>
          </w:p>
          <w:p>
            <w:pPr>
              <w:snapToGrid w:val="0"/>
              <w:spacing w:line="360" w:lineRule="exact"/>
              <w:jc w:val="left"/>
              <w:rPr>
                <w:rFonts w:ascii="宋体" w:hAnsi="宋体" w:cs="宋体"/>
                <w:color w:val="auto"/>
                <w:szCs w:val="21"/>
                <w:highlight w:val="none"/>
              </w:rPr>
            </w:pPr>
            <w:r>
              <w:rPr>
                <w:rFonts w:hint="eastAsia" w:ascii="宋体" w:hAnsi="宋体" w:cs="宋体"/>
                <w:color w:val="auto"/>
                <w:szCs w:val="21"/>
                <w:highlight w:val="none"/>
              </w:rPr>
              <w:t>4、商务条款偏离表（格式后附）。（</w:t>
            </w:r>
            <w:r>
              <w:rPr>
                <w:rFonts w:hint="eastAsia" w:ascii="宋体" w:hAnsi="宋体" w:cs="宋体"/>
                <w:b/>
                <w:color w:val="auto"/>
                <w:szCs w:val="21"/>
                <w:highlight w:val="none"/>
              </w:rPr>
              <w:t>必须提供，否则作无效投标处理</w:t>
            </w:r>
            <w:r>
              <w:rPr>
                <w:rFonts w:hint="eastAsia" w:ascii="宋体" w:hAnsi="宋体" w:cs="宋体"/>
                <w:color w:val="auto"/>
                <w:szCs w:val="21"/>
                <w:highlight w:val="none"/>
              </w:rPr>
              <w:t>）</w:t>
            </w:r>
          </w:p>
          <w:p>
            <w:pPr>
              <w:snapToGrid w:val="0"/>
              <w:spacing w:line="360" w:lineRule="exact"/>
              <w:jc w:val="left"/>
              <w:rPr>
                <w:rFonts w:ascii="宋体" w:hAnsi="宋体" w:cs="宋体"/>
                <w:color w:val="auto"/>
                <w:szCs w:val="21"/>
                <w:highlight w:val="none"/>
              </w:rPr>
            </w:pPr>
            <w:r>
              <w:rPr>
                <w:rFonts w:hint="eastAsia" w:ascii="宋体" w:hAnsi="宋体" w:cs="宋体"/>
                <w:color w:val="auto"/>
                <w:szCs w:val="21"/>
                <w:highlight w:val="none"/>
              </w:rPr>
              <w:t>5、投标保证金的缴纳材料。（</w:t>
            </w:r>
            <w:r>
              <w:rPr>
                <w:rFonts w:hint="eastAsia" w:ascii="宋体" w:hAnsi="宋体" w:cs="宋体"/>
                <w:b/>
                <w:color w:val="auto"/>
                <w:szCs w:val="21"/>
                <w:highlight w:val="none"/>
              </w:rPr>
              <w:t>必须提供，否则作无效投标处理</w:t>
            </w:r>
            <w:r>
              <w:rPr>
                <w:rFonts w:hint="eastAsia" w:ascii="宋体" w:hAnsi="宋体" w:cs="宋体"/>
                <w:color w:val="auto"/>
                <w:szCs w:val="21"/>
                <w:highlight w:val="none"/>
              </w:rPr>
              <w:t>）</w:t>
            </w:r>
          </w:p>
          <w:p>
            <w:pPr>
              <w:snapToGrid w:val="0"/>
              <w:spacing w:line="360" w:lineRule="exact"/>
              <w:jc w:val="left"/>
              <w:rPr>
                <w:rFonts w:ascii="宋体" w:hAnsi="宋体" w:cs="宋体"/>
                <w:color w:val="auto"/>
                <w:szCs w:val="21"/>
                <w:highlight w:val="none"/>
              </w:rPr>
            </w:pPr>
            <w:r>
              <w:rPr>
                <w:rFonts w:hint="eastAsia" w:ascii="宋体" w:hAnsi="宋体" w:cs="宋体"/>
                <w:color w:val="auto"/>
                <w:szCs w:val="21"/>
                <w:highlight w:val="none"/>
              </w:rPr>
              <w:t>6、投标人情况介绍（格式自拟）。</w:t>
            </w:r>
          </w:p>
          <w:p>
            <w:pPr>
              <w:snapToGrid w:val="0"/>
              <w:spacing w:line="360" w:lineRule="exact"/>
              <w:jc w:val="left"/>
              <w:rPr>
                <w:rFonts w:ascii="宋体" w:hAnsi="宋体" w:cs="宋体"/>
                <w:color w:val="auto"/>
                <w:szCs w:val="21"/>
                <w:highlight w:val="none"/>
              </w:rPr>
            </w:pPr>
            <w:r>
              <w:rPr>
                <w:rFonts w:hint="eastAsia" w:ascii="宋体" w:hAnsi="宋体" w:cs="宋体"/>
                <w:color w:val="auto"/>
                <w:szCs w:val="21"/>
                <w:highlight w:val="none"/>
              </w:rPr>
              <w:t>7、除招标文件规定必须提供以外，投标人认为需要提供的其他证明材料（格式自拟）。</w:t>
            </w:r>
          </w:p>
          <w:p>
            <w:pPr>
              <w:snapToGrid w:val="0"/>
              <w:spacing w:line="360" w:lineRule="exact"/>
              <w:jc w:val="left"/>
              <w:rPr>
                <w:rFonts w:ascii="宋体" w:hAnsi="宋体" w:cs="宋体"/>
                <w:b/>
                <w:bCs/>
                <w:color w:val="auto"/>
                <w:szCs w:val="21"/>
                <w:highlight w:val="none"/>
              </w:rPr>
            </w:pPr>
            <w:r>
              <w:rPr>
                <w:rFonts w:hint="eastAsia" w:ascii="宋体" w:hAnsi="宋体" w:cs="宋体"/>
                <w:b/>
                <w:bCs/>
                <w:color w:val="auto"/>
                <w:szCs w:val="21"/>
                <w:highlight w:val="none"/>
              </w:rPr>
              <w:t>注：1.法定代表人授权委托书必须由法定代表人及委托代理人签字，并加盖投标人公章，否则作无效投标处理。</w:t>
            </w:r>
          </w:p>
          <w:p>
            <w:pPr>
              <w:snapToGrid w:val="0"/>
              <w:spacing w:line="360" w:lineRule="exact"/>
              <w:ind w:firstLine="422" w:firstLineChars="200"/>
              <w:jc w:val="left"/>
              <w:rPr>
                <w:rFonts w:ascii="宋体" w:hAnsi="宋体" w:cs="宋体"/>
                <w:b/>
                <w:color w:val="auto"/>
                <w:szCs w:val="21"/>
                <w:highlight w:val="none"/>
              </w:rPr>
            </w:pPr>
            <w:r>
              <w:rPr>
                <w:rFonts w:hint="eastAsia" w:ascii="宋体" w:hAnsi="宋体" w:cs="宋体"/>
                <w:b/>
                <w:bCs/>
                <w:color w:val="auto"/>
                <w:szCs w:val="21"/>
                <w:highlight w:val="none"/>
              </w:rPr>
              <w:t>2.以上标明“必须提供”的材料</w:t>
            </w:r>
            <w:r>
              <w:rPr>
                <w:rFonts w:hint="eastAsia" w:ascii="宋体" w:hAnsi="宋体" w:cs="宋体"/>
                <w:b/>
                <w:color w:val="auto"/>
                <w:szCs w:val="21"/>
                <w:highlight w:val="none"/>
              </w:rPr>
              <w:t>属于复印件的扫描件的</w:t>
            </w:r>
            <w:r>
              <w:rPr>
                <w:rFonts w:hint="eastAsia" w:ascii="宋体" w:hAnsi="宋体" w:cs="宋体"/>
                <w:b/>
                <w:bCs/>
                <w:color w:val="auto"/>
                <w:szCs w:val="21"/>
                <w:highlight w:val="none"/>
              </w:rPr>
              <w:t>，必须加盖投标人公章，否则</w:t>
            </w:r>
            <w:r>
              <w:rPr>
                <w:rFonts w:hint="eastAsia" w:ascii="宋体" w:hAnsi="宋体" w:cs="宋体"/>
                <w:b/>
                <w:color w:val="auto"/>
                <w:szCs w:val="21"/>
                <w:highlight w:val="none"/>
              </w:rPr>
              <w:t>作无效投标处理</w:t>
            </w:r>
            <w:r>
              <w:rPr>
                <w:rFonts w:hint="eastAsia" w:ascii="宋体" w:hAnsi="宋体" w:cs="宋体"/>
                <w:b/>
                <w:bCs/>
                <w:color w:val="auto"/>
                <w:szCs w:val="21"/>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vMerge w:val="continue"/>
            <w:tcBorders>
              <w:left w:val="single" w:color="auto" w:sz="4" w:space="0"/>
              <w:right w:val="single" w:color="auto" w:sz="4" w:space="0"/>
            </w:tcBorders>
            <w:noWrap/>
            <w:vAlign w:val="center"/>
          </w:tcPr>
          <w:p>
            <w:pPr>
              <w:spacing w:line="360" w:lineRule="exact"/>
              <w:rPr>
                <w:rFonts w:ascii="宋体" w:hAnsi="宋体" w:cs="宋体"/>
                <w:color w:val="auto"/>
                <w:szCs w:val="21"/>
                <w:highlight w:val="none"/>
              </w:rPr>
            </w:pPr>
          </w:p>
        </w:tc>
        <w:tc>
          <w:tcPr>
            <w:tcW w:w="2083"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jc w:val="left"/>
              <w:rPr>
                <w:rFonts w:ascii="宋体" w:hAnsi="宋体" w:cs="宋体"/>
                <w:color w:val="auto"/>
                <w:szCs w:val="21"/>
                <w:highlight w:val="none"/>
              </w:rPr>
            </w:pPr>
            <w:bookmarkStart w:id="74" w:name="_13.4"/>
            <w:bookmarkEnd w:id="74"/>
            <w:r>
              <w:rPr>
                <w:rFonts w:hint="eastAsia" w:ascii="宋体" w:hAnsi="宋体" w:cs="宋体"/>
                <w:color w:val="auto"/>
                <w:szCs w:val="21"/>
                <w:highlight w:val="none"/>
              </w:rPr>
              <w:t>技术文件组成</w:t>
            </w:r>
          </w:p>
        </w:tc>
        <w:tc>
          <w:tcPr>
            <w:tcW w:w="7297"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jc w:val="left"/>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eastAsia="zh-CN"/>
              </w:rPr>
              <w:t>技术需求偏离表</w:t>
            </w:r>
            <w:r>
              <w:rPr>
                <w:rFonts w:hint="eastAsia" w:ascii="宋体" w:hAnsi="宋体" w:cs="宋体"/>
                <w:color w:val="auto"/>
                <w:szCs w:val="21"/>
                <w:highlight w:val="none"/>
              </w:rPr>
              <w:t>（格式后附）。（</w:t>
            </w:r>
            <w:r>
              <w:rPr>
                <w:rFonts w:hint="eastAsia" w:ascii="宋体" w:hAnsi="宋体" w:cs="宋体"/>
                <w:b/>
                <w:color w:val="auto"/>
                <w:szCs w:val="21"/>
                <w:highlight w:val="none"/>
              </w:rPr>
              <w:t>必须提供，否则作无效投标处理</w:t>
            </w:r>
            <w:r>
              <w:rPr>
                <w:rFonts w:hint="eastAsia" w:ascii="宋体" w:hAnsi="宋体" w:cs="宋体"/>
                <w:color w:val="auto"/>
                <w:szCs w:val="21"/>
                <w:highlight w:val="none"/>
              </w:rPr>
              <w:t>）</w:t>
            </w:r>
          </w:p>
          <w:p>
            <w:pPr>
              <w:snapToGrid w:val="0"/>
              <w:spacing w:line="360" w:lineRule="exact"/>
              <w:jc w:val="left"/>
              <w:rPr>
                <w:rFonts w:ascii="宋体" w:hAnsi="宋体" w:cs="宋体"/>
                <w:color w:val="auto"/>
                <w:szCs w:val="21"/>
                <w:highlight w:val="none"/>
              </w:rPr>
            </w:pPr>
            <w:r>
              <w:rPr>
                <w:rFonts w:hint="eastAsia" w:ascii="宋体" w:hAnsi="宋体" w:cs="宋体"/>
                <w:color w:val="auto"/>
                <w:szCs w:val="21"/>
                <w:highlight w:val="none"/>
              </w:rPr>
              <w:t>2、项目实施方案（格式自拟）。</w:t>
            </w:r>
          </w:p>
          <w:p>
            <w:pPr>
              <w:snapToGrid w:val="0"/>
              <w:spacing w:line="360" w:lineRule="exact"/>
              <w:jc w:val="left"/>
              <w:rPr>
                <w:rFonts w:ascii="宋体" w:hAnsi="宋体" w:cs="宋体"/>
                <w:color w:val="auto"/>
                <w:szCs w:val="21"/>
                <w:highlight w:val="none"/>
              </w:rPr>
            </w:pPr>
            <w:r>
              <w:rPr>
                <w:rFonts w:hint="eastAsia" w:ascii="宋体" w:hAnsi="宋体" w:cs="宋体"/>
                <w:color w:val="auto"/>
                <w:szCs w:val="21"/>
                <w:highlight w:val="none"/>
              </w:rPr>
              <w:t>3、除招标文件规定必须提供以外，投标人需要说明的其他文件和说明（无模板的格式自拟）。</w:t>
            </w:r>
          </w:p>
          <w:p>
            <w:pPr>
              <w:snapToGrid w:val="0"/>
              <w:spacing w:line="360" w:lineRule="exact"/>
              <w:jc w:val="left"/>
              <w:rPr>
                <w:rFonts w:ascii="宋体" w:hAnsi="宋体" w:cs="宋体"/>
                <w:b/>
                <w:bCs/>
                <w:color w:val="auto"/>
                <w:szCs w:val="21"/>
                <w:highlight w:val="none"/>
              </w:rPr>
            </w:pPr>
            <w:r>
              <w:rPr>
                <w:rFonts w:hint="eastAsia" w:ascii="宋体" w:hAnsi="宋体" w:cs="宋体"/>
                <w:b/>
                <w:bCs/>
                <w:color w:val="auto"/>
                <w:szCs w:val="21"/>
                <w:highlight w:val="none"/>
              </w:rPr>
              <w:t>注：以上标明“必须提供”的材料</w:t>
            </w:r>
            <w:r>
              <w:rPr>
                <w:rFonts w:hint="eastAsia" w:ascii="宋体" w:hAnsi="宋体" w:cs="宋体"/>
                <w:b/>
                <w:color w:val="auto"/>
                <w:szCs w:val="21"/>
                <w:highlight w:val="none"/>
              </w:rPr>
              <w:t>属于复印件的扫描件的</w:t>
            </w:r>
            <w:r>
              <w:rPr>
                <w:rFonts w:hint="eastAsia" w:ascii="宋体" w:hAnsi="宋体" w:cs="宋体"/>
                <w:b/>
                <w:bCs/>
                <w:color w:val="auto"/>
                <w:szCs w:val="21"/>
                <w:highlight w:val="none"/>
              </w:rPr>
              <w:t>，必须加盖投标人公章，否则</w:t>
            </w:r>
            <w:r>
              <w:rPr>
                <w:rFonts w:hint="eastAsia" w:ascii="宋体" w:hAnsi="宋体" w:cs="宋体"/>
                <w:b/>
                <w:color w:val="auto"/>
                <w:szCs w:val="21"/>
                <w:highlight w:val="none"/>
              </w:rPr>
              <w:t>作无效投标处理</w:t>
            </w:r>
            <w:r>
              <w:rPr>
                <w:rFonts w:hint="eastAsia" w:ascii="宋体" w:hAnsi="宋体" w:cs="宋体"/>
                <w:b/>
                <w:bCs/>
                <w:color w:val="auto"/>
                <w:szCs w:val="21"/>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vMerge w:val="continue"/>
            <w:tcBorders>
              <w:left w:val="single" w:color="auto" w:sz="4" w:space="0"/>
              <w:bottom w:val="single" w:color="auto" w:sz="4" w:space="0"/>
              <w:right w:val="single" w:color="auto" w:sz="4" w:space="0"/>
            </w:tcBorders>
            <w:noWrap/>
            <w:vAlign w:val="center"/>
          </w:tcPr>
          <w:p>
            <w:pPr>
              <w:widowControl/>
              <w:spacing w:line="360" w:lineRule="exact"/>
              <w:jc w:val="left"/>
              <w:rPr>
                <w:rFonts w:ascii="宋体" w:hAnsi="宋体" w:cs="宋体"/>
                <w:color w:val="auto"/>
                <w:szCs w:val="21"/>
                <w:highlight w:val="none"/>
              </w:rPr>
            </w:pPr>
          </w:p>
        </w:tc>
        <w:tc>
          <w:tcPr>
            <w:tcW w:w="2083"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jc w:val="left"/>
              <w:rPr>
                <w:rFonts w:ascii="宋体" w:hAnsi="宋体" w:cs="宋体"/>
                <w:color w:val="auto"/>
                <w:szCs w:val="21"/>
                <w:highlight w:val="none"/>
              </w:rPr>
            </w:pPr>
            <w:r>
              <w:rPr>
                <w:rFonts w:hint="eastAsia" w:ascii="宋体" w:hAnsi="宋体" w:cs="宋体"/>
                <w:color w:val="auto"/>
                <w:szCs w:val="21"/>
                <w:highlight w:val="none"/>
              </w:rPr>
              <w:t>报价文件组成</w:t>
            </w:r>
          </w:p>
        </w:tc>
        <w:tc>
          <w:tcPr>
            <w:tcW w:w="7297" w:type="dxa"/>
            <w:tcBorders>
              <w:top w:val="single" w:color="auto" w:sz="4" w:space="0"/>
              <w:left w:val="single" w:color="auto" w:sz="4" w:space="0"/>
              <w:bottom w:val="single" w:color="auto" w:sz="4" w:space="0"/>
              <w:right w:val="single" w:color="auto" w:sz="4" w:space="0"/>
            </w:tcBorders>
            <w:noWrap/>
            <w:vAlign w:val="center"/>
          </w:tcPr>
          <w:p>
            <w:pPr>
              <w:tabs>
                <w:tab w:val="left" w:pos="459"/>
              </w:tabs>
              <w:snapToGrid w:val="0"/>
              <w:spacing w:line="360" w:lineRule="exact"/>
              <w:jc w:val="left"/>
              <w:rPr>
                <w:rFonts w:ascii="宋体" w:hAnsi="宋体" w:cs="宋体"/>
                <w:b/>
                <w:color w:val="auto"/>
                <w:szCs w:val="21"/>
                <w:highlight w:val="none"/>
              </w:rPr>
            </w:pPr>
            <w:r>
              <w:rPr>
                <w:rFonts w:hint="eastAsia" w:ascii="宋体" w:hAnsi="宋体" w:cs="宋体"/>
                <w:color w:val="auto"/>
                <w:szCs w:val="21"/>
                <w:highlight w:val="none"/>
              </w:rPr>
              <w:t>1、投标函（格式后附）。</w:t>
            </w:r>
            <w:r>
              <w:rPr>
                <w:rFonts w:hint="eastAsia" w:ascii="宋体" w:hAnsi="宋体" w:cs="宋体"/>
                <w:b/>
                <w:color w:val="auto"/>
                <w:szCs w:val="21"/>
                <w:highlight w:val="none"/>
              </w:rPr>
              <w:t>（必须提供，否则作无效投标处理）</w:t>
            </w:r>
          </w:p>
          <w:p>
            <w:pPr>
              <w:tabs>
                <w:tab w:val="left" w:pos="459"/>
              </w:tabs>
              <w:snapToGrid w:val="0"/>
              <w:spacing w:line="360" w:lineRule="exact"/>
              <w:jc w:val="left"/>
              <w:rPr>
                <w:rFonts w:ascii="宋体" w:hAnsi="宋体" w:cs="宋体"/>
                <w:color w:val="auto"/>
                <w:szCs w:val="21"/>
                <w:highlight w:val="none"/>
              </w:rPr>
            </w:pPr>
            <w:r>
              <w:rPr>
                <w:rFonts w:hint="eastAsia" w:ascii="宋体" w:hAnsi="宋体" w:cs="宋体"/>
                <w:color w:val="auto"/>
                <w:szCs w:val="21"/>
                <w:highlight w:val="none"/>
              </w:rPr>
              <w:t>2、开标一览表（格式后附）。（</w:t>
            </w:r>
            <w:r>
              <w:rPr>
                <w:rFonts w:hint="eastAsia" w:ascii="宋体" w:hAnsi="宋体" w:cs="宋体"/>
                <w:b/>
                <w:color w:val="auto"/>
                <w:szCs w:val="21"/>
                <w:highlight w:val="none"/>
              </w:rPr>
              <w:t>必须提供，否则作无效投标处理</w:t>
            </w:r>
            <w:r>
              <w:rPr>
                <w:rFonts w:hint="eastAsia" w:ascii="宋体" w:hAnsi="宋体" w:cs="宋体"/>
                <w:color w:val="auto"/>
                <w:szCs w:val="21"/>
                <w:highlight w:val="none"/>
              </w:rPr>
              <w:t>）</w:t>
            </w:r>
          </w:p>
          <w:p>
            <w:pPr>
              <w:tabs>
                <w:tab w:val="left" w:pos="459"/>
              </w:tabs>
              <w:snapToGrid w:val="0"/>
              <w:spacing w:line="360" w:lineRule="exact"/>
              <w:jc w:val="left"/>
              <w:rPr>
                <w:rFonts w:ascii="宋体" w:hAnsi="宋体" w:cs="宋体"/>
                <w:i/>
                <w:iCs/>
                <w:color w:val="auto"/>
                <w:szCs w:val="21"/>
                <w:highlight w:val="none"/>
              </w:rPr>
            </w:pPr>
            <w:r>
              <w:rPr>
                <w:rFonts w:hint="eastAsia" w:ascii="宋体" w:hAnsi="宋体" w:cs="宋体"/>
                <w:color w:val="auto"/>
                <w:szCs w:val="21"/>
                <w:highlight w:val="none"/>
              </w:rPr>
              <w:t>3、中小企业声明函或者残疾人福利性单位声明函（格式后附）或者供应商属于监狱企业的，提供由省级以上监狱管理局、戒毒管理局（含新疆生产建设兵团）出具的属于监狱企业的证明文件；</w:t>
            </w:r>
            <w:r>
              <w:rPr>
                <w:rFonts w:hint="eastAsia" w:ascii="宋体" w:hAnsi="宋体" w:cs="宋体"/>
                <w:b/>
                <w:bCs/>
                <w:color w:val="auto"/>
                <w:szCs w:val="21"/>
                <w:highlight w:val="none"/>
              </w:rPr>
              <w:t>（如有请提供）</w:t>
            </w:r>
          </w:p>
          <w:p>
            <w:pPr>
              <w:tabs>
                <w:tab w:val="left" w:pos="459"/>
              </w:tabs>
              <w:snapToGrid w:val="0"/>
              <w:spacing w:line="360" w:lineRule="exact"/>
              <w:jc w:val="left"/>
              <w:rPr>
                <w:rFonts w:ascii="宋体" w:hAnsi="宋体" w:cs="宋体"/>
                <w:color w:val="auto"/>
                <w:szCs w:val="21"/>
                <w:highlight w:val="none"/>
              </w:rPr>
            </w:pPr>
            <w:r>
              <w:rPr>
                <w:rFonts w:hint="eastAsia" w:ascii="宋体" w:hAnsi="宋体" w:cs="宋体"/>
                <w:color w:val="auto"/>
                <w:szCs w:val="21"/>
                <w:highlight w:val="none"/>
              </w:rPr>
              <w:t>4、投标人针对报价需要说明的其他文件和说明（格式自拟）。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16.2</w:t>
            </w: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bookmarkStart w:id="75" w:name="_16.2"/>
            <w:bookmarkEnd w:id="75"/>
            <w:r>
              <w:rPr>
                <w:rFonts w:hint="eastAsia" w:ascii="宋体" w:hAnsi="宋体" w:cs="宋体"/>
                <w:color w:val="auto"/>
                <w:szCs w:val="21"/>
                <w:highlight w:val="none"/>
              </w:rPr>
              <w:t>投标报价要求</w:t>
            </w:r>
          </w:p>
        </w:tc>
        <w:tc>
          <w:tcPr>
            <w:tcW w:w="7297"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投标报价是履行合同的最终价格，必须包含投标货物（包括备品备件、专用工具等）的价格（包括已在中国境内的进口货物完税后的仓库交货价、展室交货价或者货架交货价）及其运输（含保险）、安装（如有）、调试、检验、技术服务、培训和招标文件要求提供的所有伴随服务、工程等费用和税费。（采购需求另有约定的，从其约定）</w:t>
            </w:r>
          </w:p>
          <w:p>
            <w:pPr>
              <w:snapToGrid w:val="0"/>
              <w:spacing w:line="360" w:lineRule="exact"/>
              <w:rPr>
                <w:rFonts w:ascii="宋体" w:hAnsi="宋体" w:cs="宋体"/>
                <w:color w:val="auto"/>
                <w:szCs w:val="21"/>
                <w:highlight w:val="none"/>
              </w:rPr>
            </w:pPr>
            <w:r>
              <w:rPr>
                <w:rFonts w:hint="eastAsia" w:ascii="宋体" w:hAnsi="宋体" w:cs="宋体"/>
                <w:b/>
                <w:color w:val="auto"/>
                <w:szCs w:val="21"/>
                <w:highlight w:val="none"/>
              </w:rPr>
              <w:t>投标报价包含验收费用。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17.2</w:t>
            </w: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bookmarkStart w:id="76" w:name="_17.1"/>
            <w:bookmarkEnd w:id="76"/>
            <w:r>
              <w:rPr>
                <w:rFonts w:hint="eastAsia" w:ascii="宋体" w:hAnsi="宋体" w:cs="宋体"/>
                <w:color w:val="auto"/>
                <w:szCs w:val="21"/>
                <w:highlight w:val="none"/>
              </w:rPr>
              <w:t>投标有效期</w:t>
            </w:r>
          </w:p>
        </w:tc>
        <w:tc>
          <w:tcPr>
            <w:tcW w:w="7297"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自投标截止之日起</w:t>
            </w:r>
            <w:r>
              <w:rPr>
                <w:rFonts w:hint="eastAsia" w:ascii="宋体" w:hAnsi="宋体" w:cs="宋体"/>
                <w:color w:val="auto"/>
                <w:szCs w:val="21"/>
                <w:highlight w:val="none"/>
                <w:u w:val="single"/>
              </w:rPr>
              <w:t>90</w:t>
            </w:r>
            <w:r>
              <w:rPr>
                <w:rFonts w:hint="eastAsia" w:ascii="宋体" w:hAnsi="宋体" w:cs="宋体"/>
                <w:color w:val="auto"/>
                <w:szCs w:val="21"/>
                <w:highlight w:val="none"/>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18</w:t>
            </w: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bookmarkStart w:id="77" w:name="_18"/>
            <w:bookmarkEnd w:id="77"/>
            <w:r>
              <w:rPr>
                <w:rFonts w:hint="eastAsia" w:ascii="宋体" w:hAnsi="宋体" w:cs="宋体"/>
                <w:color w:val="auto"/>
                <w:szCs w:val="21"/>
                <w:highlight w:val="none"/>
              </w:rPr>
              <w:t>投标保证金金额</w:t>
            </w:r>
          </w:p>
        </w:tc>
        <w:tc>
          <w:tcPr>
            <w:tcW w:w="7297"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auto"/>
              <w:rPr>
                <w:rFonts w:ascii="宋体" w:hAnsi="宋体" w:cs="宋体"/>
                <w:color w:val="auto"/>
                <w:szCs w:val="21"/>
                <w:highlight w:val="none"/>
              </w:rPr>
            </w:pPr>
            <w:r>
              <w:rPr>
                <w:rFonts w:hint="eastAsia" w:ascii="宋体" w:hAnsi="宋体" w:cs="宋体"/>
                <w:color w:val="auto"/>
                <w:szCs w:val="21"/>
                <w:highlight w:val="none"/>
              </w:rPr>
              <w:t>1.投标保证金的缴纳方式：详见招标公告</w:t>
            </w:r>
          </w:p>
          <w:p>
            <w:pPr>
              <w:snapToGrid w:val="0"/>
              <w:spacing w:line="360" w:lineRule="auto"/>
              <w:rPr>
                <w:rFonts w:ascii="宋体" w:hAnsi="宋体" w:cs="宋体"/>
                <w:color w:val="auto"/>
                <w:szCs w:val="21"/>
                <w:highlight w:val="none"/>
              </w:rPr>
            </w:pPr>
            <w:r>
              <w:rPr>
                <w:rFonts w:hint="eastAsia" w:ascii="宋体" w:hAnsi="宋体" w:cs="宋体"/>
                <w:color w:val="auto"/>
                <w:szCs w:val="21"/>
                <w:highlight w:val="none"/>
              </w:rPr>
              <w:t>2.投标保证金的金额：详见招标公告</w:t>
            </w:r>
          </w:p>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3.投标保证金采用银行转账缴纳方式的，在投标截止时间前交至采购代理机构指定账户并且到账，投标人应将银行转账底单的复印件作为投标保证金提交凭证，放置于商务文件中，</w:t>
            </w:r>
            <w:r>
              <w:rPr>
                <w:rFonts w:hint="eastAsia" w:ascii="宋体" w:hAnsi="宋体" w:cs="宋体"/>
                <w:b/>
                <w:color w:val="auto"/>
                <w:szCs w:val="21"/>
                <w:highlight w:val="none"/>
              </w:rPr>
              <w:t>否则作无效投标处理</w:t>
            </w:r>
            <w:r>
              <w:rPr>
                <w:rFonts w:hint="eastAsia" w:ascii="宋体" w:hAnsi="宋体" w:cs="宋体"/>
                <w:color w:val="auto"/>
                <w:szCs w:val="21"/>
                <w:highlight w:val="none"/>
              </w:rPr>
              <w:t>。</w:t>
            </w:r>
          </w:p>
          <w:p>
            <w:pPr>
              <w:snapToGrid w:val="0"/>
              <w:spacing w:line="360" w:lineRule="auto"/>
              <w:rPr>
                <w:rFonts w:ascii="宋体" w:hAnsi="宋体" w:cs="宋体"/>
                <w:color w:val="auto"/>
                <w:szCs w:val="21"/>
                <w:highlight w:val="none"/>
              </w:rPr>
            </w:pPr>
            <w:r>
              <w:rPr>
                <w:rFonts w:hint="eastAsia" w:ascii="宋体" w:hAnsi="宋体" w:cs="宋体"/>
                <w:color w:val="auto"/>
                <w:szCs w:val="21"/>
                <w:highlight w:val="none"/>
              </w:rPr>
              <w:t>4.投标保证金采用支票、汇票、本票或者金融机构、担保机构出具的保函等缴纳方式的，投标人应将支票、汇票、本票或者金融机构、担保机构出具的保函等的复印件或者金融机构、担保机构出具的</w:t>
            </w:r>
            <w:r>
              <w:rPr>
                <w:rFonts w:hint="eastAsia" w:ascii="宋体" w:hAnsi="宋体" w:cs="宋体"/>
                <w:color w:val="auto"/>
                <w:kern w:val="0"/>
                <w:szCs w:val="21"/>
                <w:highlight w:val="none"/>
              </w:rPr>
              <w:t>电子保函</w:t>
            </w:r>
            <w:r>
              <w:rPr>
                <w:rFonts w:hint="eastAsia" w:ascii="宋体" w:hAnsi="宋体" w:cs="宋体"/>
                <w:color w:val="auto"/>
                <w:szCs w:val="21"/>
                <w:highlight w:val="none"/>
              </w:rPr>
              <w:t>作为投标保证金提交凭证，放置于商务文件中，</w:t>
            </w:r>
            <w:r>
              <w:rPr>
                <w:rFonts w:hint="eastAsia" w:ascii="宋体" w:hAnsi="宋体" w:cs="宋体"/>
                <w:b/>
                <w:color w:val="auto"/>
                <w:szCs w:val="21"/>
                <w:highlight w:val="none"/>
              </w:rPr>
              <w:t>否则作无效投标处理</w:t>
            </w:r>
            <w:r>
              <w:rPr>
                <w:rFonts w:hint="eastAsia" w:ascii="宋体" w:hAnsi="宋体" w:cs="宋体"/>
                <w:color w:val="auto"/>
                <w:szCs w:val="21"/>
                <w:highlight w:val="none"/>
              </w:rPr>
              <w:t>。投标人必须</w:t>
            </w:r>
            <w:r>
              <w:rPr>
                <w:rFonts w:hint="eastAsia" w:ascii="宋体" w:hAnsi="宋体" w:cs="宋体"/>
                <w:color w:val="auto"/>
                <w:kern w:val="0"/>
                <w:szCs w:val="21"/>
                <w:highlight w:val="none"/>
              </w:rPr>
              <w:t>在投标截止时间前</w:t>
            </w:r>
            <w:r>
              <w:rPr>
                <w:rFonts w:hint="eastAsia" w:ascii="宋体" w:hAnsi="宋体" w:cs="宋体"/>
                <w:color w:val="auto"/>
                <w:szCs w:val="21"/>
                <w:highlight w:val="none"/>
              </w:rPr>
              <w:t>将支票、汇票、本票或者金融、担保机构出具的保函（</w:t>
            </w:r>
            <w:r>
              <w:rPr>
                <w:rFonts w:hint="eastAsia" w:ascii="宋体" w:hAnsi="宋体" w:cs="宋体"/>
                <w:color w:val="auto"/>
                <w:kern w:val="0"/>
                <w:szCs w:val="21"/>
                <w:highlight w:val="none"/>
              </w:rPr>
              <w:t>电子保函除外</w:t>
            </w:r>
            <w:r>
              <w:rPr>
                <w:rFonts w:hint="eastAsia" w:ascii="宋体" w:hAnsi="宋体" w:cs="宋体"/>
                <w:color w:val="auto"/>
                <w:szCs w:val="21"/>
                <w:highlight w:val="none"/>
              </w:rPr>
              <w:t>）等原件提交给采购代理机构，由采购代理机构向投标人出具回执，并妥善保管。</w:t>
            </w:r>
          </w:p>
          <w:p>
            <w:pPr>
              <w:snapToGrid w:val="0"/>
              <w:spacing w:line="360" w:lineRule="auto"/>
              <w:rPr>
                <w:rFonts w:ascii="宋体" w:hAnsi="宋体" w:cs="宋体"/>
                <w:color w:val="auto"/>
                <w:szCs w:val="21"/>
                <w:highlight w:val="none"/>
              </w:rPr>
            </w:pPr>
            <w:r>
              <w:rPr>
                <w:rFonts w:hint="eastAsia" w:ascii="宋体" w:hAnsi="宋体" w:cs="宋体"/>
                <w:color w:val="auto"/>
                <w:szCs w:val="21"/>
                <w:highlight w:val="none"/>
              </w:rPr>
              <w:t>5.缴纳投标保证金指定账户：详见招标公告。</w:t>
            </w:r>
          </w:p>
          <w:p>
            <w:pPr>
              <w:snapToGrid w:val="0"/>
              <w:spacing w:line="360" w:lineRule="auto"/>
              <w:rPr>
                <w:rFonts w:ascii="宋体" w:hAnsi="宋体" w:cs="宋体"/>
                <w:color w:val="auto"/>
                <w:szCs w:val="21"/>
                <w:highlight w:val="none"/>
              </w:rPr>
            </w:pPr>
            <w:r>
              <w:rPr>
                <w:rFonts w:hint="eastAsia" w:ascii="宋体" w:hAnsi="宋体" w:cs="宋体"/>
                <w:color w:val="auto"/>
                <w:szCs w:val="21"/>
                <w:highlight w:val="none"/>
              </w:rPr>
              <w:t>6.投标人为联合体的，可以由联合体中的一方或者多方共同缴纳投标保证金，其缴纳的投标保证金对联合体各方均具有约束力。</w:t>
            </w:r>
          </w:p>
          <w:p>
            <w:pPr>
              <w:snapToGrid w:val="0"/>
              <w:spacing w:line="360" w:lineRule="auto"/>
              <w:rPr>
                <w:rFonts w:ascii="宋体" w:hAnsi="宋体" w:cs="宋体"/>
                <w:b/>
                <w:color w:val="auto"/>
                <w:szCs w:val="21"/>
                <w:highlight w:val="none"/>
              </w:rPr>
            </w:pPr>
            <w:r>
              <w:rPr>
                <w:rFonts w:hint="eastAsia" w:ascii="宋体" w:hAnsi="宋体" w:cs="宋体"/>
                <w:b/>
                <w:color w:val="auto"/>
                <w:szCs w:val="21"/>
                <w:highlight w:val="none"/>
              </w:rPr>
              <w:t xml:space="preserve">备注： </w:t>
            </w:r>
          </w:p>
          <w:p>
            <w:pPr>
              <w:snapToGrid w:val="0"/>
              <w:spacing w:line="360" w:lineRule="auto"/>
              <w:rPr>
                <w:rFonts w:ascii="宋体" w:hAnsi="宋体" w:cs="宋体"/>
                <w:b/>
                <w:color w:val="auto"/>
                <w:szCs w:val="21"/>
                <w:highlight w:val="none"/>
              </w:rPr>
            </w:pPr>
            <w:r>
              <w:rPr>
                <w:rFonts w:hint="eastAsia" w:ascii="宋体" w:hAnsi="宋体" w:cs="宋体"/>
                <w:b/>
                <w:color w:val="auto"/>
                <w:szCs w:val="21"/>
                <w:highlight w:val="none"/>
              </w:rPr>
              <w:t>1. 投标保证金在投标截止时间后提交的，或者不按规定缴纳方式缴纳的，或者未足额缴纳的（包含保函额度不足的），视为无效投标保证金。</w:t>
            </w:r>
          </w:p>
          <w:p>
            <w:pPr>
              <w:snapToGrid w:val="0"/>
              <w:spacing w:line="360" w:lineRule="auto"/>
              <w:rPr>
                <w:rFonts w:ascii="宋体" w:hAnsi="宋体" w:cs="宋体"/>
                <w:b/>
                <w:color w:val="auto"/>
                <w:szCs w:val="21"/>
                <w:highlight w:val="none"/>
              </w:rPr>
            </w:pPr>
            <w:r>
              <w:rPr>
                <w:rFonts w:hint="eastAsia" w:ascii="宋体" w:hAnsi="宋体" w:cs="宋体"/>
                <w:b/>
                <w:color w:val="auto"/>
                <w:szCs w:val="21"/>
                <w:highlight w:val="none"/>
              </w:rPr>
              <w:t>2.投标人采用现金方式或者从个人账户（自然人投标除外）转出的投标保证金，视为无效投标保证金。</w:t>
            </w:r>
          </w:p>
          <w:p>
            <w:pPr>
              <w:snapToGrid w:val="0"/>
              <w:spacing w:line="360" w:lineRule="auto"/>
              <w:rPr>
                <w:rFonts w:ascii="宋体" w:hAnsi="宋体" w:cs="宋体"/>
                <w:b/>
                <w:color w:val="auto"/>
                <w:szCs w:val="21"/>
                <w:highlight w:val="none"/>
              </w:rPr>
            </w:pPr>
            <w:r>
              <w:rPr>
                <w:rFonts w:hint="eastAsia" w:ascii="宋体" w:hAnsi="宋体" w:cs="宋体"/>
                <w:b/>
                <w:color w:val="auto"/>
                <w:szCs w:val="21"/>
                <w:highlight w:val="none"/>
              </w:rPr>
              <w:t>3.支票、汇票或者本票出现无效或者背书情形的，视为无效投标保证金。</w:t>
            </w:r>
          </w:p>
          <w:p>
            <w:pPr>
              <w:snapToGrid w:val="0"/>
              <w:spacing w:line="360" w:lineRule="auto"/>
              <w:rPr>
                <w:rFonts w:ascii="宋体" w:hAnsi="宋体" w:cs="宋体"/>
                <w:b/>
                <w:color w:val="auto"/>
                <w:szCs w:val="21"/>
                <w:highlight w:val="none"/>
              </w:rPr>
            </w:pPr>
            <w:r>
              <w:rPr>
                <w:rFonts w:hint="eastAsia" w:ascii="宋体" w:hAnsi="宋体" w:cs="宋体"/>
                <w:b/>
                <w:color w:val="auto"/>
                <w:szCs w:val="21"/>
                <w:highlight w:val="none"/>
              </w:rPr>
              <w:t>4.保函有效期低于投标有效期的，视为无效投标保证金。</w:t>
            </w:r>
          </w:p>
          <w:p>
            <w:pPr>
              <w:autoSpaceDE w:val="0"/>
              <w:autoSpaceDN w:val="0"/>
              <w:snapToGrid w:val="0"/>
              <w:spacing w:line="360" w:lineRule="exact"/>
              <w:textAlignment w:val="bottom"/>
              <w:rPr>
                <w:rFonts w:ascii="宋体" w:hAnsi="宋体" w:cs="宋体"/>
                <w:color w:val="auto"/>
                <w:szCs w:val="21"/>
                <w:highlight w:val="none"/>
              </w:rPr>
            </w:pPr>
            <w:r>
              <w:rPr>
                <w:rFonts w:hint="eastAsia" w:ascii="宋体" w:hAnsi="宋体" w:cs="宋体"/>
                <w:b/>
                <w:color w:val="auto"/>
                <w:szCs w:val="21"/>
                <w:highlight w:val="none"/>
              </w:rPr>
              <w:t>5.采用金融、担保机构出具保函的，必须为无条件保函，否则视为无效投标保证金</w:t>
            </w:r>
            <w:r>
              <w:rPr>
                <w:rFonts w:hint="eastAsia" w:ascii="宋体" w:hAnsi="宋体" w:cs="宋体"/>
                <w:b/>
                <w:bCs/>
                <w:color w:val="auto"/>
                <w:szCs w:val="21"/>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19.1</w:t>
            </w: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投标文件编制要求</w:t>
            </w:r>
          </w:p>
        </w:tc>
        <w:tc>
          <w:tcPr>
            <w:tcW w:w="7297"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b/>
                <w:color w:val="auto"/>
                <w:szCs w:val="21"/>
                <w:highlight w:val="none"/>
                <w:u w:val="single"/>
              </w:rPr>
            </w:pPr>
            <w:r>
              <w:rPr>
                <w:rFonts w:hint="eastAsia" w:ascii="宋体" w:hAnsi="宋体" w:cs="宋体"/>
                <w:color w:val="auto"/>
                <w:szCs w:val="21"/>
                <w:highlight w:val="none"/>
              </w:rPr>
              <w:t>投标文件应按报价文件、资格证明文件、商务文件、技术文件分别编制，报价文件、资格证明文件分别生成电子文件，商务文件和技术文件按顺序合并生成电子文件。</w:t>
            </w:r>
            <w:r>
              <w:rPr>
                <w:rFonts w:hint="eastAsia" w:ascii="宋体" w:hAnsi="宋体" w:cs="宋体"/>
                <w:b/>
                <w:bCs/>
                <w:color w:val="auto"/>
                <w:szCs w:val="21"/>
                <w:highlight w:val="none"/>
              </w:rPr>
              <w:t>（注：按照本招标文件“第六章 投标文件格式”编写，第六章未附格式的，由投标人自行拟定。）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20</w:t>
            </w: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备份投标文件</w:t>
            </w:r>
          </w:p>
        </w:tc>
        <w:tc>
          <w:tcPr>
            <w:tcW w:w="7297" w:type="dxa"/>
            <w:tcBorders>
              <w:top w:val="single" w:color="auto" w:sz="4" w:space="0"/>
              <w:left w:val="single" w:color="auto" w:sz="4" w:space="0"/>
              <w:bottom w:val="single" w:color="auto" w:sz="4" w:space="0"/>
              <w:right w:val="single" w:color="auto" w:sz="4" w:space="0"/>
            </w:tcBorders>
            <w:noWrap/>
            <w:vAlign w:val="center"/>
          </w:tcPr>
          <w:p>
            <w:pPr>
              <w:autoSpaceDE w:val="0"/>
              <w:autoSpaceDN w:val="0"/>
              <w:snapToGrid w:val="0"/>
              <w:spacing w:line="360" w:lineRule="exact"/>
              <w:textAlignment w:val="bottom"/>
              <w:rPr>
                <w:rFonts w:ascii="宋体" w:hAnsi="宋体" w:cs="宋体"/>
                <w:color w:val="auto"/>
                <w:szCs w:val="21"/>
                <w:highlight w:val="none"/>
              </w:rPr>
            </w:pPr>
            <w:r>
              <w:rPr>
                <w:rFonts w:hint="eastAsia" w:ascii="宋体" w:hAnsi="宋体" w:cs="宋体"/>
                <w:color w:val="auto"/>
                <w:szCs w:val="21"/>
                <w:highlight w:val="none"/>
              </w:rPr>
              <w:t>本项目不接受备份投标文件。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vMerge w:val="restart"/>
            <w:tcBorders>
              <w:top w:val="single" w:color="auto" w:sz="4" w:space="0"/>
              <w:left w:val="single" w:color="auto" w:sz="4" w:space="0"/>
              <w:bottom w:val="nil"/>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21.1</w:t>
            </w: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bookmarkStart w:id="78" w:name="_21.1"/>
            <w:bookmarkEnd w:id="78"/>
            <w:r>
              <w:rPr>
                <w:rFonts w:hint="eastAsia" w:ascii="宋体" w:hAnsi="宋体" w:cs="宋体"/>
                <w:color w:val="auto"/>
                <w:szCs w:val="21"/>
                <w:highlight w:val="none"/>
              </w:rPr>
              <w:t>投标截止时间</w:t>
            </w:r>
          </w:p>
        </w:tc>
        <w:tc>
          <w:tcPr>
            <w:tcW w:w="7297"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rPr>
                <w:rFonts w:ascii="宋体" w:hAnsi="宋体" w:cs="宋体"/>
                <w:color w:val="auto"/>
                <w:szCs w:val="21"/>
                <w:highlight w:val="none"/>
                <w:u w:val="single"/>
              </w:rPr>
            </w:pPr>
            <w:r>
              <w:rPr>
                <w:rFonts w:hint="eastAsia" w:ascii="宋体" w:hAnsi="宋体" w:cs="宋体"/>
                <w:color w:val="auto"/>
                <w:szCs w:val="21"/>
                <w:highlight w:val="none"/>
              </w:rPr>
              <w:t>详见招标公告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vMerge w:val="continue"/>
            <w:tcBorders>
              <w:top w:val="single" w:color="auto" w:sz="4" w:space="0"/>
              <w:left w:val="single" w:color="auto" w:sz="4" w:space="0"/>
              <w:bottom w:val="nil"/>
              <w:right w:val="single" w:color="auto" w:sz="4" w:space="0"/>
            </w:tcBorders>
            <w:noWrap/>
            <w:vAlign w:val="center"/>
          </w:tcPr>
          <w:p>
            <w:pPr>
              <w:widowControl/>
              <w:spacing w:line="360" w:lineRule="exact"/>
              <w:jc w:val="left"/>
              <w:rPr>
                <w:rFonts w:ascii="宋体" w:hAnsi="宋体" w:cs="宋体"/>
                <w:color w:val="auto"/>
                <w:szCs w:val="21"/>
                <w:highlight w:val="none"/>
              </w:rPr>
            </w:pP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投标地点</w:t>
            </w:r>
          </w:p>
        </w:tc>
        <w:tc>
          <w:tcPr>
            <w:tcW w:w="7297"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详见招标公告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vMerge w:val="continue"/>
            <w:tcBorders>
              <w:top w:val="single" w:color="auto" w:sz="4" w:space="0"/>
              <w:left w:val="single" w:color="auto" w:sz="4" w:space="0"/>
              <w:bottom w:val="nil"/>
              <w:right w:val="single" w:color="auto" w:sz="4" w:space="0"/>
            </w:tcBorders>
            <w:noWrap/>
            <w:vAlign w:val="center"/>
          </w:tcPr>
          <w:p>
            <w:pPr>
              <w:widowControl/>
              <w:spacing w:line="360" w:lineRule="exact"/>
              <w:jc w:val="left"/>
              <w:rPr>
                <w:rFonts w:ascii="宋体" w:hAnsi="宋体" w:cs="宋体"/>
                <w:color w:val="auto"/>
                <w:szCs w:val="21"/>
                <w:highlight w:val="none"/>
              </w:rPr>
            </w:pP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投标人递交投标样品截止时间及地点</w:t>
            </w:r>
          </w:p>
        </w:tc>
        <w:tc>
          <w:tcPr>
            <w:tcW w:w="7297"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rPr>
                <w:rFonts w:hint="eastAsia" w:ascii="宋体" w:hAnsi="宋体" w:eastAsia="宋体" w:cs="宋体"/>
                <w:color w:val="auto"/>
                <w:szCs w:val="21"/>
                <w:highlight w:val="none"/>
                <w:lang w:eastAsia="zh-CN"/>
              </w:rPr>
            </w:pPr>
            <w:r>
              <w:rPr>
                <w:rFonts w:hint="eastAsia" w:ascii="宋体" w:hAnsi="宋体" w:cs="宋体"/>
                <w:bCs/>
                <w:color w:val="auto"/>
                <w:szCs w:val="21"/>
                <w:highlight w:val="none"/>
                <w:lang w:val="en-US" w:eastAsia="zh-CN"/>
              </w:rPr>
              <w:t>详见购需求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23</w:t>
            </w: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bookmarkStart w:id="79" w:name="_23"/>
            <w:bookmarkEnd w:id="79"/>
            <w:r>
              <w:rPr>
                <w:rFonts w:hint="eastAsia" w:ascii="宋体" w:hAnsi="宋体" w:cs="宋体"/>
                <w:color w:val="auto"/>
                <w:szCs w:val="21"/>
                <w:highlight w:val="none"/>
              </w:rPr>
              <w:t>开标时间、地点</w:t>
            </w:r>
          </w:p>
        </w:tc>
        <w:tc>
          <w:tcPr>
            <w:tcW w:w="7297"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 xml:space="preserve">详见招标公告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vMerge w:val="restart"/>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25.3（2）</w:t>
            </w: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bookmarkStart w:id="80" w:name="_25.3"/>
            <w:bookmarkEnd w:id="80"/>
            <w:r>
              <w:rPr>
                <w:rFonts w:hint="eastAsia" w:ascii="宋体" w:hAnsi="宋体" w:cs="宋体"/>
                <w:color w:val="auto"/>
                <w:szCs w:val="21"/>
                <w:highlight w:val="none"/>
              </w:rPr>
              <w:t>投标人信用查询渠道</w:t>
            </w:r>
          </w:p>
        </w:tc>
        <w:tc>
          <w:tcPr>
            <w:tcW w:w="7297"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采购人或者采购代理机构在资格审查结束前，对投标人进行信用查询。</w:t>
            </w:r>
          </w:p>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查询渠道：“信用中国”网站(www.creditchina.gov.cn) 、中国政府采购网(www.ccgp.gov.cn)。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60" w:lineRule="exact"/>
              <w:jc w:val="left"/>
              <w:rPr>
                <w:rFonts w:ascii="宋体" w:hAnsi="宋体" w:cs="宋体"/>
                <w:color w:val="auto"/>
                <w:szCs w:val="21"/>
                <w:highlight w:val="none"/>
              </w:rPr>
            </w:pP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信用查询截止时点</w:t>
            </w:r>
          </w:p>
        </w:tc>
        <w:tc>
          <w:tcPr>
            <w:tcW w:w="7297"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资格审查结束前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60" w:lineRule="exact"/>
              <w:jc w:val="left"/>
              <w:rPr>
                <w:rFonts w:ascii="宋体" w:hAnsi="宋体" w:cs="宋体"/>
                <w:color w:val="auto"/>
                <w:szCs w:val="21"/>
                <w:highlight w:val="none"/>
              </w:rPr>
            </w:pP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查询记录和证据留存方式</w:t>
            </w:r>
          </w:p>
        </w:tc>
        <w:tc>
          <w:tcPr>
            <w:tcW w:w="7297"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在查询网站中直接截图查询记录，截图留存或在广西政府采购云平台作为附件上传保存。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60" w:lineRule="exact"/>
              <w:jc w:val="left"/>
              <w:rPr>
                <w:rFonts w:ascii="宋体" w:hAnsi="宋体" w:cs="宋体"/>
                <w:color w:val="auto"/>
                <w:szCs w:val="21"/>
                <w:highlight w:val="none"/>
              </w:rPr>
            </w:pP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信用信息使用规则</w:t>
            </w:r>
          </w:p>
        </w:tc>
        <w:tc>
          <w:tcPr>
            <w:tcW w:w="7297"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对在“信用中国”网站(www.creditchina.gov.cn) 、中国政府采购网(www.ccgp.gov.cn)被列入失信被执行人、重大税收违法失信主体、政府采购严重违法失信行为记录名单及其他不符合《中华人民共和国政府采购法》第二十二条规定条件的供应商，采购人或者采购代理机构应当拒绝其参与政府采购活动。两个以上的自然人、法人或者其他组织组成一个联合体，以一个供应商的身份共同参加政府采购活动的，应当对所有联合体成员进行信用记录查询，联合体成员存在不良信用记录的，视同联合体存在不良信用记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29.1</w:t>
            </w: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bookmarkStart w:id="81" w:name="_26"/>
            <w:bookmarkEnd w:id="81"/>
            <w:bookmarkStart w:id="82" w:name="_28.3"/>
            <w:bookmarkEnd w:id="82"/>
            <w:r>
              <w:rPr>
                <w:rFonts w:hint="eastAsia" w:ascii="宋体" w:hAnsi="宋体" w:cs="宋体"/>
                <w:color w:val="auto"/>
                <w:szCs w:val="21"/>
                <w:highlight w:val="none"/>
              </w:rPr>
              <w:t>评标方法</w:t>
            </w:r>
          </w:p>
        </w:tc>
        <w:tc>
          <w:tcPr>
            <w:tcW w:w="7297" w:type="dxa"/>
            <w:tcBorders>
              <w:top w:val="single" w:color="auto" w:sz="4" w:space="0"/>
              <w:left w:val="single" w:color="auto" w:sz="4" w:space="0"/>
              <w:bottom w:val="single" w:color="auto" w:sz="4" w:space="0"/>
              <w:right w:val="single" w:color="auto" w:sz="4" w:space="0"/>
            </w:tcBorders>
            <w:noWrap/>
            <w:vAlign w:val="center"/>
          </w:tcPr>
          <w:p>
            <w:pPr>
              <w:autoSpaceDE w:val="0"/>
              <w:autoSpaceDN w:val="0"/>
              <w:snapToGrid w:val="0"/>
              <w:spacing w:line="360" w:lineRule="exact"/>
              <w:textAlignment w:val="bottom"/>
              <w:rPr>
                <w:rFonts w:ascii="宋体" w:hAnsi="宋体" w:cs="宋体"/>
                <w:color w:val="auto"/>
                <w:szCs w:val="21"/>
                <w:highlight w:val="none"/>
              </w:rPr>
            </w:pPr>
            <w:r>
              <w:rPr>
                <w:rFonts w:hint="eastAsia" w:ascii="宋体" w:hAnsi="宋体" w:cs="宋体"/>
                <w:color w:val="auto"/>
                <w:szCs w:val="21"/>
                <w:highlight w:val="none"/>
              </w:rPr>
              <w:t>综合评分法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860" w:type="dxa"/>
            <w:tcBorders>
              <w:top w:val="single" w:color="auto" w:sz="4" w:space="0"/>
              <w:left w:val="single" w:color="auto" w:sz="4" w:space="0"/>
              <w:bottom w:val="nil"/>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29.2</w:t>
            </w:r>
          </w:p>
        </w:tc>
        <w:tc>
          <w:tcPr>
            <w:tcW w:w="2083" w:type="dxa"/>
            <w:tcBorders>
              <w:top w:val="single" w:color="auto" w:sz="4" w:space="0"/>
              <w:left w:val="single" w:color="auto" w:sz="4" w:space="0"/>
              <w:bottom w:val="nil"/>
              <w:right w:val="single" w:color="auto" w:sz="4" w:space="0"/>
            </w:tcBorders>
            <w:noWrap/>
            <w:vAlign w:val="center"/>
          </w:tcPr>
          <w:p>
            <w:pPr>
              <w:spacing w:line="360" w:lineRule="exact"/>
              <w:rPr>
                <w:rFonts w:ascii="宋体" w:hAnsi="宋体" w:cs="宋体"/>
                <w:color w:val="auto"/>
                <w:szCs w:val="21"/>
                <w:highlight w:val="none"/>
              </w:rPr>
            </w:pPr>
            <w:bookmarkStart w:id="83" w:name="_29.2.2（2）"/>
            <w:bookmarkEnd w:id="83"/>
            <w:r>
              <w:rPr>
                <w:rFonts w:hint="eastAsia" w:ascii="宋体" w:hAnsi="宋体" w:cs="宋体"/>
                <w:color w:val="auto"/>
                <w:szCs w:val="21"/>
                <w:highlight w:val="none"/>
              </w:rPr>
              <w:t>允许负偏离项</w:t>
            </w:r>
          </w:p>
        </w:tc>
        <w:tc>
          <w:tcPr>
            <w:tcW w:w="7297" w:type="dxa"/>
            <w:tcBorders>
              <w:top w:val="single" w:color="auto" w:sz="4" w:space="0"/>
              <w:left w:val="single" w:color="auto" w:sz="4" w:space="0"/>
              <w:bottom w:val="nil"/>
              <w:right w:val="single" w:color="auto" w:sz="4" w:space="0"/>
            </w:tcBorders>
            <w:noWrap/>
            <w:vAlign w:val="center"/>
          </w:tcPr>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商务条款评审中允许负偏离的条款数为</w:t>
            </w:r>
            <w:r>
              <w:rPr>
                <w:rFonts w:hint="eastAsia" w:ascii="宋体" w:hAnsi="宋体" w:cs="宋体"/>
                <w:color w:val="auto"/>
                <w:szCs w:val="21"/>
                <w:highlight w:val="none"/>
                <w:u w:val="single"/>
              </w:rPr>
              <w:t xml:space="preserve"> 0 </w:t>
            </w:r>
            <w:r>
              <w:rPr>
                <w:rFonts w:hint="eastAsia" w:ascii="宋体" w:hAnsi="宋体" w:cs="宋体"/>
                <w:color w:val="auto"/>
                <w:szCs w:val="21"/>
                <w:highlight w:val="none"/>
              </w:rPr>
              <w:t>项。</w:t>
            </w:r>
          </w:p>
          <w:p>
            <w:pPr>
              <w:rPr>
                <w:rFonts w:ascii="宋体" w:hAnsi="宋体" w:cs="宋体"/>
                <w:color w:val="auto"/>
                <w:szCs w:val="21"/>
                <w:highlight w:val="none"/>
              </w:rPr>
            </w:pPr>
            <w:r>
              <w:rPr>
                <w:rFonts w:hint="eastAsia" w:ascii="宋体" w:hAnsi="宋体" w:cs="宋体"/>
                <w:color w:val="auto"/>
                <w:szCs w:val="21"/>
                <w:highlight w:val="none"/>
              </w:rPr>
              <w:t>技术需求评审中允许负偏离的条款数为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0</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30.1</w:t>
            </w:r>
          </w:p>
        </w:tc>
        <w:tc>
          <w:tcPr>
            <w:tcW w:w="2083" w:type="dxa"/>
            <w:tcBorders>
              <w:top w:val="single" w:color="auto" w:sz="4" w:space="0"/>
              <w:left w:val="single" w:color="auto" w:sz="4" w:space="0"/>
              <w:bottom w:val="single" w:color="auto" w:sz="4" w:space="0"/>
              <w:right w:val="single" w:color="auto" w:sz="4" w:space="0"/>
            </w:tcBorders>
            <w:noWrap/>
            <w:vAlign w:val="center"/>
          </w:tcPr>
          <w:p>
            <w:pPr>
              <w:autoSpaceDE w:val="0"/>
              <w:autoSpaceDN w:val="0"/>
              <w:snapToGrid w:val="0"/>
              <w:spacing w:line="360" w:lineRule="exact"/>
              <w:textAlignment w:val="bottom"/>
              <w:rPr>
                <w:rFonts w:ascii="宋体" w:hAnsi="宋体" w:cs="宋体"/>
                <w:color w:val="auto"/>
                <w:szCs w:val="21"/>
                <w:highlight w:val="none"/>
              </w:rPr>
            </w:pPr>
            <w:r>
              <w:rPr>
                <w:rFonts w:hint="eastAsia" w:ascii="宋体" w:hAnsi="宋体" w:cs="宋体"/>
                <w:color w:val="auto"/>
                <w:szCs w:val="21"/>
                <w:highlight w:val="none"/>
              </w:rPr>
              <w:t xml:space="preserve">确定中标人时，出现中标候选人排名并列的情形，确定中标人方式 </w:t>
            </w:r>
          </w:p>
        </w:tc>
        <w:tc>
          <w:tcPr>
            <w:tcW w:w="7297" w:type="dxa"/>
            <w:tcBorders>
              <w:top w:val="single" w:color="auto" w:sz="4" w:space="0"/>
              <w:left w:val="single" w:color="auto" w:sz="4" w:space="0"/>
              <w:bottom w:val="single" w:color="auto" w:sz="4" w:space="0"/>
              <w:right w:val="single" w:color="auto" w:sz="4" w:space="0"/>
            </w:tcBorders>
            <w:noWrap/>
            <w:vAlign w:val="center"/>
          </w:tcPr>
          <w:p>
            <w:pPr>
              <w:autoSpaceDE w:val="0"/>
              <w:autoSpaceDN w:val="0"/>
              <w:snapToGrid w:val="0"/>
              <w:spacing w:line="360" w:lineRule="auto"/>
              <w:textAlignment w:val="bottom"/>
              <w:rPr>
                <w:b/>
                <w:bCs/>
                <w:color w:val="auto"/>
                <w:highlight w:val="none"/>
              </w:rPr>
            </w:pPr>
            <w:r>
              <w:rPr>
                <w:rFonts w:hint="eastAsia" w:ascii="宋体" w:hAnsi="宋体" w:cs="宋体"/>
                <w:color w:val="auto"/>
                <w:szCs w:val="21"/>
                <w:highlight w:val="none"/>
              </w:rPr>
              <w:t>采购人确定中标人时，出现中标候选人并列的情形，采购人按以下的方式确定中标人：</w:t>
            </w:r>
          </w:p>
          <w:p>
            <w:pPr>
              <w:autoSpaceDE w:val="0"/>
              <w:autoSpaceDN w:val="0"/>
              <w:snapToGrid w:val="0"/>
              <w:spacing w:line="360" w:lineRule="exact"/>
              <w:textAlignment w:val="bottom"/>
              <w:rPr>
                <w:rFonts w:ascii="宋体" w:hAnsi="宋体" w:cs="宋体"/>
                <w:b/>
                <w:color w:val="auto"/>
                <w:szCs w:val="21"/>
                <w:highlight w:val="none"/>
              </w:rPr>
            </w:pPr>
            <w:r>
              <w:rPr>
                <w:rFonts w:hint="eastAsia" w:ascii="宋体" w:hAnsi="宋体" w:cs="宋体"/>
                <w:color w:val="auto"/>
                <w:szCs w:val="21"/>
                <w:highlight w:val="none"/>
              </w:rPr>
              <w:t>技术分得分高的优先、商务分得分高的优先的顺序。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35</w:t>
            </w: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bookmarkStart w:id="84" w:name="_39.1"/>
            <w:bookmarkEnd w:id="84"/>
            <w:r>
              <w:rPr>
                <w:rFonts w:hint="eastAsia" w:ascii="宋体" w:hAnsi="宋体" w:cs="宋体"/>
                <w:color w:val="auto"/>
                <w:szCs w:val="21"/>
                <w:highlight w:val="none"/>
              </w:rPr>
              <w:t>履约保证金</w:t>
            </w:r>
          </w:p>
        </w:tc>
        <w:tc>
          <w:tcPr>
            <w:tcW w:w="7297" w:type="dxa"/>
            <w:tcBorders>
              <w:top w:val="single" w:color="auto" w:sz="4" w:space="0"/>
              <w:left w:val="single" w:color="auto" w:sz="4" w:space="0"/>
              <w:bottom w:val="single" w:color="auto" w:sz="4" w:space="0"/>
              <w:right w:val="single" w:color="auto" w:sz="4" w:space="0"/>
            </w:tcBorders>
            <w:noWrap/>
            <w:vAlign w:val="bottom"/>
          </w:tcPr>
          <w:p>
            <w:pPr>
              <w:spacing w:line="360" w:lineRule="exact"/>
              <w:jc w:val="left"/>
              <w:rPr>
                <w:rFonts w:ascii="宋体" w:hAnsi="宋体" w:cs="宋体"/>
                <w:color w:val="auto"/>
                <w:szCs w:val="21"/>
                <w:highlight w:val="none"/>
              </w:rPr>
            </w:pPr>
            <w:r>
              <w:rPr>
                <w:rFonts w:hint="eastAsia" w:ascii="宋体" w:hAnsi="宋体" w:cs="宋体"/>
                <w:b/>
                <w:bCs/>
                <w:color w:val="auto"/>
                <w:szCs w:val="21"/>
                <w:highlight w:val="none"/>
              </w:rPr>
              <w:t>履约保证金要求详见各分标商务条款。</w:t>
            </w:r>
          </w:p>
          <w:p>
            <w:pPr>
              <w:autoSpaceDE w:val="0"/>
              <w:autoSpaceDN w:val="0"/>
              <w:snapToGrid w:val="0"/>
              <w:spacing w:line="360" w:lineRule="exact"/>
              <w:jc w:val="left"/>
              <w:textAlignment w:val="bottom"/>
              <w:rPr>
                <w:rFonts w:ascii="宋体" w:hAnsi="宋体" w:cs="宋体"/>
                <w:b/>
                <w:bCs/>
                <w:color w:val="auto"/>
                <w:szCs w:val="21"/>
                <w:highlight w:val="none"/>
              </w:rPr>
            </w:pPr>
            <w:r>
              <w:rPr>
                <w:rFonts w:hint="eastAsia" w:ascii="宋体" w:hAnsi="宋体" w:cs="宋体"/>
                <w:b/>
                <w:bCs/>
                <w:color w:val="auto"/>
                <w:szCs w:val="21"/>
                <w:highlight w:val="none"/>
              </w:rPr>
              <w:t>备注：</w:t>
            </w:r>
          </w:p>
          <w:p>
            <w:pPr>
              <w:autoSpaceDE w:val="0"/>
              <w:autoSpaceDN w:val="0"/>
              <w:snapToGrid w:val="0"/>
              <w:spacing w:line="360" w:lineRule="exact"/>
              <w:jc w:val="left"/>
              <w:textAlignment w:val="bottom"/>
              <w:rPr>
                <w:rFonts w:ascii="宋体" w:hAnsi="宋体" w:cs="宋体"/>
                <w:b/>
                <w:color w:val="auto"/>
                <w:szCs w:val="21"/>
                <w:highlight w:val="none"/>
              </w:rPr>
            </w:pPr>
            <w:r>
              <w:rPr>
                <w:rFonts w:hint="eastAsia" w:ascii="宋体" w:hAnsi="宋体" w:cs="宋体"/>
                <w:b/>
                <w:color w:val="auto"/>
                <w:szCs w:val="21"/>
                <w:highlight w:val="none"/>
              </w:rPr>
              <w:t>1. 根据《广西壮族自治区财政厅关于贯彻落实政府采购优化营商环境百日攻坚行动方案的通知》（桂财采〔2020〕49号）和《广西壮族自治区财政厅关于规范政府采购货物和服务项目保证金管理的通知》（桂财规〔2022〕8号）规定，鼓励采购人在与中小微企业签订政府采购合同时，减少或免于收取履约保证金，有必要收取履约保证金的，收取的履约保证金不得超过政府采购合同金额的5%，对中小企业收取的履约保证金数额不得超过政府采购合同金额的2%。</w:t>
            </w:r>
          </w:p>
          <w:p>
            <w:pPr>
              <w:autoSpaceDE w:val="0"/>
              <w:autoSpaceDN w:val="0"/>
              <w:snapToGrid w:val="0"/>
              <w:spacing w:line="360" w:lineRule="exact"/>
              <w:jc w:val="left"/>
              <w:textAlignment w:val="bottom"/>
              <w:rPr>
                <w:rFonts w:ascii="宋体" w:hAnsi="宋体" w:cs="宋体"/>
                <w:b/>
                <w:color w:val="auto"/>
                <w:szCs w:val="21"/>
                <w:highlight w:val="none"/>
              </w:rPr>
            </w:pPr>
            <w:r>
              <w:rPr>
                <w:rFonts w:hint="eastAsia" w:ascii="宋体" w:hAnsi="宋体" w:cs="宋体"/>
                <w:b/>
                <w:color w:val="auto"/>
                <w:szCs w:val="21"/>
                <w:highlight w:val="none"/>
              </w:rPr>
              <w:t>2. 履约保证金不足额缴纳的（包含保函额度不足的），或者不按规定提交方式提交的，或者保函有效期低于合同履行期限（即合同中规定的当事人履行自己的义务，如交付标的物、价款或者报酬，履行劳务、完成工作的时间界限）的，不予签订合同。</w:t>
            </w:r>
          </w:p>
          <w:p>
            <w:pPr>
              <w:autoSpaceDE w:val="0"/>
              <w:autoSpaceDN w:val="0"/>
              <w:snapToGrid w:val="0"/>
              <w:spacing w:line="360" w:lineRule="exact"/>
              <w:jc w:val="left"/>
              <w:textAlignment w:val="bottom"/>
              <w:rPr>
                <w:rFonts w:ascii="宋体" w:hAnsi="宋体" w:cs="宋体"/>
                <w:b/>
                <w:color w:val="auto"/>
                <w:szCs w:val="21"/>
                <w:highlight w:val="none"/>
              </w:rPr>
            </w:pPr>
            <w:r>
              <w:rPr>
                <w:rFonts w:hint="eastAsia" w:ascii="宋体" w:hAnsi="宋体" w:cs="宋体"/>
                <w:b/>
                <w:color w:val="auto"/>
                <w:szCs w:val="21"/>
                <w:highlight w:val="none"/>
              </w:rPr>
              <w:t>3.采用金融、担保机构出具的保函的，必须为无条件保函，否则不予签订合同。</w:t>
            </w:r>
          </w:p>
          <w:p>
            <w:pPr>
              <w:autoSpaceDE w:val="0"/>
              <w:autoSpaceDN w:val="0"/>
              <w:snapToGrid w:val="0"/>
              <w:spacing w:line="360" w:lineRule="exact"/>
              <w:jc w:val="left"/>
              <w:textAlignment w:val="bottom"/>
              <w:rPr>
                <w:rFonts w:ascii="宋体" w:hAnsi="宋体" w:cs="宋体"/>
                <w:color w:val="auto"/>
                <w:szCs w:val="21"/>
                <w:highlight w:val="none"/>
              </w:rPr>
            </w:pPr>
            <w:r>
              <w:rPr>
                <w:rFonts w:hint="eastAsia" w:ascii="宋体" w:hAnsi="宋体" w:cs="宋体"/>
                <w:b/>
                <w:color w:val="auto"/>
                <w:szCs w:val="21"/>
                <w:highlight w:val="none"/>
              </w:rPr>
              <w:t>4.投标人为联合体的，由联合体其中一方按规定提交的履约保证金，视为有效履约保证金。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36.1</w:t>
            </w: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bookmarkStart w:id="85" w:name="_40.1"/>
            <w:bookmarkEnd w:id="85"/>
            <w:r>
              <w:rPr>
                <w:rFonts w:hint="eastAsia" w:ascii="宋体" w:hAnsi="宋体" w:cs="宋体"/>
                <w:color w:val="auto"/>
                <w:szCs w:val="21"/>
                <w:highlight w:val="none"/>
              </w:rPr>
              <w:t>签订合同携带的材料</w:t>
            </w:r>
          </w:p>
        </w:tc>
        <w:tc>
          <w:tcPr>
            <w:tcW w:w="7297"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电子采购合同需要中标人通过有效CA证书进行电子签名与签章（适用于签订电子合同的情形）</w:t>
            </w:r>
          </w:p>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委托代理人负责签订合同的，须携带有效的法定代表人授权委托书及其委托代理人身份证原件等其他资格证件。</w:t>
            </w:r>
          </w:p>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法定代表人负责签订合同的，须携带法定代表人身份证明原件及身份证原件等其他证明材料。（适用于签订纸质合同的情形）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vMerge w:val="restart"/>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38.2.1</w:t>
            </w: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接收质疑函方式</w:t>
            </w:r>
          </w:p>
        </w:tc>
        <w:tc>
          <w:tcPr>
            <w:tcW w:w="7297"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以书面形式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60" w:lineRule="exact"/>
              <w:jc w:val="left"/>
              <w:rPr>
                <w:rFonts w:ascii="宋体" w:hAnsi="宋体" w:cs="宋体"/>
                <w:color w:val="auto"/>
                <w:szCs w:val="21"/>
                <w:highlight w:val="none"/>
              </w:rPr>
            </w:pP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质疑联系部门及联系方式</w:t>
            </w:r>
          </w:p>
        </w:tc>
        <w:tc>
          <w:tcPr>
            <w:tcW w:w="7297"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（1）名称：</w:t>
            </w:r>
            <w:r>
              <w:rPr>
                <w:rFonts w:hint="eastAsia" w:ascii="宋体" w:hAnsi="宋体" w:cs="宋体"/>
                <w:color w:val="auto"/>
                <w:szCs w:val="21"/>
                <w:highlight w:val="none"/>
                <w:lang w:eastAsia="zh-CN"/>
              </w:rPr>
              <w:t>广西壮族自治区救灾物资储备中心</w:t>
            </w:r>
          </w:p>
          <w:p>
            <w:pPr>
              <w:snapToGrid w:val="0"/>
              <w:spacing w:line="360" w:lineRule="exact"/>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联系电话：</w:t>
            </w:r>
            <w:r>
              <w:rPr>
                <w:rFonts w:hint="eastAsia" w:ascii="宋体" w:hAnsi="宋体" w:cs="宋体"/>
                <w:color w:val="auto"/>
                <w:szCs w:val="21"/>
                <w:highlight w:val="none"/>
                <w:lang w:eastAsia="zh-CN"/>
              </w:rPr>
              <w:t>0771-5660526</w:t>
            </w:r>
          </w:p>
          <w:p>
            <w:pPr>
              <w:snapToGrid w:val="0"/>
              <w:spacing w:line="360" w:lineRule="exact"/>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通讯地址：</w:t>
            </w:r>
            <w:r>
              <w:rPr>
                <w:rFonts w:hint="eastAsia" w:ascii="宋体" w:hAnsi="宋体" w:cs="宋体"/>
                <w:color w:val="auto"/>
                <w:szCs w:val="21"/>
                <w:highlight w:val="none"/>
                <w:lang w:eastAsia="zh-CN"/>
              </w:rPr>
              <w:t>广西南宁市民主路9号</w:t>
            </w:r>
          </w:p>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（2）名称：广西科联招标中心有限公司</w:t>
            </w:r>
          </w:p>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联系电话：0771-3486228</w:t>
            </w:r>
          </w:p>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通讯地址：广西科联招标中心有限公司</w:t>
            </w:r>
            <w:r>
              <w:rPr>
                <w:rFonts w:hint="eastAsia" w:ascii="宋体" w:hAnsi="宋体" w:cs="宋体"/>
                <w:color w:val="auto"/>
                <w:szCs w:val="21"/>
                <w:highlight w:val="none"/>
                <w:lang w:val="en-US" w:eastAsia="zh-CN"/>
              </w:rPr>
              <w:t>103</w:t>
            </w:r>
            <w:r>
              <w:rPr>
                <w:rFonts w:hint="eastAsia" w:ascii="宋体" w:hAnsi="宋体" w:cs="宋体"/>
                <w:color w:val="auto"/>
                <w:szCs w:val="21"/>
                <w:highlight w:val="none"/>
              </w:rPr>
              <w:t>室（广西南宁市大学东路170号广西农业机械研究院有限公司内）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60" w:lineRule="exact"/>
              <w:jc w:val="left"/>
              <w:rPr>
                <w:rFonts w:ascii="宋体" w:hAnsi="宋体" w:cs="宋体"/>
                <w:color w:val="auto"/>
                <w:szCs w:val="21"/>
                <w:highlight w:val="none"/>
              </w:rPr>
            </w:pP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现场提交质疑办理业务时间</w:t>
            </w:r>
          </w:p>
        </w:tc>
        <w:tc>
          <w:tcPr>
            <w:tcW w:w="7297"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质疑期内每个工作日（北京时间）上午8时00分到12时00分，下午15时00分到18时00分。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tcBorders>
              <w:top w:val="nil"/>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38.3.1</w:t>
            </w: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投诉受理方式</w:t>
            </w:r>
          </w:p>
        </w:tc>
        <w:tc>
          <w:tcPr>
            <w:tcW w:w="7297"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1、受理方式：纸质方式受理，投诉书正、副本（经过质疑的事项才可投诉）。</w:t>
            </w:r>
          </w:p>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2、通讯方式：</w:t>
            </w:r>
          </w:p>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名称：广西壮族自治区财政厅政府采购监督管理处</w:t>
            </w:r>
          </w:p>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地址：南宁市桃源路69号广西财政大厦7楼</w:t>
            </w:r>
          </w:p>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 xml:space="preserve">联系电话：0771-5331544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vMerge w:val="restart"/>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40</w:t>
            </w: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bookmarkStart w:id="86" w:name="_42"/>
            <w:bookmarkEnd w:id="86"/>
            <w:bookmarkStart w:id="87" w:name="_41"/>
            <w:bookmarkEnd w:id="87"/>
            <w:r>
              <w:rPr>
                <w:rFonts w:hint="eastAsia" w:ascii="宋体" w:hAnsi="宋体" w:cs="宋体"/>
                <w:color w:val="auto"/>
                <w:szCs w:val="21"/>
                <w:highlight w:val="none"/>
              </w:rPr>
              <w:t>采购代理服务费支付方式</w:t>
            </w:r>
          </w:p>
        </w:tc>
        <w:tc>
          <w:tcPr>
            <w:tcW w:w="7297" w:type="dxa"/>
            <w:tcBorders>
              <w:top w:val="single" w:color="auto" w:sz="4" w:space="0"/>
              <w:left w:val="single" w:color="auto" w:sz="4" w:space="0"/>
              <w:bottom w:val="single" w:color="auto" w:sz="4" w:space="0"/>
              <w:right w:val="single" w:color="auto" w:sz="4" w:space="0"/>
            </w:tcBorders>
            <w:noWrap/>
            <w:vAlign w:val="center"/>
          </w:tcPr>
          <w:p>
            <w:pPr>
              <w:pStyle w:val="17"/>
              <w:snapToGrid w:val="0"/>
              <w:spacing w:line="360" w:lineRule="exact"/>
              <w:rPr>
                <w:rFonts w:hAnsi="宋体" w:cs="宋体"/>
                <w:color w:val="auto"/>
                <w:szCs w:val="21"/>
                <w:highlight w:val="none"/>
              </w:rPr>
            </w:pPr>
            <w:r>
              <w:rPr>
                <w:rFonts w:hint="eastAsia" w:hAnsi="宋体" w:cs="宋体"/>
                <w:color w:val="auto"/>
                <w:szCs w:val="21"/>
                <w:highlight w:val="none"/>
              </w:rPr>
              <w:t>本项目采购代理服务费由中标人在签订合同前，以银行转账、电汇等方式一次性向采购代理机构支付。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60" w:lineRule="exact"/>
              <w:jc w:val="left"/>
              <w:rPr>
                <w:rFonts w:ascii="宋体" w:hAnsi="宋体" w:cs="宋体"/>
                <w:color w:val="auto"/>
                <w:szCs w:val="21"/>
                <w:highlight w:val="none"/>
              </w:rPr>
            </w:pP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采购代理服务费收取标准</w:t>
            </w:r>
          </w:p>
        </w:tc>
        <w:tc>
          <w:tcPr>
            <w:tcW w:w="7297" w:type="dxa"/>
            <w:tcBorders>
              <w:top w:val="single" w:color="auto" w:sz="4" w:space="0"/>
              <w:left w:val="single" w:color="auto" w:sz="4" w:space="0"/>
              <w:bottom w:val="single" w:color="auto" w:sz="4" w:space="0"/>
              <w:right w:val="single" w:color="auto" w:sz="4" w:space="0"/>
            </w:tcBorders>
            <w:noWrap/>
            <w:vAlign w:val="center"/>
          </w:tcPr>
          <w:p>
            <w:pPr>
              <w:pStyle w:val="17"/>
              <w:snapToGrid w:val="0"/>
              <w:spacing w:line="360" w:lineRule="exact"/>
              <w:rPr>
                <w:rFonts w:hAnsi="宋体" w:cs="宋体"/>
                <w:color w:val="auto"/>
                <w:szCs w:val="21"/>
                <w:highlight w:val="none"/>
                <w:u w:val="single"/>
              </w:rPr>
            </w:pPr>
            <w:r>
              <w:rPr>
                <w:rFonts w:hint="eastAsia" w:hAnsi="宋体" w:cs="宋体"/>
                <w:color w:val="auto"/>
                <w:szCs w:val="21"/>
                <w:highlight w:val="none"/>
              </w:rPr>
              <w:t>固定采购代理收费：¥</w:t>
            </w:r>
            <w:r>
              <w:rPr>
                <w:rFonts w:hint="eastAsia" w:hAnsi="宋体" w:cs="宋体"/>
                <w:color w:val="auto"/>
                <w:szCs w:val="21"/>
                <w:highlight w:val="none"/>
                <w:lang w:val="en-US" w:eastAsia="zh-CN"/>
              </w:rPr>
              <w:t>48000</w:t>
            </w:r>
            <w:r>
              <w:rPr>
                <w:rFonts w:hint="eastAsia" w:hAnsi="宋体" w:cs="宋体"/>
                <w:color w:val="auto"/>
                <w:szCs w:val="21"/>
                <w:highlight w:val="none"/>
              </w:rPr>
              <w:t>.00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60" w:lineRule="exact"/>
              <w:jc w:val="left"/>
              <w:rPr>
                <w:rFonts w:ascii="宋体" w:hAnsi="宋体" w:cs="宋体"/>
                <w:color w:val="auto"/>
                <w:szCs w:val="21"/>
                <w:highlight w:val="none"/>
              </w:rPr>
            </w:pPr>
          </w:p>
        </w:tc>
        <w:tc>
          <w:tcPr>
            <w:tcW w:w="2083" w:type="dxa"/>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采购代理服务费收款账户信息</w:t>
            </w:r>
          </w:p>
        </w:tc>
        <w:tc>
          <w:tcPr>
            <w:tcW w:w="7297" w:type="dxa"/>
            <w:tcBorders>
              <w:top w:val="single" w:color="auto" w:sz="4" w:space="0"/>
              <w:left w:val="single" w:color="auto" w:sz="4" w:space="0"/>
              <w:bottom w:val="single" w:color="auto" w:sz="4" w:space="0"/>
              <w:right w:val="single" w:color="auto" w:sz="4" w:space="0"/>
            </w:tcBorders>
            <w:noWrap/>
            <w:vAlign w:val="center"/>
          </w:tcPr>
          <w:p>
            <w:pPr>
              <w:pStyle w:val="17"/>
              <w:snapToGrid w:val="0"/>
              <w:spacing w:line="360" w:lineRule="exact"/>
              <w:rPr>
                <w:rFonts w:hAnsi="宋体" w:cs="宋体"/>
                <w:color w:val="auto"/>
                <w:szCs w:val="21"/>
                <w:highlight w:val="none"/>
              </w:rPr>
            </w:pPr>
            <w:r>
              <w:rPr>
                <w:rFonts w:hint="eastAsia" w:hAnsi="宋体" w:cs="宋体"/>
                <w:color w:val="auto"/>
                <w:szCs w:val="21"/>
                <w:highlight w:val="none"/>
              </w:rPr>
              <w:t>开户名称：广西科联招标中心有限公司</w:t>
            </w:r>
          </w:p>
          <w:p>
            <w:pPr>
              <w:pStyle w:val="17"/>
              <w:snapToGrid w:val="0"/>
              <w:spacing w:line="360" w:lineRule="exact"/>
              <w:rPr>
                <w:rFonts w:hAnsi="宋体" w:cs="宋体"/>
                <w:color w:val="auto"/>
                <w:szCs w:val="21"/>
                <w:highlight w:val="none"/>
              </w:rPr>
            </w:pPr>
            <w:r>
              <w:rPr>
                <w:rFonts w:hint="eastAsia" w:hAnsi="宋体" w:cs="宋体"/>
                <w:color w:val="auto"/>
                <w:szCs w:val="21"/>
                <w:highlight w:val="none"/>
              </w:rPr>
              <w:t>开户银行：中国工商银行南宁市高新科技支行</w:t>
            </w:r>
          </w:p>
          <w:p>
            <w:pPr>
              <w:pStyle w:val="17"/>
              <w:snapToGrid w:val="0"/>
              <w:spacing w:line="360" w:lineRule="exact"/>
              <w:rPr>
                <w:rFonts w:hAnsi="宋体" w:cs="宋体"/>
                <w:color w:val="auto"/>
                <w:szCs w:val="21"/>
                <w:highlight w:val="none"/>
              </w:rPr>
            </w:pPr>
            <w:r>
              <w:rPr>
                <w:rFonts w:hint="eastAsia" w:hAnsi="宋体" w:cs="宋体"/>
                <w:color w:val="auto"/>
                <w:szCs w:val="21"/>
                <w:highlight w:val="none"/>
              </w:rPr>
              <w:t>银行账号：2102111229300032105</w:t>
            </w:r>
          </w:p>
          <w:p>
            <w:pPr>
              <w:pStyle w:val="17"/>
              <w:snapToGrid w:val="0"/>
              <w:spacing w:line="360" w:lineRule="exact"/>
              <w:rPr>
                <w:rFonts w:hAnsi="宋体" w:cs="宋体"/>
                <w:color w:val="auto"/>
                <w:szCs w:val="21"/>
                <w:highlight w:val="none"/>
              </w:rPr>
            </w:pPr>
            <w:r>
              <w:rPr>
                <w:rFonts w:hint="eastAsia" w:hAnsi="宋体" w:cs="宋体"/>
                <w:color w:val="auto"/>
                <w:szCs w:val="21"/>
                <w:highlight w:val="none"/>
              </w:rPr>
              <w:t>开户行行号：102611011101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jc w:val="center"/>
              <w:rPr>
                <w:rFonts w:ascii="宋体" w:hAnsi="宋体" w:cs="宋体"/>
                <w:color w:val="auto"/>
                <w:szCs w:val="21"/>
                <w:highlight w:val="none"/>
              </w:rPr>
            </w:pPr>
            <w:r>
              <w:rPr>
                <w:rFonts w:hint="eastAsia" w:ascii="宋体" w:hAnsi="宋体" w:cs="宋体"/>
                <w:color w:val="auto"/>
                <w:szCs w:val="21"/>
                <w:highlight w:val="none"/>
              </w:rPr>
              <w:t>41.1</w:t>
            </w:r>
          </w:p>
        </w:tc>
        <w:tc>
          <w:tcPr>
            <w:tcW w:w="2083"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解释</w:t>
            </w:r>
          </w:p>
        </w:tc>
        <w:tc>
          <w:tcPr>
            <w:tcW w:w="7297"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rPr>
                <w:rFonts w:ascii="宋体" w:hAnsi="宋体" w:cs="宋体"/>
                <w:b/>
                <w:color w:val="auto"/>
                <w:szCs w:val="21"/>
                <w:highlight w:val="none"/>
              </w:rPr>
            </w:pPr>
            <w:r>
              <w:rPr>
                <w:rFonts w:hint="eastAsia" w:ascii="宋体" w:hAnsi="宋体" w:cs="宋体"/>
                <w:b/>
                <w:color w:val="auto"/>
                <w:szCs w:val="21"/>
                <w:highlight w:val="none"/>
              </w:rPr>
              <w:t>解释：</w:t>
            </w:r>
            <w:r>
              <w:rPr>
                <w:rFonts w:hint="eastAsia" w:ascii="宋体" w:hAnsi="宋体" w:cs="宋体"/>
                <w:color w:val="auto"/>
                <w:szCs w:val="21"/>
                <w:highlight w:val="none"/>
              </w:rPr>
              <w:t>构成本招标文件的各个组成文件应互为解释，互为说明。除招标文件中有特别规定外，仅适用于招标投标阶段的规定，按更正公告（澄清公告）、招标公告、采购需求、投标人须知、评标方法和评标标准、拟签订的合同文本、投标文件格式的先后顺序解释。同一组成文件中就同一事项的规定或者约定不一致的，以编排顺序在后者为准。同一组成文件不同版本之间有不一致的，以形成时间在后者为准。更正公告（澄清公告）与同步更新的招标文件不一致时以更正公告（澄清公告）为准。按本款前述规定仍不能形成结论的</w:t>
            </w:r>
            <w:r>
              <w:rPr>
                <w:rFonts w:hint="eastAsia" w:ascii="宋体" w:hAnsi="宋体" w:cs="宋体"/>
                <w:b/>
                <w:color w:val="auto"/>
                <w:szCs w:val="21"/>
                <w:highlight w:val="none"/>
              </w:rPr>
              <w:t>，由采购人或者采购代理机构负责解释。</w:t>
            </w:r>
          </w:p>
          <w:p>
            <w:pPr>
              <w:snapToGrid w:val="0"/>
              <w:spacing w:line="360" w:lineRule="exact"/>
              <w:rPr>
                <w:rFonts w:ascii="宋体" w:hAnsi="宋体" w:cs="宋体"/>
                <w:b/>
                <w:color w:val="auto"/>
                <w:szCs w:val="21"/>
                <w:highlight w:val="none"/>
              </w:rPr>
            </w:pPr>
            <w:r>
              <w:rPr>
                <w:rFonts w:hint="eastAsia" w:ascii="宋体" w:hAnsi="宋体" w:cs="宋体"/>
                <w:b/>
                <w:color w:val="auto"/>
                <w:szCs w:val="21"/>
                <w:highlight w:val="none"/>
              </w:rPr>
              <w:t>法律责任：</w:t>
            </w:r>
          </w:p>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本采购文件根据《中华人民共和国政府采购法》、《中华人民共和国民法典》、《中华人民共和国政府采购法实施条例》、《政府采购货物和服务招标投标管理办法》等有关法律、法规编制，参与本项目的各政府采购当事人依法享有上述法律法规所赋予的权利与义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60"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jc w:val="center"/>
              <w:rPr>
                <w:rFonts w:ascii="宋体" w:hAnsi="宋体" w:cs="宋体"/>
                <w:color w:val="auto"/>
                <w:szCs w:val="21"/>
                <w:highlight w:val="none"/>
              </w:rPr>
            </w:pPr>
            <w:r>
              <w:rPr>
                <w:rFonts w:hint="eastAsia" w:ascii="宋体" w:hAnsi="宋体" w:cs="宋体"/>
                <w:color w:val="auto"/>
                <w:szCs w:val="21"/>
                <w:highlight w:val="none"/>
              </w:rPr>
              <w:t>41.2</w:t>
            </w:r>
          </w:p>
        </w:tc>
        <w:tc>
          <w:tcPr>
            <w:tcW w:w="2083" w:type="dxa"/>
            <w:tcBorders>
              <w:top w:val="single" w:color="auto" w:sz="4" w:space="0"/>
              <w:left w:val="single" w:color="auto" w:sz="4" w:space="0"/>
              <w:bottom w:val="single" w:color="auto" w:sz="4" w:space="0"/>
              <w:right w:val="single" w:color="auto" w:sz="4" w:space="0"/>
            </w:tcBorders>
            <w:noWrap/>
            <w:vAlign w:val="center"/>
          </w:tcPr>
          <w:p>
            <w:pPr>
              <w:snapToGrid w:val="0"/>
              <w:spacing w:line="360" w:lineRule="exact"/>
              <w:rPr>
                <w:rFonts w:ascii="宋体" w:hAnsi="宋体" w:cs="宋体"/>
                <w:color w:val="auto"/>
                <w:szCs w:val="21"/>
                <w:highlight w:val="none"/>
              </w:rPr>
            </w:pPr>
            <w:r>
              <w:rPr>
                <w:rFonts w:hint="eastAsia" w:ascii="宋体" w:hAnsi="宋体" w:cs="宋体"/>
                <w:color w:val="auto"/>
                <w:szCs w:val="21"/>
                <w:highlight w:val="none"/>
              </w:rPr>
              <w:t>其他释义</w:t>
            </w:r>
          </w:p>
        </w:tc>
        <w:tc>
          <w:tcPr>
            <w:tcW w:w="7297" w:type="dxa"/>
            <w:tcBorders>
              <w:top w:val="single" w:color="auto" w:sz="4" w:space="0"/>
              <w:left w:val="single" w:color="auto" w:sz="4" w:space="0"/>
              <w:bottom w:val="single" w:color="auto" w:sz="4" w:space="0"/>
              <w:right w:val="single" w:color="auto" w:sz="4" w:space="0"/>
            </w:tcBorders>
            <w:noWrap/>
            <w:vAlign w:val="center"/>
          </w:tcPr>
          <w:p>
            <w:pPr>
              <w:pStyle w:val="13"/>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本招标文件中描述投标人的“公章”是指根据我国对公章的管理规定，用投标人法定主体行为名称制作的实物印章或投标人通过指定电子化政府采购平台办理数字证书（CA认证）获得的以法定主体行为名称制作的电子印章。除本招标文件有特殊规定外，投标人的财务章、部门章、分公司章、工会章、合同章、投标专用章、业务专用章及银行的转账章、现金收讫章、现金付讫章等其他形式印章均不能代替公章。</w:t>
            </w:r>
          </w:p>
          <w:p>
            <w:pPr>
              <w:pStyle w:val="13"/>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2.本招标文件中描述投标人的“签字”是指投标人通过指定电子化政府采购平台办理数字证书（CA认证）获得的以投标人法定代表人或者委托代理人姓名制作的电子印章或手写签字。</w:t>
            </w:r>
          </w:p>
          <w:p>
            <w:pPr>
              <w:pStyle w:val="13"/>
              <w:tabs>
                <w:tab w:val="center" w:pos="4153"/>
                <w:tab w:val="right" w:pos="8306"/>
              </w:tabs>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本招标文件所称的“电子签章”“电子签名”，是指经广西政府采购云平台认可的CA认证的电子签名数据为表现形式的印章，可用于签署电子投标文件，电子印章与实物印章具有同等法律效力，不因其采用电子化表现形式而否定其法律效力。</w:t>
            </w:r>
          </w:p>
          <w:p>
            <w:pPr>
              <w:pStyle w:val="13"/>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4.投标人为其他组织或者自然人时，本招标文件规定的法定代表人指负责人或者自然人。本招标文件所称负责人是指参加投标的其他组织营业执照上的负责人，本招标文件所称自然人指参与投标的自然人本人。</w:t>
            </w:r>
          </w:p>
          <w:p>
            <w:pPr>
              <w:pStyle w:val="13"/>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5.自然人投标的，招标文件规定盖公章处由自然人摁手指指印。</w:t>
            </w:r>
          </w:p>
          <w:p>
            <w:pPr>
              <w:pStyle w:val="13"/>
              <w:spacing w:line="360" w:lineRule="exact"/>
              <w:rPr>
                <w:rFonts w:ascii="宋体" w:hAnsi="宋体" w:cs="宋体"/>
                <w:color w:val="auto"/>
                <w:szCs w:val="21"/>
                <w:highlight w:val="none"/>
              </w:rPr>
            </w:pPr>
            <w:r>
              <w:rPr>
                <w:rFonts w:hint="eastAsia" w:ascii="宋体" w:hAnsi="宋体" w:cs="宋体"/>
                <w:color w:val="auto"/>
                <w:szCs w:val="21"/>
                <w:highlight w:val="none"/>
              </w:rPr>
              <w:t xml:space="preserve">    6.本招标文件所称的“以上”“以下”“以内”“届满”，包括本数。所称的“不满”“超过”“以外”，不包括本数。</w:t>
            </w:r>
          </w:p>
        </w:tc>
      </w:tr>
    </w:tbl>
    <w:p>
      <w:pPr>
        <w:pStyle w:val="4"/>
        <w:jc w:val="center"/>
        <w:rPr>
          <w:rFonts w:ascii="宋体" w:hAnsi="宋体" w:eastAsia="宋体" w:cs="宋体"/>
          <w:color w:val="auto"/>
          <w:highlight w:val="none"/>
        </w:rPr>
      </w:pPr>
      <w:bookmarkStart w:id="88" w:name="_Toc21899"/>
      <w:bookmarkStart w:id="89" w:name="_Toc21704"/>
      <w:bookmarkStart w:id="90" w:name="_Toc29181"/>
      <w:bookmarkStart w:id="91" w:name="_Toc9224"/>
      <w:r>
        <w:rPr>
          <w:rFonts w:hint="eastAsia" w:ascii="宋体" w:hAnsi="宋体" w:eastAsia="宋体" w:cs="宋体"/>
          <w:color w:val="auto"/>
          <w:highlight w:val="none"/>
        </w:rPr>
        <w:br w:type="page"/>
      </w:r>
      <w:r>
        <w:rPr>
          <w:rFonts w:hint="eastAsia" w:ascii="宋体" w:hAnsi="宋体" w:eastAsia="宋体" w:cs="宋体"/>
          <w:color w:val="auto"/>
          <w:highlight w:val="none"/>
        </w:rPr>
        <w:t>第二节 投标人须知正文</w:t>
      </w:r>
      <w:bookmarkEnd w:id="88"/>
      <w:bookmarkEnd w:id="89"/>
      <w:bookmarkEnd w:id="90"/>
      <w:bookmarkEnd w:id="91"/>
    </w:p>
    <w:p>
      <w:pPr>
        <w:pStyle w:val="5"/>
        <w:keepNext w:val="0"/>
        <w:keepLines w:val="0"/>
        <w:spacing w:line="400" w:lineRule="exact"/>
        <w:jc w:val="center"/>
        <w:rPr>
          <w:rFonts w:ascii="宋体" w:hAnsi="宋体" w:cs="宋体"/>
          <w:color w:val="auto"/>
          <w:highlight w:val="none"/>
        </w:rPr>
      </w:pPr>
      <w:bookmarkStart w:id="92" w:name="_Toc13703"/>
      <w:bookmarkStart w:id="93" w:name="_Toc5656"/>
      <w:bookmarkStart w:id="94" w:name="_Toc9192"/>
      <w:bookmarkStart w:id="95" w:name="_Toc2156"/>
      <w:r>
        <w:rPr>
          <w:rFonts w:hint="eastAsia" w:ascii="宋体" w:hAnsi="宋体" w:cs="宋体"/>
          <w:color w:val="auto"/>
          <w:highlight w:val="none"/>
        </w:rPr>
        <w:t>一、总  则</w:t>
      </w:r>
      <w:bookmarkEnd w:id="92"/>
      <w:bookmarkEnd w:id="93"/>
      <w:bookmarkEnd w:id="94"/>
      <w:bookmarkEnd w:id="95"/>
    </w:p>
    <w:p>
      <w:pPr>
        <w:spacing w:line="360" w:lineRule="auto"/>
        <w:ind w:firstLine="480" w:firstLineChars="200"/>
        <w:rPr>
          <w:rFonts w:ascii="宋体" w:hAnsi="宋体" w:cs="宋体"/>
          <w:color w:val="auto"/>
          <w:sz w:val="24"/>
          <w:highlight w:val="none"/>
        </w:rPr>
      </w:pPr>
      <w:bookmarkStart w:id="96" w:name="_Toc254970527"/>
      <w:bookmarkStart w:id="97" w:name="_Toc254970668"/>
      <w:r>
        <w:rPr>
          <w:rFonts w:hint="eastAsia" w:ascii="宋体" w:hAnsi="宋体" w:cs="宋体"/>
          <w:color w:val="auto"/>
          <w:sz w:val="24"/>
          <w:highlight w:val="none"/>
        </w:rPr>
        <w:t>1.适用范围</w:t>
      </w:r>
      <w:bookmarkEnd w:id="96"/>
      <w:bookmarkEnd w:id="97"/>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1.1适用法律：本项目采购人、采购代理机构、投标人、评标委员会的相关行为均受《中华人民共和国政府采购法》、《中华人民共和国政府采购法实施条例》、《</w:t>
      </w:r>
      <w:r>
        <w:rPr>
          <w:rFonts w:ascii="宋体" w:hAnsi="宋体" w:cs="宋体"/>
          <w:color w:val="auto"/>
          <w:kern w:val="0"/>
          <w:szCs w:val="21"/>
          <w:highlight w:val="none"/>
        </w:rPr>
        <w:t>政府采购货物和服务招标投标管理办法</w:t>
      </w:r>
      <w:r>
        <w:rPr>
          <w:rFonts w:hint="eastAsia" w:ascii="宋体" w:hAnsi="宋体" w:cs="宋体"/>
          <w:color w:val="auto"/>
          <w:szCs w:val="21"/>
          <w:highlight w:val="none"/>
        </w:rPr>
        <w:t>》及本项目本级和上级财政部门政府采购有关规定的约束和保护。</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1.2本招标文件</w:t>
      </w:r>
      <w:r>
        <w:rPr>
          <w:rFonts w:hint="eastAsia" w:ascii="宋体" w:hAnsi="宋体" w:cs="宋体"/>
          <w:color w:val="auto"/>
          <w:spacing w:val="-6"/>
          <w:szCs w:val="21"/>
          <w:highlight w:val="none"/>
        </w:rPr>
        <w:t>适用于本项目的所有采购程序和环节（法律、法规另有规定的，从其规定）。</w:t>
      </w:r>
    </w:p>
    <w:p>
      <w:pPr>
        <w:spacing w:line="360" w:lineRule="auto"/>
        <w:ind w:firstLine="480" w:firstLineChars="200"/>
        <w:rPr>
          <w:rFonts w:ascii="宋体" w:hAnsi="宋体" w:cs="宋体"/>
          <w:color w:val="auto"/>
          <w:sz w:val="24"/>
          <w:highlight w:val="none"/>
        </w:rPr>
      </w:pPr>
      <w:bookmarkStart w:id="98" w:name="_Toc254970528"/>
      <w:bookmarkStart w:id="99" w:name="_Toc254970669"/>
      <w:r>
        <w:rPr>
          <w:rFonts w:hint="eastAsia" w:ascii="宋体" w:hAnsi="宋体" w:cs="宋体"/>
          <w:color w:val="auto"/>
          <w:sz w:val="24"/>
          <w:highlight w:val="none"/>
        </w:rPr>
        <w:t>2.定义</w:t>
      </w:r>
      <w:bookmarkEnd w:id="98"/>
      <w:bookmarkEnd w:id="99"/>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2.1“采购人”是指依法进行政府采购的国家机关、事业单位、团体组织。</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2.2“采购代理机构” 指政府采购集中采购机构和集中采购机构以外的采购代理机构。</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2.3“供应商”是指向采购人提供货物、工程或者服务的法人、其他组织或者自然人。</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2.4“投标人”是指响应招标、参加投标竞争的法人、非法人组织或者自然人。</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2.5“货物”是指各种形态和种类的物品，包括原材料、燃料、设备、产品等。“服务”是指除货物和工程以外的其他政府采购对象。</w:t>
      </w:r>
    </w:p>
    <w:p>
      <w:pPr>
        <w:pStyle w:val="7"/>
        <w:keepNext w:val="0"/>
        <w:keepLines w:val="0"/>
        <w:spacing w:before="0" w:after="0" w:line="360" w:lineRule="auto"/>
        <w:ind w:firstLine="420" w:firstLineChars="200"/>
        <w:rPr>
          <w:rFonts w:ascii="宋体" w:hAnsi="宋体" w:cs="宋体"/>
          <w:b w:val="0"/>
          <w:color w:val="auto"/>
          <w:sz w:val="21"/>
          <w:szCs w:val="21"/>
          <w:highlight w:val="none"/>
        </w:rPr>
      </w:pPr>
      <w:r>
        <w:rPr>
          <w:rFonts w:hint="eastAsia" w:ascii="宋体" w:hAnsi="宋体" w:cs="宋体"/>
          <w:b w:val="0"/>
          <w:color w:val="auto"/>
          <w:sz w:val="21"/>
          <w:szCs w:val="21"/>
          <w:highlight w:val="none"/>
        </w:rPr>
        <w:t>2.6“售后服务” 是指商品出售以后所提供的各种服务，包含但不限于投标人须承担的备品备件、包装、运输、装卸、保险、货到就位以及安装、调试、培训、保修以及其他各种服务。</w:t>
      </w:r>
    </w:p>
    <w:p>
      <w:pPr>
        <w:pStyle w:val="7"/>
        <w:keepNext w:val="0"/>
        <w:keepLines w:val="0"/>
        <w:spacing w:before="0" w:after="0" w:line="360" w:lineRule="auto"/>
        <w:rPr>
          <w:rFonts w:ascii="宋体" w:hAnsi="宋体" w:cs="宋体"/>
          <w:b w:val="0"/>
          <w:color w:val="auto"/>
          <w:sz w:val="21"/>
          <w:szCs w:val="21"/>
          <w:highlight w:val="none"/>
        </w:rPr>
      </w:pPr>
      <w:r>
        <w:rPr>
          <w:rFonts w:hint="eastAsia" w:ascii="宋体" w:hAnsi="宋体" w:cs="宋体"/>
          <w:b w:val="0"/>
          <w:color w:val="auto"/>
          <w:sz w:val="21"/>
          <w:szCs w:val="21"/>
          <w:highlight w:val="none"/>
        </w:rPr>
        <w:t xml:space="preserve">    2.7“书面形式”是指合同书、信件和数据电文（包括电报、电传、传真、电子数据交换和电子邮件）等可以有形地表现所载内容的形式。</w:t>
      </w:r>
    </w:p>
    <w:p>
      <w:pPr>
        <w:pStyle w:val="7"/>
        <w:keepNext w:val="0"/>
        <w:keepLines w:val="0"/>
        <w:spacing w:before="0" w:after="0" w:line="360" w:lineRule="auto"/>
        <w:ind w:firstLine="420" w:firstLineChars="200"/>
        <w:rPr>
          <w:rFonts w:ascii="宋体" w:hAnsi="宋体" w:cs="宋体"/>
          <w:b w:val="0"/>
          <w:color w:val="auto"/>
          <w:sz w:val="21"/>
          <w:szCs w:val="21"/>
          <w:highlight w:val="none"/>
        </w:rPr>
      </w:pPr>
      <w:r>
        <w:rPr>
          <w:rFonts w:hint="eastAsia" w:ascii="宋体" w:hAnsi="宋体" w:cs="宋体"/>
          <w:b w:val="0"/>
          <w:color w:val="auto"/>
          <w:sz w:val="21"/>
          <w:szCs w:val="21"/>
          <w:highlight w:val="none"/>
        </w:rPr>
        <w:t>2.8“实质性要求”是指招标文件中已经指明不满足则投标无效的条款，或者不能负偏离的条款，或者采购需求中带“▲”或“★”的条款。</w:t>
      </w:r>
    </w:p>
    <w:p>
      <w:pPr>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2.9 “正偏离”，是指投标文件对招标文件“采购需求”中有关条款作出的响应优于条款要求并有利于采购人的情形。</w:t>
      </w:r>
    </w:p>
    <w:p>
      <w:pPr>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2.10“负偏离”，是指投标文件对招标文件“采购需求”中有关条款作出的响应不满足条款要求，导致采购人要求不能得到满足的情形。</w:t>
      </w:r>
    </w:p>
    <w:p>
      <w:pPr>
        <w:snapToGrid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2.11“允许负偏离的条款”是指采购需求中的不属于“实质性要求”的条款。</w:t>
      </w:r>
    </w:p>
    <w:p>
      <w:pPr>
        <w:spacing w:line="360" w:lineRule="auto"/>
        <w:ind w:firstLine="480" w:firstLineChars="200"/>
        <w:rPr>
          <w:rFonts w:ascii="宋体" w:hAnsi="宋体" w:cs="宋体"/>
          <w:color w:val="auto"/>
          <w:sz w:val="24"/>
          <w:highlight w:val="none"/>
        </w:rPr>
      </w:pPr>
      <w:bookmarkStart w:id="100" w:name="_Toc254970529"/>
      <w:bookmarkStart w:id="101" w:name="_Toc254970670"/>
      <w:r>
        <w:rPr>
          <w:rFonts w:hint="eastAsia" w:ascii="宋体" w:hAnsi="宋体" w:cs="宋体"/>
          <w:color w:val="auto"/>
          <w:sz w:val="24"/>
          <w:highlight w:val="none"/>
        </w:rPr>
        <w:t>3.</w:t>
      </w:r>
      <w:bookmarkEnd w:id="100"/>
      <w:bookmarkEnd w:id="101"/>
      <w:r>
        <w:rPr>
          <w:rFonts w:hint="eastAsia" w:ascii="宋体" w:hAnsi="宋体" w:cs="宋体"/>
          <w:color w:val="auto"/>
          <w:sz w:val="24"/>
          <w:highlight w:val="none"/>
        </w:rPr>
        <w:t>投标人的资格要求</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投标人的资格要求详见“招标公告”。</w:t>
      </w:r>
    </w:p>
    <w:p>
      <w:pPr>
        <w:spacing w:line="360" w:lineRule="auto"/>
        <w:ind w:firstLine="480" w:firstLineChars="200"/>
        <w:rPr>
          <w:rFonts w:ascii="宋体" w:hAnsi="宋体" w:cs="宋体"/>
          <w:color w:val="auto"/>
          <w:sz w:val="24"/>
          <w:highlight w:val="none"/>
        </w:rPr>
      </w:pPr>
      <w:bookmarkStart w:id="102" w:name="_Toc254970530"/>
      <w:bookmarkStart w:id="103" w:name="_Toc254970671"/>
      <w:r>
        <w:rPr>
          <w:rFonts w:hint="eastAsia" w:ascii="宋体" w:hAnsi="宋体" w:cs="宋体"/>
          <w:color w:val="auto"/>
          <w:sz w:val="24"/>
          <w:highlight w:val="none"/>
        </w:rPr>
        <w:t>4.投标委托</w:t>
      </w:r>
      <w:bookmarkEnd w:id="102"/>
      <w:bookmarkEnd w:id="103"/>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投标人代表参加投标活动过程中必须携带个人有效身份证件。如投标人代表不是法定代表人，须持有法定代表人授权委托书（按第六章要求格式填写）。</w:t>
      </w:r>
    </w:p>
    <w:p>
      <w:pPr>
        <w:spacing w:line="360" w:lineRule="auto"/>
        <w:ind w:firstLine="480" w:firstLineChars="200"/>
        <w:rPr>
          <w:rFonts w:ascii="宋体" w:hAnsi="宋体" w:cs="宋体"/>
          <w:color w:val="auto"/>
          <w:sz w:val="24"/>
          <w:highlight w:val="none"/>
        </w:rPr>
      </w:pPr>
      <w:bookmarkStart w:id="104" w:name="_5.投标费用"/>
      <w:bookmarkEnd w:id="104"/>
      <w:bookmarkStart w:id="105" w:name="_Toc254970672"/>
      <w:bookmarkStart w:id="106" w:name="_Toc254970531"/>
      <w:r>
        <w:rPr>
          <w:rFonts w:hint="eastAsia" w:ascii="宋体" w:hAnsi="宋体" w:cs="宋体"/>
          <w:color w:val="auto"/>
          <w:sz w:val="24"/>
          <w:highlight w:val="none"/>
        </w:rPr>
        <w:t>5.投标费用</w:t>
      </w:r>
      <w:bookmarkEnd w:id="105"/>
      <w:bookmarkEnd w:id="106"/>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投标费用：投标人应承担参与本次采购活动有关的所有费用，包括但不限于勘查现场、编制投标文件、参加澄清说明、签订合同等，不论投标结果如何，均应自行承担。</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6.联合体投标</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6.1本项目是否接受联合体投标，详见“投标人须知前附表”。</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6.2如接受联合体投标，联合体投标要求详见“投标人须知前附表”。</w:t>
      </w:r>
    </w:p>
    <w:p>
      <w:pPr>
        <w:snapToGrid w:val="0"/>
        <w:spacing w:line="360" w:lineRule="auto"/>
        <w:ind w:firstLine="420" w:firstLineChars="200"/>
        <w:jc w:val="left"/>
        <w:rPr>
          <w:rFonts w:ascii="宋体" w:hAnsi="宋体" w:cs="宋体"/>
          <w:color w:val="auto"/>
          <w:sz w:val="24"/>
          <w:highlight w:val="none"/>
          <w:shd w:val="clear" w:color="auto" w:fill="FFFFFF"/>
        </w:rPr>
      </w:pPr>
      <w:r>
        <w:rPr>
          <w:rFonts w:hint="eastAsia" w:ascii="宋体" w:hAnsi="宋体" w:cs="宋体"/>
          <w:bCs/>
          <w:color w:val="auto"/>
          <w:szCs w:val="21"/>
          <w:highlight w:val="none"/>
        </w:rPr>
        <w:t>6.3根据《政府采购促进中小企业发展管理办法》（财库[2020]46号）第九条、《</w:t>
      </w:r>
      <w:r>
        <w:rPr>
          <w:rFonts w:hint="eastAsia"/>
          <w:bCs/>
          <w:color w:val="auto"/>
          <w:highlight w:val="none"/>
        </w:rPr>
        <w:t>广西壮族自治区财政厅关于贯彻落实政府采购支持中小企业发展政策的通知</w:t>
      </w:r>
      <w:r>
        <w:rPr>
          <w:rFonts w:hint="eastAsia" w:ascii="宋体" w:hAnsi="宋体" w:cs="宋体"/>
          <w:bCs/>
          <w:color w:val="auto"/>
          <w:szCs w:val="21"/>
          <w:highlight w:val="none"/>
        </w:rPr>
        <w:t>》（桂财采〔2022〕31号）规定，接受大中型企业与小微企业组成联合体的采购项目，对于联合协议约定小微企业的合同份额占到合同总金额 30%以上的，采购人、采购代理机构应当对联合体的报价给予4%-6%的扣除，用扣除后的价格参加评审。组成联合体的小微企业与联合体内其他企业、分包企业之间存在直接控股、管理关系的，不享受价格扣除优惠政策。</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7.转包与分包             </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7.1 本项目不允许转包。</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7.2本项目是否允许分包详见“投标人须知前附表”，本项目不允许违法分包。投标人根据招标文件的规定和采购项目的实际情况，拟在中标后将中标项目的非主体、非关键性工作分包的，应当在投标文件中载明分包承担主体，分包承担主体应当具备相应资质条件且不得再次分包。</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7.3根据《政府采购促进中小企业发展管理办法》（财库[2020]46号）第九条及《广西壮族自治区财政厅关于贯彻落实政府采购支持中小企业发展政策的通知》（桂财采〔2022〕31号）规定，允许大中型企业向一家或者多家小微企业分包的采购项目，对于分包意向协议约定小微企业的合同份额占到合同总金额 30%以上的，采购人、采购代理机构应当对大中型企业的报价给予 4%-6%的扣除，用扣除后的价格参加评审。接受分包的小微企业与分包企业之间存在直接控股、管理关系的，不享受价格扣除优惠政策。</w:t>
      </w:r>
    </w:p>
    <w:p>
      <w:pPr>
        <w:spacing w:line="360" w:lineRule="auto"/>
        <w:ind w:firstLine="480" w:firstLineChars="200"/>
        <w:rPr>
          <w:rFonts w:ascii="宋体" w:hAnsi="宋体" w:cs="宋体"/>
          <w:color w:val="auto"/>
          <w:sz w:val="24"/>
          <w:highlight w:val="none"/>
        </w:rPr>
      </w:pPr>
      <w:bookmarkStart w:id="107" w:name="_Toc254970673"/>
      <w:bookmarkStart w:id="108" w:name="_Toc254970532"/>
      <w:r>
        <w:rPr>
          <w:rFonts w:hint="eastAsia" w:ascii="宋体" w:hAnsi="宋体" w:cs="宋体"/>
          <w:color w:val="auto"/>
          <w:sz w:val="24"/>
          <w:highlight w:val="none"/>
        </w:rPr>
        <w:t>8.特别说明：</w:t>
      </w:r>
      <w:bookmarkEnd w:id="107"/>
      <w:bookmarkEnd w:id="108"/>
      <w:bookmarkStart w:id="109" w:name="_8.1提供相同品牌产品且通过资格审查、符合性审查的不同投标人参加同一合"/>
      <w:bookmarkEnd w:id="109"/>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8.1如果本招标文件要求投标人提供资格、信誉、荣誉、业绩与企业认证等材料的，则投标人所提供的以上材料必须为该投标人所拥有。</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8.2投标人应仔细阅读招标文件的所有内容，按照招标文件的要求提交投标文件，并对所提供的全部资料的真实性承担法律责任。</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8.3投标人在投标活动中提供任何虚假材料，将报监管部门查处；中标后发现的，中标人须依照《中华人民共和国消费者权益保护法》规定赔偿采购人，且民事赔偿并不免除违法投标人的行政与刑事责任。</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8.4采用最低评标价法的采购项目，提供相同品牌产品的不同投标人参加同一合同项下投标的，以其中通过资格审查、符合性审查且报价最低的参加评标；报价相同的，由采购人或者采购人委托评标委员会按照招标文件“投标人须知前附表”规定的方式确定一个参加评标的投标人，招标文件未规定的采取随机抽取方式确定，其他投标无效。</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投标人须知前附表”规定的方式确定一个投标人获得中标人推荐资格，招标文件未规定的采取随机抽取方式确定，其他同品牌投标人不作为中标候选人。</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非单一产品采购项目，采购人应当根据采购项目技术构成、产品价格比重等合理确定核心产品，并在招标文件中载明。多家投标人提供的核心产品品牌相同的，按前两款规定处理。</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9.回避与串通投标</w:t>
      </w:r>
    </w:p>
    <w:p>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9.1在政府采购活动中，采购人员及相关人员与供应商有下列利害关系之一的，应当回避：</w:t>
      </w:r>
    </w:p>
    <w:p>
      <w:pPr>
        <w:spacing w:line="360" w:lineRule="auto"/>
        <w:ind w:firstLine="422" w:firstLineChars="200"/>
        <w:rPr>
          <w:rFonts w:ascii="宋体" w:hAnsi="宋体" w:cs="宋体"/>
          <w:b/>
          <w:bCs/>
          <w:color w:val="auto"/>
          <w:highlight w:val="none"/>
        </w:rPr>
      </w:pPr>
      <w:r>
        <w:rPr>
          <w:rFonts w:hint="eastAsia" w:ascii="宋体" w:hAnsi="宋体" w:cs="宋体"/>
          <w:b/>
          <w:bCs/>
          <w:color w:val="auto"/>
          <w:highlight w:val="none"/>
        </w:rPr>
        <w:t>（1）参加采购活动前3年内与供应商存在劳动关系。</w:t>
      </w:r>
    </w:p>
    <w:p>
      <w:pPr>
        <w:spacing w:line="360" w:lineRule="auto"/>
        <w:ind w:firstLine="422" w:firstLineChars="200"/>
        <w:rPr>
          <w:rFonts w:ascii="宋体" w:hAnsi="宋体" w:cs="宋体"/>
          <w:b/>
          <w:bCs/>
          <w:color w:val="auto"/>
          <w:highlight w:val="none"/>
        </w:rPr>
      </w:pPr>
      <w:r>
        <w:rPr>
          <w:rFonts w:hint="eastAsia" w:ascii="宋体" w:hAnsi="宋体" w:cs="宋体"/>
          <w:b/>
          <w:bCs/>
          <w:color w:val="auto"/>
          <w:highlight w:val="none"/>
        </w:rPr>
        <w:t>（2）参加采购活动前3年内担任供应商的董事、监事。</w:t>
      </w:r>
    </w:p>
    <w:p>
      <w:pPr>
        <w:spacing w:line="360" w:lineRule="auto"/>
        <w:ind w:firstLine="422" w:firstLineChars="200"/>
        <w:rPr>
          <w:rFonts w:ascii="宋体" w:hAnsi="宋体" w:cs="宋体"/>
          <w:b/>
          <w:bCs/>
          <w:color w:val="auto"/>
          <w:highlight w:val="none"/>
        </w:rPr>
      </w:pPr>
      <w:r>
        <w:rPr>
          <w:rFonts w:hint="eastAsia" w:ascii="宋体" w:hAnsi="宋体" w:cs="宋体"/>
          <w:b/>
          <w:bCs/>
          <w:color w:val="auto"/>
          <w:highlight w:val="none"/>
        </w:rPr>
        <w:t>（3）参加采购活动前3年内是供应商的控股股东或者实际控制人。</w:t>
      </w:r>
    </w:p>
    <w:p>
      <w:pPr>
        <w:spacing w:line="360" w:lineRule="auto"/>
        <w:ind w:firstLine="422" w:firstLineChars="200"/>
        <w:rPr>
          <w:rFonts w:ascii="宋体" w:hAnsi="宋体" w:cs="宋体"/>
          <w:b/>
          <w:bCs/>
          <w:color w:val="auto"/>
          <w:highlight w:val="none"/>
        </w:rPr>
      </w:pPr>
      <w:r>
        <w:rPr>
          <w:rFonts w:hint="eastAsia" w:ascii="宋体" w:hAnsi="宋体" w:cs="宋体"/>
          <w:b/>
          <w:bCs/>
          <w:color w:val="auto"/>
          <w:highlight w:val="none"/>
        </w:rPr>
        <w:t>（4）与供应商的法定代表人或者负责人有夫妻、直系血亲、三代以内旁系血亲或者近姻亲关系。</w:t>
      </w:r>
    </w:p>
    <w:p>
      <w:pPr>
        <w:spacing w:line="360" w:lineRule="auto"/>
        <w:ind w:firstLine="422" w:firstLineChars="200"/>
        <w:rPr>
          <w:rFonts w:ascii="宋体" w:hAnsi="宋体" w:cs="宋体"/>
          <w:b/>
          <w:bCs/>
          <w:color w:val="auto"/>
          <w:highlight w:val="none"/>
        </w:rPr>
      </w:pPr>
      <w:r>
        <w:rPr>
          <w:rFonts w:hint="eastAsia" w:ascii="宋体" w:hAnsi="宋体" w:cs="宋体"/>
          <w:b/>
          <w:bCs/>
          <w:color w:val="auto"/>
          <w:highlight w:val="none"/>
        </w:rPr>
        <w:t>（5）与供应商有其他可能影响政府采购活动公平、公正进行的关系。</w:t>
      </w:r>
    </w:p>
    <w:p>
      <w:pPr>
        <w:spacing w:line="360" w:lineRule="auto"/>
        <w:ind w:firstLine="422" w:firstLineChars="200"/>
        <w:rPr>
          <w:rFonts w:ascii="宋体" w:hAnsi="宋体" w:cs="宋体"/>
          <w:b/>
          <w:bCs/>
          <w:color w:val="auto"/>
          <w:highlight w:val="none"/>
        </w:rPr>
      </w:pPr>
      <w:r>
        <w:rPr>
          <w:rFonts w:hint="eastAsia" w:ascii="宋体" w:hAnsi="宋体" w:cs="宋体"/>
          <w:b/>
          <w:bCs/>
          <w:color w:val="auto"/>
          <w:highlight w:val="none"/>
        </w:rPr>
        <w:t>供应商认为采购人员及相关人员与其他供应商有利害关系的，可以向采购人或者采购代理机构书面提出回避申请，并说明理由。采购人或者采购代理机构应当及时询问被申请回避人员，有利害关系的被申请回避人员应当回避。</w:t>
      </w:r>
    </w:p>
    <w:p>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9.2有下列情形之一的视为投标人相互串通投标，投标文件将被视为无效：</w:t>
      </w:r>
    </w:p>
    <w:p>
      <w:pPr>
        <w:tabs>
          <w:tab w:val="center" w:pos="4153"/>
          <w:tab w:val="right" w:pos="8306"/>
        </w:tabs>
        <w:spacing w:line="360" w:lineRule="auto"/>
        <w:ind w:firstLine="422" w:firstLineChars="200"/>
        <w:rPr>
          <w:rFonts w:ascii="宋体" w:hAnsi="宋体" w:cs="宋体"/>
          <w:b/>
          <w:color w:val="auto"/>
          <w:highlight w:val="none"/>
        </w:rPr>
      </w:pPr>
      <w:r>
        <w:rPr>
          <w:rFonts w:hint="eastAsia" w:ascii="宋体" w:hAnsi="宋体" w:cs="宋体"/>
          <w:b/>
          <w:color w:val="auto"/>
          <w:highlight w:val="none"/>
        </w:rPr>
        <w:t>（1）不同投标人的投标文件由同一单位或者个人编制；或不同投标人报名的IP地址一致的。</w:t>
      </w:r>
    </w:p>
    <w:p>
      <w:pPr>
        <w:tabs>
          <w:tab w:val="center" w:pos="4153"/>
          <w:tab w:val="right" w:pos="8306"/>
        </w:tabs>
        <w:spacing w:line="360" w:lineRule="auto"/>
        <w:ind w:firstLine="422" w:firstLineChars="200"/>
        <w:rPr>
          <w:rFonts w:ascii="宋体" w:hAnsi="宋体" w:cs="宋体"/>
          <w:b/>
          <w:color w:val="auto"/>
          <w:highlight w:val="none"/>
        </w:rPr>
      </w:pPr>
      <w:r>
        <w:rPr>
          <w:rFonts w:hint="eastAsia" w:ascii="宋体" w:hAnsi="宋体" w:cs="宋体"/>
          <w:b/>
          <w:color w:val="auto"/>
          <w:highlight w:val="none"/>
        </w:rPr>
        <w:t>（2）不同投标人委托同一单位或者个人办理投标事宜。</w:t>
      </w:r>
    </w:p>
    <w:p>
      <w:pPr>
        <w:tabs>
          <w:tab w:val="center" w:pos="4153"/>
          <w:tab w:val="right" w:pos="8306"/>
        </w:tabs>
        <w:spacing w:line="360" w:lineRule="auto"/>
        <w:ind w:firstLine="422" w:firstLineChars="200"/>
        <w:rPr>
          <w:rFonts w:ascii="宋体" w:hAnsi="宋体" w:cs="宋体"/>
          <w:b/>
          <w:color w:val="auto"/>
          <w:highlight w:val="none"/>
        </w:rPr>
      </w:pPr>
      <w:r>
        <w:rPr>
          <w:rFonts w:hint="eastAsia" w:ascii="宋体" w:hAnsi="宋体" w:cs="宋体"/>
          <w:b/>
          <w:color w:val="auto"/>
          <w:highlight w:val="none"/>
        </w:rPr>
        <w:t>（3）不同的投标人的投标文件载明的项目管理员为同一个人。</w:t>
      </w:r>
    </w:p>
    <w:p>
      <w:pPr>
        <w:tabs>
          <w:tab w:val="center" w:pos="4153"/>
          <w:tab w:val="right" w:pos="8306"/>
        </w:tabs>
        <w:spacing w:line="360" w:lineRule="auto"/>
        <w:ind w:firstLine="422" w:firstLineChars="200"/>
        <w:rPr>
          <w:rFonts w:ascii="宋体" w:hAnsi="宋体" w:cs="宋体"/>
          <w:b/>
          <w:color w:val="auto"/>
          <w:highlight w:val="none"/>
        </w:rPr>
      </w:pPr>
      <w:r>
        <w:rPr>
          <w:rFonts w:hint="eastAsia" w:ascii="宋体" w:hAnsi="宋体" w:cs="宋体"/>
          <w:b/>
          <w:color w:val="auto"/>
          <w:highlight w:val="none"/>
        </w:rPr>
        <w:t>（4）不同投标人的电子投标文件异常一致或者投标报价呈规律性差异。</w:t>
      </w:r>
    </w:p>
    <w:p>
      <w:pPr>
        <w:tabs>
          <w:tab w:val="center" w:pos="4153"/>
          <w:tab w:val="right" w:pos="8306"/>
        </w:tabs>
        <w:spacing w:line="360" w:lineRule="auto"/>
        <w:ind w:firstLine="422" w:firstLineChars="200"/>
        <w:rPr>
          <w:rFonts w:ascii="宋体" w:hAnsi="宋体" w:cs="宋体"/>
          <w:b/>
          <w:color w:val="auto"/>
          <w:highlight w:val="none"/>
        </w:rPr>
      </w:pPr>
      <w:r>
        <w:rPr>
          <w:rFonts w:hint="eastAsia" w:ascii="宋体" w:hAnsi="宋体" w:cs="宋体"/>
          <w:b/>
          <w:color w:val="auto"/>
          <w:highlight w:val="none"/>
        </w:rPr>
        <w:t>（5）不同投标人的投标文件相互混装。</w:t>
      </w:r>
    </w:p>
    <w:p>
      <w:pPr>
        <w:tabs>
          <w:tab w:val="center" w:pos="4153"/>
          <w:tab w:val="right" w:pos="8306"/>
        </w:tabs>
        <w:spacing w:line="360" w:lineRule="auto"/>
        <w:ind w:firstLine="422" w:firstLineChars="200"/>
        <w:rPr>
          <w:rFonts w:ascii="宋体" w:hAnsi="宋体" w:cs="宋体"/>
          <w:b/>
          <w:color w:val="auto"/>
          <w:highlight w:val="none"/>
        </w:rPr>
      </w:pPr>
      <w:r>
        <w:rPr>
          <w:rFonts w:hint="eastAsia" w:ascii="宋体" w:hAnsi="宋体" w:cs="宋体"/>
          <w:b/>
          <w:color w:val="auto"/>
          <w:highlight w:val="none"/>
        </w:rPr>
        <w:t>（6）不同投标人的投标保证金从同一单位或者个人账户转出。</w:t>
      </w:r>
    </w:p>
    <w:p>
      <w:pPr>
        <w:spacing w:line="360" w:lineRule="auto"/>
        <w:ind w:firstLine="422" w:firstLineChars="200"/>
        <w:rPr>
          <w:rFonts w:ascii="宋体" w:hAnsi="宋体" w:cs="宋体"/>
          <w:b/>
          <w:bCs/>
          <w:color w:val="auto"/>
          <w:szCs w:val="21"/>
          <w:highlight w:val="none"/>
        </w:rPr>
      </w:pPr>
      <w:r>
        <w:rPr>
          <w:rFonts w:hint="eastAsia" w:ascii="宋体" w:hAnsi="宋体" w:cs="宋体"/>
          <w:b/>
          <w:color w:val="auto"/>
          <w:highlight w:val="none"/>
        </w:rPr>
        <w:t>9.3供应商有下列情形之一的，属于恶意串通</w:t>
      </w:r>
      <w:r>
        <w:rPr>
          <w:rFonts w:hint="eastAsia" w:ascii="宋体" w:hAnsi="宋体" w:cs="宋体"/>
          <w:b/>
          <w:bCs/>
          <w:color w:val="auto"/>
          <w:szCs w:val="21"/>
          <w:highlight w:val="none"/>
        </w:rPr>
        <w:t>行为，将报同级监督管理部门：</w:t>
      </w:r>
    </w:p>
    <w:p>
      <w:pPr>
        <w:spacing w:line="360" w:lineRule="auto"/>
        <w:ind w:firstLine="422" w:firstLineChars="200"/>
        <w:rPr>
          <w:rFonts w:ascii="宋体" w:hAnsi="宋体" w:cs="宋体"/>
          <w:b/>
          <w:bCs/>
          <w:color w:val="auto"/>
          <w:highlight w:val="none"/>
        </w:rPr>
      </w:pPr>
      <w:r>
        <w:rPr>
          <w:rFonts w:hint="eastAsia" w:ascii="宋体" w:hAnsi="宋体" w:cs="宋体"/>
          <w:b/>
          <w:bCs/>
          <w:color w:val="auto"/>
          <w:highlight w:val="none"/>
        </w:rPr>
        <w:t>（1）供应商直接或者间接从采购人或者采购代理机构处获得其他供应商的相关信息并修改其投标文件。</w:t>
      </w:r>
    </w:p>
    <w:p>
      <w:pPr>
        <w:spacing w:line="360" w:lineRule="auto"/>
        <w:ind w:firstLine="422" w:firstLineChars="200"/>
        <w:rPr>
          <w:rFonts w:ascii="宋体" w:hAnsi="宋体" w:cs="宋体"/>
          <w:b/>
          <w:bCs/>
          <w:color w:val="auto"/>
          <w:highlight w:val="none"/>
        </w:rPr>
      </w:pPr>
      <w:r>
        <w:rPr>
          <w:rFonts w:hint="eastAsia" w:ascii="宋体" w:hAnsi="宋体" w:cs="宋体"/>
          <w:b/>
          <w:bCs/>
          <w:color w:val="auto"/>
          <w:highlight w:val="none"/>
        </w:rPr>
        <w:t>（2）供应商按照采购人或者采购代理机构的授意撤换、修改投标文件。</w:t>
      </w:r>
    </w:p>
    <w:p>
      <w:pPr>
        <w:spacing w:line="360" w:lineRule="auto"/>
        <w:ind w:firstLine="422" w:firstLineChars="200"/>
        <w:rPr>
          <w:rFonts w:ascii="宋体" w:hAnsi="宋体" w:cs="宋体"/>
          <w:b/>
          <w:bCs/>
          <w:color w:val="auto"/>
          <w:highlight w:val="none"/>
        </w:rPr>
      </w:pPr>
      <w:r>
        <w:rPr>
          <w:rFonts w:hint="eastAsia" w:ascii="宋体" w:hAnsi="宋体" w:cs="宋体"/>
          <w:b/>
          <w:bCs/>
          <w:color w:val="auto"/>
          <w:highlight w:val="none"/>
        </w:rPr>
        <w:t>（3）供应商之间协商报价、技术方案等投标文件的实质性内容。</w:t>
      </w:r>
    </w:p>
    <w:p>
      <w:pPr>
        <w:spacing w:line="360" w:lineRule="auto"/>
        <w:ind w:firstLine="422" w:firstLineChars="200"/>
        <w:rPr>
          <w:rFonts w:ascii="宋体" w:hAnsi="宋体" w:cs="宋体"/>
          <w:b/>
          <w:bCs/>
          <w:color w:val="auto"/>
          <w:highlight w:val="none"/>
        </w:rPr>
      </w:pPr>
      <w:r>
        <w:rPr>
          <w:rFonts w:hint="eastAsia" w:ascii="宋体" w:hAnsi="宋体" w:cs="宋体"/>
          <w:b/>
          <w:bCs/>
          <w:color w:val="auto"/>
          <w:highlight w:val="none"/>
        </w:rPr>
        <w:t>（4）属于同一集团、协会、商会等组织成员的供应商按照该组织要求协同参加政府采购活动。</w:t>
      </w:r>
    </w:p>
    <w:p>
      <w:pPr>
        <w:spacing w:line="360" w:lineRule="auto"/>
        <w:ind w:firstLine="422" w:firstLineChars="200"/>
        <w:rPr>
          <w:rFonts w:ascii="宋体" w:hAnsi="宋体" w:cs="宋体"/>
          <w:b/>
          <w:bCs/>
          <w:color w:val="auto"/>
          <w:highlight w:val="none"/>
        </w:rPr>
      </w:pPr>
      <w:r>
        <w:rPr>
          <w:rFonts w:hint="eastAsia" w:ascii="宋体" w:hAnsi="宋体" w:cs="宋体"/>
          <w:b/>
          <w:bCs/>
          <w:color w:val="auto"/>
          <w:highlight w:val="none"/>
        </w:rPr>
        <w:t>（5）供应商之间事先约定一致抬高或者压低投标报价，或者在招标项目中事先约定轮流以高价位或者低价位中标，或者事先约定由某一特定供应商中标，然后再参加投标。</w:t>
      </w:r>
    </w:p>
    <w:p>
      <w:pPr>
        <w:spacing w:line="360" w:lineRule="auto"/>
        <w:ind w:firstLine="422" w:firstLineChars="200"/>
        <w:rPr>
          <w:rFonts w:ascii="宋体" w:hAnsi="宋体" w:cs="宋体"/>
          <w:b/>
          <w:bCs/>
          <w:color w:val="auto"/>
          <w:highlight w:val="none"/>
        </w:rPr>
      </w:pPr>
      <w:r>
        <w:rPr>
          <w:rFonts w:hint="eastAsia" w:ascii="宋体" w:hAnsi="宋体" w:cs="宋体"/>
          <w:b/>
          <w:bCs/>
          <w:color w:val="auto"/>
          <w:highlight w:val="none"/>
        </w:rPr>
        <w:t>（6）供应商之间商定部分供应商放弃参加政府采购活动或者放弃中标。</w:t>
      </w:r>
    </w:p>
    <w:p>
      <w:pPr>
        <w:spacing w:line="360" w:lineRule="auto"/>
        <w:ind w:firstLine="422" w:firstLineChars="200"/>
        <w:rPr>
          <w:rFonts w:ascii="宋体" w:hAnsi="宋体" w:cs="宋体"/>
          <w:b/>
          <w:bCs/>
          <w:color w:val="auto"/>
          <w:highlight w:val="none"/>
        </w:rPr>
      </w:pPr>
      <w:r>
        <w:rPr>
          <w:rFonts w:hint="eastAsia" w:ascii="宋体" w:hAnsi="宋体" w:cs="宋体"/>
          <w:b/>
          <w:bCs/>
          <w:color w:val="auto"/>
          <w:highlight w:val="none"/>
        </w:rPr>
        <w:t>（7）供应商与采购人或者采购代理机构之间、供应商相互之间，为谋求特定供应商中标或者排斥其他供应商的其他串通行为。</w:t>
      </w:r>
    </w:p>
    <w:p>
      <w:pPr>
        <w:pStyle w:val="17"/>
        <w:snapToGrid w:val="0"/>
        <w:spacing w:line="360" w:lineRule="auto"/>
        <w:ind w:left="2" w:leftChars="1" w:firstLine="422" w:firstLineChars="200"/>
        <w:rPr>
          <w:rFonts w:hAnsi="宋体" w:cs="宋体"/>
          <w:b/>
          <w:color w:val="auto"/>
          <w:highlight w:val="none"/>
        </w:rPr>
      </w:pPr>
    </w:p>
    <w:p>
      <w:pPr>
        <w:pStyle w:val="5"/>
        <w:keepNext w:val="0"/>
        <w:keepLines w:val="0"/>
        <w:spacing w:line="400" w:lineRule="exact"/>
        <w:jc w:val="center"/>
        <w:rPr>
          <w:rFonts w:ascii="宋体" w:hAnsi="宋体" w:cs="宋体"/>
          <w:color w:val="auto"/>
          <w:highlight w:val="none"/>
        </w:rPr>
      </w:pPr>
      <w:bookmarkStart w:id="110" w:name="_Toc22070"/>
      <w:bookmarkStart w:id="111" w:name="_Toc254970675"/>
      <w:bookmarkStart w:id="112" w:name="_Toc4100"/>
      <w:bookmarkStart w:id="113" w:name="_Toc254970534"/>
      <w:bookmarkStart w:id="114" w:name="_Toc25441"/>
      <w:bookmarkStart w:id="115" w:name="_Toc22960"/>
      <w:r>
        <w:rPr>
          <w:rFonts w:hint="eastAsia" w:ascii="宋体" w:hAnsi="宋体" w:cs="宋体"/>
          <w:color w:val="auto"/>
          <w:highlight w:val="none"/>
        </w:rPr>
        <w:t>二、招标文件</w:t>
      </w:r>
      <w:bookmarkEnd w:id="110"/>
      <w:bookmarkEnd w:id="111"/>
      <w:bookmarkEnd w:id="112"/>
      <w:bookmarkEnd w:id="113"/>
      <w:bookmarkEnd w:id="114"/>
      <w:bookmarkEnd w:id="115"/>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10.招标文件的组成</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第一章 招标公告。</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第二章 采购需求。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第三章 投标人须知。</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第四章 评标方法和评标标准。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第五章 拟签订的合同文本。</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第六章 投标文件格式。</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第七章 质疑、投诉材料格式</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根据本章第11.1项的规定对招标文件所做的澄清、修改，构成招标文件的组成部分。当招标文件与招标文件的澄清和修改就同一内容的表述不一致时，以最后澄清或修改公告为准。</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11.招标文件的澄清、修改 、现场考察和答疑会</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 xml:space="preserve"> 11.1采购人或者采购代理机构可以对已发出的招标文件进行必要的澄清或者修改，但不得改变采购标的和资格条件。澄清或者修改应当在原招标公告发布媒体上发布澄清公告。澄清或者修改的内容为招标文件的组成部分。</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11.2 投标人应认真审阅本招标文件，如有疑问，或发现其中有误或有要求不合理的，应在投标人须知前附表规定的</w:t>
      </w:r>
      <w:r>
        <w:rPr>
          <w:rFonts w:hint="eastAsia" w:ascii="宋体" w:hAnsi="宋体" w:cs="宋体"/>
          <w:color w:val="auto"/>
          <w:kern w:val="0"/>
          <w:szCs w:val="21"/>
          <w:highlight w:val="none"/>
        </w:rPr>
        <w:t>投标截止时间</w:t>
      </w:r>
      <w:r>
        <w:rPr>
          <w:rFonts w:hint="eastAsia" w:ascii="宋体" w:hAnsi="宋体" w:cs="宋体"/>
          <w:color w:val="auto"/>
          <w:highlight w:val="none"/>
        </w:rPr>
        <w:t>前以书面形式要求采购人或采购代理机构对招标文件予以澄清。否则，由此产生的后果由投标人自行负责。</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11.3 采购人或者采购代理机构可以对已发出的招标文件进行必要的澄清或者修改。澄清或者修改的内容可能影响投标文件编制的，采购人或者采购代理机构应当在投标截止时间至少15日前，以书面形式通知(在“</w:t>
      </w:r>
      <w:r>
        <w:rPr>
          <w:rFonts w:hint="eastAsia" w:ascii="宋体" w:hAnsi="宋体" w:cs="宋体"/>
          <w:color w:val="auto"/>
          <w:szCs w:val="21"/>
          <w:highlight w:val="none"/>
        </w:rPr>
        <w:t>投标人须知前附表”</w:t>
      </w:r>
      <w:r>
        <w:rPr>
          <w:rFonts w:hint="eastAsia" w:ascii="宋体" w:hAnsi="宋体" w:cs="宋体"/>
          <w:color w:val="auto"/>
          <w:highlight w:val="none"/>
        </w:rPr>
        <w:t>规定的政府采购信息发布媒体上发布更正公告及平台短信通知)所有获取招标文件的潜在投标人。不足15日的，采购人或者采购代理机构应当顺延提交投标文件的截止时间。澄清或者更正公告在招标公告发布媒体上发布，一经发布，视作已以书面形式通知所有获取招标文件的潜在投标人，不再另行通知，所有潜在投标人应密切关注招标公告发布媒体，因未能及时获知，由此产生的后果均应自行承担。</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11.4 采购人和采购代理机构可以视采购具体情况，变更投标截止时间和开标时间，将变更时间将在“</w:t>
      </w:r>
      <w:r>
        <w:rPr>
          <w:rFonts w:hint="eastAsia" w:ascii="宋体" w:hAnsi="宋体" w:cs="宋体"/>
          <w:color w:val="auto"/>
          <w:szCs w:val="21"/>
          <w:highlight w:val="none"/>
        </w:rPr>
        <w:t>投标人须知前附表”</w:t>
      </w:r>
      <w:r>
        <w:rPr>
          <w:rFonts w:hint="eastAsia" w:ascii="宋体" w:hAnsi="宋体" w:cs="宋体"/>
          <w:color w:val="auto"/>
          <w:kern w:val="0"/>
          <w:szCs w:val="21"/>
          <w:highlight w:val="none"/>
        </w:rPr>
        <w:t>规定的政府采购信息发布媒体上</w:t>
      </w:r>
      <w:r>
        <w:rPr>
          <w:rFonts w:hint="eastAsia" w:ascii="宋体" w:hAnsi="宋体" w:cs="宋体"/>
          <w:color w:val="auto"/>
          <w:highlight w:val="none"/>
        </w:rPr>
        <w:t>发布更正公告。</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11.</w:t>
      </w:r>
      <w:bookmarkStart w:id="116" w:name="_Hlk53134511"/>
      <w:r>
        <w:rPr>
          <w:rFonts w:hint="eastAsia" w:ascii="宋体" w:hAnsi="宋体" w:cs="宋体"/>
          <w:color w:val="auto"/>
          <w:highlight w:val="none"/>
        </w:rPr>
        <w:t>5采购人或者采购代理机构可以在招标文件提供期限截止后，组织已获取招标文件的潜在投标人现场考察或者召开开标前答疑会，具体详见“投标人须知前附表”。</w:t>
      </w:r>
    </w:p>
    <w:bookmarkEnd w:id="116"/>
    <w:p>
      <w:pPr>
        <w:pStyle w:val="5"/>
        <w:keepNext w:val="0"/>
        <w:keepLines w:val="0"/>
        <w:spacing w:line="400" w:lineRule="exact"/>
        <w:jc w:val="center"/>
        <w:rPr>
          <w:rFonts w:ascii="宋体" w:hAnsi="宋体" w:cs="宋体"/>
          <w:color w:val="auto"/>
          <w:highlight w:val="none"/>
        </w:rPr>
      </w:pPr>
      <w:bookmarkStart w:id="117" w:name="_Toc32490"/>
      <w:bookmarkStart w:id="118" w:name="_Toc254970535"/>
      <w:bookmarkStart w:id="119" w:name="_Toc254970676"/>
      <w:bookmarkStart w:id="120" w:name="_Toc23467"/>
    </w:p>
    <w:p>
      <w:pPr>
        <w:pStyle w:val="5"/>
        <w:keepNext w:val="0"/>
        <w:keepLines w:val="0"/>
        <w:spacing w:line="400" w:lineRule="exact"/>
        <w:jc w:val="center"/>
        <w:rPr>
          <w:rFonts w:ascii="宋体" w:hAnsi="宋体" w:cs="宋体"/>
          <w:color w:val="auto"/>
          <w:highlight w:val="none"/>
        </w:rPr>
      </w:pPr>
      <w:bookmarkStart w:id="121" w:name="_Toc13166"/>
      <w:bookmarkStart w:id="122" w:name="_Toc7612"/>
      <w:r>
        <w:rPr>
          <w:rFonts w:hint="eastAsia" w:ascii="宋体" w:hAnsi="宋体" w:cs="宋体"/>
          <w:color w:val="auto"/>
          <w:highlight w:val="none"/>
        </w:rPr>
        <w:t>三、投标文件的编制</w:t>
      </w:r>
      <w:bookmarkEnd w:id="117"/>
      <w:bookmarkEnd w:id="118"/>
      <w:bookmarkEnd w:id="119"/>
      <w:bookmarkEnd w:id="120"/>
      <w:bookmarkEnd w:id="121"/>
      <w:bookmarkEnd w:id="122"/>
    </w:p>
    <w:p>
      <w:pPr>
        <w:spacing w:line="360" w:lineRule="auto"/>
        <w:ind w:firstLine="480" w:firstLineChars="200"/>
        <w:rPr>
          <w:rFonts w:ascii="宋体" w:hAnsi="宋体" w:cs="宋体"/>
          <w:color w:val="auto"/>
          <w:sz w:val="24"/>
          <w:highlight w:val="none"/>
        </w:rPr>
      </w:pPr>
      <w:bookmarkStart w:id="123" w:name="_Toc254970677"/>
      <w:bookmarkStart w:id="124" w:name="_Toc254970536"/>
      <w:r>
        <w:rPr>
          <w:rFonts w:hint="eastAsia" w:ascii="宋体" w:hAnsi="宋体" w:cs="宋体"/>
          <w:color w:val="auto"/>
          <w:sz w:val="24"/>
          <w:highlight w:val="none"/>
        </w:rPr>
        <w:t>12.投标文件的编制原则</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投标人必须按照招标文件的要求编制投标文件。投标文件必须对招标文件提出的要求和条件作出明确响应。</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13.投标文件的组成</w:t>
      </w:r>
      <w:bookmarkEnd w:id="123"/>
      <w:bookmarkEnd w:id="124"/>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13.1投标文件由报价文件、资格证明文件、商务文件、技术文件四部分组成。</w:t>
      </w:r>
    </w:p>
    <w:p>
      <w:pPr>
        <w:spacing w:line="360" w:lineRule="auto"/>
        <w:ind w:firstLine="420" w:firstLineChars="200"/>
        <w:rPr>
          <w:rFonts w:ascii="宋体" w:hAnsi="宋体" w:cs="宋体"/>
          <w:bCs/>
          <w:color w:val="auto"/>
          <w:szCs w:val="21"/>
          <w:highlight w:val="none"/>
        </w:rPr>
      </w:pPr>
      <w:bookmarkStart w:id="125" w:name="_13.2资格证明文件：具体材料见“投标人须知前附表”。"/>
      <w:bookmarkEnd w:id="125"/>
      <w:bookmarkStart w:id="126" w:name="_13.1报价文件:_具体材料见“投标人须知前附表”。"/>
      <w:bookmarkEnd w:id="126"/>
      <w:r>
        <w:rPr>
          <w:rFonts w:hint="eastAsia" w:ascii="宋体" w:hAnsi="宋体" w:cs="宋体"/>
          <w:bCs/>
          <w:color w:val="auto"/>
          <w:szCs w:val="21"/>
          <w:highlight w:val="none"/>
        </w:rPr>
        <w:t>（1）资格证明文件：具体材料见“投标人须知前附表”。</w:t>
      </w:r>
    </w:p>
    <w:p>
      <w:pPr>
        <w:spacing w:line="360" w:lineRule="auto"/>
        <w:ind w:firstLine="420" w:firstLineChars="200"/>
        <w:rPr>
          <w:rFonts w:ascii="宋体" w:hAnsi="宋体" w:cs="宋体"/>
          <w:bCs/>
          <w:color w:val="auto"/>
          <w:szCs w:val="21"/>
          <w:highlight w:val="none"/>
        </w:rPr>
      </w:pPr>
      <w:bookmarkStart w:id="127" w:name="_13.3商务文件:_具体材料见“投标人须知前附表”。"/>
      <w:bookmarkEnd w:id="127"/>
      <w:r>
        <w:rPr>
          <w:rFonts w:hint="eastAsia" w:ascii="宋体" w:hAnsi="宋体" w:cs="宋体"/>
          <w:bCs/>
          <w:color w:val="auto"/>
          <w:szCs w:val="21"/>
          <w:highlight w:val="none"/>
        </w:rPr>
        <w:t>（2）商务文件：具体材料见“投标人须知前附表”。</w:t>
      </w:r>
    </w:p>
    <w:p>
      <w:pPr>
        <w:spacing w:line="360" w:lineRule="auto"/>
        <w:ind w:firstLine="420" w:firstLineChars="200"/>
        <w:rPr>
          <w:rFonts w:ascii="宋体" w:hAnsi="宋体" w:cs="宋体"/>
          <w:bCs/>
          <w:color w:val="auto"/>
          <w:szCs w:val="21"/>
          <w:highlight w:val="none"/>
        </w:rPr>
      </w:pPr>
      <w:bookmarkStart w:id="128" w:name="_13.4技术文件：具体材料见“投标人须知前附表”。"/>
      <w:bookmarkEnd w:id="128"/>
      <w:r>
        <w:rPr>
          <w:rFonts w:hint="eastAsia" w:ascii="宋体" w:hAnsi="宋体" w:cs="宋体"/>
          <w:bCs/>
          <w:color w:val="auto"/>
          <w:szCs w:val="21"/>
          <w:highlight w:val="none"/>
        </w:rPr>
        <w:t xml:space="preserve">（3）技术文件：具体材料见“投标人须知前附表”。 </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（4）报价文件： 具体材料见“投标人须知前附表”。</w:t>
      </w:r>
    </w:p>
    <w:p>
      <w:pPr>
        <w:spacing w:line="360" w:lineRule="auto"/>
        <w:ind w:firstLine="420" w:firstLineChars="200"/>
        <w:rPr>
          <w:rFonts w:ascii="宋体" w:hAnsi="宋体" w:cs="宋体"/>
          <w:bCs/>
          <w:color w:val="auto"/>
          <w:szCs w:val="21"/>
          <w:highlight w:val="none"/>
        </w:rPr>
      </w:pPr>
      <w:bookmarkStart w:id="129" w:name="_13.5投标文件电子版：具体材料见“投标人须知前附表”。"/>
      <w:bookmarkEnd w:id="129"/>
      <w:r>
        <w:rPr>
          <w:rFonts w:hint="eastAsia" w:ascii="宋体" w:hAnsi="宋体" w:cs="宋体"/>
          <w:bCs/>
          <w:color w:val="auto"/>
          <w:szCs w:val="21"/>
          <w:highlight w:val="none"/>
        </w:rPr>
        <w:t>13.2投标文件电子版：具体要求见本节19.投标文件编制。</w:t>
      </w:r>
    </w:p>
    <w:p>
      <w:pPr>
        <w:spacing w:line="360" w:lineRule="auto"/>
        <w:ind w:firstLine="480" w:firstLineChars="200"/>
        <w:rPr>
          <w:rFonts w:ascii="宋体" w:hAnsi="宋体" w:cs="宋体"/>
          <w:color w:val="auto"/>
          <w:sz w:val="24"/>
          <w:highlight w:val="none"/>
        </w:rPr>
      </w:pPr>
      <w:bookmarkStart w:id="130" w:name="_Toc254970678"/>
      <w:bookmarkStart w:id="131" w:name="_Toc254970537"/>
      <w:r>
        <w:rPr>
          <w:rFonts w:hint="eastAsia" w:ascii="宋体" w:hAnsi="宋体" w:cs="宋体"/>
          <w:color w:val="auto"/>
          <w:sz w:val="24"/>
          <w:highlight w:val="none"/>
        </w:rPr>
        <w:t>14.投标文件的语言及计量</w:t>
      </w:r>
      <w:bookmarkEnd w:id="130"/>
      <w:bookmarkEnd w:id="131"/>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14.1语言文字</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投标文件以及投标人与采购人就有关投标事宜的所有来往函电，均应以中文书写（除专用术语外，与招标投标有关的语言均使用中文。必要时专用术语应附有中文注释）。投标人提交的支持文件和印刷的文献可以使用别的语言，但其相应内容应同时附中文翻译文本，在解释投标文件时以中文翻译文本为主。对不同文字文本投标文件的解释发生异议的，以中文文本为准。</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14.2投标计量单位</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招标文件已有明确规定的，使用招标文件规定的计量单位。招标文件没有规定的，应采用中华人民共和国法定计量单位，货币种类为人民币，</w:t>
      </w:r>
      <w:r>
        <w:rPr>
          <w:rFonts w:hint="eastAsia" w:ascii="宋体" w:hAnsi="宋体" w:cs="宋体"/>
          <w:b/>
          <w:color w:val="auto"/>
          <w:szCs w:val="21"/>
          <w:highlight w:val="none"/>
        </w:rPr>
        <w:t>否则视同未响应</w:t>
      </w:r>
      <w:r>
        <w:rPr>
          <w:rFonts w:hint="eastAsia" w:ascii="宋体" w:hAnsi="宋体" w:cs="宋体"/>
          <w:bCs/>
          <w:color w:val="auto"/>
          <w:szCs w:val="21"/>
          <w:highlight w:val="none"/>
        </w:rPr>
        <w:t>。</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15.投标的风险</w:t>
      </w:r>
    </w:p>
    <w:p>
      <w:pPr>
        <w:pStyle w:val="13"/>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投标文件分为资格文件、商务文件、技术文件、报价文件四部分（其中：商务文件与技术文件合并编辑成一个电子文档）。各投标人在编制投标文件时请按照招标文件规定的格式进行，混乱的编排导致投标文件被误读或评标委员会查找不到有效文件是投标人的风险。投标人没有按照招标文件要求提供全部资料，或者投标人没有对招标文件作出实质性响应是投标人的风险，可能导致其投标被拒绝。</w:t>
      </w:r>
    </w:p>
    <w:p>
      <w:pPr>
        <w:spacing w:line="360" w:lineRule="auto"/>
        <w:ind w:firstLine="480" w:firstLineChars="200"/>
        <w:rPr>
          <w:rFonts w:ascii="宋体" w:hAnsi="宋体" w:cs="宋体"/>
          <w:color w:val="auto"/>
          <w:sz w:val="24"/>
          <w:highlight w:val="none"/>
        </w:rPr>
      </w:pPr>
      <w:bookmarkStart w:id="132" w:name="_Toc254970538"/>
      <w:bookmarkStart w:id="133" w:name="_Toc254970679"/>
      <w:r>
        <w:rPr>
          <w:rFonts w:hint="eastAsia" w:ascii="宋体" w:hAnsi="宋体" w:cs="宋体"/>
          <w:color w:val="auto"/>
          <w:sz w:val="24"/>
          <w:highlight w:val="none"/>
        </w:rPr>
        <w:t>16.投标报价</w:t>
      </w:r>
      <w:bookmarkEnd w:id="132"/>
      <w:bookmarkEnd w:id="133"/>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16.1投标报价应按“第六章　投标文件格式”中“开标一览表”格式填写。</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16.2投标报价具体包括内容详见“投标人须知前附表”。</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16.3投标人必须就所投项目/每个分标的全部内容分别作完整唯一总价报价，不得存在漏项报价；投标人必须就所投项目/分标的单项内容作唯一报价。</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17.投标有效期</w:t>
      </w:r>
    </w:p>
    <w:p>
      <w:pPr>
        <w:spacing w:line="360" w:lineRule="auto"/>
        <w:ind w:firstLine="420" w:firstLineChars="200"/>
        <w:rPr>
          <w:rFonts w:ascii="宋体" w:hAnsi="宋体" w:cs="宋体"/>
          <w:bCs/>
          <w:color w:val="auto"/>
          <w:szCs w:val="21"/>
          <w:highlight w:val="none"/>
        </w:rPr>
      </w:pPr>
      <w:bookmarkStart w:id="134" w:name="_17.1投标有效期应按“投标人须知中的前附表”规定的期限。"/>
      <w:bookmarkEnd w:id="134"/>
      <w:r>
        <w:rPr>
          <w:rFonts w:hint="eastAsia" w:ascii="宋体" w:hAnsi="宋体" w:cs="宋体"/>
          <w:bCs/>
          <w:color w:val="auto"/>
          <w:szCs w:val="21"/>
          <w:highlight w:val="none"/>
        </w:rPr>
        <w:t>17.1投标有效期是指为保证采购人有足够的时间在开标后完成评标、定标、合同签订等工作而要求投标人提交的投标文件在一定时间内保持有效的期限。</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17.2</w:t>
      </w:r>
      <w:bookmarkStart w:id="135" w:name="_Toc254970681"/>
      <w:bookmarkStart w:id="136" w:name="_Toc254970540"/>
      <w:r>
        <w:rPr>
          <w:rFonts w:hint="eastAsia" w:ascii="宋体" w:hAnsi="宋体" w:cs="宋体"/>
          <w:bCs/>
          <w:color w:val="auto"/>
          <w:szCs w:val="21"/>
          <w:highlight w:val="none"/>
        </w:rPr>
        <w:t xml:space="preserve"> 投标有效期应按规定的期限作出承诺，具体详见“投标人须知前附表”。</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17.3投标人的投标文件在投标有效期内均保持有效。</w:t>
      </w:r>
      <w:bookmarkEnd w:id="135"/>
      <w:bookmarkEnd w:id="136"/>
    </w:p>
    <w:p>
      <w:pPr>
        <w:spacing w:line="360" w:lineRule="auto"/>
        <w:ind w:firstLine="480" w:firstLineChars="200"/>
        <w:rPr>
          <w:rFonts w:ascii="宋体" w:hAnsi="宋体" w:cs="宋体"/>
          <w:color w:val="auto"/>
          <w:sz w:val="24"/>
          <w:highlight w:val="none"/>
        </w:rPr>
      </w:pPr>
      <w:bookmarkStart w:id="137" w:name="_18.投标保证金"/>
      <w:bookmarkEnd w:id="137"/>
      <w:bookmarkStart w:id="138" w:name="_Toc254970682"/>
      <w:bookmarkStart w:id="139" w:name="_Toc254970541"/>
      <w:r>
        <w:rPr>
          <w:rFonts w:hint="eastAsia" w:ascii="宋体" w:hAnsi="宋体" w:cs="宋体"/>
          <w:color w:val="auto"/>
          <w:sz w:val="24"/>
          <w:highlight w:val="none"/>
        </w:rPr>
        <w:t>18.投标保证金</w:t>
      </w:r>
      <w:bookmarkEnd w:id="138"/>
      <w:bookmarkEnd w:id="139"/>
    </w:p>
    <w:p>
      <w:pPr>
        <w:snapToGrid w:val="0"/>
        <w:spacing w:line="360" w:lineRule="auto"/>
        <w:ind w:firstLine="420" w:firstLineChars="200"/>
        <w:rPr>
          <w:rFonts w:ascii="宋体" w:hAnsi="宋体" w:cs="宋体"/>
          <w:color w:val="auto"/>
          <w:szCs w:val="21"/>
          <w:highlight w:val="none"/>
        </w:rPr>
      </w:pPr>
      <w:bookmarkStart w:id="140" w:name="_Toc254970683"/>
      <w:bookmarkStart w:id="141" w:name="_Toc254970542"/>
      <w:r>
        <w:rPr>
          <w:rFonts w:hint="eastAsia" w:ascii="宋体" w:hAnsi="宋体" w:cs="宋体"/>
          <w:color w:val="auto"/>
          <w:szCs w:val="21"/>
          <w:highlight w:val="none"/>
        </w:rPr>
        <w:t>18.1投标人须按“投标人须知前附表” 的规定提交投标保证金。</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18.2投标保证金的退还</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18.2.1未中标人的投标保证金自中标通知书发出之日起5个工作日内退还，退还方式如下：</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（1）采用银行转账方式的，以转账方式退回到投标人银行账户。</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（2）采用支票、汇票、本票或者金融机构、担保机构出具的保函等方式的，由投标人代表持相关授权证明材料至采购代理机构办理支票、汇票、本票或者金融机构、担保机构出具的保函等原件退还手续。 </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18.2.2中标人的投标保证金自采购合同签订之日起5个工作日内退还，退还方式同本须知正文第18.2.1，或者转为中标人的履约保证金。 </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18.3除逾期退还投标保证金和终止招标的情形以外，投标保证金不计息。</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18.4投标人有下列情形之一的，投标保证金将不予退还： </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（1）投标人在投标有效期内撤销投标文件的；</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（2）未按规定提交履约保证金的；</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（3）投标人在投标过程中弄虚作假，提供虚假材料的；</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（4）中标人无正当理由不与采购人签订合同的；</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（5）投标人出现本章第9.2、9.3情形的；</w:t>
      </w:r>
    </w:p>
    <w:p>
      <w:pPr>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（6）其他严重扰乱招投标程序的。</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19.投标文件的</w:t>
      </w:r>
      <w:bookmarkEnd w:id="140"/>
      <w:bookmarkEnd w:id="141"/>
      <w:r>
        <w:rPr>
          <w:rFonts w:hint="eastAsia" w:ascii="宋体" w:hAnsi="宋体" w:cs="宋体"/>
          <w:color w:val="auto"/>
          <w:sz w:val="24"/>
          <w:highlight w:val="none"/>
        </w:rPr>
        <w:t>编制</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19.1投标文件编制要求详见“投标人须知前附表”。投标人应按本招标文件规定的格式和顺序编制投标文件并标注页码，投标文件内容不完整、编排混乱导致投标文件被误读、漏读或者查找不到相关内容的，由此引发的后果由投标人承担。</w:t>
      </w:r>
      <w:bookmarkStart w:id="142" w:name="_19.2投标文件应按报价文件、资格证明文件、商务文件、技术文件分别编制"/>
      <w:bookmarkEnd w:id="142"/>
    </w:p>
    <w:p>
      <w:pPr>
        <w:pStyle w:val="64"/>
        <w:snapToGrid w:val="0"/>
        <w:spacing w:before="0"/>
        <w:ind w:firstLine="420"/>
        <w:rPr>
          <w:rFonts w:ascii="宋体" w:hAnsi="宋体" w:cs="宋体"/>
          <w:color w:val="auto"/>
          <w:sz w:val="21"/>
          <w:szCs w:val="21"/>
          <w:highlight w:val="none"/>
        </w:rPr>
      </w:pPr>
      <w:r>
        <w:rPr>
          <w:rFonts w:hint="eastAsia" w:ascii="宋体" w:hAnsi="宋体" w:cs="宋体"/>
          <w:color w:val="auto"/>
          <w:sz w:val="21"/>
          <w:szCs w:val="21"/>
          <w:highlight w:val="none"/>
        </w:rPr>
        <w:t>19.2投标文件按照招标文件第六章格式要求进行签署、盖章。投标人的投标文件未按照招标文件要求签署、盖章的，</w:t>
      </w:r>
      <w:r>
        <w:rPr>
          <w:rFonts w:hint="eastAsia" w:ascii="宋体" w:hAnsi="宋体" w:cs="宋体"/>
          <w:b/>
          <w:color w:val="auto"/>
          <w:sz w:val="21"/>
          <w:szCs w:val="21"/>
          <w:highlight w:val="none"/>
        </w:rPr>
        <w:t>其投标无效。</w:t>
      </w:r>
    </w:p>
    <w:p>
      <w:pPr>
        <w:pStyle w:val="64"/>
        <w:snapToGrid w:val="0"/>
        <w:spacing w:before="0"/>
        <w:ind w:firstLine="420"/>
        <w:rPr>
          <w:rFonts w:ascii="宋体" w:hAnsi="宋体" w:cs="宋体"/>
          <w:color w:val="auto"/>
          <w:sz w:val="21"/>
          <w:szCs w:val="21"/>
          <w:highlight w:val="none"/>
        </w:rPr>
      </w:pPr>
      <w:r>
        <w:rPr>
          <w:rFonts w:hint="eastAsia" w:ascii="宋体" w:hAnsi="宋体" w:cs="宋体"/>
          <w:color w:val="auto"/>
          <w:sz w:val="21"/>
          <w:szCs w:val="21"/>
          <w:highlight w:val="none"/>
        </w:rPr>
        <w:t>19.3为确保网上操作合法、有效和安全，投标人应当在投标截止时间前完成在广西政府采购云平台的身份认证，确保在电子投标过程中能够对相关数据电文进行加密和使用电子签名。</w:t>
      </w:r>
    </w:p>
    <w:p>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19.4投标文件中标注的投标人名称应与主体资格证明（如营业执照、事业单位法人证书、执业许可证、自然人身份证等）及公章一致，</w:t>
      </w:r>
      <w:r>
        <w:rPr>
          <w:rFonts w:hint="eastAsia" w:ascii="宋体" w:hAnsi="宋体" w:cs="宋体"/>
          <w:b/>
          <w:bCs/>
          <w:color w:val="auto"/>
          <w:szCs w:val="21"/>
          <w:highlight w:val="none"/>
        </w:rPr>
        <w:t>否则作无效投标处理</w:t>
      </w:r>
      <w:r>
        <w:rPr>
          <w:rFonts w:hint="eastAsia" w:ascii="宋体" w:hAnsi="宋体" w:cs="宋体"/>
          <w:b/>
          <w:color w:val="auto"/>
          <w:szCs w:val="21"/>
          <w:highlight w:val="none"/>
        </w:rPr>
        <w:t>。</w:t>
      </w:r>
    </w:p>
    <w:p>
      <w:pPr>
        <w:spacing w:line="360" w:lineRule="auto"/>
        <w:ind w:firstLine="420" w:firstLineChars="200"/>
        <w:rPr>
          <w:rFonts w:ascii="宋体" w:hAnsi="宋体" w:cs="宋体"/>
          <w:b/>
          <w:color w:val="auto"/>
          <w:szCs w:val="21"/>
          <w:highlight w:val="none"/>
        </w:rPr>
      </w:pPr>
      <w:r>
        <w:rPr>
          <w:rFonts w:hint="eastAsia" w:ascii="宋体" w:hAnsi="宋体" w:cs="宋体"/>
          <w:color w:val="auto"/>
          <w:szCs w:val="21"/>
          <w:highlight w:val="none"/>
        </w:rPr>
        <w:t xml:space="preserve"> 19.5投标文件应避免涂改、行间插字或者删除</w:t>
      </w:r>
      <w:r>
        <w:rPr>
          <w:rFonts w:hint="eastAsia" w:ascii="宋体" w:hAnsi="宋体" w:cs="宋体"/>
          <w:b/>
          <w:color w:val="auto"/>
          <w:szCs w:val="21"/>
          <w:highlight w:val="none"/>
        </w:rPr>
        <w:t>。</w:t>
      </w:r>
    </w:p>
    <w:p>
      <w:pPr>
        <w:spacing w:line="360" w:lineRule="auto"/>
        <w:ind w:firstLine="520" w:firstLineChars="248"/>
        <w:rPr>
          <w:rFonts w:ascii="宋体" w:hAnsi="宋体" w:cs="宋体"/>
          <w:color w:val="auto"/>
          <w:highlight w:val="none"/>
        </w:rPr>
      </w:pPr>
      <w:r>
        <w:rPr>
          <w:rFonts w:hint="eastAsia" w:ascii="宋体" w:hAnsi="宋体" w:cs="宋体"/>
          <w:color w:val="auto"/>
          <w:highlight w:val="none"/>
        </w:rPr>
        <w:t>19.6 对招标文件的实质性要求和条件作出响应是指投标人必须对招标文件中标注为实质性要求和条件的</w:t>
      </w:r>
      <w:r>
        <w:rPr>
          <w:rFonts w:hint="eastAsia" w:ascii="宋体" w:hAnsi="宋体" w:cs="宋体"/>
          <w:color w:val="auto"/>
          <w:szCs w:val="21"/>
          <w:highlight w:val="none"/>
        </w:rPr>
        <w:t>技术需求和配置</w:t>
      </w:r>
      <w:r>
        <w:rPr>
          <w:rFonts w:hint="eastAsia" w:ascii="宋体" w:hAnsi="宋体" w:cs="宋体"/>
          <w:color w:val="auto"/>
          <w:highlight w:val="none"/>
        </w:rPr>
        <w:t>、商务条款及其它内容</w:t>
      </w:r>
      <w:r>
        <w:rPr>
          <w:rFonts w:hint="eastAsia" w:ascii="宋体" w:hAnsi="宋体" w:cs="宋体"/>
          <w:b/>
          <w:color w:val="auto"/>
          <w:highlight w:val="none"/>
        </w:rPr>
        <w:t>作出满足或者优于原要求和条件的承诺</w:t>
      </w:r>
      <w:r>
        <w:rPr>
          <w:rFonts w:hint="eastAsia" w:ascii="宋体" w:hAnsi="宋体" w:cs="宋体"/>
          <w:color w:val="auto"/>
          <w:highlight w:val="none"/>
        </w:rPr>
        <w:t>。</w:t>
      </w:r>
    </w:p>
    <w:p>
      <w:pPr>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19.7本项目为全流程电子化项目，异常情况见“第二节 投标人须知正文”中“四、24.2开标程序”。</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20.备份投标文件</w:t>
      </w:r>
    </w:p>
    <w:p>
      <w:pPr>
        <w:spacing w:line="360" w:lineRule="auto"/>
        <w:ind w:firstLine="420" w:firstLineChars="200"/>
        <w:rPr>
          <w:rFonts w:ascii="宋体" w:hAnsi="宋体" w:cs="宋体"/>
          <w:color w:val="auto"/>
          <w:sz w:val="24"/>
          <w:highlight w:val="none"/>
        </w:rPr>
      </w:pPr>
      <w:r>
        <w:rPr>
          <w:rFonts w:hint="eastAsia" w:ascii="宋体" w:hAnsi="宋体" w:cs="宋体"/>
          <w:bCs/>
          <w:color w:val="auto"/>
          <w:szCs w:val="21"/>
          <w:highlight w:val="none"/>
        </w:rPr>
        <w:t>详见“投标人须知前附表”。</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21.投标文件的提交</w:t>
      </w:r>
    </w:p>
    <w:p>
      <w:pPr>
        <w:spacing w:line="360" w:lineRule="auto"/>
        <w:ind w:firstLine="420" w:firstLineChars="200"/>
        <w:rPr>
          <w:rFonts w:ascii="宋体" w:hAnsi="宋体" w:cs="宋体"/>
          <w:b/>
          <w:color w:val="auto"/>
          <w:highlight w:val="none"/>
        </w:rPr>
      </w:pPr>
      <w:bookmarkStart w:id="143" w:name="_21.1投标人必须在“投标人须知中的前附表”规定的投标文件接收时间和投"/>
      <w:bookmarkEnd w:id="143"/>
      <w:r>
        <w:rPr>
          <w:rFonts w:hint="eastAsia" w:ascii="宋体" w:hAnsi="宋体" w:cs="宋体"/>
          <w:bCs/>
          <w:color w:val="auto"/>
          <w:szCs w:val="21"/>
          <w:highlight w:val="none"/>
        </w:rPr>
        <w:t>21.1投标人必须在“投标人须知前附表”规定的投标文件接收时间和投标地点提交电子版投标文件。电子投标文件应在制作完成后，在投标截止时间前通过有效数字证书（CA认证锁）进行电子签章、加密，然后通过网络将加密的电子投标文件递交至</w:t>
      </w:r>
      <w:r>
        <w:rPr>
          <w:rFonts w:hint="eastAsia" w:ascii="宋体" w:hAnsi="宋体" w:cs="宋体"/>
          <w:color w:val="auto"/>
          <w:highlight w:val="none"/>
        </w:rPr>
        <w:t>广西政府采购云平台</w:t>
      </w:r>
      <w:r>
        <w:rPr>
          <w:rFonts w:hint="eastAsia" w:ascii="宋体" w:hAnsi="宋体" w:cs="宋体"/>
          <w:bCs/>
          <w:color w:val="auto"/>
          <w:szCs w:val="21"/>
          <w:highlight w:val="none"/>
        </w:rPr>
        <w:t xml:space="preserve">。 </w:t>
      </w:r>
    </w:p>
    <w:p>
      <w:pPr>
        <w:spacing w:line="360" w:lineRule="auto"/>
        <w:ind w:firstLine="422" w:firstLineChars="200"/>
        <w:rPr>
          <w:rFonts w:ascii="宋体" w:hAnsi="宋体" w:cs="宋体"/>
          <w:b/>
          <w:color w:val="auto"/>
          <w:szCs w:val="20"/>
          <w:highlight w:val="none"/>
        </w:rPr>
      </w:pPr>
      <w:r>
        <w:rPr>
          <w:rFonts w:hint="eastAsia" w:ascii="宋体" w:hAnsi="宋体" w:cs="宋体"/>
          <w:b/>
          <w:color w:val="auto"/>
          <w:szCs w:val="21"/>
          <w:highlight w:val="none"/>
        </w:rPr>
        <w:t>21.2未在规定时间内提交或者未按照招标文件要求密封或者标记的电子投标文件，广西政府采购云平台将拒收。</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21.3电子版投标文件提交方式见“招标公告”</w:t>
      </w:r>
      <w:r>
        <w:rPr>
          <w:rFonts w:hint="eastAsia" w:ascii="宋体" w:hAnsi="宋体" w:cs="宋体"/>
          <w:b/>
          <w:color w:val="auto"/>
          <w:szCs w:val="21"/>
          <w:highlight w:val="none"/>
        </w:rPr>
        <w:t xml:space="preserve">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22. 投标文件的补充、修改、撤回</w:t>
      </w:r>
      <w:bookmarkStart w:id="144" w:name="_Toc254970684"/>
      <w:bookmarkStart w:id="145" w:name="_Toc254970543"/>
    </w:p>
    <w:p>
      <w:pPr>
        <w:spacing w:line="360" w:lineRule="auto"/>
        <w:ind w:firstLine="420" w:firstLineChars="200"/>
        <w:rPr>
          <w:rFonts w:ascii="宋体" w:hAnsi="宋体" w:cs="宋体"/>
          <w:color w:val="auto"/>
          <w:sz w:val="24"/>
          <w:highlight w:val="none"/>
        </w:rPr>
      </w:pPr>
      <w:r>
        <w:rPr>
          <w:rFonts w:hint="eastAsia" w:ascii="宋体" w:hAnsi="宋体" w:cs="宋体"/>
          <w:color w:val="auto"/>
          <w:szCs w:val="21"/>
          <w:highlight w:val="none"/>
        </w:rPr>
        <w:t>22.1 投标人应当在投标截止时间前完成投标文件的传输递交，并可以补充、修改或者撤回投标文件。补充或者修改投标文件的，应当先行撤回原文件，补充、修改后重新传输递交。投标截止时间前未完成传输的，视为撤回投标文件。投标截止时间后提交的投标文件，广西政府采购云平台将拒收。</w:t>
      </w:r>
    </w:p>
    <w:p>
      <w:pPr>
        <w:pStyle w:val="64"/>
        <w:spacing w:before="0"/>
        <w:ind w:firstLine="420"/>
        <w:rPr>
          <w:rFonts w:ascii="宋体" w:hAnsi="宋体" w:cs="宋体"/>
          <w:color w:val="auto"/>
          <w:sz w:val="21"/>
          <w:szCs w:val="21"/>
          <w:highlight w:val="none"/>
        </w:rPr>
      </w:pPr>
      <w:r>
        <w:rPr>
          <w:rFonts w:hint="eastAsia" w:ascii="宋体" w:hAnsi="宋体" w:cs="宋体"/>
          <w:color w:val="auto"/>
          <w:sz w:val="21"/>
          <w:szCs w:val="21"/>
          <w:highlight w:val="none"/>
        </w:rPr>
        <w:t>22.2广西政府采购云平台收到投标文件，将妥善保存并即时向投标人发出确认回执通知。在投标截止时间前，除投标人补充、修改或者撤回投标文件外，任何单位和个人不得解密或提取投标文件。</w:t>
      </w:r>
    </w:p>
    <w:bookmarkEnd w:id="144"/>
    <w:bookmarkEnd w:id="145"/>
    <w:p>
      <w:pPr>
        <w:pStyle w:val="15"/>
        <w:snapToGrid w:val="0"/>
        <w:spacing w:line="400" w:lineRule="exact"/>
        <w:ind w:firstLine="0"/>
        <w:rPr>
          <w:rFonts w:hAnsi="宋体" w:cs="宋体"/>
          <w:snapToGrid w:val="0"/>
          <w:color w:val="auto"/>
          <w:sz w:val="21"/>
          <w:szCs w:val="21"/>
          <w:highlight w:val="none"/>
        </w:rPr>
      </w:pPr>
    </w:p>
    <w:p>
      <w:pPr>
        <w:pStyle w:val="5"/>
        <w:keepNext w:val="0"/>
        <w:keepLines w:val="0"/>
        <w:spacing w:line="400" w:lineRule="exact"/>
        <w:jc w:val="center"/>
        <w:rPr>
          <w:rFonts w:ascii="宋体" w:hAnsi="宋体" w:cs="宋体"/>
          <w:color w:val="auto"/>
          <w:highlight w:val="none"/>
        </w:rPr>
      </w:pPr>
      <w:bookmarkStart w:id="146" w:name="_Toc254970544"/>
      <w:bookmarkStart w:id="147" w:name="_Toc6762"/>
      <w:bookmarkStart w:id="148" w:name="_Toc20620"/>
      <w:bookmarkStart w:id="149" w:name="_Toc13173"/>
      <w:bookmarkStart w:id="150" w:name="_Toc20871"/>
      <w:bookmarkStart w:id="151" w:name="_Toc254970685"/>
      <w:r>
        <w:rPr>
          <w:rFonts w:hint="eastAsia" w:ascii="宋体" w:hAnsi="宋体" w:cs="宋体"/>
          <w:color w:val="auto"/>
          <w:highlight w:val="none"/>
        </w:rPr>
        <w:t>四、开    标</w:t>
      </w:r>
      <w:bookmarkEnd w:id="146"/>
      <w:bookmarkEnd w:id="147"/>
      <w:bookmarkEnd w:id="148"/>
      <w:bookmarkEnd w:id="149"/>
      <w:bookmarkEnd w:id="150"/>
      <w:bookmarkEnd w:id="151"/>
    </w:p>
    <w:p>
      <w:pPr>
        <w:spacing w:line="360" w:lineRule="auto"/>
        <w:ind w:firstLine="480" w:firstLineChars="200"/>
        <w:rPr>
          <w:rFonts w:ascii="宋体" w:hAnsi="宋体" w:cs="宋体"/>
          <w:color w:val="auto"/>
          <w:sz w:val="24"/>
          <w:highlight w:val="none"/>
        </w:rPr>
      </w:pPr>
      <w:bookmarkStart w:id="152" w:name="_23.开标时间和地点"/>
      <w:bookmarkEnd w:id="152"/>
      <w:r>
        <w:rPr>
          <w:rFonts w:hint="eastAsia" w:ascii="宋体" w:hAnsi="宋体" w:cs="宋体"/>
          <w:color w:val="auto"/>
          <w:sz w:val="24"/>
          <w:highlight w:val="none"/>
        </w:rPr>
        <w:t>23.开标时间和地点</w:t>
      </w:r>
    </w:p>
    <w:p>
      <w:pPr>
        <w:spacing w:line="360" w:lineRule="auto"/>
        <w:ind w:firstLine="420" w:firstLineChars="200"/>
        <w:rPr>
          <w:rFonts w:ascii="宋体" w:hAnsi="宋体" w:cs="宋体"/>
          <w:bCs/>
          <w:color w:val="auto"/>
          <w:highlight w:val="none"/>
        </w:rPr>
      </w:pPr>
      <w:r>
        <w:rPr>
          <w:rFonts w:hint="eastAsia" w:ascii="宋体" w:hAnsi="宋体" w:cs="宋体"/>
          <w:bCs/>
          <w:color w:val="auto"/>
          <w:highlight w:val="none"/>
        </w:rPr>
        <w:t>23.1开标时间及地点详见“投标人须知前附表”</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23.2如</w:t>
      </w:r>
      <w:r>
        <w:rPr>
          <w:rFonts w:hint="eastAsia" w:ascii="宋体" w:hAnsi="宋体" w:cs="宋体"/>
          <w:bCs/>
          <w:color w:val="auto"/>
          <w:highlight w:val="none"/>
        </w:rPr>
        <w:t>投标人成功解密投标文件，但未在广西政府采购云平台电子开标大厅参加开标的，视同认可开标过程和结果，</w:t>
      </w:r>
      <w:r>
        <w:rPr>
          <w:rFonts w:hint="eastAsia" w:ascii="宋体" w:hAnsi="宋体" w:cs="宋体"/>
          <w:color w:val="auto"/>
          <w:highlight w:val="none"/>
        </w:rPr>
        <w:t>由此产生的后果由投标人自行负责。 投标人不足3家的，不得开标。</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24.开标程序</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24.1开标形式：</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（1）开标的准备工作由采购代理机构负责落实，采购代理机构必须基于广西政府采购云平台依法抽取评审专家，如采购代理机构未按规定抽取专家的，视为本次开评标无效，应当重新采购。</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采购代理机构将按照招标文件规定的时间通过广西政府采购云平台组织线上开标活动、开启投标文件，所有投标人均应当准时在线参加。投标人如不参加开标大会的，视同认可开标结果，事后不得对采购相关人员、开标过程和开标结果提出异议，同时投标人因未在线参加开标而导致投标文件无法按时解密等一切后果由投标人自己承担。</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24.2开标程序：</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1）解密电子投标文件。广西政府采购云平台按开标时间自动提取所有投标文件。采购代理机构依托广西政府采购云平台向各投标人发出电子加密投标文件【开始解密】通知，由投标人在规定的时间内自行将投标文件在线解密。投标人的法定代表人或其委托代理人须携带加密时所用的CA锁准时登录到广西政府采购云平台电子开标大厅签到并对电子投标文件在线解密。投标文件未按时解密的，均视为无效投标。</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（解密异常情况处理：详见本章29.3 电子交易活动的中止。）</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（2）电子唱标。投标文件解密结束，各投标人报价均在广西政府采购云平台远程不见面开标大厅展示。</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（3）开标过程由采购代理机构如实记录，并电子留痕，由参加电子开标的各投标人代表对电子开标记录在开标记录公布后15分钟内进行当场校核及勘误，并线上确认，未确认的视同认可开标结果。</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4）投标人代表对开标过程和开标记录有疑义，以及认为采购人、采购代理机构相关工作人员有需要回避的情形的，应当场提出在线询问或者回避申请。采购人、采购代理机构对投标人代表提出的询问或者回避申请应当及时处理。</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（5）开标结束。</w:t>
      </w:r>
    </w:p>
    <w:p>
      <w:pPr>
        <w:pStyle w:val="17"/>
        <w:snapToGrid w:val="0"/>
        <w:spacing w:line="440" w:lineRule="exact"/>
        <w:ind w:firstLine="422" w:firstLineChars="200"/>
        <w:rPr>
          <w:rFonts w:hAnsi="宋体" w:cs="宋体"/>
          <w:color w:val="auto"/>
          <w:szCs w:val="21"/>
          <w:highlight w:val="none"/>
        </w:rPr>
      </w:pPr>
      <w:r>
        <w:rPr>
          <w:rFonts w:hint="eastAsia" w:hAnsi="宋体" w:cs="宋体"/>
          <w:b/>
          <w:bCs/>
          <w:color w:val="auto"/>
          <w:szCs w:val="21"/>
          <w:highlight w:val="none"/>
        </w:rPr>
        <w:t>特别说明：</w:t>
      </w:r>
      <w:r>
        <w:rPr>
          <w:rFonts w:hint="eastAsia" w:hAnsi="宋体" w:cs="宋体"/>
          <w:color w:val="auto"/>
          <w:szCs w:val="21"/>
          <w:highlight w:val="none"/>
        </w:rPr>
        <w:t>如遇广西政府采购云平台电子化开标或评审程序调整的，按调整后执行。</w:t>
      </w:r>
    </w:p>
    <w:p>
      <w:pPr>
        <w:pStyle w:val="10"/>
        <w:ind w:left="0"/>
        <w:rPr>
          <w:rFonts w:ascii="宋体" w:hAnsi="宋体" w:cs="宋体"/>
          <w:color w:val="auto"/>
          <w:highlight w:val="none"/>
        </w:rPr>
      </w:pPr>
      <w:bookmarkStart w:id="153" w:name="_Toc29757"/>
      <w:bookmarkStart w:id="154" w:name="_Toc31687"/>
      <w:bookmarkStart w:id="155" w:name="_Toc30961"/>
      <w:bookmarkStart w:id="156" w:name="_Toc10935"/>
    </w:p>
    <w:p>
      <w:pPr>
        <w:pStyle w:val="5"/>
        <w:keepNext w:val="0"/>
        <w:keepLines w:val="0"/>
        <w:spacing w:line="360" w:lineRule="auto"/>
        <w:jc w:val="center"/>
        <w:rPr>
          <w:rFonts w:ascii="宋体" w:hAnsi="宋体" w:cs="宋体"/>
          <w:color w:val="auto"/>
          <w:highlight w:val="none"/>
        </w:rPr>
      </w:pPr>
      <w:r>
        <w:rPr>
          <w:rFonts w:hint="eastAsia" w:ascii="宋体" w:hAnsi="宋体" w:cs="宋体"/>
          <w:color w:val="auto"/>
          <w:highlight w:val="none"/>
        </w:rPr>
        <w:t>五、资格审查</w:t>
      </w:r>
      <w:bookmarkEnd w:id="153"/>
      <w:bookmarkEnd w:id="154"/>
      <w:bookmarkEnd w:id="155"/>
      <w:bookmarkEnd w:id="156"/>
    </w:p>
    <w:p>
      <w:pPr>
        <w:pStyle w:val="7"/>
        <w:keepNext w:val="0"/>
        <w:keepLines w:val="0"/>
        <w:spacing w:before="0" w:after="0" w:line="360" w:lineRule="auto"/>
        <w:ind w:firstLine="482" w:firstLineChars="200"/>
        <w:rPr>
          <w:rFonts w:ascii="宋体" w:hAnsi="宋体" w:cs="宋体"/>
          <w:color w:val="auto"/>
          <w:sz w:val="24"/>
          <w:highlight w:val="none"/>
        </w:rPr>
      </w:pPr>
      <w:r>
        <w:rPr>
          <w:rFonts w:hint="eastAsia" w:ascii="宋体" w:hAnsi="宋体" w:cs="宋体"/>
          <w:color w:val="auto"/>
          <w:sz w:val="24"/>
          <w:highlight w:val="none"/>
        </w:rPr>
        <w:t>25.资格审查</w:t>
      </w:r>
    </w:p>
    <w:p>
      <w:pPr>
        <w:spacing w:line="360" w:lineRule="auto"/>
        <w:ind w:firstLine="422" w:firstLineChars="200"/>
        <w:rPr>
          <w:rFonts w:ascii="宋体" w:hAnsi="宋体" w:cs="宋体"/>
          <w:b/>
          <w:bCs/>
          <w:color w:val="auto"/>
          <w:szCs w:val="20"/>
          <w:highlight w:val="none"/>
        </w:rPr>
      </w:pPr>
      <w:r>
        <w:rPr>
          <w:rFonts w:hint="eastAsia" w:ascii="宋体" w:hAnsi="宋体" w:cs="宋体"/>
          <w:b/>
          <w:bCs/>
          <w:color w:val="auto"/>
          <w:szCs w:val="20"/>
          <w:highlight w:val="none"/>
        </w:rPr>
        <w:t>25.1开标结束后，采购人或采购代理机构依法通过电子投标文件对投标人的资格进行线上审查。</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25.2资格审查标准为本“招标文件”中“投标人须知前附表”13.1点载明对投标人资格要求的条件。本项目资格审查采用合格制，凡符合招标文件规定的投标人资格要求的投标人均通过资格审查。</w:t>
      </w:r>
    </w:p>
    <w:p>
      <w:pPr>
        <w:spacing w:line="360" w:lineRule="auto"/>
        <w:ind w:firstLine="422" w:firstLineChars="200"/>
        <w:rPr>
          <w:rFonts w:ascii="宋体" w:hAnsi="宋体" w:cs="宋体"/>
          <w:b/>
          <w:bCs/>
          <w:color w:val="auto"/>
          <w:szCs w:val="20"/>
          <w:highlight w:val="none"/>
        </w:rPr>
      </w:pPr>
      <w:bookmarkStart w:id="157" w:name="_25.3_投标人有下列情形之一的，资格审查不通过而导致其投标无效："/>
      <w:bookmarkEnd w:id="157"/>
      <w:r>
        <w:rPr>
          <w:rFonts w:hint="eastAsia" w:ascii="宋体" w:hAnsi="宋体" w:cs="宋体"/>
          <w:b/>
          <w:bCs/>
          <w:color w:val="auto"/>
          <w:szCs w:val="20"/>
          <w:highlight w:val="none"/>
        </w:rPr>
        <w:t>25.3投标人有下列情形之一的，资格审查不通过，作无效投标处理：</w:t>
      </w:r>
    </w:p>
    <w:p>
      <w:pPr>
        <w:spacing w:line="360" w:lineRule="auto"/>
        <w:ind w:firstLine="420" w:firstLineChars="200"/>
        <w:rPr>
          <w:rFonts w:ascii="宋体" w:hAnsi="宋体" w:cs="宋体"/>
          <w:color w:val="auto"/>
          <w:highlight w:val="none"/>
        </w:rPr>
      </w:pPr>
      <w:r>
        <w:rPr>
          <w:rFonts w:hint="eastAsia" w:hAnsi="宋体"/>
          <w:color w:val="auto"/>
          <w:highlight w:val="none"/>
        </w:rPr>
        <w:t>（1）不具备招标文件中规定的资格要求的。（注：其中信用查询规则见“投标人须知前附表”，广西政府采购云平台已与“信用中国”平台做接口，</w:t>
      </w:r>
      <w:r>
        <w:rPr>
          <w:rFonts w:hint="eastAsia" w:ascii="宋体" w:hAnsi="宋体" w:cs="宋体"/>
          <w:color w:val="auto"/>
          <w:szCs w:val="20"/>
          <w:highlight w:val="none"/>
        </w:rPr>
        <w:t>采购人或者采购代理机构</w:t>
      </w:r>
      <w:r>
        <w:rPr>
          <w:rFonts w:hint="eastAsia" w:ascii="宋体" w:hAnsi="宋体" w:cs="宋体"/>
          <w:color w:val="auto"/>
          <w:highlight w:val="none"/>
        </w:rPr>
        <w:t>可直接在线查询）</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（2）投标文件未提供任一项“投标人须知前附表”资格证明文件规定的“必须提供”的文件资料的。</w:t>
      </w:r>
    </w:p>
    <w:p>
      <w:pPr>
        <w:spacing w:line="360" w:lineRule="auto"/>
        <w:ind w:firstLine="420" w:firstLineChars="200"/>
        <w:rPr>
          <w:color w:val="auto"/>
          <w:highlight w:val="none"/>
        </w:rPr>
      </w:pPr>
      <w:r>
        <w:rPr>
          <w:rFonts w:hint="eastAsia" w:ascii="宋体" w:hAnsi="宋体" w:cs="宋体"/>
          <w:color w:val="auto"/>
          <w:highlight w:val="none"/>
        </w:rPr>
        <w:t>（3）投标文件提供的资格证明文件出现任一项不符合“投标人须知前附表”资格证明文件规定的“必须提供”的文件资料要求或者无效的。</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（4）同一合同项下的不同供应商，单位负责人为同一人或者存在直接控股、管理关系的；为本项目提供过整体设计、规范编制或者项目管理、监理、检测等服务的。</w:t>
      </w:r>
    </w:p>
    <w:p>
      <w:pPr>
        <w:pStyle w:val="7"/>
        <w:keepNext w:val="0"/>
        <w:keepLines w:val="0"/>
        <w:spacing w:before="0" w:after="0" w:line="360" w:lineRule="auto"/>
        <w:ind w:firstLine="420" w:firstLineChars="200"/>
        <w:rPr>
          <w:rFonts w:ascii="宋体" w:hAnsi="宋体" w:cs="宋体"/>
          <w:b w:val="0"/>
          <w:bCs w:val="0"/>
          <w:color w:val="auto"/>
          <w:sz w:val="21"/>
          <w:szCs w:val="20"/>
          <w:highlight w:val="none"/>
        </w:rPr>
      </w:pPr>
      <w:r>
        <w:rPr>
          <w:rFonts w:hint="eastAsia" w:ascii="宋体" w:hAnsi="宋体" w:cs="宋体"/>
          <w:b w:val="0"/>
          <w:bCs w:val="0"/>
          <w:color w:val="auto"/>
          <w:sz w:val="21"/>
          <w:szCs w:val="20"/>
          <w:highlight w:val="none"/>
        </w:rPr>
        <w:t>25.4资格审查的合格投标人不足3家的，不得评标。</w:t>
      </w:r>
    </w:p>
    <w:p>
      <w:pPr>
        <w:pStyle w:val="5"/>
        <w:keepNext w:val="0"/>
        <w:keepLines w:val="0"/>
        <w:spacing w:line="360" w:lineRule="auto"/>
        <w:jc w:val="center"/>
        <w:rPr>
          <w:rFonts w:ascii="宋体" w:hAnsi="宋体" w:cs="宋体"/>
          <w:color w:val="auto"/>
          <w:highlight w:val="none"/>
        </w:rPr>
      </w:pPr>
      <w:bookmarkStart w:id="158" w:name="_Toc23135"/>
      <w:bookmarkStart w:id="159" w:name="_Toc10753"/>
      <w:bookmarkStart w:id="160" w:name="_Toc17458"/>
      <w:bookmarkStart w:id="161" w:name="_Toc29675"/>
    </w:p>
    <w:p>
      <w:pPr>
        <w:pStyle w:val="5"/>
        <w:keepNext w:val="0"/>
        <w:keepLines w:val="0"/>
        <w:spacing w:line="360" w:lineRule="auto"/>
        <w:jc w:val="center"/>
        <w:rPr>
          <w:rFonts w:ascii="宋体" w:hAnsi="宋体" w:cs="宋体"/>
          <w:color w:val="auto"/>
          <w:highlight w:val="none"/>
        </w:rPr>
      </w:pPr>
      <w:r>
        <w:rPr>
          <w:rFonts w:hint="eastAsia" w:ascii="宋体" w:hAnsi="宋体" w:cs="宋体"/>
          <w:color w:val="auto"/>
          <w:highlight w:val="none"/>
        </w:rPr>
        <w:t>六、评   标</w:t>
      </w:r>
      <w:bookmarkEnd w:id="158"/>
      <w:bookmarkEnd w:id="159"/>
      <w:bookmarkEnd w:id="160"/>
      <w:bookmarkEnd w:id="161"/>
    </w:p>
    <w:p>
      <w:pPr>
        <w:spacing w:line="360" w:lineRule="auto"/>
        <w:ind w:firstLine="480" w:firstLineChars="200"/>
        <w:rPr>
          <w:rFonts w:ascii="宋体" w:hAnsi="宋体" w:cs="宋体"/>
          <w:color w:val="auto"/>
          <w:sz w:val="24"/>
          <w:highlight w:val="none"/>
        </w:rPr>
      </w:pPr>
      <w:bookmarkStart w:id="162" w:name="_26.组建评标委员会"/>
      <w:bookmarkEnd w:id="162"/>
      <w:r>
        <w:rPr>
          <w:rFonts w:hint="eastAsia" w:ascii="宋体" w:hAnsi="宋体" w:cs="宋体"/>
          <w:color w:val="auto"/>
          <w:sz w:val="24"/>
          <w:highlight w:val="none"/>
        </w:rPr>
        <w:t>26.组建评标委员会</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评标委员会由采购人代表和评审专家组成，人数为5人以上单数，其中评审专家不得少于成员总数的三分之二。</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参加过采购项目前期咨询论证的专家，不得参加该采购项目的评审活动。</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27.评标的依据</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评标委员会以招标文件为依据对投标文件进行评审，“第四章 评标方法和评标标准”没有规定的方法、评审因素和标准，不作为评标依据。</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28.评标原则</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28.1评标原则。评标委员会评标时必须公平、公正、客观，不带任何倾向性和启发性。不得向外界透露任何与评标有关的内容。任何单位和个人不得干扰、影响评标的正常进行。评标委员会及有关工作人员不得私下与投标人接触，不得收受利害关系人的财物或者其他好处。</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28.2评标的保密。采购人、采购代理机构应当采取必要措施，保证评标在严格保密（封闭式评标）的情况下进行。除采购人代表、评标现场组织人员外，采购人的其他工作人员以及与评标工作无关的人员不得进入评标现场。有关人员对评标情况以及在评标过程中获悉的国家秘密、商业秘密负有保密责任。</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28.3评标过程的监控。本项目电子评标过程实行网上留痕、全程录音、录像监控，投标人在评标过程中所进行的试图影响评标结果的不公正活动，可能导致其投标作无效处理。</w:t>
      </w:r>
    </w:p>
    <w:p>
      <w:pPr>
        <w:pStyle w:val="21"/>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4"/>
          <w:highlight w:val="none"/>
        </w:rPr>
        <w:t>28.4</w:t>
      </w:r>
      <w:r>
        <w:rPr>
          <w:rFonts w:hint="eastAsia" w:ascii="宋体" w:hAnsi="宋体" w:cs="宋体"/>
          <w:color w:val="auto"/>
          <w:sz w:val="21"/>
          <w:szCs w:val="21"/>
          <w:highlight w:val="none"/>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29.评标方法和评标标准</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29.1本项目的评标方法详见“投标人须知前附表”。</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29.2 评标委员会按照</w:t>
      </w:r>
      <w:r>
        <w:rPr>
          <w:rFonts w:hint="eastAsia" w:ascii="宋体" w:hAnsi="宋体" w:cs="宋体"/>
          <w:b/>
          <w:color w:val="auto"/>
          <w:highlight w:val="none"/>
        </w:rPr>
        <w:t>“第四章 评标方法和评标标准”</w:t>
      </w:r>
      <w:r>
        <w:rPr>
          <w:rFonts w:hint="eastAsia" w:ascii="宋体" w:hAnsi="宋体" w:cs="宋体"/>
          <w:color w:val="auto"/>
          <w:highlight w:val="none"/>
        </w:rPr>
        <w:t>规定的方法、评审因素、标准和程序对投标文件进行评审。</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29.3 电子交易活动的中止。采购过程中出现以下情形，导致电子交易平台无法正常运行，或者无法保证电子交易的公平、公正和安全时，采购机构可中止电子交易活动：</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 xml:space="preserve">（1）电子交易平台发生故障而无法登录访问的。 </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（2）电子交易平台应用或数据库出现错误，不能进行正常操作的。</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（3）电子交易平台发现严重安全漏洞，有潜在泄密危险的。</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 xml:space="preserve">（4）病毒发作导致不能进行正常操作的。 </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（5）其他无法保证电子交易的公平、公正和安全的情况。</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29.4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pPr>
        <w:pStyle w:val="17"/>
        <w:snapToGrid w:val="0"/>
        <w:spacing w:line="400" w:lineRule="exact"/>
        <w:ind w:firstLine="420" w:firstLineChars="200"/>
        <w:rPr>
          <w:rFonts w:hAnsi="宋体" w:cs="宋体"/>
          <w:color w:val="auto"/>
          <w:highlight w:val="none"/>
        </w:rPr>
      </w:pPr>
    </w:p>
    <w:p>
      <w:pPr>
        <w:pStyle w:val="5"/>
        <w:keepNext w:val="0"/>
        <w:keepLines w:val="0"/>
        <w:spacing w:line="400" w:lineRule="exact"/>
        <w:jc w:val="center"/>
        <w:rPr>
          <w:rFonts w:ascii="宋体" w:hAnsi="宋体" w:cs="宋体"/>
          <w:color w:val="auto"/>
          <w:highlight w:val="none"/>
        </w:rPr>
      </w:pPr>
      <w:bookmarkStart w:id="163" w:name="_Toc254970687"/>
      <w:bookmarkStart w:id="164" w:name="_Toc254970546"/>
      <w:bookmarkStart w:id="165" w:name="_Toc6053"/>
      <w:bookmarkStart w:id="166" w:name="_Toc16461"/>
      <w:bookmarkStart w:id="167" w:name="_Toc11609"/>
      <w:bookmarkStart w:id="168" w:name="_Toc20927"/>
      <w:r>
        <w:rPr>
          <w:rFonts w:hint="eastAsia" w:ascii="宋体" w:hAnsi="宋体" w:cs="宋体"/>
          <w:color w:val="auto"/>
          <w:highlight w:val="none"/>
        </w:rPr>
        <w:t>七、</w:t>
      </w:r>
      <w:bookmarkEnd w:id="163"/>
      <w:bookmarkEnd w:id="164"/>
      <w:r>
        <w:rPr>
          <w:rFonts w:hint="eastAsia" w:ascii="宋体" w:hAnsi="宋体" w:cs="宋体"/>
          <w:color w:val="auto"/>
          <w:highlight w:val="none"/>
        </w:rPr>
        <w:t>中标和合同</w:t>
      </w:r>
      <w:bookmarkEnd w:id="165"/>
      <w:bookmarkEnd w:id="166"/>
      <w:bookmarkEnd w:id="167"/>
      <w:bookmarkEnd w:id="168"/>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30.确定中标人</w:t>
      </w:r>
    </w:p>
    <w:p>
      <w:pPr>
        <w:spacing w:line="360" w:lineRule="auto"/>
        <w:ind w:firstLine="420" w:firstLineChars="200"/>
        <w:rPr>
          <w:rFonts w:ascii="宋体" w:hAnsi="宋体" w:cs="宋体"/>
          <w:b/>
          <w:bCs/>
          <w:color w:val="auto"/>
          <w:szCs w:val="21"/>
          <w:highlight w:val="none"/>
        </w:rPr>
      </w:pPr>
      <w:r>
        <w:rPr>
          <w:rFonts w:hint="eastAsia" w:ascii="宋体" w:hAnsi="宋体" w:cs="宋体"/>
          <w:color w:val="auto"/>
          <w:szCs w:val="21"/>
          <w:highlight w:val="none"/>
        </w:rPr>
        <w:t>30.1</w:t>
      </w:r>
      <w:r>
        <w:rPr>
          <w:rFonts w:hint="eastAsia" w:ascii="宋体" w:hAnsi="宋体" w:cs="宋体"/>
          <w:color w:val="auto"/>
          <w:highlight w:val="none"/>
        </w:rPr>
        <w:t>采购人在收到评标委员会出具的评标报告之日起5个工作日内在评标报告推荐的中标候选人名单中按顺序确定中标人。采购人也可以事先授权评标委员会直接确定中标人。</w:t>
      </w:r>
      <w:r>
        <w:rPr>
          <w:rFonts w:ascii="宋体" w:hAnsi="宋体" w:cs="宋体"/>
          <w:color w:val="auto"/>
          <w:highlight w:val="none"/>
        </w:rPr>
        <w:t>中标候选人并列的，由采购人或者采购人委托评标委员会按照</w:t>
      </w:r>
      <w:r>
        <w:rPr>
          <w:rFonts w:hint="eastAsia" w:ascii="宋体" w:hAnsi="宋体" w:cs="宋体"/>
          <w:color w:val="auto"/>
          <w:highlight w:val="none"/>
        </w:rPr>
        <w:t>“投标人须知前附表”</w:t>
      </w:r>
      <w:r>
        <w:rPr>
          <w:rFonts w:ascii="宋体" w:hAnsi="宋体" w:cs="宋体"/>
          <w:color w:val="auto"/>
          <w:highlight w:val="none"/>
        </w:rPr>
        <w:t>规定的方式确定中标人</w:t>
      </w:r>
      <w:r>
        <w:rPr>
          <w:rFonts w:hint="eastAsia" w:ascii="宋体" w:hAnsi="宋体" w:cs="宋体"/>
          <w:color w:val="auto"/>
          <w:highlight w:val="none"/>
        </w:rPr>
        <w:t>。</w:t>
      </w:r>
      <w:r>
        <w:rPr>
          <w:rFonts w:ascii="宋体" w:hAnsi="宋体" w:cs="宋体"/>
          <w:color w:val="auto"/>
          <w:highlight w:val="none"/>
        </w:rPr>
        <w:t>招标文件未规定的，采取随机抽取的方式确定。</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30.2采购人、采购代理机构认为供应商对采购过程、中标结果提出的质疑成立且影响或者可能影响中标结果的，合格供应商符合法定数量时，可以从合格的中标候选人中另行确定中标人的，应当依法另行确定中标人。否则应当重新开展采购活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30.3中标人无正当理由拒签合同的，根据《中华人民共和国政府采购法》第七十七条第一款规定处理。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30.4根据《中华人民共和国民法典》</w:t>
      </w:r>
      <w:r>
        <w:rPr>
          <w:rFonts w:hint="eastAsia" w:ascii="宋体" w:hAnsi="宋体" w:cs="宋体"/>
          <w:color w:val="auto"/>
          <w:sz w:val="19"/>
          <w:szCs w:val="19"/>
          <w:highlight w:val="none"/>
        </w:rPr>
        <w:t>第五百六十三条</w:t>
      </w:r>
      <w:r>
        <w:rPr>
          <w:rFonts w:hint="eastAsia" w:ascii="宋体" w:hAnsi="宋体" w:cs="宋体"/>
          <w:color w:val="auto"/>
          <w:szCs w:val="21"/>
          <w:highlight w:val="none"/>
        </w:rPr>
        <w:t>，因不可抗力致使不能实现合同目的的，当事人可以解除合同。</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31. 结果公告</w:t>
      </w:r>
    </w:p>
    <w:p>
      <w:pPr>
        <w:spacing w:line="360" w:lineRule="auto"/>
        <w:ind w:firstLine="420" w:firstLineChars="200"/>
        <w:rPr>
          <w:rFonts w:ascii="宋体" w:hAnsi="宋体" w:cs="宋体"/>
          <w:color w:val="auto"/>
          <w:highlight w:val="none"/>
        </w:rPr>
      </w:pPr>
      <w:r>
        <w:rPr>
          <w:rFonts w:hint="eastAsia" w:ascii="宋体" w:hAnsi="宋体" w:cs="宋体"/>
          <w:color w:val="auto"/>
          <w:szCs w:val="21"/>
          <w:highlight w:val="none"/>
        </w:rPr>
        <w:t>31.1</w:t>
      </w:r>
      <w:r>
        <w:rPr>
          <w:rFonts w:hint="eastAsia" w:ascii="宋体" w:hAnsi="宋体" w:cs="宋体"/>
          <w:color w:val="auto"/>
          <w:highlight w:val="none"/>
        </w:rPr>
        <w:t>在中标人确定之日起2个工作日内，由采购代理机构</w:t>
      </w:r>
      <w:r>
        <w:rPr>
          <w:rFonts w:hint="eastAsia" w:ascii="宋体" w:hAnsi="宋体" w:cs="宋体"/>
          <w:color w:val="auto"/>
          <w:szCs w:val="21"/>
          <w:highlight w:val="none"/>
        </w:rPr>
        <w:t>在招标公告发布媒体上</w:t>
      </w:r>
      <w:r>
        <w:rPr>
          <w:rFonts w:hint="eastAsia" w:ascii="宋体" w:hAnsi="宋体" w:cs="宋体"/>
          <w:color w:val="auto"/>
          <w:highlight w:val="none"/>
        </w:rPr>
        <w:t>发布中标结果公告，中标结果公告期限为1个工作日，发布中标结果公告的同时向中标人发出中标通知书。</w:t>
      </w:r>
      <w:r>
        <w:rPr>
          <w:rFonts w:hint="eastAsia" w:ascii="宋体" w:hAnsi="宋体" w:cs="宋体"/>
          <w:color w:val="auto"/>
          <w:szCs w:val="21"/>
          <w:highlight w:val="none"/>
        </w:rPr>
        <w:t>采购代理机构发出中标通知书前，应当对中标人信用进行核实，对列入失信被执行人、重大税收违法失信主体、政府采购严重违法失信行为记录名单及其他不符合《中华人民共和国政府采购法》第二十二条规定条件的投标人，取消其中标资格，并依法确定排名第二的中标候选人为中标人。排名第二的中标候选人因前款规定的同样原因被取消中标资格的，采购人可以依法确定排名第三的中标候选人为中标人，以此类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以上信息查询记录及相关证据与采购文件一并保存。</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31.2中小企业在政府采购活动过程中，请根据企业的真实情况出具《中小企业声明函》。依法享受中小企业扶持政策的，采购人或者采购代理机构在公告中标结果时，同时公告其《中小企业声明函》，接受社会监督。</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32.发出中标通知书</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32.1在发布中标公告的同时，采购代理机构向中标人通过广西政府采购云平台发出电子中标通知书。</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32.2对未通过资格审查的投标人，采购人或采购代理机构应当告知其未通过的原因。采用综合评分办法评审的，采购人或采购机构还应当告知未中标人本人的评审得分与排序。</w:t>
      </w:r>
    </w:p>
    <w:p>
      <w:pPr>
        <w:spacing w:line="360" w:lineRule="auto"/>
        <w:ind w:firstLine="480" w:firstLineChars="200"/>
        <w:rPr>
          <w:rFonts w:ascii="宋体" w:hAnsi="宋体" w:cs="宋体"/>
          <w:bCs/>
          <w:color w:val="auto"/>
          <w:sz w:val="24"/>
          <w:highlight w:val="none"/>
        </w:rPr>
      </w:pPr>
      <w:r>
        <w:rPr>
          <w:rFonts w:hint="eastAsia" w:ascii="宋体" w:hAnsi="宋体" w:cs="宋体"/>
          <w:bCs/>
          <w:color w:val="auto"/>
          <w:sz w:val="24"/>
          <w:highlight w:val="none"/>
        </w:rPr>
        <w:t>33. 无义务解释未中标原因</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采购代理机构无义务向未中标的投标人解释未中标原因和退还投标文件。</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34.合同授予标准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合同将授予被确定实质上响应招标文件要求，具备履行合同能力的中标人（招标文件另有约定多名中标人的除外）。</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35.履约保证金</w:t>
      </w:r>
    </w:p>
    <w:p>
      <w:pPr>
        <w:pStyle w:val="7"/>
        <w:keepNext w:val="0"/>
        <w:keepLines w:val="0"/>
        <w:spacing w:before="0" w:after="0" w:line="360" w:lineRule="auto"/>
        <w:ind w:firstLine="315" w:firstLineChars="150"/>
        <w:rPr>
          <w:rFonts w:ascii="宋体" w:hAnsi="宋体" w:cs="宋体"/>
          <w:b w:val="0"/>
          <w:color w:val="auto"/>
          <w:sz w:val="21"/>
          <w:szCs w:val="21"/>
          <w:highlight w:val="none"/>
        </w:rPr>
      </w:pPr>
      <w:bookmarkStart w:id="169" w:name="_39.1中标人须于签订合同前按本须知前附表规定的金额转账或电汇到指定账"/>
      <w:bookmarkEnd w:id="169"/>
      <w:r>
        <w:rPr>
          <w:rFonts w:hint="eastAsia" w:ascii="宋体" w:hAnsi="宋体" w:cs="宋体"/>
          <w:b w:val="0"/>
          <w:color w:val="auto"/>
          <w:sz w:val="21"/>
          <w:szCs w:val="21"/>
          <w:highlight w:val="none"/>
        </w:rPr>
        <w:t xml:space="preserve"> 35.1 履约保证金的金额、提交方式、退付的时间和条件详见 “投标人须知前附表”。中标人未按规定提交履约保证金的，视为拒绝与采购人签订合同，采购人可以按照评标报告推荐的中标候选人名单排序，依法确定下一候选人为中标人，也可以重新开展政府采购活动。</w:t>
      </w:r>
    </w:p>
    <w:p>
      <w:pPr>
        <w:pStyle w:val="7"/>
        <w:keepNext w:val="0"/>
        <w:keepLines w:val="0"/>
        <w:spacing w:before="0" w:after="0" w:line="360" w:lineRule="auto"/>
        <w:ind w:firstLine="315" w:firstLineChars="150"/>
        <w:rPr>
          <w:rFonts w:ascii="宋体" w:hAnsi="宋体" w:cs="宋体"/>
          <w:b w:val="0"/>
          <w:color w:val="auto"/>
          <w:sz w:val="21"/>
          <w:szCs w:val="21"/>
          <w:highlight w:val="none"/>
        </w:rPr>
      </w:pPr>
      <w:r>
        <w:rPr>
          <w:rFonts w:hint="eastAsia" w:ascii="宋体" w:hAnsi="宋体" w:cs="宋体"/>
          <w:b w:val="0"/>
          <w:color w:val="auto"/>
          <w:sz w:val="21"/>
          <w:szCs w:val="21"/>
          <w:highlight w:val="none"/>
        </w:rPr>
        <w:t xml:space="preserve"> 35.2签订合同后，如中标人不按双方签订的合同规定履约，则没收其全部履约保证金，履约保证金不足以赔偿损失的，按实际损失赔偿。</w:t>
      </w:r>
    </w:p>
    <w:p>
      <w:pPr>
        <w:pStyle w:val="7"/>
        <w:keepNext w:val="0"/>
        <w:keepLines w:val="0"/>
        <w:spacing w:before="0" w:after="0" w:line="360" w:lineRule="auto"/>
        <w:ind w:firstLine="420" w:firstLineChars="200"/>
        <w:rPr>
          <w:rFonts w:ascii="宋体" w:hAnsi="宋体" w:cs="宋体"/>
          <w:b w:val="0"/>
          <w:color w:val="auto"/>
          <w:sz w:val="21"/>
          <w:szCs w:val="21"/>
          <w:highlight w:val="none"/>
        </w:rPr>
      </w:pPr>
      <w:r>
        <w:rPr>
          <w:rFonts w:hint="eastAsia" w:ascii="宋体" w:hAnsi="宋体" w:cs="宋体"/>
          <w:b w:val="0"/>
          <w:color w:val="auto"/>
          <w:sz w:val="21"/>
          <w:szCs w:val="21"/>
          <w:highlight w:val="none"/>
        </w:rPr>
        <w:t>35.3在履约保证金退还日期前，若中标人的开户名称、开户银行、账号有变动的，请以书面形式通知履约保证金收取单位，否则由此产生的后果由中标人自行承担。</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36.签订合同</w:t>
      </w:r>
    </w:p>
    <w:p>
      <w:pPr>
        <w:spacing w:line="360" w:lineRule="auto"/>
        <w:ind w:firstLine="420" w:firstLineChars="200"/>
        <w:rPr>
          <w:rFonts w:ascii="宋体" w:hAnsi="宋体" w:cs="宋体"/>
          <w:color w:val="auto"/>
          <w:szCs w:val="21"/>
          <w:highlight w:val="none"/>
        </w:rPr>
      </w:pPr>
      <w:bookmarkStart w:id="170" w:name="_40.1投标人接到中标通知书后，按须知前附表规定向采购人出示相关资格证"/>
      <w:bookmarkEnd w:id="170"/>
      <w:r>
        <w:rPr>
          <w:rFonts w:hint="eastAsia" w:ascii="宋体" w:hAnsi="宋体" w:cs="宋体"/>
          <w:color w:val="auto"/>
          <w:szCs w:val="21"/>
          <w:highlight w:val="none"/>
        </w:rPr>
        <w:t>36.1中标人在中标通知书发出之日起，按规定的日期、时间、地点，由法定代表人或其授权代表与采购人代表签订采购合同。如中标人为联合体的，由联合体成员各方法定代表人或其授权代表与采购人代表签订合同，签订携带资料详见“投标人须知前附表”。（适用于签订纸质合同的情形）</w:t>
      </w:r>
    </w:p>
    <w:p>
      <w:pPr>
        <w:spacing w:line="360" w:lineRule="auto"/>
        <w:ind w:firstLine="420" w:firstLineChars="200"/>
        <w:rPr>
          <w:rFonts w:ascii="宋体" w:hAnsi="宋体"/>
          <w:color w:val="auto"/>
          <w:szCs w:val="21"/>
          <w:highlight w:val="none"/>
          <w:lang w:val="zh-CN"/>
        </w:rPr>
      </w:pPr>
      <w:r>
        <w:rPr>
          <w:rFonts w:hint="eastAsia" w:ascii="宋体" w:hAnsi="宋体"/>
          <w:color w:val="auto"/>
          <w:szCs w:val="21"/>
          <w:highlight w:val="none"/>
          <w:lang w:val="zh-CN"/>
        </w:rPr>
        <w:t>36.2采购合同由采购人与中标人根据招标文件、投标文件等内容通过政府采购电子交易平台在线签订，自动备案。（适用于签订电子合同的情形）</w:t>
      </w:r>
    </w:p>
    <w:p>
      <w:pPr>
        <w:spacing w:line="360" w:lineRule="auto"/>
        <w:ind w:firstLine="420" w:firstLineChars="200"/>
        <w:rPr>
          <w:rFonts w:ascii="宋体" w:hAnsi="宋体"/>
          <w:color w:val="auto"/>
          <w:szCs w:val="21"/>
          <w:highlight w:val="none"/>
          <w:lang w:val="zh-CN"/>
        </w:rPr>
      </w:pPr>
      <w:r>
        <w:rPr>
          <w:rFonts w:hint="eastAsia" w:ascii="宋体" w:hAnsi="宋体"/>
          <w:color w:val="auto"/>
          <w:szCs w:val="21"/>
          <w:highlight w:val="none"/>
          <w:lang w:val="zh-CN"/>
        </w:rPr>
        <w:t>采购合同由采购人与中标人根据招标文件、投标文件等内容签订。（适用于签订纸质合同的情形）</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36.3签订合同时间：按中标通知书规定的时间与采购人签订合同。</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36.4中标人拒绝与采购人签订合同的，采购人可以按照评审报告推荐的中标候选人名单排序，依法确定下一候选人为中标人，也可以重新开展政府采购活动。如采购人无正当理由拒签合同的，给中标人造成损失的，中标人可追究采购人承担相应的法律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36.5政府采购合同是政府采购项目验收的依据，中标人和采购人应当按照采购合同约定的各自的权利和义务全面履行合同。任何一方当事人在履行合同过程中均不得擅自变更、中止或终止合同。政府采购合同继续履行将损害国家利益和社会公共利益的，双方当事人应当变更、中止或终止合同。有过错的一方应当承担赔偿责任，双方都有过错的，各自承担相应的责任。</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36.6采购人或中标人不得单方面向合同另一方提出任何招标文件没有约定的条件或不合理的要求，作为签订合同的条件。也不得协商另行订立背离招标文件和合同实质性内容的协议。</w:t>
      </w:r>
    </w:p>
    <w:p>
      <w:pPr>
        <w:spacing w:line="360" w:lineRule="auto"/>
        <w:ind w:firstLine="420" w:firstLineChars="200"/>
        <w:rPr>
          <w:rFonts w:ascii="宋体" w:hAnsi="宋体" w:cs="宋体"/>
          <w:b/>
          <w:color w:val="auto"/>
          <w:szCs w:val="21"/>
          <w:highlight w:val="none"/>
        </w:rPr>
      </w:pPr>
      <w:r>
        <w:rPr>
          <w:rFonts w:hint="eastAsia" w:ascii="宋体" w:hAnsi="宋体" w:cs="宋体"/>
          <w:color w:val="auto"/>
          <w:szCs w:val="21"/>
          <w:highlight w:val="none"/>
        </w:rPr>
        <w:t>36.7如签订合同并生效后，中标人无故拒绝或延期，除按照合同条款处理外，将承担相应的法律责任。</w:t>
      </w:r>
    </w:p>
    <w:p>
      <w:pPr>
        <w:spacing w:line="360" w:lineRule="auto"/>
        <w:ind w:firstLine="480" w:firstLineChars="200"/>
        <w:rPr>
          <w:rFonts w:ascii="宋体" w:hAnsi="宋体" w:cs="宋体"/>
          <w:color w:val="auto"/>
          <w:sz w:val="24"/>
          <w:highlight w:val="none"/>
        </w:rPr>
      </w:pPr>
      <w:bookmarkStart w:id="171" w:name="_41.政府采购合同公告"/>
      <w:bookmarkEnd w:id="171"/>
      <w:r>
        <w:rPr>
          <w:rFonts w:hint="eastAsia" w:ascii="宋体" w:hAnsi="宋体" w:cs="宋体"/>
          <w:color w:val="auto"/>
          <w:sz w:val="24"/>
          <w:highlight w:val="none"/>
        </w:rPr>
        <w:t>37.政府采购合同公告</w:t>
      </w:r>
    </w:p>
    <w:p>
      <w:pPr>
        <w:spacing w:line="360" w:lineRule="auto"/>
        <w:ind w:firstLine="420" w:firstLineChars="200"/>
        <w:rPr>
          <w:rFonts w:ascii="宋体" w:hAnsi="宋体" w:cs="宋体"/>
          <w:color w:val="auto"/>
          <w:highlight w:val="none"/>
        </w:rPr>
      </w:pPr>
      <w:r>
        <w:rPr>
          <w:rFonts w:hint="eastAsia" w:cs="宋体"/>
          <w:color w:val="auto"/>
          <w:kern w:val="1"/>
          <w:highlight w:val="none"/>
        </w:rPr>
        <w:t>采购人应当自政府采购合同签订之日起2个工作日内，将政府采购合同</w:t>
      </w:r>
      <w:r>
        <w:rPr>
          <w:rFonts w:hint="eastAsia" w:ascii="宋体" w:hAnsi="宋体" w:cs="宋体"/>
          <w:bCs/>
          <w:color w:val="auto"/>
          <w:kern w:val="1"/>
          <w:highlight w:val="none"/>
        </w:rPr>
        <w:t>在</w:t>
      </w:r>
      <w:r>
        <w:rPr>
          <w:rFonts w:hint="eastAsia"/>
          <w:color w:val="auto"/>
          <w:highlight w:val="none"/>
        </w:rPr>
        <w:t>省级以上人民政府财政部门指定的</w:t>
      </w:r>
      <w:r>
        <w:rPr>
          <w:rFonts w:hint="eastAsia" w:ascii="宋体" w:hAnsi="宋体" w:cs="宋体"/>
          <w:bCs/>
          <w:color w:val="auto"/>
          <w:kern w:val="1"/>
          <w:highlight w:val="none"/>
        </w:rPr>
        <w:t>媒体上</w:t>
      </w:r>
      <w:r>
        <w:rPr>
          <w:rFonts w:hint="eastAsia" w:cs="宋体"/>
          <w:color w:val="auto"/>
          <w:kern w:val="1"/>
          <w:highlight w:val="none"/>
        </w:rPr>
        <w:t>公告，</w:t>
      </w:r>
      <w:r>
        <w:rPr>
          <w:rFonts w:cs="宋体"/>
          <w:color w:val="auto"/>
          <w:kern w:val="1"/>
          <w:highlight w:val="none"/>
        </w:rPr>
        <w:t>但政府采购合同中涉及国家秘密、商业秘密的内容除外。</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38. 询问、质疑和投诉</w:t>
      </w:r>
    </w:p>
    <w:p>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38.1询问</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38.1.1供应商在开标前对政府采购活动事项有疑问的，可以向采购人或采购代理机构项目负责人提出询问。</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38.1.2采购人或采购人委托的采购代理机构自受理询问之日起3个工作日内对供应商依法提出的询问作出答复，</w:t>
      </w:r>
      <w:r>
        <w:rPr>
          <w:rFonts w:hint="eastAsia" w:ascii="宋体" w:hAnsi="宋体" w:cs="宋体"/>
          <w:color w:val="auto"/>
          <w:highlight w:val="none"/>
        </w:rPr>
        <w:t>但答复内容不得涉及商业秘密</w:t>
      </w:r>
      <w:r>
        <w:rPr>
          <w:rFonts w:hint="eastAsia" w:ascii="宋体" w:hAnsi="宋体" w:cs="宋体"/>
          <w:bCs/>
          <w:color w:val="auto"/>
          <w:szCs w:val="21"/>
          <w:highlight w:val="none"/>
        </w:rPr>
        <w:t>。</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38.1.3 询问事项可能影响中标结果的，采购人应当暂停签订合同，已经签订合同的，应当中止履行合同。</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38.2质疑</w:t>
      </w:r>
    </w:p>
    <w:p>
      <w:pPr>
        <w:spacing w:line="360" w:lineRule="auto"/>
        <w:ind w:firstLine="420" w:firstLineChars="200"/>
        <w:rPr>
          <w:rFonts w:ascii="宋体" w:hAnsi="宋体" w:cs="宋体"/>
          <w:b/>
          <w:color w:val="auto"/>
          <w:szCs w:val="21"/>
          <w:highlight w:val="none"/>
        </w:rPr>
      </w:pPr>
      <w:r>
        <w:rPr>
          <w:rFonts w:hint="eastAsia" w:ascii="宋体" w:hAnsi="宋体" w:cs="宋体"/>
          <w:bCs/>
          <w:color w:val="auto"/>
          <w:szCs w:val="21"/>
          <w:highlight w:val="none"/>
        </w:rPr>
        <w:t>38.2.1</w:t>
      </w:r>
      <w:r>
        <w:rPr>
          <w:rFonts w:hint="eastAsia" w:ascii="宋体" w:hAnsi="宋体" w:cs="宋体"/>
          <w:b/>
          <w:color w:val="auto"/>
          <w:szCs w:val="21"/>
          <w:highlight w:val="none"/>
        </w:rPr>
        <w:t xml:space="preserve">供应商认为招标文件、采购过程或者中标结果使自己的合法权益受到损害的，必须在知道或者应知其权益受到损害之日起7个工作日内，以书面形式向采购人或采购代理机构提出质疑，质疑有效期结束后，采购人或采购代理机构不再受理该项目质疑。采购人、采购代理机构接收质疑函的方式、联系部门、联系电话和通讯地址等信息详见“投标人须知前附表”。具体质疑起算时间及处理方式如下： </w:t>
      </w:r>
    </w:p>
    <w:p>
      <w:pPr>
        <w:spacing w:line="360" w:lineRule="auto"/>
        <w:ind w:firstLine="420" w:firstLineChars="200"/>
        <w:rPr>
          <w:rFonts w:ascii="宋体" w:hAnsi="宋体" w:cs="宋体"/>
          <w:bCs/>
          <w:color w:val="auto"/>
          <w:highlight w:val="none"/>
        </w:rPr>
      </w:pPr>
      <w:r>
        <w:rPr>
          <w:rFonts w:hint="eastAsia" w:ascii="宋体" w:hAnsi="宋体" w:cs="宋体"/>
          <w:bCs/>
          <w:color w:val="auto"/>
          <w:highlight w:val="none"/>
        </w:rPr>
        <w:t>（1）潜在供应商依法获取招标文件后，认为采购文件使自己的权益受到损害的，应当在招标文件公告期限届满之日起7个工作日内提出质疑。</w:t>
      </w:r>
      <w:r>
        <w:rPr>
          <w:rFonts w:hint="eastAsia" w:ascii="宋体" w:hAnsi="宋体" w:cs="宋体"/>
          <w:color w:val="auto"/>
          <w:highlight w:val="none"/>
        </w:rPr>
        <w:t>委托代理协议无特殊约定的，</w:t>
      </w:r>
      <w:r>
        <w:rPr>
          <w:rFonts w:hint="eastAsia" w:ascii="宋体" w:hAnsi="宋体" w:cs="宋体"/>
          <w:bCs/>
          <w:color w:val="auto"/>
          <w:highlight w:val="none"/>
        </w:rPr>
        <w:t>对招标文件中采购需求（含资格要求、采购预算和评分办法）的质疑由采购人受理并负责答复。对招标文件中的采购执行程序的质疑由采购代理机构受理并负责答复。</w:t>
      </w:r>
    </w:p>
    <w:p>
      <w:pPr>
        <w:spacing w:line="360" w:lineRule="auto"/>
        <w:ind w:firstLine="420" w:firstLineChars="200"/>
        <w:rPr>
          <w:rFonts w:ascii="宋体" w:hAnsi="宋体" w:cs="宋体"/>
          <w:bCs/>
          <w:color w:val="auto"/>
          <w:highlight w:val="none"/>
        </w:rPr>
      </w:pPr>
      <w:r>
        <w:rPr>
          <w:rFonts w:hint="eastAsia" w:ascii="宋体" w:hAnsi="宋体" w:cs="宋体"/>
          <w:bCs/>
          <w:color w:val="auto"/>
          <w:highlight w:val="none"/>
        </w:rPr>
        <w:t>（2）供应商认为采购过程使自己的权益受到损害的，应当在各采购程序环节结束之日起7个工作日内提出质疑。对采购过程中资格审查、符合性审查等具体评审情况的质疑应向采购人或采购代理机构提出，由采购人或采购代理机构受理并负责答复。对采购过程中采购执行程序的质疑由采购代理机构受理并负责答复。</w:t>
      </w:r>
    </w:p>
    <w:p>
      <w:pPr>
        <w:spacing w:line="360" w:lineRule="auto"/>
        <w:ind w:firstLine="420" w:firstLineChars="200"/>
        <w:rPr>
          <w:rFonts w:ascii="宋体" w:hAnsi="宋体" w:cs="宋体"/>
          <w:bCs/>
          <w:color w:val="auto"/>
          <w:highlight w:val="none"/>
        </w:rPr>
      </w:pPr>
      <w:r>
        <w:rPr>
          <w:rFonts w:hint="eastAsia" w:ascii="宋体" w:hAnsi="宋体" w:cs="宋体"/>
          <w:bCs/>
          <w:color w:val="auto"/>
          <w:highlight w:val="none"/>
        </w:rPr>
        <w:t>（3）供应商认为中标或者成交结果使自己的权益受到损害的，应当在中标或者成交结果公告期限届满之日起7个工作日内提出质疑，由采购人受理并负责答复。</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38.2.2供应商质疑实行实名制，其质疑应当有具体的质疑事项及事实根据，质疑应当坚持依法依规、诚实信用原则，不得进行虚假、恶意质疑。</w:t>
      </w:r>
    </w:p>
    <w:p>
      <w:pPr>
        <w:spacing w:line="360" w:lineRule="auto"/>
        <w:ind w:firstLine="420" w:firstLineChars="200"/>
        <w:rPr>
          <w:rFonts w:ascii="宋体" w:hAnsi="宋体" w:cs="宋体"/>
          <w:bCs/>
          <w:color w:val="auto"/>
          <w:highlight w:val="none"/>
        </w:rPr>
      </w:pPr>
      <w:r>
        <w:rPr>
          <w:rFonts w:hint="eastAsia" w:ascii="宋体" w:hAnsi="宋体" w:cs="宋体"/>
          <w:bCs/>
          <w:color w:val="auto"/>
          <w:szCs w:val="21"/>
          <w:highlight w:val="none"/>
        </w:rPr>
        <w:t>38.2.3</w:t>
      </w:r>
      <w:r>
        <w:rPr>
          <w:rFonts w:hint="eastAsia" w:ascii="宋体" w:hAnsi="宋体" w:cs="宋体"/>
          <w:bCs/>
          <w:color w:val="auto"/>
          <w:highlight w:val="none"/>
        </w:rPr>
        <w:t xml:space="preserve"> 质疑供应商可以委托代理人办理质疑事务。委托代理人应熟悉相关业务情况。代理人办理质疑事务时，除提交质疑书外，还应当提交质疑供应商的授权委托书和委托代理人身份证明复印件</w:t>
      </w:r>
      <w:r>
        <w:rPr>
          <w:rFonts w:hint="eastAsia" w:ascii="宋体" w:hAnsi="宋体" w:cs="宋体"/>
          <w:color w:val="auto"/>
          <w:highlight w:val="none"/>
        </w:rPr>
        <w:t>。</w:t>
      </w:r>
    </w:p>
    <w:p>
      <w:pPr>
        <w:spacing w:line="360" w:lineRule="auto"/>
        <w:ind w:firstLine="422" w:firstLineChars="200"/>
        <w:rPr>
          <w:rFonts w:ascii="宋体" w:hAnsi="宋体" w:cs="宋体"/>
          <w:b/>
          <w:bCs/>
          <w:color w:val="auto"/>
          <w:highlight w:val="none"/>
        </w:rPr>
      </w:pPr>
      <w:r>
        <w:rPr>
          <w:rFonts w:hint="eastAsia" w:ascii="宋体" w:hAnsi="宋体" w:cs="宋体"/>
          <w:b/>
          <w:bCs/>
          <w:color w:val="auto"/>
          <w:highlight w:val="none"/>
        </w:rPr>
        <w:t>38.2.4 质疑供应商提起质疑应当符合下列条件：</w:t>
      </w:r>
    </w:p>
    <w:p>
      <w:pPr>
        <w:spacing w:line="360" w:lineRule="auto"/>
        <w:ind w:firstLine="420" w:firstLineChars="200"/>
        <w:rPr>
          <w:rFonts w:ascii="宋体" w:hAnsi="宋体" w:cs="宋体"/>
          <w:bCs/>
          <w:color w:val="auto"/>
          <w:highlight w:val="none"/>
        </w:rPr>
      </w:pPr>
      <w:r>
        <w:rPr>
          <w:rFonts w:hint="eastAsia" w:ascii="宋体" w:hAnsi="宋体" w:cs="宋体"/>
          <w:bCs/>
          <w:color w:val="auto"/>
          <w:highlight w:val="none"/>
        </w:rPr>
        <w:t>（1）质疑供应商是参与所质疑</w:t>
      </w:r>
      <w:r>
        <w:rPr>
          <w:rFonts w:hint="eastAsia" w:ascii="宋体" w:hAnsi="宋体" w:cs="宋体"/>
          <w:bCs/>
          <w:color w:val="auto"/>
          <w:szCs w:val="21"/>
          <w:highlight w:val="none"/>
        </w:rPr>
        <w:t>项目</w:t>
      </w:r>
      <w:r>
        <w:rPr>
          <w:rFonts w:hint="eastAsia" w:ascii="宋体" w:hAnsi="宋体" w:cs="宋体"/>
          <w:bCs/>
          <w:color w:val="auto"/>
          <w:highlight w:val="none"/>
        </w:rPr>
        <w:t>采购活动的供应商（潜在供应商已依法获取可质疑的采购文件的，可以对该采购文件质疑）。</w:t>
      </w:r>
    </w:p>
    <w:p>
      <w:pPr>
        <w:spacing w:line="360" w:lineRule="auto"/>
        <w:ind w:firstLine="420" w:firstLineChars="200"/>
        <w:rPr>
          <w:rFonts w:ascii="宋体" w:hAnsi="宋体" w:cs="宋体"/>
          <w:bCs/>
          <w:color w:val="auto"/>
          <w:highlight w:val="none"/>
        </w:rPr>
      </w:pPr>
      <w:r>
        <w:rPr>
          <w:rFonts w:hint="eastAsia" w:ascii="宋体" w:hAnsi="宋体" w:cs="宋体"/>
          <w:bCs/>
          <w:color w:val="auto"/>
          <w:highlight w:val="none"/>
        </w:rPr>
        <w:t>（2）质疑函内容符合本章第38.2.5项的规定。</w:t>
      </w:r>
    </w:p>
    <w:p>
      <w:pPr>
        <w:spacing w:line="360" w:lineRule="auto"/>
        <w:ind w:firstLine="420" w:firstLineChars="200"/>
        <w:rPr>
          <w:rFonts w:ascii="宋体" w:hAnsi="宋体" w:cs="宋体"/>
          <w:bCs/>
          <w:color w:val="auto"/>
          <w:highlight w:val="none"/>
        </w:rPr>
      </w:pPr>
      <w:r>
        <w:rPr>
          <w:rFonts w:hint="eastAsia" w:ascii="宋体" w:hAnsi="宋体" w:cs="宋体"/>
          <w:bCs/>
          <w:color w:val="auto"/>
          <w:highlight w:val="none"/>
        </w:rPr>
        <w:t>（3）在质疑有效期限内提起质疑。</w:t>
      </w:r>
    </w:p>
    <w:p>
      <w:pPr>
        <w:spacing w:line="360" w:lineRule="auto"/>
        <w:ind w:firstLine="420" w:firstLineChars="200"/>
        <w:rPr>
          <w:rFonts w:ascii="宋体" w:hAnsi="宋体" w:cs="宋体"/>
          <w:bCs/>
          <w:color w:val="auto"/>
          <w:highlight w:val="none"/>
        </w:rPr>
      </w:pPr>
      <w:r>
        <w:rPr>
          <w:rFonts w:hint="eastAsia" w:ascii="宋体" w:hAnsi="宋体" w:cs="宋体"/>
          <w:bCs/>
          <w:color w:val="auto"/>
          <w:highlight w:val="none"/>
        </w:rPr>
        <w:t xml:space="preserve">（4）属于所质疑的采购人或采购人委托的采购代理机构组织的采购活动。 </w:t>
      </w:r>
    </w:p>
    <w:p>
      <w:pPr>
        <w:spacing w:line="360" w:lineRule="auto"/>
        <w:ind w:firstLine="420" w:firstLineChars="200"/>
        <w:rPr>
          <w:rFonts w:ascii="宋体" w:hAnsi="宋体" w:cs="宋体"/>
          <w:bCs/>
          <w:color w:val="auto"/>
          <w:highlight w:val="none"/>
        </w:rPr>
      </w:pPr>
      <w:r>
        <w:rPr>
          <w:rFonts w:hint="eastAsia" w:ascii="宋体" w:hAnsi="宋体" w:cs="宋体"/>
          <w:bCs/>
          <w:color w:val="auto"/>
          <w:highlight w:val="none"/>
        </w:rPr>
        <w:t>（5）供应商对同一采购程序环节的质疑应当在质疑有效期内一次性提出。</w:t>
      </w:r>
    </w:p>
    <w:p>
      <w:pPr>
        <w:spacing w:line="360" w:lineRule="auto"/>
        <w:ind w:firstLine="420" w:firstLineChars="200"/>
        <w:rPr>
          <w:rFonts w:ascii="宋体" w:hAnsi="宋体" w:cs="宋体"/>
          <w:bCs/>
          <w:color w:val="auto"/>
          <w:highlight w:val="none"/>
        </w:rPr>
      </w:pPr>
      <w:r>
        <w:rPr>
          <w:rFonts w:hint="eastAsia" w:ascii="宋体" w:hAnsi="宋体" w:cs="宋体"/>
          <w:bCs/>
          <w:color w:val="auto"/>
          <w:highlight w:val="none"/>
        </w:rPr>
        <w:t>（6）供应商提交质疑应当提交必要的证明材料，证明材料应以合法手段取得。</w:t>
      </w:r>
    </w:p>
    <w:p>
      <w:pPr>
        <w:spacing w:line="360" w:lineRule="auto"/>
        <w:ind w:firstLine="420" w:firstLineChars="200"/>
        <w:rPr>
          <w:rFonts w:ascii="宋体" w:hAnsi="宋体" w:cs="宋体"/>
          <w:color w:val="auto"/>
          <w:highlight w:val="none"/>
        </w:rPr>
      </w:pPr>
      <w:r>
        <w:rPr>
          <w:rFonts w:hint="eastAsia" w:ascii="宋体" w:hAnsi="宋体" w:cs="宋体"/>
          <w:bCs/>
          <w:color w:val="auto"/>
          <w:highlight w:val="none"/>
        </w:rPr>
        <w:t>（7）财政部门规定的其他条件。</w:t>
      </w:r>
    </w:p>
    <w:p>
      <w:pPr>
        <w:spacing w:line="360" w:lineRule="auto"/>
        <w:ind w:firstLine="422" w:firstLineChars="200"/>
        <w:rPr>
          <w:rFonts w:ascii="宋体" w:hAnsi="宋体" w:cs="宋体"/>
          <w:b/>
          <w:color w:val="auto"/>
          <w:szCs w:val="21"/>
          <w:highlight w:val="none"/>
        </w:rPr>
      </w:pPr>
      <w:bookmarkStart w:id="172" w:name="_9.2质疑、投诉应当采用书面形式，质疑函、投诉书均应明确阐述招标文件、"/>
      <w:bookmarkEnd w:id="172"/>
      <w:r>
        <w:rPr>
          <w:rFonts w:hint="eastAsia" w:ascii="宋体" w:hAnsi="宋体" w:cs="宋体"/>
          <w:b/>
          <w:bCs/>
          <w:color w:val="auto"/>
          <w:szCs w:val="21"/>
          <w:highlight w:val="none"/>
        </w:rPr>
        <w:t xml:space="preserve"> 38.2.5 </w:t>
      </w:r>
      <w:r>
        <w:rPr>
          <w:rFonts w:hint="eastAsia" w:ascii="宋体" w:hAnsi="宋体" w:cs="宋体"/>
          <w:b/>
          <w:color w:val="auto"/>
          <w:highlight w:val="none"/>
        </w:rPr>
        <w:t>供应商提出质疑应当提交质疑函和必要的证明材料，针对同一采购程序环节的质疑必须在法定质疑期内一次性提出。质疑函应当包括下列内容（质疑函格式后附）</w:t>
      </w:r>
      <w:r>
        <w:rPr>
          <w:rFonts w:hint="eastAsia" w:ascii="宋体" w:hAnsi="宋体" w:cs="宋体"/>
          <w:bCs/>
          <w:color w:val="auto"/>
          <w:highlight w:val="none"/>
        </w:rPr>
        <w:t>：</w:t>
      </w:r>
    </w:p>
    <w:p>
      <w:pPr>
        <w:spacing w:line="360" w:lineRule="auto"/>
        <w:ind w:firstLine="420" w:firstLineChars="200"/>
        <w:rPr>
          <w:rFonts w:ascii="宋体" w:hAnsi="宋体" w:cs="宋体"/>
          <w:bCs/>
          <w:color w:val="auto"/>
          <w:highlight w:val="none"/>
        </w:rPr>
      </w:pPr>
      <w:r>
        <w:rPr>
          <w:rFonts w:hint="eastAsia" w:ascii="宋体" w:hAnsi="宋体" w:cs="宋体"/>
          <w:bCs/>
          <w:color w:val="auto"/>
          <w:highlight w:val="none"/>
        </w:rPr>
        <w:t>（1）供应商的姓名或者名称、地址、邮编、联系人及联系电话。</w:t>
      </w:r>
    </w:p>
    <w:p>
      <w:pPr>
        <w:spacing w:line="360" w:lineRule="auto"/>
        <w:ind w:firstLine="420" w:firstLineChars="200"/>
        <w:rPr>
          <w:rFonts w:ascii="宋体" w:hAnsi="宋体" w:cs="宋体"/>
          <w:bCs/>
          <w:color w:val="auto"/>
          <w:highlight w:val="none"/>
        </w:rPr>
      </w:pPr>
      <w:r>
        <w:rPr>
          <w:rFonts w:hint="eastAsia" w:ascii="宋体" w:hAnsi="宋体" w:cs="宋体"/>
          <w:bCs/>
          <w:color w:val="auto"/>
          <w:highlight w:val="none"/>
        </w:rPr>
        <w:t>（2）质疑项目的名称、编号。</w:t>
      </w:r>
    </w:p>
    <w:p>
      <w:pPr>
        <w:spacing w:line="360" w:lineRule="auto"/>
        <w:ind w:firstLine="420" w:firstLineChars="200"/>
        <w:rPr>
          <w:rFonts w:ascii="宋体" w:hAnsi="宋体" w:cs="宋体"/>
          <w:bCs/>
          <w:color w:val="auto"/>
          <w:highlight w:val="none"/>
        </w:rPr>
      </w:pPr>
      <w:r>
        <w:rPr>
          <w:rFonts w:hint="eastAsia" w:ascii="宋体" w:hAnsi="宋体" w:cs="宋体"/>
          <w:bCs/>
          <w:color w:val="auto"/>
          <w:highlight w:val="none"/>
        </w:rPr>
        <w:t>（3）具体、明确的质疑事项和与质疑事项相关的请求。</w:t>
      </w:r>
    </w:p>
    <w:p>
      <w:pPr>
        <w:spacing w:line="360" w:lineRule="auto"/>
        <w:ind w:firstLine="420" w:firstLineChars="200"/>
        <w:rPr>
          <w:rFonts w:ascii="宋体" w:hAnsi="宋体" w:cs="宋体"/>
          <w:bCs/>
          <w:color w:val="auto"/>
          <w:highlight w:val="none"/>
        </w:rPr>
      </w:pPr>
      <w:r>
        <w:rPr>
          <w:rFonts w:hint="eastAsia" w:ascii="宋体" w:hAnsi="宋体" w:cs="宋体"/>
          <w:bCs/>
          <w:color w:val="auto"/>
          <w:highlight w:val="none"/>
        </w:rPr>
        <w:t>（4）事实依据（列明权益受到损害的事实和理由）。</w:t>
      </w:r>
    </w:p>
    <w:p>
      <w:pPr>
        <w:spacing w:line="360" w:lineRule="auto"/>
        <w:ind w:firstLine="420" w:firstLineChars="200"/>
        <w:rPr>
          <w:rFonts w:ascii="宋体" w:hAnsi="宋体" w:cs="宋体"/>
          <w:bCs/>
          <w:color w:val="auto"/>
          <w:highlight w:val="none"/>
        </w:rPr>
      </w:pPr>
      <w:r>
        <w:rPr>
          <w:rFonts w:hint="eastAsia" w:ascii="宋体" w:hAnsi="宋体" w:cs="宋体"/>
          <w:bCs/>
          <w:color w:val="auto"/>
          <w:highlight w:val="none"/>
        </w:rPr>
        <w:t>（5）必要的法律依据。</w:t>
      </w:r>
    </w:p>
    <w:p>
      <w:pPr>
        <w:spacing w:line="360" w:lineRule="auto"/>
        <w:ind w:firstLine="420" w:firstLineChars="200"/>
        <w:rPr>
          <w:rFonts w:ascii="宋体" w:hAnsi="宋体" w:cs="宋体"/>
          <w:bCs/>
          <w:color w:val="auto"/>
          <w:highlight w:val="none"/>
        </w:rPr>
      </w:pPr>
      <w:r>
        <w:rPr>
          <w:rFonts w:hint="eastAsia" w:ascii="宋体" w:hAnsi="宋体" w:cs="宋体"/>
          <w:bCs/>
          <w:color w:val="auto"/>
          <w:highlight w:val="none"/>
        </w:rPr>
        <w:t>（6）提出质疑的日期。</w:t>
      </w:r>
    </w:p>
    <w:p>
      <w:pPr>
        <w:spacing w:line="360" w:lineRule="auto"/>
        <w:ind w:firstLine="420" w:firstLineChars="200"/>
        <w:rPr>
          <w:rFonts w:ascii="宋体" w:hAnsi="宋体" w:cs="宋体"/>
          <w:bCs/>
          <w:color w:val="auto"/>
          <w:highlight w:val="none"/>
        </w:rPr>
      </w:pPr>
      <w:r>
        <w:rPr>
          <w:rFonts w:hint="eastAsia" w:ascii="宋体" w:hAnsi="宋体" w:cs="宋体"/>
          <w:bCs/>
          <w:color w:val="auto"/>
          <w:highlight w:val="none"/>
        </w:rPr>
        <w:t>供应商为自然人的，应当由本人签字。供应商为法人或者其他组织的，应当由法定代表人、主要负责人，或者其委托代理人签字或者盖章，并加盖公章。</w:t>
      </w:r>
    </w:p>
    <w:p>
      <w:pPr>
        <w:spacing w:line="360" w:lineRule="auto"/>
        <w:ind w:firstLine="422" w:firstLineChars="200"/>
        <w:rPr>
          <w:rFonts w:ascii="宋体" w:hAnsi="宋体" w:cs="宋体"/>
          <w:b/>
          <w:color w:val="auto"/>
          <w:szCs w:val="20"/>
          <w:highlight w:val="none"/>
        </w:rPr>
      </w:pPr>
      <w:r>
        <w:rPr>
          <w:rFonts w:hint="eastAsia" w:ascii="宋体" w:hAnsi="宋体" w:cs="宋体"/>
          <w:b/>
          <w:color w:val="auto"/>
          <w:szCs w:val="20"/>
          <w:highlight w:val="none"/>
        </w:rPr>
        <w:t>38.2.6采购人或采购人委托的采购代理机构在收到质疑函后7个工作日内作出答复，并以书面形式通知质疑供应商及其他有关供应商。对不符合质疑条件的质疑，答复不予受理，并说明理由。对符合质疑条件的质疑，对质疑事项作出答复。</w:t>
      </w:r>
    </w:p>
    <w:p>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3</w:t>
      </w:r>
      <w:r>
        <w:rPr>
          <w:rFonts w:hint="eastAsia" w:ascii="宋体" w:hAnsi="宋体" w:cs="宋体"/>
          <w:bCs/>
          <w:color w:val="auto"/>
          <w:szCs w:val="21"/>
          <w:highlight w:val="none"/>
        </w:rPr>
        <w:t>8.2.7采购人、采购代理机构认为供应商质疑不成立，或者成立但未对中标结果构成影响的，继续开展采购活动。认为供应商质疑成立且影响或者可能影响中标结果的，按照下列情况处理：</w:t>
      </w:r>
    </w:p>
    <w:p>
      <w:pPr>
        <w:spacing w:line="360" w:lineRule="auto"/>
        <w:ind w:firstLine="420" w:firstLineChars="200"/>
        <w:rPr>
          <w:rFonts w:ascii="宋体" w:hAnsi="宋体" w:cs="宋体"/>
          <w:bCs/>
          <w:color w:val="auto"/>
          <w:highlight w:val="none"/>
        </w:rPr>
      </w:pPr>
      <w:r>
        <w:rPr>
          <w:rFonts w:hint="eastAsia" w:ascii="宋体" w:hAnsi="宋体" w:cs="宋体"/>
          <w:bCs/>
          <w:color w:val="auto"/>
          <w:highlight w:val="none"/>
        </w:rPr>
        <w:t>　　（一）对招标文件提出的质疑，依法通过澄清或者修改可以继续开展采购活动的，澄清或者修改招标文件后继续开展采购活动。否则应当修改招标文件后重新开展采购活动。</w:t>
      </w:r>
    </w:p>
    <w:p>
      <w:pPr>
        <w:spacing w:line="360" w:lineRule="auto"/>
        <w:ind w:firstLine="420" w:firstLineChars="200"/>
        <w:rPr>
          <w:rFonts w:ascii="宋体" w:hAnsi="宋体" w:cs="宋体"/>
          <w:bCs/>
          <w:color w:val="auto"/>
          <w:highlight w:val="none"/>
        </w:rPr>
      </w:pPr>
      <w:r>
        <w:rPr>
          <w:rFonts w:hint="eastAsia" w:ascii="宋体" w:hAnsi="宋体" w:cs="宋体"/>
          <w:bCs/>
          <w:color w:val="auto"/>
          <w:highlight w:val="none"/>
        </w:rPr>
        <w:t>　　（二）对采购过程、中标结果提出的质疑，合格供应商符合法定数量时，可以从合格的中标候选人中另行确定中标供应商的，应当依法另行确定中标供应商。否则应当重新开展采购活动。</w:t>
      </w:r>
    </w:p>
    <w:p>
      <w:pPr>
        <w:spacing w:line="360" w:lineRule="auto"/>
        <w:ind w:firstLine="420" w:firstLineChars="200"/>
        <w:rPr>
          <w:rFonts w:ascii="宋体" w:hAnsi="宋体" w:cs="宋体"/>
          <w:bCs/>
          <w:color w:val="auto"/>
          <w:highlight w:val="none"/>
        </w:rPr>
      </w:pPr>
      <w:r>
        <w:rPr>
          <w:rFonts w:hint="eastAsia" w:ascii="宋体" w:hAnsi="宋体" w:cs="宋体"/>
          <w:bCs/>
          <w:color w:val="auto"/>
          <w:highlight w:val="none"/>
        </w:rPr>
        <w:t>质疑答复导致中标结果改变的，采购人或者采购代理机构应当将有关情况书面报告</w:t>
      </w:r>
      <w:r>
        <w:rPr>
          <w:rFonts w:hint="eastAsia" w:ascii="宋体" w:hAnsi="宋体" w:cs="宋体"/>
          <w:color w:val="auto"/>
          <w:szCs w:val="21"/>
          <w:highlight w:val="none"/>
        </w:rPr>
        <w:t>本级财政部门</w:t>
      </w:r>
      <w:r>
        <w:rPr>
          <w:rFonts w:hint="eastAsia" w:ascii="宋体" w:hAnsi="宋体" w:cs="宋体"/>
          <w:bCs/>
          <w:color w:val="auto"/>
          <w:highlight w:val="none"/>
        </w:rPr>
        <w:t>。</w:t>
      </w:r>
    </w:p>
    <w:p>
      <w:pPr>
        <w:spacing w:line="360" w:lineRule="auto"/>
        <w:ind w:firstLine="422" w:firstLineChars="200"/>
        <w:rPr>
          <w:rFonts w:ascii="宋体" w:hAnsi="宋体" w:cs="宋体"/>
          <w:b/>
          <w:color w:val="auto"/>
          <w:highlight w:val="none"/>
        </w:rPr>
      </w:pPr>
      <w:r>
        <w:rPr>
          <w:rFonts w:hint="eastAsia" w:ascii="宋体" w:hAnsi="宋体" w:cs="宋体"/>
          <w:b/>
          <w:color w:val="auto"/>
          <w:highlight w:val="none"/>
        </w:rPr>
        <w:t>38.3投诉</w:t>
      </w:r>
    </w:p>
    <w:p>
      <w:pPr>
        <w:spacing w:line="360" w:lineRule="auto"/>
        <w:ind w:firstLine="422" w:firstLineChars="200"/>
        <w:rPr>
          <w:rFonts w:ascii="宋体" w:hAnsi="宋体" w:cs="宋体"/>
          <w:bCs/>
          <w:color w:val="auto"/>
          <w:highlight w:val="none"/>
        </w:rPr>
      </w:pPr>
      <w:r>
        <w:rPr>
          <w:rFonts w:hint="eastAsia" w:ascii="宋体" w:hAnsi="宋体" w:cs="宋体"/>
          <w:b/>
          <w:color w:val="auto"/>
          <w:highlight w:val="none"/>
        </w:rPr>
        <w:t>38.3</w:t>
      </w:r>
      <w:r>
        <w:rPr>
          <w:rFonts w:hint="eastAsia" w:ascii="宋体" w:hAnsi="宋体" w:cs="宋体"/>
          <w:bCs/>
          <w:color w:val="auto"/>
          <w:highlight w:val="none"/>
        </w:rPr>
        <w:t>.</w:t>
      </w:r>
      <w:r>
        <w:rPr>
          <w:rFonts w:hint="eastAsia" w:ascii="宋体" w:hAnsi="宋体" w:cs="宋体"/>
          <w:b/>
          <w:bCs/>
          <w:color w:val="auto"/>
          <w:highlight w:val="none"/>
        </w:rPr>
        <w:t xml:space="preserve">1 </w:t>
      </w:r>
      <w:r>
        <w:rPr>
          <w:rFonts w:hint="eastAsia" w:ascii="宋体" w:hAnsi="宋体" w:cs="宋体"/>
          <w:bCs/>
          <w:color w:val="auto"/>
          <w:highlight w:val="none"/>
        </w:rPr>
        <w:t xml:space="preserve"> 供应商认为采购文件、采购过程、中标和成交结果使自己的合法权益受到损害的，应当首先依法向采购人或采购人委托的</w:t>
      </w:r>
      <w:r>
        <w:rPr>
          <w:rFonts w:hint="eastAsia" w:ascii="宋体" w:hAnsi="宋体" w:cs="宋体"/>
          <w:color w:val="auto"/>
          <w:highlight w:val="none"/>
        </w:rPr>
        <w:t>采购代理机构</w:t>
      </w:r>
      <w:r>
        <w:rPr>
          <w:rFonts w:hint="eastAsia" w:ascii="宋体" w:hAnsi="宋体" w:cs="宋体"/>
          <w:bCs/>
          <w:color w:val="auto"/>
          <w:highlight w:val="none"/>
        </w:rPr>
        <w:t>提出质疑。对采购人或</w:t>
      </w:r>
      <w:r>
        <w:rPr>
          <w:rFonts w:hint="eastAsia" w:ascii="宋体" w:hAnsi="宋体" w:cs="宋体"/>
          <w:color w:val="auto"/>
          <w:highlight w:val="none"/>
        </w:rPr>
        <w:t>采购代理机构</w:t>
      </w:r>
      <w:r>
        <w:rPr>
          <w:rFonts w:hint="eastAsia" w:ascii="宋体" w:hAnsi="宋体" w:cs="宋体"/>
          <w:bCs/>
          <w:color w:val="auto"/>
          <w:highlight w:val="none"/>
        </w:rPr>
        <w:t>的答复不满意，或者采购人或</w:t>
      </w:r>
      <w:r>
        <w:rPr>
          <w:rFonts w:hint="eastAsia" w:ascii="宋体" w:hAnsi="宋体" w:cs="宋体"/>
          <w:color w:val="auto"/>
          <w:highlight w:val="none"/>
        </w:rPr>
        <w:t>采购代理机构</w:t>
      </w:r>
      <w:r>
        <w:rPr>
          <w:rFonts w:hint="eastAsia" w:ascii="宋体" w:hAnsi="宋体" w:cs="宋体"/>
          <w:bCs/>
          <w:color w:val="auto"/>
          <w:highlight w:val="none"/>
        </w:rPr>
        <w:t>未在规定期限内做出答复的，供应商可以在答复期满后15个工作日内向本级财政部门提起投诉，投诉联系方式见“投标人须知前附表”。</w:t>
      </w:r>
    </w:p>
    <w:p>
      <w:pPr>
        <w:spacing w:line="360" w:lineRule="auto"/>
        <w:ind w:firstLine="422" w:firstLineChars="200"/>
        <w:rPr>
          <w:rFonts w:ascii="宋体" w:hAnsi="宋体" w:cs="宋体"/>
          <w:b/>
          <w:color w:val="auto"/>
          <w:highlight w:val="none"/>
        </w:rPr>
      </w:pPr>
      <w:r>
        <w:rPr>
          <w:rFonts w:hint="eastAsia" w:ascii="宋体" w:hAnsi="宋体" w:cs="宋体"/>
          <w:b/>
          <w:color w:val="auto"/>
          <w:highlight w:val="none"/>
        </w:rPr>
        <w:t>38.3.2  投诉人投诉时，应当提交投诉书，并按照被投诉采购人、采购代理机构和与投诉事项有关的供应商数量提供投诉书的副本。投诉书</w:t>
      </w:r>
      <w:r>
        <w:rPr>
          <w:rFonts w:hint="eastAsia" w:ascii="宋体" w:hAnsi="宋体" w:cs="宋体"/>
          <w:b/>
          <w:color w:val="auto"/>
          <w:szCs w:val="21"/>
          <w:highlight w:val="none"/>
        </w:rPr>
        <w:t>应当包括下列主要内容</w:t>
      </w:r>
      <w:r>
        <w:rPr>
          <w:rFonts w:hint="eastAsia" w:ascii="宋体" w:hAnsi="宋体" w:cs="宋体"/>
          <w:b/>
          <w:color w:val="auto"/>
          <w:highlight w:val="none"/>
        </w:rPr>
        <w:t>（如材料中有外文资料应同时附上对应的中文译本）（投诉书格式后附）</w:t>
      </w:r>
      <w:r>
        <w:rPr>
          <w:rFonts w:hint="eastAsia" w:ascii="宋体" w:hAnsi="宋体" w:cs="宋体"/>
          <w:b/>
          <w:color w:val="auto"/>
          <w:szCs w:val="21"/>
          <w:highlight w:val="none"/>
        </w:rPr>
        <w:t>：</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 xml:space="preserve">（1）投诉人和被投诉人的名称、地址、邮编、联系人及联系电话等。 </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 xml:space="preserve">（2）质疑和质疑答复情况及相关证明材料。 </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（3）具体、明确的投诉事项和与投诉事项相关的投诉请求。</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（4）事实依据。</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（5）法律依据。</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（6）提起投诉的日期。</w:t>
      </w:r>
    </w:p>
    <w:p>
      <w:pPr>
        <w:spacing w:line="360" w:lineRule="auto"/>
        <w:ind w:firstLine="420" w:firstLineChars="200"/>
        <w:rPr>
          <w:rFonts w:ascii="宋体" w:hAnsi="宋体" w:cs="宋体"/>
          <w:bCs/>
          <w:color w:val="auto"/>
          <w:highlight w:val="none"/>
        </w:rPr>
      </w:pPr>
      <w:r>
        <w:rPr>
          <w:rFonts w:hint="eastAsia" w:ascii="宋体" w:hAnsi="宋体" w:cs="宋体"/>
          <w:bCs/>
          <w:color w:val="auto"/>
          <w:highlight w:val="none"/>
        </w:rPr>
        <w:t>投诉人为自然人的，应当由本人签字。投诉人为法人或者其他组织的，应当由法定代表人、主要负责人，或者其授权代表签字或者盖章，并加盖公章。</w:t>
      </w:r>
    </w:p>
    <w:p>
      <w:pPr>
        <w:spacing w:line="360" w:lineRule="auto"/>
        <w:ind w:firstLine="422" w:firstLineChars="200"/>
        <w:rPr>
          <w:rFonts w:ascii="宋体" w:hAnsi="宋体" w:cs="宋体"/>
          <w:bCs/>
          <w:color w:val="auto"/>
          <w:highlight w:val="none"/>
        </w:rPr>
      </w:pPr>
      <w:r>
        <w:rPr>
          <w:rFonts w:hint="eastAsia" w:ascii="宋体" w:hAnsi="宋体" w:cs="宋体"/>
          <w:b/>
          <w:color w:val="auto"/>
          <w:highlight w:val="none"/>
        </w:rPr>
        <w:t xml:space="preserve">38.3.3  </w:t>
      </w:r>
      <w:r>
        <w:rPr>
          <w:rFonts w:hint="eastAsia" w:ascii="宋体" w:hAnsi="宋体" w:cs="宋体"/>
          <w:color w:val="auto"/>
          <w:highlight w:val="none"/>
        </w:rPr>
        <w:t>投诉人可以委托代理人办理投诉事务。</w:t>
      </w:r>
      <w:r>
        <w:rPr>
          <w:rFonts w:hint="eastAsia" w:ascii="宋体" w:hAnsi="宋体" w:cs="宋体"/>
          <w:bCs/>
          <w:color w:val="auto"/>
          <w:highlight w:val="none"/>
        </w:rPr>
        <w:t>委托代理人应熟悉相关业务情况。</w:t>
      </w:r>
      <w:r>
        <w:rPr>
          <w:rFonts w:hint="eastAsia" w:ascii="宋体" w:hAnsi="宋体" w:cs="宋体"/>
          <w:color w:val="auto"/>
          <w:highlight w:val="none"/>
        </w:rPr>
        <w:t>代理人办理投诉事务时，除提交投诉书外，还应当提交投诉人的授权委托书和委托代理人身份证明复印件。</w:t>
      </w:r>
    </w:p>
    <w:p>
      <w:pPr>
        <w:spacing w:line="360" w:lineRule="auto"/>
        <w:ind w:firstLine="422" w:firstLineChars="200"/>
        <w:rPr>
          <w:rFonts w:ascii="宋体" w:hAnsi="宋体" w:cs="宋体"/>
          <w:color w:val="auto"/>
          <w:highlight w:val="none"/>
        </w:rPr>
      </w:pPr>
      <w:r>
        <w:rPr>
          <w:rFonts w:hint="eastAsia" w:ascii="宋体" w:hAnsi="宋体" w:cs="宋体"/>
          <w:b/>
          <w:color w:val="auto"/>
          <w:highlight w:val="none"/>
        </w:rPr>
        <w:t>38.3.4</w:t>
      </w:r>
      <w:r>
        <w:rPr>
          <w:rFonts w:hint="eastAsia" w:ascii="宋体" w:hAnsi="宋体" w:cs="宋体"/>
          <w:color w:val="auto"/>
          <w:highlight w:val="none"/>
        </w:rPr>
        <w:t xml:space="preserve">  投诉人提起投诉应当符合下列条件：</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（1）投诉人是参与所投诉政府采购活动的供应商。</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（2）提起投诉前已依法进行质疑。</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（3）投诉书内容符合本章第38.3.2项的规定。</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（4）在投诉有效期限内提起投诉。</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（5）同一投诉事项未经财政部门投诉处理。</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（6）国务院财政部门规定的其他条件。</w:t>
      </w:r>
    </w:p>
    <w:p>
      <w:pPr>
        <w:spacing w:line="360" w:lineRule="auto"/>
        <w:ind w:firstLine="420" w:firstLineChars="200"/>
        <w:rPr>
          <w:rFonts w:ascii="宋体" w:hAnsi="宋体" w:cs="宋体"/>
          <w:color w:val="auto"/>
          <w:highlight w:val="none"/>
        </w:rPr>
      </w:pPr>
    </w:p>
    <w:p>
      <w:pPr>
        <w:pStyle w:val="5"/>
        <w:ind w:firstLine="4498" w:firstLineChars="1400"/>
        <w:rPr>
          <w:rFonts w:ascii="宋体" w:hAnsi="宋体" w:cs="宋体"/>
          <w:color w:val="auto"/>
          <w:highlight w:val="none"/>
        </w:rPr>
      </w:pPr>
      <w:bookmarkStart w:id="173" w:name="_Toc18873"/>
      <w:bookmarkStart w:id="174" w:name="_Toc28886"/>
      <w:bookmarkStart w:id="175" w:name="_Toc22303"/>
      <w:bookmarkStart w:id="176" w:name="_Toc17335"/>
      <w:r>
        <w:rPr>
          <w:rFonts w:hint="eastAsia" w:ascii="宋体" w:hAnsi="宋体" w:cs="宋体"/>
          <w:color w:val="auto"/>
          <w:highlight w:val="none"/>
        </w:rPr>
        <w:t>八、验收</w:t>
      </w:r>
      <w:bookmarkEnd w:id="173"/>
      <w:bookmarkEnd w:id="174"/>
      <w:bookmarkEnd w:id="175"/>
      <w:bookmarkEnd w:id="176"/>
    </w:p>
    <w:p>
      <w:pPr>
        <w:spacing w:line="360" w:lineRule="auto"/>
        <w:ind w:firstLine="422" w:firstLineChars="200"/>
        <w:rPr>
          <w:rFonts w:ascii="宋体" w:hAnsi="宋体" w:cs="宋体"/>
          <w:b/>
          <w:color w:val="auto"/>
          <w:highlight w:val="none"/>
        </w:rPr>
      </w:pPr>
      <w:r>
        <w:rPr>
          <w:rFonts w:hint="eastAsia" w:ascii="宋体" w:hAnsi="宋体" w:cs="宋体"/>
          <w:b/>
          <w:color w:val="auto"/>
          <w:highlight w:val="none"/>
        </w:rPr>
        <w:t>39.验收</w:t>
      </w:r>
    </w:p>
    <w:p>
      <w:pPr>
        <w:tabs>
          <w:tab w:val="left" w:pos="0"/>
        </w:tabs>
        <w:spacing w:line="360" w:lineRule="auto"/>
        <w:ind w:firstLine="480"/>
        <w:rPr>
          <w:rFonts w:ascii="宋体" w:hAnsi="宋体" w:cs="宋体"/>
          <w:color w:val="auto"/>
          <w:highlight w:val="none"/>
        </w:rPr>
      </w:pPr>
      <w:r>
        <w:rPr>
          <w:rFonts w:hint="eastAsia" w:ascii="宋体" w:hAnsi="宋体" w:cs="宋体"/>
          <w:color w:val="auto"/>
          <w:highlight w:val="none"/>
        </w:rPr>
        <w:t>39.1采购人组织对中标人履约的验收。大型或者复杂的政府采购项目，应当邀请国家认可的质量检测机构参加验收工作。验收方成员应当在验收书上签字，并承担相应的法律责任。如果发现与合同中要求不符，中标人须承担由此发生的一切损失和费用，并接受相应的处理。</w:t>
      </w:r>
    </w:p>
    <w:p>
      <w:pPr>
        <w:tabs>
          <w:tab w:val="left" w:pos="0"/>
        </w:tabs>
        <w:spacing w:line="360" w:lineRule="auto"/>
        <w:ind w:firstLine="480"/>
        <w:rPr>
          <w:rFonts w:ascii="宋体" w:hAnsi="宋体" w:cs="宋体"/>
          <w:color w:val="auto"/>
          <w:highlight w:val="none"/>
        </w:rPr>
      </w:pPr>
      <w:r>
        <w:rPr>
          <w:rFonts w:hint="eastAsia" w:ascii="宋体" w:hAnsi="宋体" w:cs="宋体"/>
          <w:color w:val="auto"/>
          <w:highlight w:val="none"/>
        </w:rPr>
        <w:t>39.2采购人可以邀请参加本项目的其他投标人或者第三方机构参与验收。参与验收的投标人或者第三方机构的意见作为验收书的参考资料一并存档。</w:t>
      </w:r>
    </w:p>
    <w:p>
      <w:pPr>
        <w:tabs>
          <w:tab w:val="left" w:pos="0"/>
        </w:tabs>
        <w:spacing w:line="360" w:lineRule="auto"/>
        <w:ind w:firstLine="480"/>
        <w:rPr>
          <w:rFonts w:ascii="宋体" w:hAnsi="宋体" w:cs="宋体"/>
          <w:color w:val="auto"/>
          <w:highlight w:val="none"/>
        </w:rPr>
      </w:pPr>
      <w:r>
        <w:rPr>
          <w:rFonts w:hint="eastAsia" w:ascii="宋体" w:hAnsi="宋体" w:cs="宋体"/>
          <w:color w:val="auto"/>
          <w:highlight w:val="none"/>
        </w:rPr>
        <w:t>39.3严格按照采购合同开展履约验收。采购人成立验收小组，按照采购合同的约定对中标人履约情况进行验收。验收时，按照采购合同的约定对每一项技术、货物</w:t>
      </w:r>
      <w:r>
        <w:rPr>
          <w:rFonts w:hint="eastAsia"/>
          <w:color w:val="auto"/>
          <w:highlight w:val="none"/>
        </w:rPr>
        <w:t>或服务</w:t>
      </w:r>
      <w:r>
        <w:rPr>
          <w:rFonts w:hint="eastAsia" w:ascii="宋体" w:hAnsi="宋体" w:cs="宋体"/>
          <w:color w:val="auto"/>
          <w:highlight w:val="none"/>
        </w:rPr>
        <w:t>、安全标准的履约情况进行确认。验收结束后，应当出具验收书，列明各项标准的验收情况及项目总体评价，由验收双方共同签署。验收结果与采购合同约定的资金支付及履约保证金（如有）返还条件挂钩。履约验收的各项资料应当存档备查。</w:t>
      </w:r>
    </w:p>
    <w:p>
      <w:pPr>
        <w:tabs>
          <w:tab w:val="left" w:pos="0"/>
        </w:tabs>
        <w:spacing w:line="360" w:lineRule="auto"/>
        <w:ind w:firstLine="480"/>
        <w:rPr>
          <w:rFonts w:ascii="宋体" w:hAnsi="宋体" w:cs="宋体"/>
          <w:color w:val="auto"/>
          <w:highlight w:val="none"/>
        </w:rPr>
      </w:pPr>
      <w:r>
        <w:rPr>
          <w:rFonts w:hint="eastAsia" w:ascii="宋体" w:hAnsi="宋体" w:cs="宋体"/>
          <w:color w:val="auto"/>
          <w:highlight w:val="none"/>
        </w:rPr>
        <w:t>39.4验收合格的项目，采购人将根据采购合同的约定及时向中标人支付采购资金。验收不合格的项目，采购人将依法及时处理。采购合同的履行、违约责任和解决争议的方式等适用《中华人民共和国民法典》。中标人在履约过程中有政府采购法律法规规定的违法违规情形的，采购人应当及时报告本级财政部门。</w:t>
      </w:r>
    </w:p>
    <w:p>
      <w:pPr>
        <w:pStyle w:val="5"/>
        <w:keepNext w:val="0"/>
        <w:keepLines w:val="0"/>
        <w:spacing w:line="360" w:lineRule="auto"/>
        <w:jc w:val="center"/>
        <w:rPr>
          <w:rFonts w:ascii="宋体" w:hAnsi="宋体" w:cs="宋体"/>
          <w:color w:val="auto"/>
          <w:highlight w:val="none"/>
        </w:rPr>
      </w:pPr>
      <w:bookmarkStart w:id="177" w:name="_八、其他事项"/>
      <w:bookmarkEnd w:id="177"/>
      <w:bookmarkStart w:id="178" w:name="_Toc18658"/>
      <w:bookmarkStart w:id="179" w:name="_Toc22183"/>
      <w:bookmarkStart w:id="180" w:name="_Toc13415"/>
      <w:bookmarkStart w:id="181" w:name="_Toc30046"/>
    </w:p>
    <w:p>
      <w:pPr>
        <w:pStyle w:val="5"/>
        <w:keepNext w:val="0"/>
        <w:keepLines w:val="0"/>
        <w:spacing w:line="360" w:lineRule="auto"/>
        <w:jc w:val="center"/>
        <w:rPr>
          <w:rFonts w:ascii="宋体" w:hAnsi="宋体" w:cs="宋体"/>
          <w:color w:val="auto"/>
          <w:highlight w:val="none"/>
        </w:rPr>
      </w:pPr>
      <w:r>
        <w:rPr>
          <w:rFonts w:hint="eastAsia" w:ascii="宋体" w:hAnsi="宋体" w:cs="宋体"/>
          <w:color w:val="auto"/>
          <w:highlight w:val="none"/>
        </w:rPr>
        <w:t>九、其他事项</w:t>
      </w:r>
      <w:bookmarkEnd w:id="178"/>
      <w:bookmarkEnd w:id="179"/>
      <w:bookmarkEnd w:id="180"/>
      <w:bookmarkEnd w:id="181"/>
    </w:p>
    <w:p>
      <w:pPr>
        <w:spacing w:line="360" w:lineRule="auto"/>
        <w:ind w:firstLine="480" w:firstLineChars="200"/>
        <w:rPr>
          <w:rFonts w:ascii="宋体" w:hAnsi="宋体" w:cs="宋体"/>
          <w:color w:val="auto"/>
          <w:sz w:val="24"/>
          <w:highlight w:val="none"/>
        </w:rPr>
      </w:pPr>
      <w:bookmarkStart w:id="182" w:name="_42.代理服务费"/>
      <w:bookmarkEnd w:id="182"/>
      <w:r>
        <w:rPr>
          <w:rFonts w:hint="eastAsia" w:ascii="宋体" w:hAnsi="宋体" w:cs="宋体"/>
          <w:color w:val="auto"/>
          <w:sz w:val="24"/>
          <w:highlight w:val="none"/>
        </w:rPr>
        <w:t>40.采购代理服务费</w:t>
      </w:r>
    </w:p>
    <w:p>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40.1采购代理服务费收费标准及缴费账户详见“投标人须知前附表”，供应商为联合体的，可以由联合体中的一方或者多方共同缴纳采购代理服务费。以项目中标</w:t>
      </w:r>
      <w:r>
        <w:rPr>
          <w:rFonts w:hint="eastAsia" w:ascii="宋体" w:hAnsi="宋体" w:cs="宋体"/>
          <w:bCs/>
          <w:color w:val="auto"/>
          <w:szCs w:val="21"/>
          <w:highlight w:val="none"/>
          <w:lang w:val="en-US" w:eastAsia="zh-CN"/>
        </w:rPr>
        <w:t>或预算</w:t>
      </w:r>
      <w:r>
        <w:rPr>
          <w:rFonts w:hint="eastAsia" w:ascii="宋体" w:hAnsi="宋体" w:cs="宋体"/>
          <w:bCs/>
          <w:color w:val="auto"/>
          <w:szCs w:val="21"/>
          <w:highlight w:val="none"/>
        </w:rPr>
        <w:t>总金额为计费额，按本须知正文第40.2条规定收取。</w:t>
      </w:r>
    </w:p>
    <w:p>
      <w:pPr>
        <w:pStyle w:val="7"/>
        <w:keepNext w:val="0"/>
        <w:keepLines w:val="0"/>
        <w:spacing w:before="0" w:after="0" w:line="360" w:lineRule="auto"/>
        <w:ind w:left="420" w:leftChars="200"/>
        <w:rPr>
          <w:rFonts w:ascii="宋体" w:hAnsi="宋体" w:cs="宋体"/>
          <w:b w:val="0"/>
          <w:color w:val="auto"/>
          <w:sz w:val="21"/>
          <w:szCs w:val="21"/>
          <w:highlight w:val="none"/>
        </w:rPr>
      </w:pPr>
      <w:r>
        <w:rPr>
          <w:rFonts w:hint="eastAsia" w:ascii="宋体" w:hAnsi="宋体" w:cs="宋体"/>
          <w:b w:val="0"/>
          <w:color w:val="auto"/>
          <w:sz w:val="21"/>
          <w:szCs w:val="21"/>
          <w:highlight w:val="none"/>
        </w:rPr>
        <w:t>40.2采购代理服务费收费标准：</w:t>
      </w:r>
    </w:p>
    <w:tbl>
      <w:tblPr>
        <w:tblStyle w:val="32"/>
        <w:tblW w:w="8477"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72"/>
        <w:gridCol w:w="1659"/>
        <w:gridCol w:w="1687"/>
        <w:gridCol w:w="1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tcBorders>
              <w:tl2br w:val="single" w:color="auto" w:sz="4" w:space="0"/>
            </w:tcBorders>
            <w:noWrap/>
          </w:tcPr>
          <w:p>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费率</w:t>
            </w:r>
          </w:p>
          <w:p>
            <w:pPr>
              <w:spacing w:line="360" w:lineRule="auto"/>
              <w:rPr>
                <w:rFonts w:ascii="宋体" w:hAnsi="宋体" w:cs="宋体"/>
                <w:color w:val="auto"/>
                <w:szCs w:val="21"/>
                <w:highlight w:val="none"/>
              </w:rPr>
            </w:pPr>
            <w:r>
              <w:rPr>
                <w:rFonts w:hint="eastAsia" w:ascii="宋体" w:hAnsi="宋体" w:cs="宋体"/>
                <w:color w:val="auto"/>
                <w:szCs w:val="21"/>
                <w:highlight w:val="none"/>
              </w:rPr>
              <w:t>中标金额</w:t>
            </w:r>
          </w:p>
        </w:tc>
        <w:tc>
          <w:tcPr>
            <w:tcW w:w="1659" w:type="dxa"/>
            <w:noWrap/>
            <w:vAlign w:val="center"/>
          </w:tcPr>
          <w:p>
            <w:pPr>
              <w:spacing w:line="360" w:lineRule="auto"/>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货物类</w:t>
            </w:r>
          </w:p>
        </w:tc>
        <w:tc>
          <w:tcPr>
            <w:tcW w:w="1687" w:type="dxa"/>
            <w:noWrap/>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服务类</w:t>
            </w:r>
          </w:p>
        </w:tc>
        <w:tc>
          <w:tcPr>
            <w:tcW w:w="1659" w:type="dxa"/>
            <w:noWrap/>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工程类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noWrap/>
          </w:tcPr>
          <w:p>
            <w:pPr>
              <w:spacing w:line="360" w:lineRule="auto"/>
              <w:rPr>
                <w:rFonts w:ascii="宋体" w:hAnsi="宋体" w:cs="宋体"/>
                <w:color w:val="auto"/>
                <w:szCs w:val="21"/>
                <w:highlight w:val="none"/>
              </w:rPr>
            </w:pPr>
            <w:r>
              <w:rPr>
                <w:rFonts w:hint="eastAsia" w:ascii="宋体" w:hAnsi="宋体" w:cs="宋体"/>
                <w:color w:val="auto"/>
                <w:szCs w:val="21"/>
                <w:highlight w:val="none"/>
              </w:rPr>
              <w:t>100万元以下</w:t>
            </w:r>
          </w:p>
        </w:tc>
        <w:tc>
          <w:tcPr>
            <w:tcW w:w="1659" w:type="dxa"/>
            <w:noWrap/>
          </w:tcPr>
          <w:p>
            <w:pPr>
              <w:spacing w:line="360" w:lineRule="auto"/>
              <w:rPr>
                <w:rFonts w:ascii="宋体" w:hAnsi="宋体" w:cs="宋体"/>
                <w:color w:val="auto"/>
                <w:szCs w:val="21"/>
                <w:highlight w:val="none"/>
              </w:rPr>
            </w:pPr>
            <w:r>
              <w:rPr>
                <w:rFonts w:hint="eastAsia" w:ascii="宋体" w:hAnsi="宋体" w:cs="宋体"/>
                <w:color w:val="auto"/>
                <w:kern w:val="0"/>
                <w:szCs w:val="21"/>
                <w:highlight w:val="none"/>
              </w:rPr>
              <w:t xml:space="preserve">  1.5%                </w:t>
            </w:r>
          </w:p>
        </w:tc>
        <w:tc>
          <w:tcPr>
            <w:tcW w:w="1687" w:type="dxa"/>
            <w:noWrap/>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1.5%</w:t>
            </w:r>
          </w:p>
        </w:tc>
        <w:tc>
          <w:tcPr>
            <w:tcW w:w="1659" w:type="dxa"/>
            <w:noWrap/>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noWrap/>
          </w:tcPr>
          <w:p>
            <w:pPr>
              <w:spacing w:line="360" w:lineRule="auto"/>
              <w:rPr>
                <w:rFonts w:ascii="宋体" w:hAnsi="宋体" w:cs="宋体"/>
                <w:color w:val="auto"/>
                <w:szCs w:val="21"/>
                <w:highlight w:val="none"/>
              </w:rPr>
            </w:pPr>
            <w:r>
              <w:rPr>
                <w:rFonts w:hint="eastAsia" w:ascii="宋体" w:hAnsi="宋体" w:cs="宋体"/>
                <w:color w:val="auto"/>
                <w:szCs w:val="21"/>
                <w:highlight w:val="none"/>
              </w:rPr>
              <w:t>100～500万元</w:t>
            </w:r>
          </w:p>
        </w:tc>
        <w:tc>
          <w:tcPr>
            <w:tcW w:w="1659" w:type="dxa"/>
            <w:noWrap/>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 xml:space="preserve">1.1%                 </w:t>
            </w:r>
          </w:p>
        </w:tc>
        <w:tc>
          <w:tcPr>
            <w:tcW w:w="1687" w:type="dxa"/>
            <w:noWrap/>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0.8%</w:t>
            </w:r>
          </w:p>
        </w:tc>
        <w:tc>
          <w:tcPr>
            <w:tcW w:w="1659" w:type="dxa"/>
            <w:noWrap/>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 xml:space="preserve">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noWrap/>
          </w:tcPr>
          <w:p>
            <w:pPr>
              <w:spacing w:line="360" w:lineRule="auto"/>
              <w:rPr>
                <w:rFonts w:ascii="宋体" w:hAnsi="宋体" w:cs="宋体"/>
                <w:color w:val="auto"/>
                <w:szCs w:val="21"/>
                <w:highlight w:val="none"/>
              </w:rPr>
            </w:pPr>
            <w:r>
              <w:rPr>
                <w:rFonts w:hint="eastAsia" w:ascii="宋体" w:hAnsi="宋体" w:cs="宋体"/>
                <w:color w:val="auto"/>
                <w:szCs w:val="21"/>
                <w:highlight w:val="none"/>
              </w:rPr>
              <w:t>500～1000万元</w:t>
            </w:r>
          </w:p>
        </w:tc>
        <w:tc>
          <w:tcPr>
            <w:tcW w:w="1659" w:type="dxa"/>
            <w:noWrap/>
          </w:tcPr>
          <w:p>
            <w:pPr>
              <w:spacing w:line="360" w:lineRule="auto"/>
              <w:rPr>
                <w:rFonts w:ascii="宋体" w:hAnsi="宋体" w:cs="宋体"/>
                <w:color w:val="auto"/>
                <w:szCs w:val="21"/>
                <w:highlight w:val="none"/>
              </w:rPr>
            </w:pPr>
            <w:r>
              <w:rPr>
                <w:rFonts w:hint="eastAsia" w:ascii="宋体" w:hAnsi="宋体" w:cs="宋体"/>
                <w:color w:val="auto"/>
                <w:kern w:val="0"/>
                <w:szCs w:val="21"/>
                <w:highlight w:val="none"/>
              </w:rPr>
              <w:t xml:space="preserve">  0.8%                </w:t>
            </w:r>
          </w:p>
        </w:tc>
        <w:tc>
          <w:tcPr>
            <w:tcW w:w="1687" w:type="dxa"/>
            <w:noWrap/>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0.45%</w:t>
            </w:r>
          </w:p>
        </w:tc>
        <w:tc>
          <w:tcPr>
            <w:tcW w:w="1659" w:type="dxa"/>
            <w:noWrap/>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noWrap/>
          </w:tcPr>
          <w:p>
            <w:pPr>
              <w:spacing w:line="360" w:lineRule="auto"/>
              <w:rPr>
                <w:rFonts w:ascii="宋体" w:hAnsi="宋体" w:cs="宋体"/>
                <w:color w:val="auto"/>
                <w:szCs w:val="21"/>
                <w:highlight w:val="none"/>
              </w:rPr>
            </w:pPr>
            <w:r>
              <w:rPr>
                <w:rFonts w:hint="eastAsia" w:ascii="宋体" w:hAnsi="宋体" w:cs="宋体"/>
                <w:color w:val="auto"/>
                <w:szCs w:val="21"/>
                <w:highlight w:val="none"/>
              </w:rPr>
              <w:t>1000～5000万元</w:t>
            </w:r>
          </w:p>
        </w:tc>
        <w:tc>
          <w:tcPr>
            <w:tcW w:w="1659" w:type="dxa"/>
            <w:noWrap/>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 xml:space="preserve">0.5%                </w:t>
            </w:r>
          </w:p>
        </w:tc>
        <w:tc>
          <w:tcPr>
            <w:tcW w:w="1687" w:type="dxa"/>
            <w:noWrap/>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0.25%</w:t>
            </w:r>
          </w:p>
        </w:tc>
        <w:tc>
          <w:tcPr>
            <w:tcW w:w="1659" w:type="dxa"/>
            <w:noWrap/>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 xml:space="preserve">0.35%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noWrap/>
          </w:tcPr>
          <w:p>
            <w:pPr>
              <w:spacing w:line="360" w:lineRule="auto"/>
              <w:rPr>
                <w:rFonts w:ascii="宋体" w:hAnsi="宋体" w:cs="宋体"/>
                <w:color w:val="auto"/>
                <w:szCs w:val="21"/>
                <w:highlight w:val="none"/>
              </w:rPr>
            </w:pPr>
            <w:r>
              <w:rPr>
                <w:rFonts w:hint="eastAsia" w:ascii="宋体" w:hAnsi="宋体" w:cs="宋体"/>
                <w:color w:val="auto"/>
                <w:szCs w:val="21"/>
                <w:highlight w:val="none"/>
              </w:rPr>
              <w:t>5000万元～1亿元</w:t>
            </w:r>
          </w:p>
        </w:tc>
        <w:tc>
          <w:tcPr>
            <w:tcW w:w="1659" w:type="dxa"/>
            <w:noWrap/>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 xml:space="preserve">0.25%                 </w:t>
            </w:r>
          </w:p>
        </w:tc>
        <w:tc>
          <w:tcPr>
            <w:tcW w:w="1687" w:type="dxa"/>
            <w:noWrap/>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0.1%</w:t>
            </w:r>
          </w:p>
        </w:tc>
        <w:tc>
          <w:tcPr>
            <w:tcW w:w="1659" w:type="dxa"/>
            <w:noWrap/>
          </w:tcPr>
          <w:p>
            <w:pPr>
              <w:spacing w:line="360" w:lineRule="auto"/>
              <w:ind w:firstLine="210" w:firstLineChars="100"/>
              <w:rPr>
                <w:rFonts w:ascii="宋体" w:hAnsi="宋体" w:cs="宋体"/>
                <w:color w:val="auto"/>
                <w:szCs w:val="21"/>
                <w:highlight w:val="none"/>
              </w:rPr>
            </w:pPr>
            <w:r>
              <w:rPr>
                <w:rFonts w:hint="eastAsia" w:ascii="宋体" w:hAnsi="宋体" w:cs="宋体"/>
                <w:color w:val="auto"/>
                <w:kern w:val="0"/>
                <w:szCs w:val="21"/>
                <w:highlight w:val="none"/>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noWrap/>
          </w:tcPr>
          <w:p>
            <w:pPr>
              <w:spacing w:line="360" w:lineRule="auto"/>
              <w:rPr>
                <w:rFonts w:ascii="宋体" w:hAnsi="宋体" w:cs="宋体"/>
                <w:color w:val="auto"/>
                <w:szCs w:val="21"/>
                <w:highlight w:val="none"/>
              </w:rPr>
            </w:pPr>
            <w:r>
              <w:rPr>
                <w:rFonts w:hint="eastAsia" w:ascii="宋体" w:hAnsi="宋体" w:cs="宋体"/>
                <w:color w:val="auto"/>
                <w:szCs w:val="21"/>
                <w:highlight w:val="none"/>
              </w:rPr>
              <w:t>1～5亿元</w:t>
            </w:r>
          </w:p>
        </w:tc>
        <w:tc>
          <w:tcPr>
            <w:tcW w:w="1659" w:type="dxa"/>
            <w:noWrap/>
          </w:tcPr>
          <w:p>
            <w:pPr>
              <w:spacing w:line="360" w:lineRule="auto"/>
              <w:ind w:firstLine="210" w:firstLineChars="100"/>
              <w:rPr>
                <w:rFonts w:ascii="宋体" w:hAnsi="宋体" w:cs="宋体"/>
                <w:color w:val="auto"/>
                <w:szCs w:val="21"/>
                <w:highlight w:val="none"/>
              </w:rPr>
            </w:pPr>
            <w:r>
              <w:rPr>
                <w:rFonts w:hint="eastAsia" w:ascii="宋体" w:hAnsi="宋体" w:cs="宋体"/>
                <w:color w:val="auto"/>
                <w:szCs w:val="21"/>
                <w:highlight w:val="none"/>
              </w:rPr>
              <w:t>0.05%</w:t>
            </w:r>
          </w:p>
        </w:tc>
        <w:tc>
          <w:tcPr>
            <w:tcW w:w="1687" w:type="dxa"/>
            <w:noWrap/>
          </w:tcPr>
          <w:p>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0.05%</w:t>
            </w:r>
          </w:p>
        </w:tc>
        <w:tc>
          <w:tcPr>
            <w:tcW w:w="1659" w:type="dxa"/>
            <w:noWrap/>
          </w:tcPr>
          <w:p>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noWrap/>
          </w:tcPr>
          <w:p>
            <w:pPr>
              <w:spacing w:line="360" w:lineRule="auto"/>
              <w:rPr>
                <w:rFonts w:ascii="宋体" w:hAnsi="宋体" w:cs="宋体"/>
                <w:color w:val="auto"/>
                <w:szCs w:val="21"/>
                <w:highlight w:val="none"/>
              </w:rPr>
            </w:pPr>
            <w:r>
              <w:rPr>
                <w:rFonts w:hint="eastAsia" w:ascii="宋体" w:hAnsi="宋体" w:cs="宋体"/>
                <w:color w:val="auto"/>
                <w:szCs w:val="21"/>
                <w:highlight w:val="none"/>
              </w:rPr>
              <w:t>5～10亿元</w:t>
            </w:r>
          </w:p>
        </w:tc>
        <w:tc>
          <w:tcPr>
            <w:tcW w:w="1659" w:type="dxa"/>
            <w:noWrap/>
          </w:tcPr>
          <w:p>
            <w:pPr>
              <w:spacing w:line="360" w:lineRule="auto"/>
              <w:ind w:firstLine="105" w:firstLineChars="50"/>
              <w:rPr>
                <w:rFonts w:ascii="宋体" w:hAnsi="宋体" w:cs="宋体"/>
                <w:color w:val="auto"/>
                <w:szCs w:val="21"/>
                <w:highlight w:val="none"/>
              </w:rPr>
            </w:pPr>
            <w:r>
              <w:rPr>
                <w:rFonts w:hint="eastAsia" w:ascii="宋体" w:hAnsi="宋体" w:cs="宋体"/>
                <w:color w:val="auto"/>
                <w:szCs w:val="21"/>
                <w:highlight w:val="none"/>
              </w:rPr>
              <w:t>0.035%</w:t>
            </w:r>
          </w:p>
        </w:tc>
        <w:tc>
          <w:tcPr>
            <w:tcW w:w="1687" w:type="dxa"/>
            <w:noWrap/>
          </w:tcPr>
          <w:p>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0.035%</w:t>
            </w:r>
          </w:p>
        </w:tc>
        <w:tc>
          <w:tcPr>
            <w:tcW w:w="1659" w:type="dxa"/>
            <w:noWrap/>
          </w:tcPr>
          <w:p>
            <w:pPr>
              <w:spacing w:line="360" w:lineRule="auto"/>
              <w:ind w:firstLine="105" w:firstLineChars="50"/>
              <w:rPr>
                <w:rFonts w:ascii="宋体" w:hAnsi="宋体" w:cs="宋体"/>
                <w:color w:val="auto"/>
                <w:szCs w:val="21"/>
                <w:highlight w:val="none"/>
              </w:rPr>
            </w:pPr>
            <w:r>
              <w:rPr>
                <w:rFonts w:hint="eastAsia" w:ascii="宋体" w:hAnsi="宋体" w:cs="宋体"/>
                <w:color w:val="auto"/>
                <w:szCs w:val="21"/>
                <w:highlight w:val="none"/>
              </w:rPr>
              <w:t>0.035%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noWrap/>
          </w:tcPr>
          <w:p>
            <w:pPr>
              <w:spacing w:line="360" w:lineRule="auto"/>
              <w:rPr>
                <w:rFonts w:ascii="宋体" w:hAnsi="宋体" w:cs="宋体"/>
                <w:color w:val="auto"/>
                <w:szCs w:val="21"/>
                <w:highlight w:val="none"/>
              </w:rPr>
            </w:pPr>
            <w:r>
              <w:rPr>
                <w:rFonts w:hint="eastAsia" w:ascii="宋体" w:hAnsi="宋体" w:cs="宋体"/>
                <w:color w:val="auto"/>
                <w:szCs w:val="21"/>
                <w:highlight w:val="none"/>
              </w:rPr>
              <w:t>10～50亿元</w:t>
            </w:r>
          </w:p>
        </w:tc>
        <w:tc>
          <w:tcPr>
            <w:tcW w:w="1659" w:type="dxa"/>
            <w:noWrap/>
          </w:tcPr>
          <w:p>
            <w:pPr>
              <w:spacing w:line="360" w:lineRule="auto"/>
              <w:ind w:firstLine="105" w:firstLineChars="50"/>
              <w:rPr>
                <w:rFonts w:ascii="宋体" w:hAnsi="宋体" w:cs="宋体"/>
                <w:color w:val="auto"/>
                <w:szCs w:val="21"/>
                <w:highlight w:val="none"/>
              </w:rPr>
            </w:pPr>
            <w:r>
              <w:rPr>
                <w:rFonts w:hint="eastAsia" w:ascii="宋体" w:hAnsi="宋体" w:cs="宋体"/>
                <w:color w:val="auto"/>
                <w:szCs w:val="21"/>
                <w:highlight w:val="none"/>
              </w:rPr>
              <w:t>0.008%</w:t>
            </w:r>
          </w:p>
        </w:tc>
        <w:tc>
          <w:tcPr>
            <w:tcW w:w="1687" w:type="dxa"/>
            <w:noWrap/>
          </w:tcPr>
          <w:p>
            <w:pPr>
              <w:spacing w:line="360" w:lineRule="auto"/>
              <w:ind w:firstLine="210" w:firstLineChars="100"/>
              <w:rPr>
                <w:rFonts w:ascii="宋体" w:hAnsi="宋体" w:cs="宋体"/>
                <w:color w:val="auto"/>
                <w:szCs w:val="21"/>
                <w:highlight w:val="none"/>
              </w:rPr>
            </w:pPr>
            <w:r>
              <w:rPr>
                <w:rFonts w:hint="eastAsia" w:ascii="宋体" w:hAnsi="宋体" w:cs="宋体"/>
                <w:color w:val="auto"/>
                <w:szCs w:val="21"/>
                <w:highlight w:val="none"/>
              </w:rPr>
              <w:t>0.008%</w:t>
            </w:r>
          </w:p>
        </w:tc>
        <w:tc>
          <w:tcPr>
            <w:tcW w:w="1659" w:type="dxa"/>
            <w:noWrap/>
          </w:tcPr>
          <w:p>
            <w:pPr>
              <w:spacing w:line="360" w:lineRule="auto"/>
              <w:ind w:firstLine="105" w:firstLineChars="50"/>
              <w:rPr>
                <w:rFonts w:ascii="宋体" w:hAnsi="宋体" w:cs="宋体"/>
                <w:color w:val="auto"/>
                <w:szCs w:val="21"/>
                <w:highlight w:val="none"/>
              </w:rPr>
            </w:pPr>
            <w:r>
              <w:rPr>
                <w:rFonts w:hint="eastAsia" w:ascii="宋体" w:hAnsi="宋体" w:cs="宋体"/>
                <w:color w:val="auto"/>
                <w:szCs w:val="21"/>
                <w:highlight w:val="none"/>
              </w:rPr>
              <w:t>0.008%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noWrap/>
          </w:tcPr>
          <w:p>
            <w:pPr>
              <w:spacing w:line="360" w:lineRule="auto"/>
              <w:rPr>
                <w:rFonts w:ascii="宋体" w:hAnsi="宋体" w:cs="宋体"/>
                <w:color w:val="auto"/>
                <w:szCs w:val="21"/>
                <w:highlight w:val="none"/>
              </w:rPr>
            </w:pPr>
            <w:r>
              <w:rPr>
                <w:rFonts w:hint="eastAsia" w:ascii="宋体" w:hAnsi="宋体" w:cs="宋体"/>
                <w:color w:val="auto"/>
                <w:szCs w:val="21"/>
                <w:highlight w:val="none"/>
              </w:rPr>
              <w:t>50～100亿元</w:t>
            </w:r>
          </w:p>
        </w:tc>
        <w:tc>
          <w:tcPr>
            <w:tcW w:w="1659" w:type="dxa"/>
            <w:noWrap/>
          </w:tcPr>
          <w:p>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0.006%</w:t>
            </w:r>
          </w:p>
        </w:tc>
        <w:tc>
          <w:tcPr>
            <w:tcW w:w="1687" w:type="dxa"/>
            <w:noWrap/>
          </w:tcPr>
          <w:p>
            <w:pPr>
              <w:spacing w:line="360" w:lineRule="auto"/>
              <w:ind w:firstLine="210" w:firstLineChars="100"/>
              <w:rPr>
                <w:rFonts w:ascii="宋体" w:hAnsi="宋体" w:cs="宋体"/>
                <w:color w:val="auto"/>
                <w:szCs w:val="21"/>
                <w:highlight w:val="none"/>
              </w:rPr>
            </w:pPr>
            <w:r>
              <w:rPr>
                <w:rFonts w:hint="eastAsia" w:ascii="宋体" w:hAnsi="宋体" w:cs="宋体"/>
                <w:color w:val="auto"/>
                <w:szCs w:val="21"/>
                <w:highlight w:val="none"/>
              </w:rPr>
              <w:t>0.006%</w:t>
            </w:r>
          </w:p>
        </w:tc>
        <w:tc>
          <w:tcPr>
            <w:tcW w:w="1659" w:type="dxa"/>
            <w:noWrap/>
          </w:tcPr>
          <w:p>
            <w:pPr>
              <w:spacing w:line="360" w:lineRule="auto"/>
              <w:ind w:firstLine="105" w:firstLineChars="50"/>
              <w:rPr>
                <w:rFonts w:ascii="宋体" w:hAnsi="宋体" w:cs="宋体"/>
                <w:color w:val="auto"/>
                <w:szCs w:val="21"/>
                <w:highlight w:val="none"/>
              </w:rPr>
            </w:pPr>
            <w:r>
              <w:rPr>
                <w:rFonts w:hint="eastAsia" w:ascii="宋体" w:hAnsi="宋体" w:cs="宋体"/>
                <w:color w:val="auto"/>
                <w:szCs w:val="21"/>
                <w:highlight w:val="none"/>
              </w:rPr>
              <w:t>0.006%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2" w:type="dxa"/>
            <w:noWrap/>
          </w:tcPr>
          <w:p>
            <w:pPr>
              <w:spacing w:line="360" w:lineRule="auto"/>
              <w:rPr>
                <w:rFonts w:ascii="宋体" w:hAnsi="宋体" w:cs="宋体"/>
                <w:color w:val="auto"/>
                <w:szCs w:val="21"/>
                <w:highlight w:val="none"/>
              </w:rPr>
            </w:pPr>
            <w:r>
              <w:rPr>
                <w:rFonts w:hint="eastAsia" w:ascii="宋体" w:hAnsi="宋体" w:cs="宋体"/>
                <w:color w:val="auto"/>
                <w:szCs w:val="21"/>
                <w:highlight w:val="none"/>
              </w:rPr>
              <w:t>100亿元以上</w:t>
            </w:r>
          </w:p>
        </w:tc>
        <w:tc>
          <w:tcPr>
            <w:tcW w:w="1659" w:type="dxa"/>
            <w:noWrap/>
          </w:tcPr>
          <w:p>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0.004%</w:t>
            </w:r>
          </w:p>
        </w:tc>
        <w:tc>
          <w:tcPr>
            <w:tcW w:w="1687" w:type="dxa"/>
            <w:noWrap/>
          </w:tcPr>
          <w:p>
            <w:pPr>
              <w:spacing w:line="360" w:lineRule="auto"/>
              <w:ind w:firstLine="210" w:firstLineChars="100"/>
              <w:rPr>
                <w:rFonts w:ascii="宋体" w:hAnsi="宋体" w:cs="宋体"/>
                <w:color w:val="auto"/>
                <w:szCs w:val="21"/>
                <w:highlight w:val="none"/>
              </w:rPr>
            </w:pPr>
            <w:r>
              <w:rPr>
                <w:rFonts w:hint="eastAsia" w:ascii="宋体" w:hAnsi="宋体" w:cs="宋体"/>
                <w:color w:val="auto"/>
                <w:szCs w:val="21"/>
                <w:highlight w:val="none"/>
              </w:rPr>
              <w:t>0.004%</w:t>
            </w:r>
          </w:p>
        </w:tc>
        <w:tc>
          <w:tcPr>
            <w:tcW w:w="1659" w:type="dxa"/>
            <w:noWrap/>
          </w:tcPr>
          <w:p>
            <w:pPr>
              <w:spacing w:line="360" w:lineRule="auto"/>
              <w:ind w:firstLine="105" w:firstLineChars="50"/>
              <w:rPr>
                <w:rFonts w:ascii="宋体" w:hAnsi="宋体" w:cs="宋体"/>
                <w:color w:val="auto"/>
                <w:szCs w:val="21"/>
                <w:highlight w:val="none"/>
              </w:rPr>
            </w:pPr>
            <w:r>
              <w:rPr>
                <w:rFonts w:hint="eastAsia" w:ascii="宋体" w:hAnsi="宋体" w:cs="宋体"/>
                <w:color w:val="auto"/>
                <w:szCs w:val="21"/>
                <w:highlight w:val="none"/>
              </w:rPr>
              <w:t>0.004%</w:t>
            </w:r>
          </w:p>
        </w:tc>
      </w:tr>
    </w:tbl>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注: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（1）按本表费率计算的收费为采购代理的收费基准价格；</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（2）采购代理收费按差额定率累进法计算。</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例如：某货物采购代理业务中标金额或者暂定价为200万元，计算采购代理收费额如下：</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100 万元×l.5 ％＝ 1.5 万元</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200 － 100 ）万元 ×1.1％＝1.1万元</w:t>
      </w:r>
    </w:p>
    <w:p>
      <w:pPr>
        <w:spacing w:line="360" w:lineRule="auto"/>
        <w:ind w:firstLine="420" w:firstLineChars="200"/>
        <w:rPr>
          <w:rFonts w:ascii="宋体" w:hAnsi="宋体" w:cs="宋体"/>
          <w:color w:val="auto"/>
          <w:sz w:val="24"/>
          <w:highlight w:val="none"/>
        </w:rPr>
      </w:pPr>
      <w:r>
        <w:rPr>
          <w:rFonts w:hint="eastAsia" w:ascii="宋体" w:hAnsi="宋体" w:cs="宋体"/>
          <w:color w:val="auto"/>
          <w:szCs w:val="20"/>
          <w:highlight w:val="none"/>
        </w:rPr>
        <w:t>合计收费＝ 1.5+1.1＝ 2.6 （万元）</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41. 需要补充的其他内容</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41.1本招标文件解释规则详见“投标人须知前附表”。</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41.2 其他事项详见“投标人须知前附表”。</w:t>
      </w:r>
    </w:p>
    <w:p>
      <w:pPr>
        <w:pStyle w:val="17"/>
        <w:spacing w:before="120" w:after="120" w:line="360" w:lineRule="auto"/>
        <w:ind w:firstLine="420" w:firstLineChars="200"/>
        <w:contextualSpacing/>
        <w:rPr>
          <w:rFonts w:hAnsi="宋体" w:cs="宋体"/>
          <w:color w:val="auto"/>
          <w:highlight w:val="none"/>
        </w:rPr>
      </w:pPr>
      <w:r>
        <w:rPr>
          <w:rFonts w:hint="eastAsia" w:hAnsi="宋体" w:cs="宋体"/>
          <w:color w:val="auto"/>
          <w:highlight w:val="none"/>
        </w:rPr>
        <w:t>41.3本文件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投标人提供的货物由中小企业制造，即货物由中小企业生产且使用该中小企业商号或者注册商标，不对其中涉及的工程承建商和服务的承接商作出要求的，享受本文件规定的中小企业扶持政策。</w:t>
      </w:r>
    </w:p>
    <w:p>
      <w:pPr>
        <w:pStyle w:val="17"/>
        <w:spacing w:before="120" w:after="120" w:line="360" w:lineRule="auto"/>
        <w:ind w:firstLine="420" w:firstLineChars="200"/>
        <w:contextualSpacing/>
        <w:rPr>
          <w:rFonts w:hAnsi="宋体" w:cs="宋体"/>
          <w:color w:val="auto"/>
          <w:highlight w:val="none"/>
        </w:rPr>
      </w:pPr>
      <w:r>
        <w:rPr>
          <w:rFonts w:hint="eastAsia" w:hAnsi="宋体" w:cs="宋体"/>
          <w:color w:val="auto"/>
          <w:highlight w:val="none"/>
        </w:rPr>
        <w:t>在货物采购项目中，投标人提供的货物既有中小企业制造货物，也有大型企业制造货物的，不享受本文件规定的中小企业扶持政策。以联合体形式参加政府采购活动，联合体各方均为中小企业的，联合体视同中小企业。其中，联合体各方均为小微企业的，联合体视同小微企业。</w:t>
      </w:r>
    </w:p>
    <w:p>
      <w:pPr>
        <w:pStyle w:val="17"/>
        <w:spacing w:before="120" w:after="120" w:line="360" w:lineRule="auto"/>
        <w:ind w:firstLine="420" w:firstLineChars="200"/>
        <w:contextualSpacing/>
        <w:rPr>
          <w:rFonts w:hAnsi="宋体" w:cs="宋体"/>
          <w:color w:val="auto"/>
          <w:highlight w:val="none"/>
        </w:rPr>
      </w:pPr>
      <w:r>
        <w:rPr>
          <w:rFonts w:hint="eastAsia" w:hAnsi="宋体" w:cs="宋体"/>
          <w:color w:val="auto"/>
          <w:highlight w:val="none"/>
        </w:rPr>
        <w:t>依据本文件规定享受扶持政策获得政府采购合同的，小微企业不得将合同分包给大中型企业，中型企业不得将合同分包给大型企业。</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42. 广西线上“政采贷”政策告知函：</w:t>
      </w:r>
    </w:p>
    <w:p>
      <w:pPr>
        <w:spacing w:line="580" w:lineRule="exact"/>
        <w:jc w:val="center"/>
        <w:rPr>
          <w:rFonts w:ascii="宋体" w:hAnsi="宋体" w:cs="宋体"/>
          <w:color w:val="auto"/>
          <w:sz w:val="32"/>
          <w:szCs w:val="32"/>
          <w:highlight w:val="none"/>
        </w:rPr>
      </w:pPr>
      <w:r>
        <w:rPr>
          <w:rFonts w:hint="eastAsia" w:ascii="宋体" w:hAnsi="宋体" w:cs="宋体"/>
          <w:color w:val="auto"/>
          <w:sz w:val="32"/>
          <w:szCs w:val="32"/>
          <w:highlight w:val="none"/>
        </w:rPr>
        <w:t>广西线上“政采贷”政策告知函</w:t>
      </w:r>
    </w:p>
    <w:p>
      <w:pPr>
        <w:spacing w:line="360" w:lineRule="auto"/>
        <w:rPr>
          <w:rFonts w:ascii="宋体" w:hAnsi="宋体" w:cs="宋体"/>
          <w:color w:val="auto"/>
          <w:szCs w:val="21"/>
          <w:highlight w:val="none"/>
        </w:rPr>
      </w:pPr>
      <w:r>
        <w:rPr>
          <w:rFonts w:hint="eastAsia" w:ascii="宋体" w:hAnsi="宋体" w:cs="宋体"/>
          <w:color w:val="auto"/>
          <w:szCs w:val="21"/>
          <w:highlight w:val="none"/>
        </w:rPr>
        <w:t>各供应商：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欢迎贵公司参与广西政府采购活动！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相关金融产品和银行业金融机构联系方式，可在中征应收账款融资服务平台查询（网址：https://www.crcrfsp.com/，客服电话：400-009-0001）。</w:t>
      </w:r>
    </w:p>
    <w:p>
      <w:pPr>
        <w:widowControl/>
        <w:ind w:firstLine="420" w:firstLineChars="200"/>
        <w:rPr>
          <w:rFonts w:ascii="宋体" w:hAnsi="宋体" w:cs="宋体"/>
          <w:color w:val="auto"/>
          <w:highlight w:val="none"/>
        </w:rPr>
      </w:pPr>
    </w:p>
    <w:p>
      <w:pPr>
        <w:spacing w:line="360" w:lineRule="auto"/>
        <w:ind w:firstLine="420" w:firstLineChars="200"/>
        <w:jc w:val="left"/>
        <w:rPr>
          <w:rFonts w:ascii="宋体" w:hAnsi="宋体" w:cs="宋体"/>
          <w:color w:val="auto"/>
          <w:highlight w:val="none"/>
        </w:rPr>
      </w:pPr>
      <w:r>
        <w:rPr>
          <w:rFonts w:hint="eastAsia" w:ascii="宋体" w:hAnsi="宋体" w:cs="宋体"/>
          <w:color w:val="auto"/>
          <w:highlight w:val="none"/>
        </w:rPr>
        <w:br w:type="page"/>
      </w:r>
      <w:bookmarkStart w:id="183" w:name="_Toc532545043"/>
    </w:p>
    <w:p>
      <w:pPr>
        <w:pStyle w:val="17"/>
        <w:jc w:val="center"/>
        <w:outlineLvl w:val="0"/>
        <w:rPr>
          <w:rFonts w:hAnsi="宋体" w:cs="宋体"/>
          <w:b/>
          <w:color w:val="auto"/>
          <w:sz w:val="36"/>
          <w:highlight w:val="none"/>
        </w:rPr>
      </w:pPr>
      <w:bookmarkStart w:id="184" w:name="_Toc5517"/>
      <w:bookmarkStart w:id="185" w:name="_Toc18150"/>
      <w:bookmarkStart w:id="186" w:name="_Toc22348"/>
      <w:bookmarkStart w:id="187" w:name="_Toc25066"/>
      <w:r>
        <w:rPr>
          <w:rFonts w:hint="eastAsia" w:hAnsi="宋体" w:cs="宋体"/>
          <w:b/>
          <w:color w:val="auto"/>
          <w:sz w:val="36"/>
          <w:highlight w:val="none"/>
        </w:rPr>
        <w:t xml:space="preserve">第四章  </w:t>
      </w:r>
      <w:bookmarkEnd w:id="183"/>
      <w:bookmarkEnd w:id="184"/>
      <w:bookmarkEnd w:id="185"/>
      <w:r>
        <w:rPr>
          <w:rFonts w:hint="eastAsia" w:hAnsi="宋体" w:cs="宋体"/>
          <w:b/>
          <w:color w:val="auto"/>
          <w:sz w:val="36"/>
          <w:highlight w:val="none"/>
        </w:rPr>
        <w:t>评标方法和评标标准</w:t>
      </w:r>
      <w:bookmarkEnd w:id="186"/>
      <w:bookmarkEnd w:id="187"/>
    </w:p>
    <w:p>
      <w:pPr>
        <w:pStyle w:val="17"/>
        <w:jc w:val="center"/>
        <w:outlineLvl w:val="1"/>
        <w:rPr>
          <w:rFonts w:hAnsi="宋体" w:cs="宋体"/>
          <w:b/>
          <w:bCs/>
          <w:color w:val="auto"/>
          <w:sz w:val="32"/>
          <w:szCs w:val="32"/>
          <w:highlight w:val="none"/>
        </w:rPr>
      </w:pPr>
      <w:bookmarkStart w:id="188" w:name="_Toc2086"/>
      <w:bookmarkStart w:id="189" w:name="_Toc3364"/>
      <w:bookmarkStart w:id="190" w:name="_Toc31286"/>
      <w:bookmarkStart w:id="191" w:name="_Toc18908"/>
      <w:r>
        <w:rPr>
          <w:rFonts w:hint="eastAsia" w:hAnsi="宋体" w:cs="宋体"/>
          <w:b/>
          <w:bCs/>
          <w:color w:val="auto"/>
          <w:sz w:val="32"/>
          <w:szCs w:val="32"/>
          <w:highlight w:val="none"/>
        </w:rPr>
        <w:t>第一节 评标方法</w:t>
      </w:r>
      <w:bookmarkEnd w:id="188"/>
      <w:bookmarkEnd w:id="189"/>
      <w:bookmarkEnd w:id="190"/>
      <w:bookmarkEnd w:id="191"/>
    </w:p>
    <w:p>
      <w:pPr>
        <w:pStyle w:val="17"/>
        <w:tabs>
          <w:tab w:val="left" w:pos="2472"/>
        </w:tabs>
        <w:spacing w:line="460" w:lineRule="exact"/>
        <w:ind w:firstLine="420" w:firstLineChars="200"/>
        <w:rPr>
          <w:rFonts w:hAnsi="宋体" w:cs="宋体"/>
          <w:color w:val="auto"/>
          <w:szCs w:val="21"/>
          <w:highlight w:val="none"/>
        </w:rPr>
      </w:pPr>
      <w:r>
        <w:rPr>
          <w:rFonts w:hint="eastAsia" w:hAnsi="宋体" w:cs="宋体"/>
          <w:color w:val="auto"/>
          <w:szCs w:val="21"/>
          <w:highlight w:val="none"/>
        </w:rPr>
        <w:t>本项目采用以下方式进行评审。</w:t>
      </w:r>
    </w:p>
    <w:p>
      <w:pPr>
        <w:pStyle w:val="17"/>
        <w:tabs>
          <w:tab w:val="left" w:pos="2472"/>
        </w:tabs>
        <w:spacing w:line="460" w:lineRule="exact"/>
        <w:ind w:firstLine="420" w:firstLineChars="200"/>
        <w:rPr>
          <w:rFonts w:hAnsi="宋体" w:cs="宋体"/>
          <w:color w:val="auto"/>
          <w:sz w:val="24"/>
          <w:highlight w:val="none"/>
        </w:rPr>
      </w:pPr>
      <w:r>
        <w:rPr>
          <w:rFonts w:hint="eastAsia" w:hAnsi="宋体" w:cs="宋体"/>
          <w:color w:val="auto"/>
          <w:highlight w:val="none"/>
        </w:rPr>
        <w:t xml:space="preserve">综合评分法，是指投标文件满足招标文件全部实质性要求，且按照评审因素的量化指标评审得分最高的投标人为中标候选人的评标方法。 </w:t>
      </w:r>
    </w:p>
    <w:p>
      <w:pPr>
        <w:pStyle w:val="17"/>
        <w:spacing w:line="360" w:lineRule="auto"/>
        <w:ind w:firstLine="420"/>
        <w:rPr>
          <w:rFonts w:hAnsi="宋体" w:cs="宋体"/>
          <w:color w:val="auto"/>
          <w:highlight w:val="none"/>
        </w:rPr>
      </w:pPr>
    </w:p>
    <w:p>
      <w:pPr>
        <w:pStyle w:val="17"/>
        <w:tabs>
          <w:tab w:val="left" w:pos="2472"/>
        </w:tabs>
        <w:spacing w:line="460" w:lineRule="exact"/>
        <w:jc w:val="center"/>
        <w:outlineLvl w:val="1"/>
        <w:rPr>
          <w:rFonts w:hAnsi="宋体" w:cs="宋体"/>
          <w:b/>
          <w:bCs/>
          <w:color w:val="auto"/>
          <w:sz w:val="32"/>
          <w:szCs w:val="32"/>
          <w:highlight w:val="none"/>
        </w:rPr>
      </w:pPr>
      <w:bookmarkStart w:id="192" w:name="_Toc13065"/>
      <w:bookmarkStart w:id="193" w:name="_Toc6695"/>
      <w:bookmarkStart w:id="194" w:name="_Toc13037"/>
      <w:bookmarkStart w:id="195" w:name="_Toc12508"/>
      <w:r>
        <w:rPr>
          <w:rFonts w:hint="eastAsia" w:hAnsi="宋体" w:cs="宋体"/>
          <w:b/>
          <w:bCs/>
          <w:color w:val="auto"/>
          <w:sz w:val="32"/>
          <w:szCs w:val="32"/>
          <w:highlight w:val="none"/>
        </w:rPr>
        <w:t>第二节 评标程序</w:t>
      </w:r>
      <w:bookmarkEnd w:id="192"/>
      <w:bookmarkEnd w:id="193"/>
      <w:bookmarkEnd w:id="194"/>
      <w:bookmarkEnd w:id="195"/>
    </w:p>
    <w:p>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1.符合性审查</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评标委员会应当对符合资格的投标人的投标文件进行投标报价、商务、技术等实质性内容符合性审查，以确定其是否满足招标文件的实质性要求。</w:t>
      </w:r>
    </w:p>
    <w:p>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2.符合性审查不通过而导致投标无效的情形</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投标人的投标文件中存在对招标文件的任何实质性要求和条件的负偏离，将被视为投标无效。</w:t>
      </w:r>
    </w:p>
    <w:p>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2.1在报价评审时，如发现下列情形之一的，将被视为投标无效：</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（1）投标文件未提供“投标人须知前附表”第13.1条规定中“必须提供”的文件资料的。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（2）未采用人民币报价或者未按照招标文件标明的币种报价的。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（3）报价超出招标文件规定最高限价，或者超出采购预算金额的</w:t>
      </w:r>
      <w:r>
        <w:rPr>
          <w:rFonts w:hint="eastAsia" w:ascii="宋体" w:hAnsi="宋体" w:cs="宋体"/>
          <w:b/>
          <w:bCs/>
          <w:color w:val="auto"/>
          <w:szCs w:val="21"/>
          <w:highlight w:val="none"/>
        </w:rPr>
        <w:t>（包括分项预算）</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（4）投标人未就所投分标进行报价或者存在漏项报价。投标人未就所投</w:t>
      </w:r>
      <w:r>
        <w:rPr>
          <w:rFonts w:hint="eastAsia" w:cs="宋体"/>
          <w:color w:val="auto"/>
          <w:szCs w:val="21"/>
          <w:highlight w:val="none"/>
        </w:rPr>
        <w:t>分标</w:t>
      </w:r>
      <w:r>
        <w:rPr>
          <w:rFonts w:hint="eastAsia" w:ascii="宋体" w:hAnsi="宋体" w:cs="宋体"/>
          <w:color w:val="auto"/>
          <w:szCs w:val="21"/>
          <w:highlight w:val="none"/>
        </w:rPr>
        <w:t>的单项内容作唯一报价。投标人未就所投项目的全部内容作唯一总价报价。存在有选择、有条件报价的（招标文件允许有备选方案或者其他约定的除外）。</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（5）修正后的报价，投标人不确认的。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（6）投标人属于本章第5条第（2）项情形的。</w:t>
      </w:r>
    </w:p>
    <w:p>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2.2在商务评审时，如发现下列情形之一的，将被视为投标无效：</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（1）投标文件未按招标文件要求签署、盖章的。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（2）委托代理人未能出具有效身份证明或者出具的身份证明与授权委托书中的信息不符的。 </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（3）为无效投标保证金的或者未按照招标文件的规定提交投标保证金的。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（4）投标文件未提供“投标人须知前附表”第13.1条规定中“必须提供”或者“委托时必须提供”的文件资料的。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（5）投标有效期、项目完成时间（交货时间、服务完成时间或者服务期等）、维保期及招标文件中标“▲”或“★”的商务条款发生负偏离的。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（6）商务条款评审允许负偏离的条款数超过“投标人须知前附表”规定项数的。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（7）投标文件的实质性内容未使用中文表述、使用计量单位不符合招标文件要求的。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（8）投标文件中的文件资料因填写不齐全或者内容虚假或者出现其他情形而导致被评标委员会认定无效的。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（9）投标文件含有采购人不能接受的附加条件的。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（10）未响应招标文件实质性要求的。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（11）属于投标人须知正文第9.2条情形的。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（12）法律、法规和招标文件规定的其他无效情形。</w:t>
      </w:r>
    </w:p>
    <w:p>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2.3在技术评审时，如发现下列情形之一的，将被视为投标无效：</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（1）不满足招标文件要求的货物内容、技术要求、安全、质量标准，或者与招标文件中标“▲”或“★”的技术参数及配置发生负偏离的。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（2）技术需求评审允许负偏离的条款数超过“投标人须知前附表”规定项数的。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（3）投标文件未提供“投标人须知前附表”第13.1条规定中“必须提供”的文件资料的;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（4）虚假投标，或者出现其他情形而导致被评标委员会认定无效的。</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（5）招标文件要求提供技术方案的，投标技术方案不明确，招标文件未允许但存在一个或者一个以上备选（替代）投标方案的。</w:t>
      </w:r>
    </w:p>
    <w:p>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3.澄清补正、说明或者补正</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对投标文件中含义不明确、同类问题表述不一致或者有明显文字和计算错误的内容，评标委员会应在广西政府采购云平台发布电子澄清函，要求投标人在规定时间内作出必要的澄清、说明或者补正。投标人在广西政府采购云平台接收到电子澄清函后根据澄清函内容上传PDF格式回函，电子澄清答复函使用CA证书加盖投标人公章后在线上传至评标委员会。投标人的澄清、说明或者补正不得超出投标文件的范围或者改变投标文件的实质性内容。</w:t>
      </w:r>
      <w:r>
        <w:rPr>
          <w:rFonts w:hint="eastAsia" w:ascii="宋体" w:hAnsi="宋体" w:cs="宋体"/>
          <w:b/>
          <w:bCs/>
          <w:color w:val="auto"/>
          <w:szCs w:val="21"/>
          <w:highlight w:val="none"/>
        </w:rPr>
        <w:t>投标人未在规定时间内进行澄清、说明或者补正的，有可能对评审产生影响</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异常情况处理：如遇无法正常使用线上发送澄清函的情况，将启动书面形式办理。启动书面形式办理的情况下，评标委员会以书面形式要求投标人在规定时间内作出必要的澄清、说明或者补正。投标人的澄清、说明或者补正必须采用书面形式，并加盖公章，或者由法定代表人或者其授权的代表签字。</w:t>
      </w:r>
    </w:p>
    <w:p>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4.投标文件修正</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4.1投标文件报价出现前后不一致的，按照下列规定修正： </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（1）报价文件中“开标一览表”内容与投标文件中相应内容不一致的，以“开标一览表”为准。</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（2）大写金额和小写金额不一致的，以大写金额为准。</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（3）单价金额小数点或者百分比有明显错位的，以开标一览表的总价为准，并修改单价。</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（4）总价金额与按单价汇总金额不一致的，以单价金额计算结果为准。</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同时出现两种以上不一致的，按照以上（1）-（4）规定的顺序修正。</w:t>
      </w:r>
      <w:r>
        <w:rPr>
          <w:rFonts w:hint="eastAsia" w:ascii="宋体" w:hAnsi="宋体" w:cs="宋体"/>
          <w:b/>
          <w:bCs/>
          <w:color w:val="auto"/>
          <w:highlight w:val="none"/>
        </w:rPr>
        <w:t>修正后的报价经投标人确认后产生约束力，投标人不确认的，其投标无效</w:t>
      </w:r>
      <w:r>
        <w:rPr>
          <w:rFonts w:hint="eastAsia" w:ascii="宋体" w:hAnsi="宋体" w:cs="宋体"/>
          <w:color w:val="auto"/>
          <w:highlight w:val="none"/>
        </w:rPr>
        <w:t>。</w:t>
      </w:r>
    </w:p>
    <w:p>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4.2经投标人确认修正后的报价若超过采购预算金额或者最高限价，投标人的投标文件作无效投标处理。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4.3经投标人确认修正后的报价作为签订合同的依据，并以此报价计算价格分。</w:t>
      </w:r>
    </w:p>
    <w:p>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5.比较与评价</w:t>
      </w:r>
    </w:p>
    <w:p>
      <w:pPr>
        <w:tabs>
          <w:tab w:val="center" w:pos="4153"/>
          <w:tab w:val="right" w:pos="8306"/>
        </w:tabs>
        <w:spacing w:line="360" w:lineRule="auto"/>
        <w:ind w:firstLine="420" w:firstLineChars="200"/>
        <w:rPr>
          <w:color w:val="auto"/>
          <w:highlight w:val="none"/>
        </w:rPr>
      </w:pPr>
      <w:r>
        <w:rPr>
          <w:rFonts w:hint="eastAsia" w:ascii="宋体" w:hAnsi="宋体" w:cs="宋体"/>
          <w:color w:val="auto"/>
          <w:highlight w:val="none"/>
        </w:rPr>
        <w:t>（1）</w:t>
      </w:r>
      <w:r>
        <w:rPr>
          <w:rFonts w:hint="eastAsia" w:ascii="宋体" w:hAnsi="宋体" w:cs="宋体"/>
          <w:color w:val="auto"/>
          <w:szCs w:val="21"/>
          <w:highlight w:val="none"/>
        </w:rPr>
        <w:t>评审委员会成员要根据政府采购法律法规和招标文件所载明的评标方法、标准进行评审。对投标人的价格分等客观评分项的评分应当一致，对其他需要借助专业知识评判的主观评分项，应当严格按照评分细则公正评分。</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（2）评标委员会按照招标文件中规定的评标方法和评标标准，对符合性审查合格的投标文件进行商务和技术评估，综合比较与评价。</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（3）评标委员会各成员独立对每个投标人的投标文件进行评价，并汇总每个投标人的得分。</w:t>
      </w:r>
    </w:p>
    <w:p>
      <w:pPr>
        <w:spacing w:line="360" w:lineRule="auto"/>
        <w:ind w:firstLine="422" w:firstLineChars="200"/>
        <w:rPr>
          <w:rFonts w:ascii="宋体" w:hAnsi="宋体" w:cs="宋体"/>
          <w:b/>
          <w:bCs/>
          <w:color w:val="auto"/>
          <w:highlight w:val="none"/>
        </w:rPr>
      </w:pPr>
      <w:r>
        <w:rPr>
          <w:rFonts w:hint="eastAsia" w:ascii="宋体" w:hAnsi="宋体" w:cs="宋体"/>
          <w:b/>
          <w:bCs/>
          <w:color w:val="auto"/>
          <w:highlight w:val="none"/>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将其作为无效投标处理。</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（5）评标委员会按照招标文件中规定的评标方法和标准计算各投标人的报价得分。在评标过程中，不得去掉报价中的最高报价和最低报价。</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（6）各投标人的得分为评标委员会各成员的有效评分的算术平均数。</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（7）评标委员会按照招标文件中的规定推荐中标候选人。</w:t>
      </w:r>
    </w:p>
    <w:p>
      <w:pPr>
        <w:tabs>
          <w:tab w:val="center" w:pos="4153"/>
          <w:tab w:val="right" w:pos="8306"/>
        </w:tabs>
        <w:spacing w:line="360" w:lineRule="auto"/>
        <w:ind w:firstLine="420" w:firstLineChars="200"/>
        <w:rPr>
          <w:rFonts w:ascii="宋体" w:hAnsi="宋体" w:cs="宋体"/>
          <w:color w:val="auto"/>
          <w:highlight w:val="none"/>
        </w:rPr>
      </w:pPr>
      <w:r>
        <w:rPr>
          <w:rFonts w:hint="eastAsia" w:ascii="宋体" w:hAnsi="宋体" w:cs="宋体"/>
          <w:color w:val="auto"/>
          <w:highlight w:val="none"/>
        </w:rPr>
        <w:t>（8）起草并签署评标报告。评标委员会根据评标委员会各成员签字的原始评标记录和评标结果编写评标报告。评标委员会各成员均应当在评标报告上签字，对自己的评标意见承担法律责任。对评标过程中需要共同认定的事项存在争议的，应当按照少数服从多数的原则做出结论。持不同意见的评标委员会成员应当在评标报告上签署不同意见及理由，否则视为同意评标报告。</w:t>
      </w:r>
    </w:p>
    <w:p>
      <w:pPr>
        <w:tabs>
          <w:tab w:val="center" w:pos="4153"/>
          <w:tab w:val="right" w:pos="8306"/>
        </w:tabs>
        <w:spacing w:line="360" w:lineRule="auto"/>
        <w:ind w:firstLine="422" w:firstLineChars="200"/>
        <w:rPr>
          <w:rFonts w:ascii="宋体" w:hAnsi="宋体" w:cs="宋体"/>
          <w:b/>
          <w:bCs/>
          <w:color w:val="auto"/>
          <w:highlight w:val="none"/>
        </w:rPr>
      </w:pPr>
      <w:r>
        <w:rPr>
          <w:rFonts w:hint="eastAsia" w:ascii="宋体" w:hAnsi="宋体" w:cs="宋体"/>
          <w:b/>
          <w:bCs/>
          <w:color w:val="auto"/>
          <w:highlight w:val="none"/>
        </w:rPr>
        <w:t>6.评审复核</w:t>
      </w:r>
    </w:p>
    <w:p>
      <w:pPr>
        <w:tabs>
          <w:tab w:val="center" w:pos="4153"/>
          <w:tab w:val="right" w:pos="8306"/>
        </w:tabs>
        <w:spacing w:line="360" w:lineRule="auto"/>
        <w:ind w:firstLine="420" w:firstLineChars="200"/>
        <w:rPr>
          <w:rFonts w:ascii="宋体" w:hAnsi="宋体" w:cs="宋体"/>
          <w:color w:val="auto"/>
          <w:highlight w:val="none"/>
        </w:rPr>
      </w:pPr>
      <w:r>
        <w:rPr>
          <w:rFonts w:hint="eastAsia" w:ascii="宋体" w:hAnsi="宋体" w:cs="宋体"/>
          <w:color w:val="auto"/>
          <w:highlight w:val="none"/>
        </w:rPr>
        <w:t>6.1评标报告签署前，评标委员会要对评审结果进行复核，复核意见要体现在评标报告中。</w:t>
      </w:r>
    </w:p>
    <w:p>
      <w:pPr>
        <w:tabs>
          <w:tab w:val="center" w:pos="4153"/>
          <w:tab w:val="right" w:pos="8306"/>
        </w:tabs>
        <w:spacing w:line="360" w:lineRule="auto"/>
        <w:ind w:firstLine="420" w:firstLineChars="200"/>
        <w:rPr>
          <w:rFonts w:ascii="宋体" w:hAnsi="宋体" w:cs="宋体"/>
          <w:color w:val="auto"/>
          <w:highlight w:val="none"/>
        </w:rPr>
      </w:pPr>
      <w:r>
        <w:rPr>
          <w:rFonts w:hint="eastAsia" w:ascii="宋体" w:hAnsi="宋体" w:cs="宋体"/>
          <w:color w:val="auto"/>
          <w:highlight w:val="none"/>
        </w:rPr>
        <w:t>6.2评标结果汇总完成后，除下列情形外，任何人不得修改评标结果：</w:t>
      </w:r>
    </w:p>
    <w:p>
      <w:pPr>
        <w:tabs>
          <w:tab w:val="center" w:pos="4153"/>
          <w:tab w:val="right" w:pos="8306"/>
        </w:tabs>
        <w:spacing w:line="360" w:lineRule="auto"/>
        <w:ind w:firstLine="420" w:firstLineChars="200"/>
        <w:rPr>
          <w:rFonts w:ascii="宋体" w:hAnsi="宋体" w:cs="宋体"/>
          <w:color w:val="auto"/>
          <w:highlight w:val="none"/>
        </w:rPr>
      </w:pPr>
      <w:r>
        <w:rPr>
          <w:rFonts w:hint="eastAsia" w:ascii="宋体" w:hAnsi="宋体" w:cs="宋体"/>
          <w:color w:val="auto"/>
          <w:highlight w:val="none"/>
        </w:rPr>
        <w:t>　　（一）分值汇总计算错误的。</w:t>
      </w:r>
    </w:p>
    <w:p>
      <w:pPr>
        <w:tabs>
          <w:tab w:val="center" w:pos="4153"/>
          <w:tab w:val="right" w:pos="8306"/>
        </w:tabs>
        <w:spacing w:line="360" w:lineRule="auto"/>
        <w:ind w:firstLine="420" w:firstLineChars="200"/>
        <w:rPr>
          <w:rFonts w:ascii="宋体" w:hAnsi="宋体" w:cs="宋体"/>
          <w:color w:val="auto"/>
          <w:highlight w:val="none"/>
        </w:rPr>
      </w:pPr>
      <w:r>
        <w:rPr>
          <w:rFonts w:hint="eastAsia" w:ascii="宋体" w:hAnsi="宋体" w:cs="宋体"/>
          <w:color w:val="auto"/>
          <w:highlight w:val="none"/>
        </w:rPr>
        <w:t>　　（二）分项评分超出评分标准范围的。</w:t>
      </w:r>
    </w:p>
    <w:p>
      <w:pPr>
        <w:tabs>
          <w:tab w:val="center" w:pos="4153"/>
          <w:tab w:val="right" w:pos="8306"/>
        </w:tabs>
        <w:spacing w:line="360" w:lineRule="auto"/>
        <w:ind w:firstLine="420" w:firstLineChars="200"/>
        <w:rPr>
          <w:rFonts w:ascii="宋体" w:hAnsi="宋体" w:cs="宋体"/>
          <w:color w:val="auto"/>
          <w:highlight w:val="none"/>
        </w:rPr>
      </w:pPr>
      <w:r>
        <w:rPr>
          <w:rFonts w:hint="eastAsia" w:ascii="宋体" w:hAnsi="宋体" w:cs="宋体"/>
          <w:color w:val="auto"/>
          <w:highlight w:val="none"/>
        </w:rPr>
        <w:t>　　（三）评标委员会成员对客观评审因素评分不一致的。</w:t>
      </w:r>
    </w:p>
    <w:p>
      <w:pPr>
        <w:tabs>
          <w:tab w:val="center" w:pos="4153"/>
          <w:tab w:val="right" w:pos="8306"/>
        </w:tabs>
        <w:spacing w:line="360" w:lineRule="auto"/>
        <w:ind w:firstLine="420" w:firstLineChars="200"/>
        <w:rPr>
          <w:rFonts w:ascii="宋体" w:hAnsi="宋体" w:cs="宋体"/>
          <w:color w:val="auto"/>
          <w:highlight w:val="none"/>
        </w:rPr>
      </w:pPr>
      <w:r>
        <w:rPr>
          <w:rFonts w:hint="eastAsia" w:ascii="宋体" w:hAnsi="宋体" w:cs="宋体"/>
          <w:color w:val="auto"/>
          <w:highlight w:val="none"/>
        </w:rPr>
        <w:t>　　（四）经评标委员会认定评分畸高、畸低的。</w:t>
      </w:r>
    </w:p>
    <w:p>
      <w:pPr>
        <w:tabs>
          <w:tab w:val="center" w:pos="4153"/>
          <w:tab w:val="right" w:pos="8306"/>
        </w:tabs>
        <w:spacing w:line="360" w:lineRule="auto"/>
        <w:ind w:firstLine="420" w:firstLineChars="200"/>
        <w:rPr>
          <w:rFonts w:ascii="宋体" w:hAnsi="宋体" w:cs="宋体"/>
          <w:color w:val="auto"/>
          <w:highlight w:val="none"/>
        </w:rPr>
      </w:pPr>
      <w:r>
        <w:rPr>
          <w:rFonts w:hint="eastAsia" w:ascii="宋体" w:hAnsi="宋体" w:cs="宋体"/>
          <w:color w:val="auto"/>
          <w:highlight w:val="none"/>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pStyle w:val="4"/>
        <w:jc w:val="center"/>
        <w:rPr>
          <w:rFonts w:ascii="宋体" w:hAnsi="宋体" w:eastAsia="宋体" w:cs="宋体"/>
          <w:b w:val="0"/>
          <w:color w:val="auto"/>
          <w:sz w:val="30"/>
          <w:szCs w:val="30"/>
          <w:highlight w:val="none"/>
        </w:rPr>
      </w:pPr>
      <w:bookmarkStart w:id="196" w:name="_Toc32041"/>
      <w:bookmarkStart w:id="197" w:name="_Toc17655"/>
      <w:bookmarkStart w:id="198" w:name="_Toc17840"/>
      <w:bookmarkStart w:id="199" w:name="_Toc25387"/>
      <w:r>
        <w:rPr>
          <w:rFonts w:hint="eastAsia" w:ascii="宋体" w:hAnsi="宋体" w:eastAsia="宋体" w:cs="宋体"/>
          <w:b w:val="0"/>
          <w:color w:val="auto"/>
          <w:sz w:val="30"/>
          <w:szCs w:val="30"/>
          <w:highlight w:val="none"/>
        </w:rPr>
        <w:br w:type="page"/>
      </w:r>
      <w:r>
        <w:rPr>
          <w:rFonts w:hint="eastAsia" w:ascii="宋体" w:hAnsi="宋体" w:eastAsia="宋体" w:cs="宋体"/>
          <w:b w:val="0"/>
          <w:color w:val="auto"/>
          <w:sz w:val="30"/>
          <w:szCs w:val="30"/>
          <w:highlight w:val="none"/>
        </w:rPr>
        <w:t>第三节 评分标准</w:t>
      </w:r>
      <w:bookmarkEnd w:id="196"/>
      <w:bookmarkEnd w:id="197"/>
      <w:bookmarkEnd w:id="198"/>
      <w:bookmarkEnd w:id="199"/>
    </w:p>
    <w:p>
      <w:pPr>
        <w:pStyle w:val="17"/>
        <w:jc w:val="center"/>
        <w:rPr>
          <w:color w:val="auto"/>
          <w:highlight w:val="none"/>
        </w:rPr>
      </w:pPr>
      <w:r>
        <w:rPr>
          <w:rFonts w:hint="eastAsia" w:hAnsi="宋体" w:cs="宋体"/>
          <w:b/>
          <w:color w:val="auto"/>
          <w:sz w:val="30"/>
          <w:szCs w:val="30"/>
          <w:highlight w:val="none"/>
        </w:rPr>
        <w:t>综合评分法</w:t>
      </w:r>
      <w:bookmarkStart w:id="200" w:name="_Toc30734"/>
      <w:bookmarkStart w:id="201" w:name="_Toc5054"/>
      <w:bookmarkStart w:id="202" w:name="_Toc1251"/>
      <w:bookmarkStart w:id="203" w:name="_Toc28332"/>
    </w:p>
    <w:p>
      <w:pPr>
        <w:rPr>
          <w:color w:val="auto"/>
          <w:highlight w:val="none"/>
        </w:rPr>
      </w:pPr>
    </w:p>
    <w:p>
      <w:pPr>
        <w:rPr>
          <w:b/>
          <w:bCs/>
          <w:color w:val="auto"/>
          <w:highlight w:val="none"/>
        </w:rPr>
      </w:pPr>
      <w:r>
        <w:rPr>
          <w:rFonts w:hint="eastAsia"/>
          <w:b/>
          <w:bCs/>
          <w:color w:val="auto"/>
          <w:highlight w:val="none"/>
        </w:rPr>
        <w:t>注：评分标准中，不符合最低档次条件的，可以为0分。计分方法按四舍五入取至百分位，总得分=报价分+技术分+商务分。</w:t>
      </w:r>
    </w:p>
    <w:p>
      <w:pPr>
        <w:pStyle w:val="2"/>
        <w:rPr>
          <w:b/>
          <w:bCs/>
          <w:color w:val="auto"/>
          <w:highlight w:val="none"/>
        </w:rPr>
      </w:pPr>
    </w:p>
    <w:tbl>
      <w:tblPr>
        <w:tblStyle w:val="32"/>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2"/>
        <w:gridCol w:w="959"/>
        <w:gridCol w:w="7642"/>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2" w:type="dxa"/>
            <w:vAlign w:val="center"/>
          </w:tcPr>
          <w:p>
            <w:pPr>
              <w:keepNext w:val="0"/>
              <w:keepLines w:val="0"/>
              <w:pageBreakBefore w:val="0"/>
              <w:widowControl w:val="0"/>
              <w:kinsoku/>
              <w:wordWrap/>
              <w:overflowPunct/>
              <w:topLinePunct w:val="0"/>
              <w:autoSpaceDE/>
              <w:autoSpaceDN/>
              <w:bidi w:val="0"/>
              <w:spacing w:line="400" w:lineRule="exact"/>
              <w:jc w:val="center"/>
              <w:rPr>
                <w:rFonts w:ascii="宋体" w:hAnsi="宋体" w:cs="宋体"/>
                <w:bCs/>
                <w:color w:val="auto"/>
                <w:szCs w:val="21"/>
                <w:highlight w:val="none"/>
              </w:rPr>
            </w:pPr>
            <w:r>
              <w:rPr>
                <w:rFonts w:hint="eastAsia" w:ascii="宋体" w:hAnsi="宋体" w:cs="宋体"/>
                <w:bCs/>
                <w:color w:val="auto"/>
                <w:szCs w:val="21"/>
                <w:highlight w:val="none"/>
              </w:rPr>
              <w:t>序号</w:t>
            </w:r>
          </w:p>
        </w:tc>
        <w:tc>
          <w:tcPr>
            <w:tcW w:w="959" w:type="dxa"/>
            <w:vAlign w:val="center"/>
          </w:tcPr>
          <w:p>
            <w:pPr>
              <w:keepNext w:val="0"/>
              <w:keepLines w:val="0"/>
              <w:pageBreakBefore w:val="0"/>
              <w:widowControl w:val="0"/>
              <w:kinsoku/>
              <w:wordWrap/>
              <w:overflowPunct/>
              <w:topLinePunct w:val="0"/>
              <w:autoSpaceDE/>
              <w:autoSpaceDN/>
              <w:bidi w:val="0"/>
              <w:spacing w:line="400" w:lineRule="exact"/>
              <w:jc w:val="center"/>
              <w:rPr>
                <w:rFonts w:ascii="宋体" w:hAnsi="宋体" w:cs="宋体"/>
                <w:bCs/>
                <w:color w:val="auto"/>
                <w:szCs w:val="21"/>
                <w:highlight w:val="none"/>
              </w:rPr>
            </w:pPr>
            <w:r>
              <w:rPr>
                <w:rFonts w:hint="eastAsia" w:ascii="宋体" w:hAnsi="宋体" w:cs="宋体"/>
                <w:bCs/>
                <w:color w:val="auto"/>
                <w:szCs w:val="21"/>
                <w:highlight w:val="none"/>
              </w:rPr>
              <w:t>评分类型</w:t>
            </w:r>
          </w:p>
        </w:tc>
        <w:tc>
          <w:tcPr>
            <w:tcW w:w="7642" w:type="dxa"/>
            <w:vAlign w:val="center"/>
          </w:tcPr>
          <w:p>
            <w:pPr>
              <w:keepNext w:val="0"/>
              <w:keepLines w:val="0"/>
              <w:pageBreakBefore w:val="0"/>
              <w:widowControl w:val="0"/>
              <w:kinsoku/>
              <w:wordWrap/>
              <w:overflowPunct/>
              <w:topLinePunct w:val="0"/>
              <w:autoSpaceDE/>
              <w:autoSpaceDN/>
              <w:bidi w:val="0"/>
              <w:spacing w:line="400" w:lineRule="exact"/>
              <w:jc w:val="center"/>
              <w:rPr>
                <w:rFonts w:ascii="宋体" w:hAnsi="宋体" w:cs="宋体"/>
                <w:bCs/>
                <w:color w:val="auto"/>
                <w:szCs w:val="21"/>
                <w:highlight w:val="none"/>
              </w:rPr>
            </w:pPr>
            <w:r>
              <w:rPr>
                <w:rFonts w:hint="eastAsia" w:ascii="宋体" w:hAnsi="宋体" w:cs="宋体"/>
                <w:bCs/>
                <w:color w:val="auto"/>
                <w:szCs w:val="21"/>
                <w:highlight w:val="none"/>
              </w:rPr>
              <w:t>评分标准</w:t>
            </w:r>
          </w:p>
        </w:tc>
        <w:tc>
          <w:tcPr>
            <w:tcW w:w="711" w:type="dxa"/>
            <w:vAlign w:val="center"/>
          </w:tcPr>
          <w:p>
            <w:pPr>
              <w:keepNext w:val="0"/>
              <w:keepLines w:val="0"/>
              <w:pageBreakBefore w:val="0"/>
              <w:widowControl w:val="0"/>
              <w:kinsoku/>
              <w:wordWrap/>
              <w:overflowPunct/>
              <w:topLinePunct w:val="0"/>
              <w:autoSpaceDE/>
              <w:autoSpaceDN/>
              <w:bidi w:val="0"/>
              <w:spacing w:line="400" w:lineRule="exact"/>
              <w:jc w:val="center"/>
              <w:rPr>
                <w:rFonts w:ascii="宋体" w:hAnsi="宋体" w:cs="宋体"/>
                <w:bCs/>
                <w:color w:val="auto"/>
                <w:szCs w:val="21"/>
                <w:highlight w:val="none"/>
              </w:rPr>
            </w:pPr>
            <w:r>
              <w:rPr>
                <w:rFonts w:hint="eastAsia" w:ascii="宋体" w:hAnsi="宋体" w:cs="宋体"/>
                <w:bCs/>
                <w:color w:val="auto"/>
                <w:szCs w:val="21"/>
                <w:highlight w:val="none"/>
              </w:rPr>
              <w:t>满分分值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2" w:type="dxa"/>
            <w:vAlign w:val="center"/>
          </w:tcPr>
          <w:p>
            <w:pPr>
              <w:keepNext w:val="0"/>
              <w:keepLines w:val="0"/>
              <w:pageBreakBefore w:val="0"/>
              <w:widowControl w:val="0"/>
              <w:kinsoku/>
              <w:wordWrap/>
              <w:overflowPunct/>
              <w:topLinePunct w:val="0"/>
              <w:autoSpaceDE/>
              <w:autoSpaceDN/>
              <w:bidi w:val="0"/>
              <w:spacing w:line="400" w:lineRule="exact"/>
              <w:jc w:val="center"/>
              <w:rPr>
                <w:rFonts w:ascii="宋体" w:hAnsi="宋体" w:cs="宋体"/>
                <w:bCs/>
                <w:color w:val="auto"/>
                <w:szCs w:val="21"/>
                <w:highlight w:val="none"/>
              </w:rPr>
            </w:pPr>
            <w:r>
              <w:rPr>
                <w:rFonts w:hint="eastAsia" w:ascii="宋体" w:hAnsi="宋体" w:cs="宋体"/>
                <w:bCs/>
                <w:color w:val="auto"/>
                <w:szCs w:val="21"/>
                <w:highlight w:val="none"/>
              </w:rPr>
              <w:t>0</w:t>
            </w:r>
          </w:p>
        </w:tc>
        <w:tc>
          <w:tcPr>
            <w:tcW w:w="959" w:type="dxa"/>
            <w:vAlign w:val="center"/>
          </w:tcPr>
          <w:p>
            <w:pPr>
              <w:keepNext w:val="0"/>
              <w:keepLines w:val="0"/>
              <w:pageBreakBefore w:val="0"/>
              <w:widowControl w:val="0"/>
              <w:kinsoku/>
              <w:wordWrap/>
              <w:overflowPunct/>
              <w:topLinePunct w:val="0"/>
              <w:autoSpaceDE/>
              <w:autoSpaceDN/>
              <w:bidi w:val="0"/>
              <w:adjustRightInd w:val="0"/>
              <w:spacing w:line="400" w:lineRule="exact"/>
              <w:jc w:val="center"/>
              <w:textAlignment w:val="baseline"/>
              <w:rPr>
                <w:rFonts w:ascii="宋体" w:hAnsi="宋体" w:cs="宋体"/>
                <w:color w:val="auto"/>
                <w:szCs w:val="21"/>
                <w:highlight w:val="none"/>
              </w:rPr>
            </w:pPr>
            <w:r>
              <w:rPr>
                <w:rFonts w:hint="eastAsia" w:ascii="宋体" w:hAnsi="宋体" w:cs="宋体"/>
                <w:color w:val="auto"/>
                <w:szCs w:val="21"/>
                <w:highlight w:val="none"/>
              </w:rPr>
              <w:t>报价</w:t>
            </w:r>
          </w:p>
        </w:tc>
        <w:tc>
          <w:tcPr>
            <w:tcW w:w="7642" w:type="dxa"/>
            <w:vAlign w:val="center"/>
          </w:tcPr>
          <w:p>
            <w:pPr>
              <w:keepNext w:val="0"/>
              <w:keepLines w:val="0"/>
              <w:pageBreakBefore w:val="0"/>
              <w:widowControl w:val="0"/>
              <w:kinsoku/>
              <w:wordWrap/>
              <w:overflowPunct/>
              <w:topLinePunct w:val="0"/>
              <w:autoSpaceDE/>
              <w:autoSpaceDN/>
              <w:bidi w:val="0"/>
              <w:snapToGrid w:val="0"/>
              <w:spacing w:line="400" w:lineRule="exact"/>
              <w:rPr>
                <w:rFonts w:ascii="宋体" w:hAnsi="宋体" w:cs="宋体"/>
                <w:bCs/>
                <w:color w:val="auto"/>
                <w:szCs w:val="21"/>
                <w:highlight w:val="none"/>
              </w:rPr>
            </w:pPr>
            <w:r>
              <w:rPr>
                <w:rFonts w:hint="eastAsia" w:ascii="宋体" w:hAnsi="宋体" w:cs="宋体"/>
                <w:bCs/>
                <w:color w:val="auto"/>
                <w:szCs w:val="21"/>
                <w:highlight w:val="none"/>
              </w:rPr>
              <w:t>（1）评标报价为投标人的投标报价进行政策性扣除后的价格，评标报价只是作为评标时使用。最终中标人的中标金额等于投标报价。</w:t>
            </w:r>
            <w:r>
              <w:rPr>
                <w:rFonts w:hint="eastAsia" w:ascii="宋体" w:hAnsi="宋体" w:cs="宋体"/>
                <w:b/>
                <w:bCs w:val="0"/>
                <w:color w:val="auto"/>
                <w:szCs w:val="21"/>
                <w:highlight w:val="none"/>
                <w:lang w:val="en-US" w:eastAsia="zh-CN"/>
              </w:rPr>
              <w:t>计算价格分的</w:t>
            </w:r>
            <w:r>
              <w:rPr>
                <w:rFonts w:hint="eastAsia" w:ascii="宋体" w:hAnsi="宋体" w:cs="宋体"/>
                <w:b/>
                <w:bCs w:val="0"/>
                <w:color w:val="auto"/>
                <w:szCs w:val="21"/>
                <w:highlight w:val="none"/>
              </w:rPr>
              <w:t>投标报价</w:t>
            </w:r>
            <w:r>
              <w:rPr>
                <w:rFonts w:hint="eastAsia" w:ascii="宋体" w:hAnsi="宋体" w:cs="宋体"/>
                <w:b/>
                <w:bCs w:val="0"/>
                <w:color w:val="auto"/>
                <w:szCs w:val="21"/>
                <w:highlight w:val="none"/>
                <w:lang w:val="en-US" w:eastAsia="zh-CN"/>
              </w:rPr>
              <w:t>为</w:t>
            </w:r>
            <w:r>
              <w:rPr>
                <w:rFonts w:hint="eastAsia" w:ascii="宋体" w:hAnsi="宋体" w:cs="宋体"/>
                <w:b/>
                <w:bCs w:val="0"/>
                <w:color w:val="auto"/>
                <w:szCs w:val="21"/>
                <w:highlight w:val="none"/>
              </w:rPr>
              <w:t>投标人所报单价</w:t>
            </w:r>
            <w:r>
              <w:rPr>
                <w:rFonts w:hint="eastAsia" w:ascii="宋体" w:hAnsi="宋体" w:cs="宋体"/>
                <w:b/>
                <w:bCs w:val="0"/>
                <w:color w:val="auto"/>
                <w:szCs w:val="21"/>
                <w:highlight w:val="none"/>
                <w:lang w:val="en-US" w:eastAsia="zh-CN"/>
              </w:rPr>
              <w:t>汇总金额（即所有货物的单价相加总和）</w:t>
            </w:r>
            <w:r>
              <w:rPr>
                <w:rFonts w:hint="eastAsia" w:ascii="宋体" w:hAnsi="宋体" w:cs="宋体"/>
                <w:b/>
                <w:bCs w:val="0"/>
                <w:color w:val="auto"/>
                <w:szCs w:val="21"/>
                <w:highlight w:val="none"/>
                <w:lang w:eastAsia="zh-CN"/>
              </w:rPr>
              <w:t>。</w:t>
            </w:r>
          </w:p>
          <w:p>
            <w:pPr>
              <w:keepNext w:val="0"/>
              <w:keepLines w:val="0"/>
              <w:pageBreakBefore w:val="0"/>
              <w:widowControl w:val="0"/>
              <w:kinsoku/>
              <w:wordWrap/>
              <w:overflowPunct/>
              <w:topLinePunct w:val="0"/>
              <w:autoSpaceDE/>
              <w:autoSpaceDN/>
              <w:bidi w:val="0"/>
              <w:snapToGrid w:val="0"/>
              <w:spacing w:line="400" w:lineRule="exact"/>
              <w:rPr>
                <w:rFonts w:ascii="宋体" w:hAnsi="宋体" w:cs="宋体"/>
                <w:bCs/>
                <w:color w:val="auto"/>
                <w:szCs w:val="21"/>
                <w:highlight w:val="none"/>
              </w:rPr>
            </w:pPr>
            <w:r>
              <w:rPr>
                <w:rFonts w:hint="eastAsia" w:ascii="宋体" w:hAnsi="宋体" w:cs="宋体"/>
                <w:bCs/>
                <w:color w:val="auto"/>
                <w:szCs w:val="21"/>
                <w:highlight w:val="none"/>
              </w:rPr>
              <w:t>（2）按照《政府采购促进中小企业发展管理办法》（财库〔2020〕46号）及《广西壮族自治区财政厅关于贯彻落实政府采购支持中小企业发展政策的通知》（桂财采〔2022〕31号）的规定，投标人在其投标文件中提供《中小企业声明函》，且其提供的货物全部由符合政策要求的小型、微型企业制造，即货物由小型、微型企业生产且使用该小型、微型企业商号或者注册商标，对其投标价格给予</w:t>
            </w:r>
            <w:r>
              <w:rPr>
                <w:rFonts w:hint="eastAsia" w:ascii="宋体" w:hAnsi="宋体" w:cs="宋体"/>
                <w:bCs/>
                <w:color w:val="auto"/>
                <w:szCs w:val="21"/>
                <w:highlight w:val="none"/>
                <w:lang w:val="en-US" w:eastAsia="zh-CN"/>
              </w:rPr>
              <w:t>1</w:t>
            </w:r>
            <w:r>
              <w:rPr>
                <w:rFonts w:hint="eastAsia" w:ascii="宋体" w:hAnsi="宋体" w:cs="宋体"/>
                <w:bCs/>
                <w:color w:val="auto"/>
                <w:szCs w:val="21"/>
                <w:highlight w:val="none"/>
              </w:rPr>
              <w:t>0%的扣除。</w:t>
            </w:r>
          </w:p>
          <w:p>
            <w:pPr>
              <w:keepNext w:val="0"/>
              <w:keepLines w:val="0"/>
              <w:pageBreakBefore w:val="0"/>
              <w:widowControl w:val="0"/>
              <w:kinsoku/>
              <w:wordWrap/>
              <w:overflowPunct/>
              <w:topLinePunct w:val="0"/>
              <w:autoSpaceDE/>
              <w:autoSpaceDN/>
              <w:bidi w:val="0"/>
              <w:snapToGrid w:val="0"/>
              <w:spacing w:line="400" w:lineRule="exact"/>
              <w:rPr>
                <w:rFonts w:ascii="宋体" w:hAnsi="宋体" w:cs="宋体"/>
                <w:bCs/>
                <w:color w:val="auto"/>
                <w:szCs w:val="21"/>
                <w:highlight w:val="none"/>
              </w:rPr>
            </w:pPr>
            <w:r>
              <w:rPr>
                <w:rFonts w:hint="eastAsia" w:ascii="宋体" w:hAnsi="宋体" w:cs="宋体"/>
                <w:bCs/>
                <w:color w:val="auto"/>
                <w:szCs w:val="21"/>
                <w:highlight w:val="none"/>
              </w:rPr>
              <w:t>（3）按照《财政部、司法部关于政府采购支持监狱企业发展有关问题的通知》（财库〔2014〕68号）的规定，监狱企业视同小型、微型企业，享受预留份额、评审中价格扣除等促进中小企业发展的政府采购政策。监狱企业参加政府采购活动时，应当提供由省级以上监狱管理局、戒毒管理局(含新疆生产建设兵团)出具的属于监狱企业的证明文件。不重复享受政策。</w:t>
            </w:r>
          </w:p>
          <w:p>
            <w:pPr>
              <w:keepNext w:val="0"/>
              <w:keepLines w:val="0"/>
              <w:pageBreakBefore w:val="0"/>
              <w:widowControl w:val="0"/>
              <w:kinsoku/>
              <w:wordWrap/>
              <w:overflowPunct/>
              <w:topLinePunct w:val="0"/>
              <w:autoSpaceDE/>
              <w:autoSpaceDN/>
              <w:bidi w:val="0"/>
              <w:snapToGrid w:val="0"/>
              <w:spacing w:line="400" w:lineRule="exact"/>
              <w:rPr>
                <w:rFonts w:ascii="宋体" w:hAnsi="宋体" w:cs="宋体"/>
                <w:bCs/>
                <w:color w:val="auto"/>
                <w:szCs w:val="21"/>
                <w:highlight w:val="none"/>
              </w:rPr>
            </w:pPr>
            <w:r>
              <w:rPr>
                <w:rFonts w:hint="eastAsia" w:ascii="宋体" w:hAnsi="宋体" w:cs="宋体"/>
                <w:bCs/>
                <w:color w:val="auto"/>
                <w:szCs w:val="21"/>
                <w:highlight w:val="none"/>
              </w:rPr>
              <w:t>（4）按照《关于促进残疾人就业政府采购政策的通知》（财库〔2017〕141号）的规定，残疾人福利性单位视同小型、微型企业，享受预留份额、评审中价格扣除等促进中小企业发展的政府采购政策。残疾人福利性单位参加政府采购活动时，应当提供该通知规定的《残疾人福利性单位声明函》，并对声明的真实性负责。残疾人福利性单位属于小型、微型企业的，不重复享受政策。</w:t>
            </w:r>
          </w:p>
          <w:p>
            <w:pPr>
              <w:keepNext w:val="0"/>
              <w:keepLines w:val="0"/>
              <w:pageBreakBefore w:val="0"/>
              <w:widowControl w:val="0"/>
              <w:kinsoku/>
              <w:wordWrap/>
              <w:overflowPunct/>
              <w:topLinePunct w:val="0"/>
              <w:autoSpaceDE/>
              <w:autoSpaceDN/>
              <w:bidi w:val="0"/>
              <w:snapToGrid w:val="0"/>
              <w:spacing w:line="400" w:lineRule="exact"/>
              <w:rPr>
                <w:rFonts w:ascii="宋体" w:hAnsi="宋体" w:cs="宋体"/>
                <w:bCs/>
                <w:color w:val="auto"/>
                <w:szCs w:val="21"/>
                <w:highlight w:val="none"/>
              </w:rPr>
            </w:pPr>
            <w:r>
              <w:rPr>
                <w:rFonts w:hint="eastAsia" w:ascii="宋体" w:hAnsi="宋体" w:cs="宋体"/>
                <w:bCs/>
                <w:color w:val="auto"/>
                <w:szCs w:val="21"/>
                <w:highlight w:val="none"/>
              </w:rPr>
              <w:t>（5）政策性扣除计算方法。</w:t>
            </w:r>
          </w:p>
          <w:p>
            <w:pPr>
              <w:keepNext w:val="0"/>
              <w:keepLines w:val="0"/>
              <w:pageBreakBefore w:val="0"/>
              <w:widowControl w:val="0"/>
              <w:kinsoku/>
              <w:wordWrap/>
              <w:overflowPunct/>
              <w:topLinePunct w:val="0"/>
              <w:autoSpaceDE/>
              <w:autoSpaceDN/>
              <w:bidi w:val="0"/>
              <w:snapToGrid w:val="0"/>
              <w:spacing w:line="400" w:lineRule="exact"/>
              <w:rPr>
                <w:rFonts w:ascii="宋体" w:hAnsi="宋体" w:cs="宋体"/>
                <w:bCs/>
                <w:color w:val="auto"/>
                <w:szCs w:val="21"/>
                <w:highlight w:val="none"/>
              </w:rPr>
            </w:pPr>
            <w:r>
              <w:rPr>
                <w:rFonts w:hint="eastAsia" w:ascii="宋体" w:hAnsi="宋体" w:cs="宋体"/>
                <w:bCs/>
                <w:color w:val="auto"/>
                <w:szCs w:val="21"/>
                <w:highlight w:val="none"/>
              </w:rPr>
              <w:t>投标人被评定为监狱企业或者残疾人福利性单位或者其提供的货物全部由符合政策要求的小型、微型企业制造，即货物由小型、微型企业生产且使用该小型、微型企业商号或者注册商标的，该投标人的投标报价给予</w:t>
            </w:r>
            <w:r>
              <w:rPr>
                <w:rFonts w:hint="eastAsia" w:ascii="宋体" w:hAnsi="宋体" w:cs="宋体"/>
                <w:bCs/>
                <w:color w:val="auto"/>
                <w:szCs w:val="21"/>
                <w:highlight w:val="none"/>
                <w:lang w:val="en-US" w:eastAsia="zh-CN"/>
              </w:rPr>
              <w:t>1</w:t>
            </w:r>
            <w:r>
              <w:rPr>
                <w:rFonts w:hint="eastAsia" w:ascii="宋体" w:hAnsi="宋体" w:cs="宋体"/>
                <w:bCs/>
                <w:color w:val="auto"/>
                <w:szCs w:val="21"/>
                <w:highlight w:val="none"/>
              </w:rPr>
              <w:t>0% 的扣除，扣除后的价格为评标报价，即评标报价=投标报价×（1-</w:t>
            </w:r>
            <w:r>
              <w:rPr>
                <w:rFonts w:hint="eastAsia" w:ascii="宋体" w:hAnsi="宋体" w:cs="宋体"/>
                <w:bCs/>
                <w:color w:val="auto"/>
                <w:szCs w:val="21"/>
                <w:highlight w:val="none"/>
                <w:lang w:val="en-US" w:eastAsia="zh-CN"/>
              </w:rPr>
              <w:t>1</w:t>
            </w:r>
            <w:r>
              <w:rPr>
                <w:rFonts w:hint="eastAsia" w:ascii="宋体" w:hAnsi="宋体" w:cs="宋体"/>
                <w:bCs/>
                <w:color w:val="auto"/>
                <w:szCs w:val="21"/>
                <w:highlight w:val="none"/>
              </w:rPr>
              <w:t>0%）；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6%的扣除，用扣除后的价格参加评审，扣除后的价格为评标报价，即评标报价=投标报价×（1－6%）；除上述情况外，评标报价=投标报价。</w:t>
            </w:r>
          </w:p>
          <w:p>
            <w:pPr>
              <w:keepNext w:val="0"/>
              <w:keepLines w:val="0"/>
              <w:pageBreakBefore w:val="0"/>
              <w:widowControl w:val="0"/>
              <w:kinsoku/>
              <w:wordWrap/>
              <w:overflowPunct/>
              <w:topLinePunct w:val="0"/>
              <w:autoSpaceDE/>
              <w:autoSpaceDN/>
              <w:bidi w:val="0"/>
              <w:snapToGrid w:val="0"/>
              <w:spacing w:line="400" w:lineRule="exact"/>
              <w:rPr>
                <w:rFonts w:ascii="宋体" w:hAnsi="宋体" w:cs="宋体"/>
                <w:bCs/>
                <w:color w:val="auto"/>
                <w:szCs w:val="21"/>
                <w:highlight w:val="none"/>
              </w:rPr>
            </w:pPr>
            <w:r>
              <w:rPr>
                <w:rFonts w:hint="eastAsia" w:ascii="宋体" w:hAnsi="宋体" w:cs="宋体"/>
                <w:bCs/>
                <w:color w:val="auto"/>
                <w:szCs w:val="21"/>
                <w:highlight w:val="none"/>
              </w:rPr>
              <w:t>（6）满足招标文件要求且评标报价最低的评标报价为评标基准价，基准价得分为</w:t>
            </w:r>
            <w:r>
              <w:rPr>
                <w:rFonts w:hint="eastAsia" w:ascii="宋体" w:hAnsi="宋体" w:cs="宋体"/>
                <w:bCs/>
                <w:color w:val="auto"/>
                <w:szCs w:val="21"/>
                <w:highlight w:val="none"/>
                <w:lang w:val="en-US" w:eastAsia="zh-CN"/>
              </w:rPr>
              <w:t>满分</w:t>
            </w:r>
            <w:r>
              <w:rPr>
                <w:rFonts w:hint="eastAsia" w:ascii="宋体" w:hAnsi="宋体" w:cs="宋体"/>
                <w:bCs/>
                <w:color w:val="auto"/>
                <w:szCs w:val="21"/>
                <w:highlight w:val="none"/>
              </w:rPr>
              <w:t>。</w:t>
            </w:r>
          </w:p>
          <w:p>
            <w:pPr>
              <w:keepNext w:val="0"/>
              <w:keepLines w:val="0"/>
              <w:pageBreakBefore w:val="0"/>
              <w:widowControl w:val="0"/>
              <w:kinsoku/>
              <w:wordWrap/>
              <w:overflowPunct/>
              <w:topLinePunct w:val="0"/>
              <w:autoSpaceDE/>
              <w:autoSpaceDN/>
              <w:bidi w:val="0"/>
              <w:snapToGrid w:val="0"/>
              <w:spacing w:line="400" w:lineRule="exact"/>
              <w:rPr>
                <w:rFonts w:ascii="宋体" w:hAnsi="宋体" w:cs="宋体"/>
                <w:bCs/>
                <w:color w:val="auto"/>
                <w:szCs w:val="21"/>
                <w:highlight w:val="none"/>
              </w:rPr>
            </w:pPr>
            <w:r>
              <w:rPr>
                <w:rFonts w:hint="eastAsia" w:ascii="宋体" w:hAnsi="宋体" w:cs="宋体"/>
                <w:bCs/>
                <w:color w:val="auto"/>
                <w:szCs w:val="21"/>
                <w:highlight w:val="none"/>
              </w:rPr>
              <w:t>（7）价格分计算公式：价格分=(评标基准价／评标报价)×</w:t>
            </w:r>
            <w:r>
              <w:rPr>
                <w:rFonts w:hint="eastAsia" w:ascii="宋体" w:hAnsi="宋体" w:cs="宋体"/>
                <w:bCs/>
                <w:color w:val="auto"/>
                <w:szCs w:val="21"/>
                <w:highlight w:val="none"/>
                <w:lang w:val="en-US" w:eastAsia="zh-CN"/>
              </w:rPr>
              <w:t>40</w:t>
            </w:r>
            <w:r>
              <w:rPr>
                <w:rFonts w:hint="eastAsia" w:ascii="宋体" w:hAnsi="宋体" w:cs="宋体"/>
                <w:bCs/>
                <w:color w:val="auto"/>
                <w:szCs w:val="21"/>
                <w:highlight w:val="none"/>
              </w:rPr>
              <w:t>分</w:t>
            </w:r>
          </w:p>
        </w:tc>
        <w:tc>
          <w:tcPr>
            <w:tcW w:w="711" w:type="dxa"/>
            <w:vAlign w:val="center"/>
          </w:tcPr>
          <w:p>
            <w:pPr>
              <w:keepNext w:val="0"/>
              <w:keepLines w:val="0"/>
              <w:pageBreakBefore w:val="0"/>
              <w:widowControl w:val="0"/>
              <w:kinsoku/>
              <w:wordWrap/>
              <w:overflowPunct/>
              <w:topLinePunct w:val="0"/>
              <w:autoSpaceDE/>
              <w:autoSpaceDN/>
              <w:bidi w:val="0"/>
              <w:spacing w:line="400" w:lineRule="exact"/>
              <w:jc w:val="center"/>
              <w:rPr>
                <w:rFonts w:hint="default" w:ascii="宋体" w:hAnsi="宋体" w:eastAsia="宋体" w:cs="宋体"/>
                <w:bCs/>
                <w:color w:val="auto"/>
                <w:szCs w:val="21"/>
                <w:highlight w:val="none"/>
                <w:lang w:val="en-US" w:eastAsia="zh-CN"/>
              </w:rPr>
            </w:pPr>
            <w:r>
              <w:rPr>
                <w:rFonts w:hint="eastAsia" w:ascii="宋体" w:hAnsi="宋体" w:cs="宋体"/>
                <w:bCs/>
                <w:color w:val="auto"/>
                <w:szCs w:val="21"/>
                <w:highlight w:val="no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42" w:type="dxa"/>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color w:val="auto"/>
                <w:szCs w:val="21"/>
                <w:highlight w:val="none"/>
                <w:lang w:val="en-US" w:eastAsia="zh-CN"/>
              </w:rPr>
            </w:pPr>
            <w:r>
              <w:rPr>
                <w:rFonts w:hint="eastAsia" w:ascii="宋体" w:hAnsi="宋体" w:cs="宋体"/>
                <w:bCs/>
                <w:color w:val="auto"/>
                <w:szCs w:val="21"/>
                <w:highlight w:val="none"/>
                <w:lang w:val="en-US" w:eastAsia="zh-CN"/>
              </w:rPr>
              <w:t>1</w:t>
            </w:r>
          </w:p>
        </w:tc>
        <w:tc>
          <w:tcPr>
            <w:tcW w:w="959" w:type="dxa"/>
            <w:vAlign w:val="center"/>
          </w:tcPr>
          <w:p>
            <w:pPr>
              <w:keepNext w:val="0"/>
              <w:keepLines w:val="0"/>
              <w:pageBreakBefore w:val="0"/>
              <w:widowControl w:val="0"/>
              <w:kinsoku/>
              <w:wordWrap/>
              <w:overflowPunct/>
              <w:topLinePunct w:val="0"/>
              <w:autoSpaceDE/>
              <w:autoSpaceDN/>
              <w:bidi w:val="0"/>
              <w:adjustRightInd w:val="0"/>
              <w:spacing w:line="400" w:lineRule="exact"/>
              <w:jc w:val="center"/>
              <w:textAlignment w:val="baseline"/>
              <w:rPr>
                <w:rFonts w:hint="eastAsia" w:ascii="宋体" w:hAnsi="宋体" w:cs="宋体"/>
                <w:color w:val="auto"/>
                <w:szCs w:val="21"/>
                <w:highlight w:val="none"/>
              </w:rPr>
            </w:pPr>
            <w:r>
              <w:rPr>
                <w:rFonts w:hint="eastAsia" w:ascii="宋体" w:hAnsi="宋体" w:cs="宋体"/>
                <w:bCs/>
                <w:color w:val="auto"/>
                <w:szCs w:val="21"/>
                <w:highlight w:val="none"/>
              </w:rPr>
              <w:t>技术（客观分）</w:t>
            </w:r>
          </w:p>
        </w:tc>
        <w:tc>
          <w:tcPr>
            <w:tcW w:w="7642" w:type="dxa"/>
            <w:vAlign w:val="center"/>
          </w:tcPr>
          <w:p>
            <w:pPr>
              <w:pStyle w:val="66"/>
              <w:keepNext w:val="0"/>
              <w:keepLines w:val="0"/>
              <w:pageBreakBefore w:val="0"/>
              <w:widowControl w:val="0"/>
              <w:numPr>
                <w:ilvl w:val="255"/>
                <w:numId w:val="0"/>
              </w:numPr>
              <w:kinsoku/>
              <w:wordWrap/>
              <w:overflowPunct/>
              <w:topLinePunct w:val="0"/>
              <w:autoSpaceDE/>
              <w:autoSpaceDN/>
              <w:bidi w:val="0"/>
              <w:spacing w:line="400" w:lineRule="exact"/>
              <w:rPr>
                <w:rFonts w:hint="eastAsia" w:ascii="宋体" w:hAnsi="宋体" w:cs="宋体"/>
                <w:color w:val="auto"/>
                <w:szCs w:val="21"/>
                <w:highlight w:val="none"/>
              </w:rPr>
            </w:pPr>
            <w:r>
              <w:rPr>
                <w:rFonts w:hint="eastAsia" w:ascii="宋体" w:hAnsi="宋体" w:cs="宋体"/>
                <w:color w:val="auto"/>
                <w:szCs w:val="21"/>
                <w:highlight w:val="none"/>
              </w:rPr>
              <w:t>技术性能分（满分</w:t>
            </w:r>
            <w:r>
              <w:rPr>
                <w:rFonts w:hint="eastAsia" w:ascii="宋体" w:hAnsi="宋体" w:cs="宋体"/>
                <w:color w:val="auto"/>
                <w:szCs w:val="21"/>
                <w:highlight w:val="none"/>
                <w:lang w:val="en-US" w:eastAsia="zh-CN"/>
              </w:rPr>
              <w:t>11</w:t>
            </w:r>
            <w:r>
              <w:rPr>
                <w:rFonts w:hint="eastAsia" w:ascii="宋体" w:hAnsi="宋体" w:cs="宋体"/>
                <w:color w:val="auto"/>
                <w:szCs w:val="21"/>
                <w:highlight w:val="none"/>
              </w:rPr>
              <w:t>分）</w:t>
            </w:r>
          </w:p>
          <w:p>
            <w:pPr>
              <w:keepNext w:val="0"/>
              <w:keepLines w:val="0"/>
              <w:pageBreakBefore w:val="0"/>
              <w:widowControl w:val="0"/>
              <w:kinsoku/>
              <w:wordWrap/>
              <w:overflowPunct/>
              <w:topLinePunct w:val="0"/>
              <w:autoSpaceDE/>
              <w:autoSpaceDN/>
              <w:bidi w:val="0"/>
              <w:snapToGrid w:val="0"/>
              <w:spacing w:line="400" w:lineRule="exact"/>
              <w:rPr>
                <w:rFonts w:hint="eastAsia" w:ascii="宋体" w:hAnsi="宋体" w:cs="宋体"/>
                <w:bCs/>
                <w:color w:val="auto"/>
                <w:szCs w:val="21"/>
                <w:highlight w:val="none"/>
              </w:rPr>
            </w:pPr>
            <w:r>
              <w:rPr>
                <w:rFonts w:hint="eastAsia" w:ascii="宋体" w:hAnsi="宋体" w:cs="宋体"/>
                <w:color w:val="auto"/>
                <w:szCs w:val="21"/>
                <w:highlight w:val="none"/>
              </w:rPr>
              <w:t>投标人所投</w:t>
            </w:r>
            <w:r>
              <w:rPr>
                <w:rFonts w:hint="eastAsia" w:ascii="宋体" w:hAnsi="宋体" w:cs="宋体"/>
                <w:color w:val="auto"/>
                <w:szCs w:val="21"/>
                <w:highlight w:val="none"/>
                <w:lang w:val="en-US" w:eastAsia="zh-CN"/>
              </w:rPr>
              <w:t>货物的</w:t>
            </w:r>
            <w:r>
              <w:rPr>
                <w:rFonts w:hint="eastAsia" w:ascii="宋体" w:hAnsi="宋体" w:cs="宋体"/>
                <w:color w:val="auto"/>
                <w:szCs w:val="21"/>
                <w:highlight w:val="none"/>
              </w:rPr>
              <w:t>技术参数及配置</w:t>
            </w:r>
            <w:r>
              <w:rPr>
                <w:rFonts w:hint="eastAsia" w:ascii="宋体" w:hAnsi="宋体" w:cs="宋体"/>
                <w:color w:val="auto"/>
                <w:szCs w:val="21"/>
                <w:highlight w:val="none"/>
                <w:lang w:val="en-US" w:eastAsia="zh-CN"/>
              </w:rPr>
              <w:t>完全</w:t>
            </w:r>
            <w:r>
              <w:rPr>
                <w:rFonts w:hint="eastAsia" w:ascii="宋体" w:hAnsi="宋体" w:cs="宋体"/>
                <w:color w:val="auto"/>
                <w:szCs w:val="21"/>
                <w:highlight w:val="none"/>
              </w:rPr>
              <w:t>符合招标文件的</w:t>
            </w:r>
            <w:r>
              <w:rPr>
                <w:rFonts w:hint="eastAsia" w:ascii="宋体" w:hAnsi="宋体" w:cs="宋体"/>
                <w:color w:val="auto"/>
                <w:szCs w:val="21"/>
                <w:highlight w:val="none"/>
                <w:lang w:eastAsia="zh-CN"/>
              </w:rPr>
              <w:t>，</w:t>
            </w:r>
            <w:r>
              <w:rPr>
                <w:rFonts w:hint="eastAsia" w:ascii="宋体" w:hAnsi="宋体" w:cs="宋体"/>
                <w:color w:val="auto"/>
                <w:szCs w:val="21"/>
                <w:highlight w:val="none"/>
              </w:rPr>
              <w:t>得</w:t>
            </w:r>
            <w:r>
              <w:rPr>
                <w:rFonts w:hint="eastAsia" w:ascii="宋体" w:hAnsi="宋体" w:cs="宋体"/>
                <w:color w:val="auto"/>
                <w:szCs w:val="21"/>
                <w:highlight w:val="none"/>
                <w:lang w:val="en-US" w:eastAsia="zh-CN"/>
              </w:rPr>
              <w:t>11</w:t>
            </w:r>
            <w:r>
              <w:rPr>
                <w:rFonts w:hint="eastAsia" w:ascii="宋体" w:hAnsi="宋体" w:cs="宋体"/>
                <w:color w:val="auto"/>
                <w:szCs w:val="21"/>
                <w:highlight w:val="none"/>
              </w:rPr>
              <w:t>分。</w:t>
            </w:r>
          </w:p>
        </w:tc>
        <w:tc>
          <w:tcPr>
            <w:tcW w:w="711" w:type="dxa"/>
            <w:vAlign w:val="center"/>
          </w:tcPr>
          <w:p>
            <w:pPr>
              <w:keepNext w:val="0"/>
              <w:keepLines w:val="0"/>
              <w:pageBreakBefore w:val="0"/>
              <w:widowControl w:val="0"/>
              <w:kinsoku/>
              <w:wordWrap/>
              <w:overflowPunct/>
              <w:topLinePunct w:val="0"/>
              <w:autoSpaceDE/>
              <w:autoSpaceDN/>
              <w:bidi w:val="0"/>
              <w:spacing w:line="400" w:lineRule="exact"/>
              <w:jc w:val="center"/>
              <w:rPr>
                <w:rFonts w:hint="default" w:ascii="宋体" w:hAnsi="宋体" w:cs="宋体"/>
                <w:bCs/>
                <w:color w:val="auto"/>
                <w:szCs w:val="21"/>
                <w:highlight w:val="none"/>
                <w:lang w:val="en-US" w:eastAsia="zh-CN"/>
              </w:rPr>
            </w:pPr>
            <w:r>
              <w:rPr>
                <w:rFonts w:hint="eastAsia" w:ascii="宋体" w:hAnsi="宋体" w:cs="宋体"/>
                <w:bCs/>
                <w:color w:val="auto"/>
                <w:szCs w:val="21"/>
                <w:highlight w:val="no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2" w:type="dxa"/>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color w:val="auto"/>
                <w:szCs w:val="21"/>
                <w:highlight w:val="none"/>
                <w:lang w:eastAsia="zh-CN"/>
              </w:rPr>
            </w:pPr>
            <w:r>
              <w:rPr>
                <w:rFonts w:hint="eastAsia" w:ascii="宋体" w:hAnsi="宋体" w:cs="宋体"/>
                <w:bCs/>
                <w:color w:val="auto"/>
                <w:szCs w:val="21"/>
                <w:highlight w:val="none"/>
                <w:lang w:val="en-US" w:eastAsia="zh-CN"/>
              </w:rPr>
              <w:t>2</w:t>
            </w:r>
          </w:p>
        </w:tc>
        <w:tc>
          <w:tcPr>
            <w:tcW w:w="959" w:type="dxa"/>
            <w:vAlign w:val="center"/>
          </w:tcPr>
          <w:p>
            <w:pPr>
              <w:keepNext w:val="0"/>
              <w:keepLines w:val="0"/>
              <w:pageBreakBefore w:val="0"/>
              <w:widowControl w:val="0"/>
              <w:kinsoku/>
              <w:wordWrap/>
              <w:overflowPunct/>
              <w:topLinePunct w:val="0"/>
              <w:autoSpaceDE/>
              <w:autoSpaceDN/>
              <w:bidi w:val="0"/>
              <w:adjustRightInd w:val="0"/>
              <w:spacing w:line="400" w:lineRule="exact"/>
              <w:jc w:val="center"/>
              <w:textAlignment w:val="baseline"/>
              <w:rPr>
                <w:rFonts w:ascii="宋体" w:hAnsi="宋体" w:eastAsia="宋体" w:cs="宋体"/>
                <w:color w:val="auto"/>
                <w:kern w:val="2"/>
                <w:sz w:val="21"/>
                <w:szCs w:val="21"/>
                <w:highlight w:val="none"/>
                <w:lang w:val="en-US" w:eastAsia="zh-CN" w:bidi="ar-SA"/>
              </w:rPr>
            </w:pPr>
            <w:r>
              <w:rPr>
                <w:rFonts w:hint="eastAsia" w:ascii="宋体" w:hAnsi="宋体" w:cs="宋体"/>
                <w:bCs/>
                <w:color w:val="auto"/>
                <w:szCs w:val="21"/>
                <w:highlight w:val="none"/>
              </w:rPr>
              <w:t>技术</w:t>
            </w:r>
          </w:p>
        </w:tc>
        <w:tc>
          <w:tcPr>
            <w:tcW w:w="7642" w:type="dxa"/>
            <w:vAlign w:val="center"/>
          </w:tcPr>
          <w:p>
            <w:pPr>
              <w:spacing w:line="380" w:lineRule="exact"/>
              <w:rPr>
                <w:rFonts w:hint="eastAsia" w:ascii="宋体"/>
                <w:color w:val="auto"/>
                <w:szCs w:val="21"/>
              </w:rPr>
            </w:pPr>
            <w:r>
              <w:rPr>
                <w:rFonts w:hint="eastAsia" w:ascii="宋体"/>
                <w:color w:val="auto"/>
                <w:szCs w:val="21"/>
              </w:rPr>
              <w:t>样品分（满分</w:t>
            </w:r>
            <w:r>
              <w:rPr>
                <w:rFonts w:hint="eastAsia" w:ascii="宋体"/>
                <w:color w:val="auto"/>
                <w:szCs w:val="21"/>
                <w:lang w:val="en-US" w:eastAsia="zh-CN"/>
              </w:rPr>
              <w:t>18</w:t>
            </w:r>
            <w:r>
              <w:rPr>
                <w:rFonts w:hint="eastAsia" w:ascii="宋体"/>
                <w:color w:val="auto"/>
                <w:szCs w:val="21"/>
              </w:rPr>
              <w:t>分）</w:t>
            </w:r>
          </w:p>
          <w:p>
            <w:pPr>
              <w:spacing w:line="380" w:lineRule="exact"/>
              <w:rPr>
                <w:rFonts w:hint="eastAsia" w:ascii="宋体"/>
                <w:color w:val="auto"/>
                <w:szCs w:val="21"/>
              </w:rPr>
            </w:pPr>
            <w:r>
              <w:rPr>
                <w:rFonts w:hint="eastAsia" w:ascii="宋体"/>
                <w:color w:val="auto"/>
                <w:szCs w:val="21"/>
                <w:lang w:eastAsia="zh-CN"/>
              </w:rPr>
              <w:t>（</w:t>
            </w:r>
            <w:r>
              <w:rPr>
                <w:rFonts w:hint="eastAsia" w:ascii="宋体"/>
                <w:color w:val="auto"/>
                <w:szCs w:val="21"/>
                <w:lang w:val="en-US" w:eastAsia="zh-CN"/>
              </w:rPr>
              <w:t>1</w:t>
            </w:r>
            <w:r>
              <w:rPr>
                <w:rFonts w:hint="eastAsia" w:ascii="宋体"/>
                <w:color w:val="auto"/>
                <w:szCs w:val="21"/>
                <w:lang w:eastAsia="zh-CN"/>
              </w:rPr>
              <w:t>）</w:t>
            </w:r>
            <w:r>
              <w:rPr>
                <w:rFonts w:hint="eastAsia" w:ascii="宋体"/>
                <w:color w:val="auto"/>
                <w:szCs w:val="21"/>
              </w:rPr>
              <w:t>综合评定外观、颜色、规格尺寸等因素（满分</w:t>
            </w:r>
            <w:r>
              <w:rPr>
                <w:rFonts w:hint="eastAsia" w:ascii="宋体"/>
                <w:color w:val="auto"/>
                <w:szCs w:val="21"/>
                <w:lang w:val="en-US" w:eastAsia="zh-CN"/>
              </w:rPr>
              <w:t>9</w:t>
            </w:r>
            <w:r>
              <w:rPr>
                <w:rFonts w:hint="eastAsia" w:ascii="宋体"/>
                <w:color w:val="auto"/>
                <w:szCs w:val="21"/>
              </w:rPr>
              <w:t>分）</w:t>
            </w:r>
          </w:p>
          <w:p>
            <w:pPr>
              <w:spacing w:line="380" w:lineRule="exact"/>
              <w:rPr>
                <w:rFonts w:hint="eastAsia" w:ascii="宋体"/>
                <w:color w:val="auto"/>
                <w:szCs w:val="21"/>
              </w:rPr>
            </w:pPr>
            <w:r>
              <w:rPr>
                <w:rFonts w:hint="eastAsia" w:ascii="宋体"/>
                <w:color w:val="auto"/>
                <w:szCs w:val="21"/>
              </w:rPr>
              <w:t>一档（</w:t>
            </w:r>
            <w:r>
              <w:rPr>
                <w:rFonts w:hint="eastAsia" w:ascii="宋体"/>
                <w:color w:val="auto"/>
                <w:szCs w:val="21"/>
                <w:lang w:val="en-US" w:eastAsia="zh-CN"/>
              </w:rPr>
              <w:t>3</w:t>
            </w:r>
            <w:r>
              <w:rPr>
                <w:rFonts w:hint="eastAsia" w:ascii="宋体"/>
                <w:color w:val="auto"/>
                <w:szCs w:val="21"/>
              </w:rPr>
              <w:t>分）：外观存在脏污、磨损，颜色花纹不一致、里料颜色不均匀、不平服；</w:t>
            </w:r>
          </w:p>
          <w:p>
            <w:pPr>
              <w:spacing w:line="380" w:lineRule="exact"/>
              <w:rPr>
                <w:rFonts w:ascii="宋体"/>
                <w:color w:val="auto"/>
                <w:szCs w:val="21"/>
              </w:rPr>
            </w:pPr>
            <w:r>
              <w:rPr>
                <w:rFonts w:hint="eastAsia" w:ascii="宋体"/>
                <w:color w:val="auto"/>
                <w:szCs w:val="21"/>
              </w:rPr>
              <w:t>二档（</w:t>
            </w:r>
            <w:r>
              <w:rPr>
                <w:rFonts w:hint="eastAsia" w:ascii="宋体"/>
                <w:color w:val="auto"/>
                <w:szCs w:val="21"/>
                <w:lang w:val="en-US" w:eastAsia="zh-CN"/>
              </w:rPr>
              <w:t>6</w:t>
            </w:r>
            <w:r>
              <w:rPr>
                <w:rFonts w:hint="eastAsia" w:ascii="宋体"/>
                <w:color w:val="auto"/>
                <w:szCs w:val="21"/>
              </w:rPr>
              <w:t>分）：外观无脏污、无磨损，颜色花纹基本一致、里料颜色较均匀（基本对称）</w:t>
            </w:r>
            <w:r>
              <w:rPr>
                <w:rFonts w:hint="eastAsia" w:ascii="宋体"/>
                <w:color w:val="auto"/>
                <w:szCs w:val="21"/>
                <w:lang w:eastAsia="zh-CN"/>
              </w:rPr>
              <w:t>、</w:t>
            </w:r>
            <w:r>
              <w:rPr>
                <w:rFonts w:hint="eastAsia" w:ascii="宋体"/>
                <w:color w:val="auto"/>
                <w:szCs w:val="21"/>
                <w:lang w:val="en-US" w:eastAsia="zh-CN"/>
              </w:rPr>
              <w:t>平服</w:t>
            </w:r>
            <w:r>
              <w:rPr>
                <w:rFonts w:hint="eastAsia" w:ascii="宋体"/>
                <w:color w:val="auto"/>
                <w:szCs w:val="21"/>
              </w:rPr>
              <w:t>；</w:t>
            </w:r>
          </w:p>
          <w:p>
            <w:pPr>
              <w:spacing w:line="380" w:lineRule="exact"/>
              <w:rPr>
                <w:rFonts w:hint="eastAsia" w:ascii="宋体" w:eastAsia="宋体"/>
                <w:color w:val="auto"/>
                <w:szCs w:val="21"/>
                <w:lang w:eastAsia="zh-CN"/>
              </w:rPr>
            </w:pPr>
            <w:r>
              <w:rPr>
                <w:rFonts w:hint="eastAsia" w:ascii="宋体"/>
                <w:color w:val="auto"/>
                <w:szCs w:val="21"/>
              </w:rPr>
              <w:t>三档（</w:t>
            </w:r>
            <w:r>
              <w:rPr>
                <w:rFonts w:hint="eastAsia" w:ascii="宋体"/>
                <w:color w:val="auto"/>
                <w:szCs w:val="21"/>
                <w:lang w:val="en-US" w:eastAsia="zh-CN"/>
              </w:rPr>
              <w:t>9</w:t>
            </w:r>
            <w:r>
              <w:rPr>
                <w:rFonts w:hint="eastAsia" w:ascii="宋体"/>
                <w:color w:val="auto"/>
                <w:szCs w:val="21"/>
              </w:rPr>
              <w:t>分）：外观整洁美观、平展、无脏污、无磨损，颜色花纹一致、里料颜色匀称</w:t>
            </w:r>
            <w:r>
              <w:rPr>
                <w:rFonts w:hint="eastAsia" w:ascii="宋体"/>
                <w:color w:val="auto"/>
                <w:szCs w:val="21"/>
                <w:lang w:eastAsia="zh-CN"/>
              </w:rPr>
              <w:t>、</w:t>
            </w:r>
            <w:r>
              <w:rPr>
                <w:rFonts w:hint="eastAsia" w:ascii="宋体"/>
                <w:color w:val="auto"/>
                <w:szCs w:val="21"/>
                <w:lang w:val="en-US" w:eastAsia="zh-CN"/>
              </w:rPr>
              <w:t>平服</w:t>
            </w:r>
            <w:r>
              <w:rPr>
                <w:rFonts w:hint="eastAsia" w:ascii="宋体"/>
                <w:color w:val="auto"/>
                <w:szCs w:val="21"/>
                <w:lang w:eastAsia="zh-CN"/>
              </w:rPr>
              <w:t>。</w:t>
            </w:r>
          </w:p>
          <w:p>
            <w:pPr>
              <w:spacing w:line="380" w:lineRule="exact"/>
              <w:rPr>
                <w:rFonts w:ascii="宋体"/>
                <w:color w:val="auto"/>
                <w:szCs w:val="21"/>
              </w:rPr>
            </w:pPr>
            <w:r>
              <w:rPr>
                <w:rFonts w:hint="eastAsia" w:ascii="宋体"/>
                <w:color w:val="auto"/>
                <w:szCs w:val="21"/>
              </w:rPr>
              <w:t>注：不提供样品或样品提供不齐全不完整的或样品不满足入档要求得0分。</w:t>
            </w:r>
          </w:p>
          <w:p>
            <w:pPr>
              <w:spacing w:line="380" w:lineRule="exact"/>
              <w:rPr>
                <w:rFonts w:ascii="宋体"/>
                <w:color w:val="auto"/>
                <w:szCs w:val="21"/>
              </w:rPr>
            </w:pPr>
            <w:r>
              <w:rPr>
                <w:rFonts w:hint="eastAsia" w:ascii="宋体"/>
                <w:color w:val="auto"/>
                <w:szCs w:val="21"/>
                <w:lang w:eastAsia="zh-CN"/>
              </w:rPr>
              <w:t>（</w:t>
            </w:r>
            <w:r>
              <w:rPr>
                <w:rFonts w:hint="eastAsia" w:ascii="宋体"/>
                <w:color w:val="auto"/>
                <w:szCs w:val="21"/>
                <w:lang w:val="en-US" w:eastAsia="zh-CN"/>
              </w:rPr>
              <w:t>2</w:t>
            </w:r>
            <w:r>
              <w:rPr>
                <w:rFonts w:hint="eastAsia" w:ascii="宋体"/>
                <w:color w:val="auto"/>
                <w:szCs w:val="21"/>
                <w:lang w:eastAsia="zh-CN"/>
              </w:rPr>
              <w:t>）</w:t>
            </w:r>
            <w:r>
              <w:rPr>
                <w:rFonts w:hint="eastAsia" w:ascii="宋体"/>
                <w:color w:val="auto"/>
                <w:szCs w:val="21"/>
              </w:rPr>
              <w:t>综合评定制作工艺等因素（满分</w:t>
            </w:r>
            <w:r>
              <w:rPr>
                <w:rFonts w:hint="eastAsia" w:ascii="宋体"/>
                <w:color w:val="auto"/>
                <w:szCs w:val="21"/>
                <w:lang w:val="en-US" w:eastAsia="zh-CN"/>
              </w:rPr>
              <w:t>9</w:t>
            </w:r>
            <w:r>
              <w:rPr>
                <w:rFonts w:hint="eastAsia" w:ascii="宋体"/>
                <w:color w:val="auto"/>
                <w:szCs w:val="21"/>
              </w:rPr>
              <w:t>分）</w:t>
            </w:r>
          </w:p>
          <w:p>
            <w:pPr>
              <w:spacing w:line="380" w:lineRule="exact"/>
              <w:rPr>
                <w:rFonts w:hint="eastAsia" w:ascii="宋体"/>
                <w:color w:val="auto"/>
                <w:sz w:val="21"/>
                <w:szCs w:val="21"/>
              </w:rPr>
            </w:pPr>
            <w:r>
              <w:rPr>
                <w:rFonts w:hint="eastAsia" w:ascii="宋体"/>
                <w:color w:val="auto"/>
                <w:szCs w:val="21"/>
              </w:rPr>
              <w:t>一档（</w:t>
            </w:r>
            <w:r>
              <w:rPr>
                <w:rFonts w:hint="eastAsia" w:ascii="宋体"/>
                <w:color w:val="auto"/>
                <w:szCs w:val="21"/>
                <w:lang w:val="en-US" w:eastAsia="zh-CN"/>
              </w:rPr>
              <w:t>3</w:t>
            </w:r>
            <w:r>
              <w:rPr>
                <w:rFonts w:hint="eastAsia" w:ascii="宋体"/>
                <w:color w:val="auto"/>
                <w:szCs w:val="21"/>
              </w:rPr>
              <w:t>分）：制作工艺粗糙，裁缝部位有线头多于3个，明线不顺直，有连续跳针及针距不均匀，起落针处无回针或回针不够，上下线不合，明线不到头，基本符合制</w:t>
            </w:r>
            <w:r>
              <w:rPr>
                <w:rFonts w:hint="eastAsia" w:ascii="宋体"/>
                <w:color w:val="auto"/>
                <w:sz w:val="21"/>
                <w:szCs w:val="21"/>
              </w:rPr>
              <w:t>作标准和要求；</w:t>
            </w:r>
          </w:p>
          <w:p>
            <w:pPr>
              <w:spacing w:line="380" w:lineRule="exact"/>
              <w:rPr>
                <w:rFonts w:hint="eastAsia" w:ascii="宋体"/>
                <w:color w:val="auto"/>
                <w:sz w:val="21"/>
                <w:szCs w:val="21"/>
              </w:rPr>
            </w:pPr>
            <w:r>
              <w:rPr>
                <w:rFonts w:hint="eastAsia" w:ascii="宋体"/>
                <w:color w:val="auto"/>
                <w:sz w:val="21"/>
                <w:szCs w:val="21"/>
              </w:rPr>
              <w:t>二档（</w:t>
            </w:r>
            <w:r>
              <w:rPr>
                <w:rFonts w:hint="eastAsia" w:ascii="宋体"/>
                <w:color w:val="auto"/>
                <w:sz w:val="21"/>
                <w:szCs w:val="21"/>
                <w:lang w:val="en-US" w:eastAsia="zh-CN"/>
              </w:rPr>
              <w:t>6</w:t>
            </w:r>
            <w:r>
              <w:rPr>
                <w:rFonts w:hint="eastAsia" w:ascii="宋体"/>
                <w:color w:val="auto"/>
                <w:sz w:val="21"/>
                <w:szCs w:val="21"/>
              </w:rPr>
              <w:t>分）：制作工艺细致，裁缝部位有线头少于2个。外表整洁美观、平展，明线基本顺直、宽窄基本均匀，起落针处无回针或回针不够，上下线稍有不合，明线不到头，无跳针，针距基本均匀，符合制作标准和要求；</w:t>
            </w:r>
          </w:p>
          <w:p>
            <w:pPr>
              <w:spacing w:line="380" w:lineRule="exact"/>
              <w:rPr>
                <w:rFonts w:hint="eastAsia" w:ascii="宋体" w:eastAsia="宋体"/>
                <w:color w:val="auto"/>
                <w:sz w:val="21"/>
                <w:szCs w:val="21"/>
                <w:lang w:eastAsia="zh-CN"/>
              </w:rPr>
            </w:pPr>
            <w:r>
              <w:rPr>
                <w:rFonts w:hint="eastAsia" w:ascii="宋体"/>
                <w:color w:val="auto"/>
                <w:sz w:val="21"/>
                <w:szCs w:val="21"/>
              </w:rPr>
              <w:t>三档（</w:t>
            </w:r>
            <w:r>
              <w:rPr>
                <w:rFonts w:hint="eastAsia" w:ascii="宋体"/>
                <w:color w:val="auto"/>
                <w:sz w:val="21"/>
                <w:szCs w:val="21"/>
                <w:lang w:val="en-US" w:eastAsia="zh-CN"/>
              </w:rPr>
              <w:t>9</w:t>
            </w:r>
            <w:r>
              <w:rPr>
                <w:rFonts w:hint="eastAsia" w:ascii="宋体"/>
                <w:color w:val="auto"/>
                <w:sz w:val="21"/>
                <w:szCs w:val="21"/>
              </w:rPr>
              <w:t>分）：制作工艺精细，裁缝部位无线头。外表整洁美观、平展、缝纫线、锁眼、垫线颜色与面料相匹配，明线顺直、宽窄均匀、无跳针，针距均匀，符合制作标准和要求</w:t>
            </w:r>
            <w:r>
              <w:rPr>
                <w:rFonts w:hint="eastAsia" w:ascii="宋体"/>
                <w:color w:val="auto"/>
                <w:sz w:val="21"/>
                <w:szCs w:val="21"/>
                <w:lang w:eastAsia="zh-CN"/>
              </w:rPr>
              <w:t>。</w:t>
            </w:r>
          </w:p>
          <w:p>
            <w:pPr>
              <w:pStyle w:val="21"/>
              <w:keepNext w:val="0"/>
              <w:keepLines w:val="0"/>
              <w:pageBreakBefore w:val="0"/>
              <w:widowControl w:val="0"/>
              <w:kinsoku/>
              <w:wordWrap/>
              <w:overflowPunct/>
              <w:topLinePunct w:val="0"/>
              <w:autoSpaceDE/>
              <w:autoSpaceDN/>
              <w:bidi w:val="0"/>
              <w:spacing w:line="400" w:lineRule="exact"/>
              <w:rPr>
                <w:rFonts w:hint="eastAsia" w:ascii="Times New Roman" w:hAnsi="Times New Roman" w:eastAsia="宋体" w:cs="Times New Roman"/>
                <w:color w:val="auto"/>
                <w:kern w:val="2"/>
                <w:sz w:val="18"/>
                <w:szCs w:val="18"/>
                <w:highlight w:val="none"/>
                <w:lang w:val="en-US" w:eastAsia="zh-CN" w:bidi="ar-SA"/>
              </w:rPr>
            </w:pPr>
            <w:r>
              <w:rPr>
                <w:rFonts w:hint="eastAsia" w:ascii="宋体"/>
                <w:color w:val="auto"/>
                <w:sz w:val="21"/>
                <w:szCs w:val="21"/>
              </w:rPr>
              <w:t>注：不提供样品或样品提供不齐全不完整的或样品不满足入档要求得0分。</w:t>
            </w:r>
          </w:p>
        </w:tc>
        <w:tc>
          <w:tcPr>
            <w:tcW w:w="711" w:type="dxa"/>
            <w:vAlign w:val="center"/>
          </w:tcPr>
          <w:p>
            <w:pPr>
              <w:keepNext w:val="0"/>
              <w:keepLines w:val="0"/>
              <w:pageBreakBefore w:val="0"/>
              <w:widowControl w:val="0"/>
              <w:kinsoku/>
              <w:wordWrap/>
              <w:overflowPunct/>
              <w:topLinePunct w:val="0"/>
              <w:autoSpaceDE/>
              <w:autoSpaceDN/>
              <w:bidi w:val="0"/>
              <w:spacing w:line="400" w:lineRule="exact"/>
              <w:jc w:val="center"/>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2" w:type="dxa"/>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color w:val="auto"/>
                <w:szCs w:val="21"/>
                <w:highlight w:val="none"/>
                <w:lang w:eastAsia="zh-CN"/>
              </w:rPr>
            </w:pPr>
            <w:r>
              <w:rPr>
                <w:rFonts w:hint="eastAsia" w:ascii="宋体" w:hAnsi="宋体" w:cs="宋体"/>
                <w:bCs/>
                <w:color w:val="auto"/>
                <w:szCs w:val="21"/>
                <w:highlight w:val="none"/>
                <w:lang w:val="en-US" w:eastAsia="zh-CN"/>
              </w:rPr>
              <w:t>3</w:t>
            </w:r>
          </w:p>
        </w:tc>
        <w:tc>
          <w:tcPr>
            <w:tcW w:w="959" w:type="dxa"/>
            <w:vAlign w:val="center"/>
          </w:tcPr>
          <w:p>
            <w:pPr>
              <w:keepNext w:val="0"/>
              <w:keepLines w:val="0"/>
              <w:pageBreakBefore w:val="0"/>
              <w:widowControl w:val="0"/>
              <w:kinsoku/>
              <w:wordWrap/>
              <w:overflowPunct/>
              <w:topLinePunct w:val="0"/>
              <w:autoSpaceDE/>
              <w:autoSpaceDN/>
              <w:bidi w:val="0"/>
              <w:spacing w:line="400" w:lineRule="exact"/>
              <w:jc w:val="center"/>
              <w:rPr>
                <w:rFonts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rPr>
              <w:t>技术</w:t>
            </w:r>
          </w:p>
        </w:tc>
        <w:tc>
          <w:tcPr>
            <w:tcW w:w="7642" w:type="dxa"/>
            <w:vAlign w:val="top"/>
          </w:tcPr>
          <w:p>
            <w:pPr>
              <w:pStyle w:val="21"/>
              <w:keepNext w:val="0"/>
              <w:keepLines w:val="0"/>
              <w:pageBreakBefore w:val="0"/>
              <w:widowControl w:val="0"/>
              <w:kinsoku/>
              <w:wordWrap/>
              <w:overflowPunct/>
              <w:topLinePunct w:val="0"/>
              <w:autoSpaceDE/>
              <w:autoSpaceDN/>
              <w:bidi w:val="0"/>
              <w:spacing w:line="40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供货方案（满分</w:t>
            </w:r>
            <w:r>
              <w:rPr>
                <w:rFonts w:hint="eastAsia" w:asciiTheme="minorEastAsia" w:hAnsiTheme="minorEastAsia" w:eastAsiaTheme="minorEastAsia" w:cstheme="minorEastAsia"/>
                <w:color w:val="auto"/>
                <w:sz w:val="21"/>
                <w:szCs w:val="21"/>
                <w:lang w:val="en-US" w:eastAsia="zh-CN"/>
              </w:rPr>
              <w:t>8</w:t>
            </w:r>
            <w:r>
              <w:rPr>
                <w:rFonts w:hint="eastAsia" w:asciiTheme="minorEastAsia" w:hAnsiTheme="minorEastAsia" w:eastAsiaTheme="minorEastAsia" w:cstheme="minorEastAsia"/>
                <w:color w:val="auto"/>
                <w:sz w:val="21"/>
                <w:szCs w:val="21"/>
              </w:rPr>
              <w:t>分）</w:t>
            </w:r>
          </w:p>
          <w:p>
            <w:pPr>
              <w:pStyle w:val="21"/>
              <w:keepNext w:val="0"/>
              <w:keepLines w:val="0"/>
              <w:pageBreakBefore w:val="0"/>
              <w:widowControl w:val="0"/>
              <w:kinsoku/>
              <w:wordWrap/>
              <w:overflowPunct/>
              <w:topLinePunct w:val="0"/>
              <w:autoSpaceDE/>
              <w:autoSpaceDN/>
              <w:bidi w:val="0"/>
              <w:spacing w:line="400" w:lineRule="exact"/>
              <w:rPr>
                <w:rFonts w:hint="eastAsia" w:ascii="宋体" w:hAnsi="宋体"/>
                <w:color w:val="auto"/>
                <w:sz w:val="21"/>
                <w:szCs w:val="21"/>
                <w:lang w:val="en-US" w:eastAsia="zh-CN"/>
              </w:rPr>
            </w:pPr>
            <w:r>
              <w:rPr>
                <w:rFonts w:hint="eastAsia" w:ascii="宋体" w:hAnsi="宋体"/>
                <w:color w:val="auto"/>
                <w:sz w:val="21"/>
                <w:szCs w:val="21"/>
                <w:lang w:val="en-US" w:eastAsia="zh-CN"/>
              </w:rPr>
              <w:t>一档（4分）：供货方案有基本框架，有物料的管理及配送进度安排等内容，所有环节步骤清晰，责任人员明确，能确保产品供货；</w:t>
            </w:r>
          </w:p>
          <w:p>
            <w:pPr>
              <w:pStyle w:val="21"/>
              <w:keepNext w:val="0"/>
              <w:keepLines w:val="0"/>
              <w:pageBreakBefore w:val="0"/>
              <w:widowControl w:val="0"/>
              <w:kinsoku/>
              <w:wordWrap/>
              <w:overflowPunct/>
              <w:topLinePunct w:val="0"/>
              <w:autoSpaceDE/>
              <w:autoSpaceDN/>
              <w:bidi w:val="0"/>
              <w:spacing w:line="400" w:lineRule="exact"/>
              <w:rPr>
                <w:rFonts w:hint="eastAsia" w:ascii="宋体" w:hAnsi="宋体"/>
                <w:color w:val="auto"/>
                <w:sz w:val="21"/>
                <w:szCs w:val="21"/>
                <w:lang w:val="en-US" w:eastAsia="zh-CN"/>
              </w:rPr>
            </w:pPr>
            <w:r>
              <w:rPr>
                <w:rFonts w:hint="eastAsia" w:ascii="宋体" w:hAnsi="宋体"/>
                <w:color w:val="auto"/>
                <w:sz w:val="21"/>
                <w:szCs w:val="21"/>
                <w:lang w:val="en-US" w:eastAsia="zh-CN"/>
              </w:rPr>
              <w:t>二档（8分）：供货方案内容完善可行，物料的管理及配送进度安排有可行性，有针对性，提供了生产进度时间表、供货进度时间表等，所有环节步骤清晰，责任人员明确，并详细分析本项目的难点重点，提供难重点保障措施和各项应急预案，能够有效保证采购人如期使用。</w:t>
            </w:r>
          </w:p>
          <w:p>
            <w:pPr>
              <w:pStyle w:val="21"/>
              <w:keepNext w:val="0"/>
              <w:keepLines w:val="0"/>
              <w:pageBreakBefore w:val="0"/>
              <w:widowControl w:val="0"/>
              <w:kinsoku/>
              <w:wordWrap/>
              <w:overflowPunct/>
              <w:topLinePunct w:val="0"/>
              <w:autoSpaceDE/>
              <w:autoSpaceDN/>
              <w:bidi w:val="0"/>
              <w:spacing w:line="400" w:lineRule="exact"/>
              <w:rPr>
                <w:rFonts w:hint="eastAsia" w:ascii="宋体" w:hAnsi="宋体" w:eastAsia="宋体" w:cs="Times New Roman"/>
                <w:color w:val="auto"/>
                <w:kern w:val="2"/>
                <w:sz w:val="21"/>
                <w:szCs w:val="21"/>
                <w:lang w:val="en-US" w:eastAsia="zh-CN" w:bidi="ar-SA"/>
              </w:rPr>
            </w:pPr>
            <w:r>
              <w:rPr>
                <w:rFonts w:hint="eastAsia" w:ascii="宋体" w:hAnsi="宋体"/>
                <w:color w:val="auto"/>
                <w:sz w:val="21"/>
                <w:szCs w:val="21"/>
                <w:lang w:val="en-US" w:eastAsia="zh-CN"/>
              </w:rPr>
              <w:t>注：未提供供货方案的，得0分。</w:t>
            </w:r>
          </w:p>
        </w:tc>
        <w:tc>
          <w:tcPr>
            <w:tcW w:w="711" w:type="dxa"/>
            <w:vAlign w:val="center"/>
          </w:tcPr>
          <w:p>
            <w:pPr>
              <w:keepNext w:val="0"/>
              <w:keepLines w:val="0"/>
              <w:pageBreakBefore w:val="0"/>
              <w:widowControl w:val="0"/>
              <w:kinsoku/>
              <w:wordWrap/>
              <w:overflowPunct/>
              <w:topLinePunct w:val="0"/>
              <w:autoSpaceDE/>
              <w:autoSpaceDN/>
              <w:bidi w:val="0"/>
              <w:spacing w:line="400" w:lineRule="exact"/>
              <w:jc w:val="center"/>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szCs w:val="21"/>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2" w:type="dxa"/>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color w:val="auto"/>
                <w:szCs w:val="21"/>
                <w:highlight w:val="none"/>
                <w:lang w:eastAsia="zh-CN"/>
              </w:rPr>
            </w:pPr>
            <w:r>
              <w:rPr>
                <w:rFonts w:hint="eastAsia" w:ascii="宋体" w:hAnsi="宋体" w:cs="宋体"/>
                <w:bCs/>
                <w:color w:val="auto"/>
                <w:szCs w:val="21"/>
                <w:highlight w:val="none"/>
                <w:lang w:val="en-US" w:eastAsia="zh-CN"/>
              </w:rPr>
              <w:t>4</w:t>
            </w:r>
          </w:p>
        </w:tc>
        <w:tc>
          <w:tcPr>
            <w:tcW w:w="959" w:type="dxa"/>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rPr>
              <w:t>技术</w:t>
            </w:r>
          </w:p>
        </w:tc>
        <w:tc>
          <w:tcPr>
            <w:tcW w:w="7642" w:type="dxa"/>
            <w:vAlign w:val="top"/>
          </w:tcPr>
          <w:p>
            <w:pPr>
              <w:pStyle w:val="21"/>
              <w:keepNext w:val="0"/>
              <w:keepLines w:val="0"/>
              <w:pageBreakBefore w:val="0"/>
              <w:widowControl w:val="0"/>
              <w:kinsoku/>
              <w:wordWrap/>
              <w:overflowPunct/>
              <w:topLinePunct w:val="0"/>
              <w:autoSpaceDE/>
              <w:autoSpaceDN/>
              <w:bidi w:val="0"/>
              <w:spacing w:line="400" w:lineRule="exact"/>
              <w:rPr>
                <w:rFonts w:hint="eastAsia" w:ascii="宋体" w:hAnsi="宋体"/>
                <w:color w:val="auto"/>
                <w:sz w:val="21"/>
                <w:szCs w:val="21"/>
              </w:rPr>
            </w:pPr>
            <w:r>
              <w:rPr>
                <w:rFonts w:hint="eastAsia" w:ascii="宋体" w:hAnsi="宋体"/>
                <w:color w:val="auto"/>
                <w:sz w:val="21"/>
                <w:szCs w:val="21"/>
              </w:rPr>
              <w:t>质量控制措施分（满分</w:t>
            </w:r>
            <w:r>
              <w:rPr>
                <w:rFonts w:hint="eastAsia" w:ascii="宋体" w:hAnsi="宋体"/>
                <w:color w:val="auto"/>
                <w:sz w:val="21"/>
                <w:szCs w:val="21"/>
                <w:lang w:val="en-US" w:eastAsia="zh-CN"/>
              </w:rPr>
              <w:t>7</w:t>
            </w:r>
            <w:r>
              <w:rPr>
                <w:rFonts w:hint="eastAsia" w:ascii="宋体" w:hAnsi="宋体"/>
                <w:color w:val="auto"/>
                <w:sz w:val="21"/>
                <w:szCs w:val="21"/>
              </w:rPr>
              <w:t>分）</w:t>
            </w:r>
          </w:p>
          <w:p>
            <w:pPr>
              <w:pStyle w:val="21"/>
              <w:keepNext w:val="0"/>
              <w:keepLines w:val="0"/>
              <w:pageBreakBefore w:val="0"/>
              <w:widowControl w:val="0"/>
              <w:kinsoku/>
              <w:wordWrap/>
              <w:overflowPunct/>
              <w:topLinePunct w:val="0"/>
              <w:autoSpaceDE/>
              <w:autoSpaceDN/>
              <w:bidi w:val="0"/>
              <w:spacing w:line="400" w:lineRule="exact"/>
              <w:rPr>
                <w:rFonts w:hint="eastAsia" w:ascii="宋体" w:hAnsi="宋体"/>
                <w:color w:val="auto"/>
                <w:sz w:val="21"/>
                <w:szCs w:val="21"/>
              </w:rPr>
            </w:pPr>
            <w:r>
              <w:rPr>
                <w:rFonts w:hint="eastAsia" w:ascii="宋体" w:hAnsi="宋体"/>
                <w:color w:val="auto"/>
                <w:sz w:val="21"/>
                <w:szCs w:val="21"/>
              </w:rPr>
              <w:t>一档（</w:t>
            </w:r>
            <w:r>
              <w:rPr>
                <w:rFonts w:hint="eastAsia" w:ascii="宋体" w:hAnsi="宋体"/>
                <w:color w:val="auto"/>
                <w:sz w:val="21"/>
                <w:szCs w:val="21"/>
                <w:lang w:val="en-US" w:eastAsia="zh-CN"/>
              </w:rPr>
              <w:t>3</w:t>
            </w:r>
            <w:r>
              <w:rPr>
                <w:rFonts w:hint="eastAsia" w:ascii="宋体" w:hAnsi="宋体"/>
                <w:color w:val="auto"/>
                <w:sz w:val="21"/>
                <w:szCs w:val="21"/>
              </w:rPr>
              <w:t>分）：质量保证方案有材料、产品等检测检验措施，有质量保障措施说明，有合理的岗位和人员设置方案、内部质检方案。</w:t>
            </w:r>
          </w:p>
          <w:p>
            <w:pPr>
              <w:pStyle w:val="21"/>
              <w:keepNext w:val="0"/>
              <w:keepLines w:val="0"/>
              <w:pageBreakBefore w:val="0"/>
              <w:widowControl w:val="0"/>
              <w:kinsoku/>
              <w:wordWrap/>
              <w:overflowPunct/>
              <w:topLinePunct w:val="0"/>
              <w:autoSpaceDE/>
              <w:autoSpaceDN/>
              <w:bidi w:val="0"/>
              <w:spacing w:line="400" w:lineRule="exact"/>
              <w:rPr>
                <w:rFonts w:hint="eastAsia" w:ascii="宋体" w:hAnsi="宋体"/>
                <w:color w:val="auto"/>
                <w:sz w:val="21"/>
                <w:szCs w:val="21"/>
              </w:rPr>
            </w:pPr>
            <w:r>
              <w:rPr>
                <w:rFonts w:hint="eastAsia" w:ascii="宋体" w:hAnsi="宋体"/>
                <w:color w:val="auto"/>
                <w:sz w:val="21"/>
                <w:szCs w:val="21"/>
              </w:rPr>
              <w:t>二档（</w:t>
            </w:r>
            <w:r>
              <w:rPr>
                <w:rFonts w:hint="eastAsia" w:ascii="宋体" w:hAnsi="宋体"/>
                <w:color w:val="auto"/>
                <w:sz w:val="21"/>
                <w:szCs w:val="21"/>
                <w:lang w:val="en-US" w:eastAsia="zh-CN"/>
              </w:rPr>
              <w:t>7</w:t>
            </w:r>
            <w:r>
              <w:rPr>
                <w:rFonts w:hint="eastAsia" w:ascii="宋体" w:hAnsi="宋体"/>
                <w:color w:val="auto"/>
                <w:sz w:val="21"/>
                <w:szCs w:val="21"/>
              </w:rPr>
              <w:t>分）：质量保证方案</w:t>
            </w:r>
            <w:r>
              <w:rPr>
                <w:rFonts w:hint="eastAsia" w:ascii="宋体" w:hAnsi="宋体"/>
                <w:color w:val="auto"/>
                <w:sz w:val="21"/>
                <w:szCs w:val="21"/>
                <w:lang w:val="en-US" w:eastAsia="zh-CN"/>
              </w:rPr>
              <w:t>详细</w:t>
            </w:r>
            <w:r>
              <w:rPr>
                <w:rFonts w:hint="eastAsia" w:ascii="宋体" w:hAnsi="宋体"/>
                <w:color w:val="auto"/>
                <w:sz w:val="21"/>
                <w:szCs w:val="21"/>
              </w:rPr>
              <w:t>有针对本项目材料检测检验措施、产品检测检验措施，质量保障措施说明详细、到位，有具体的岗位和人员设置、内部质量检验方案、检验标准及方法，配合抽检方案及其他能够提升技术保障精细化水平的措施方案</w:t>
            </w:r>
            <w:r>
              <w:rPr>
                <w:rFonts w:hint="eastAsia" w:ascii="宋体" w:hAnsi="宋体"/>
                <w:color w:val="auto"/>
                <w:sz w:val="21"/>
                <w:szCs w:val="21"/>
                <w:lang w:val="en-US" w:eastAsia="zh-CN"/>
              </w:rPr>
              <w:t>有可行性，有针对性</w:t>
            </w:r>
            <w:r>
              <w:rPr>
                <w:rFonts w:hint="eastAsia" w:ascii="宋体" w:hAnsi="宋体"/>
                <w:color w:val="auto"/>
                <w:sz w:val="21"/>
                <w:szCs w:val="21"/>
              </w:rPr>
              <w:t>。</w:t>
            </w:r>
          </w:p>
          <w:p>
            <w:pPr>
              <w:pStyle w:val="21"/>
              <w:keepNext w:val="0"/>
              <w:keepLines w:val="0"/>
              <w:pageBreakBefore w:val="0"/>
              <w:widowControl w:val="0"/>
              <w:kinsoku/>
              <w:wordWrap/>
              <w:overflowPunct/>
              <w:topLinePunct w:val="0"/>
              <w:autoSpaceDE/>
              <w:autoSpaceDN/>
              <w:bidi w:val="0"/>
              <w:spacing w:line="400" w:lineRule="exact"/>
              <w:rPr>
                <w:rFonts w:hint="eastAsia" w:ascii="宋体" w:hAnsi="宋体"/>
                <w:color w:val="auto"/>
                <w:sz w:val="21"/>
                <w:szCs w:val="21"/>
                <w:lang w:val="en-US" w:eastAsia="zh-CN"/>
              </w:rPr>
            </w:pPr>
            <w:r>
              <w:rPr>
                <w:rFonts w:hint="eastAsia" w:ascii="宋体" w:hAnsi="宋体"/>
                <w:color w:val="auto"/>
                <w:sz w:val="21"/>
                <w:szCs w:val="21"/>
              </w:rPr>
              <w:t>注：未提供质量控制措施</w:t>
            </w:r>
            <w:r>
              <w:rPr>
                <w:rFonts w:hint="eastAsia" w:ascii="宋体" w:hAnsi="宋体"/>
                <w:color w:val="auto"/>
                <w:sz w:val="21"/>
                <w:szCs w:val="21"/>
                <w:lang w:val="en-US" w:eastAsia="zh-CN"/>
              </w:rPr>
              <w:t>的，得</w:t>
            </w:r>
            <w:r>
              <w:rPr>
                <w:rFonts w:hint="eastAsia" w:ascii="宋体" w:hAnsi="宋体"/>
                <w:color w:val="auto"/>
                <w:sz w:val="21"/>
                <w:szCs w:val="21"/>
              </w:rPr>
              <w:t>0分。</w:t>
            </w:r>
          </w:p>
        </w:tc>
        <w:tc>
          <w:tcPr>
            <w:tcW w:w="711" w:type="dxa"/>
            <w:vAlign w:val="center"/>
          </w:tcPr>
          <w:p>
            <w:pPr>
              <w:keepNext w:val="0"/>
              <w:keepLines w:val="0"/>
              <w:pageBreakBefore w:val="0"/>
              <w:widowControl w:val="0"/>
              <w:kinsoku/>
              <w:wordWrap/>
              <w:overflowPunct/>
              <w:topLinePunct w:val="0"/>
              <w:autoSpaceDE/>
              <w:autoSpaceDN/>
              <w:bidi w:val="0"/>
              <w:spacing w:line="400" w:lineRule="exact"/>
              <w:jc w:val="center"/>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szCs w:val="21"/>
                <w:highlight w:val="none"/>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542" w:type="dxa"/>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color w:val="auto"/>
                <w:szCs w:val="21"/>
                <w:highlight w:val="none"/>
                <w:lang w:val="en-US" w:eastAsia="zh-CN"/>
              </w:rPr>
            </w:pPr>
            <w:r>
              <w:rPr>
                <w:rFonts w:hint="eastAsia" w:ascii="宋体" w:hAnsi="宋体" w:cs="宋体"/>
                <w:bCs/>
                <w:color w:val="auto"/>
                <w:szCs w:val="21"/>
                <w:highlight w:val="none"/>
                <w:lang w:val="en-US" w:eastAsia="zh-CN"/>
              </w:rPr>
              <w:t>5</w:t>
            </w:r>
          </w:p>
        </w:tc>
        <w:tc>
          <w:tcPr>
            <w:tcW w:w="959" w:type="dxa"/>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Cs w:val="21"/>
                <w:highlight w:val="none"/>
              </w:rPr>
              <w:t>商务</w:t>
            </w:r>
          </w:p>
        </w:tc>
        <w:tc>
          <w:tcPr>
            <w:tcW w:w="7642" w:type="dxa"/>
            <w:vAlign w:val="top"/>
          </w:tcPr>
          <w:p>
            <w:pPr>
              <w:pStyle w:val="21"/>
              <w:keepNext w:val="0"/>
              <w:keepLines w:val="0"/>
              <w:pageBreakBefore w:val="0"/>
              <w:widowControl w:val="0"/>
              <w:kinsoku/>
              <w:wordWrap/>
              <w:overflowPunct/>
              <w:topLinePunct w:val="0"/>
              <w:autoSpaceDE/>
              <w:autoSpaceDN/>
              <w:bidi w:val="0"/>
              <w:spacing w:line="400" w:lineRule="exact"/>
              <w:rPr>
                <w:rFonts w:hint="eastAsia"/>
                <w:bCs/>
                <w:color w:val="auto"/>
                <w:sz w:val="21"/>
                <w:szCs w:val="21"/>
              </w:rPr>
            </w:pPr>
            <w:r>
              <w:rPr>
                <w:rFonts w:hint="eastAsia"/>
                <w:bCs/>
                <w:color w:val="auto"/>
                <w:sz w:val="21"/>
                <w:szCs w:val="21"/>
              </w:rPr>
              <w:t>售后服务方案分（满分</w:t>
            </w:r>
            <w:r>
              <w:rPr>
                <w:rFonts w:hint="eastAsia"/>
                <w:bCs/>
                <w:color w:val="auto"/>
                <w:sz w:val="21"/>
                <w:szCs w:val="21"/>
                <w:lang w:val="en-US" w:eastAsia="zh-CN"/>
              </w:rPr>
              <w:t>6</w:t>
            </w:r>
            <w:r>
              <w:rPr>
                <w:rFonts w:hint="eastAsia"/>
                <w:bCs/>
                <w:color w:val="auto"/>
                <w:sz w:val="21"/>
                <w:szCs w:val="21"/>
              </w:rPr>
              <w:t>分）</w:t>
            </w:r>
          </w:p>
          <w:p>
            <w:pPr>
              <w:pStyle w:val="21"/>
              <w:keepNext w:val="0"/>
              <w:keepLines w:val="0"/>
              <w:pageBreakBefore w:val="0"/>
              <w:widowControl w:val="0"/>
              <w:kinsoku/>
              <w:wordWrap/>
              <w:overflowPunct/>
              <w:topLinePunct w:val="0"/>
              <w:autoSpaceDE/>
              <w:autoSpaceDN/>
              <w:bidi w:val="0"/>
              <w:spacing w:line="400" w:lineRule="exact"/>
              <w:rPr>
                <w:rFonts w:hint="eastAsia" w:ascii="Times New Roman" w:hAnsi="Times New Roman" w:eastAsia="宋体" w:cs="Times New Roman"/>
                <w:bCs/>
                <w:color w:val="auto"/>
                <w:kern w:val="2"/>
                <w:sz w:val="21"/>
                <w:szCs w:val="21"/>
                <w:lang w:val="en-US" w:eastAsia="zh-CN" w:bidi="ar-SA"/>
              </w:rPr>
            </w:pPr>
            <w:r>
              <w:rPr>
                <w:rFonts w:hint="eastAsia"/>
                <w:bCs/>
                <w:color w:val="auto"/>
                <w:sz w:val="21"/>
                <w:szCs w:val="21"/>
              </w:rPr>
              <w:t>投标人在投标文件提供售后服务方案，详细说明售后服务的内容和形式、免费维修时间、人员配备及保障、解决质量或操作问题的响应时间、解决问题时间、售后质量保证承诺。每有1项内容且可行的得</w:t>
            </w:r>
            <w:r>
              <w:rPr>
                <w:rFonts w:hint="eastAsia"/>
                <w:bCs/>
                <w:color w:val="auto"/>
                <w:sz w:val="21"/>
                <w:szCs w:val="21"/>
                <w:lang w:val="en-US" w:eastAsia="zh-CN"/>
              </w:rPr>
              <w:t>1</w:t>
            </w:r>
            <w:r>
              <w:rPr>
                <w:rFonts w:hint="eastAsia"/>
                <w:bCs/>
                <w:color w:val="auto"/>
                <w:sz w:val="21"/>
                <w:szCs w:val="21"/>
              </w:rPr>
              <w:t>分，满分</w:t>
            </w:r>
            <w:r>
              <w:rPr>
                <w:rFonts w:hint="eastAsia"/>
                <w:bCs/>
                <w:color w:val="auto"/>
                <w:sz w:val="21"/>
                <w:szCs w:val="21"/>
                <w:lang w:val="en-US" w:eastAsia="zh-CN"/>
              </w:rPr>
              <w:t>6</w:t>
            </w:r>
            <w:r>
              <w:rPr>
                <w:rFonts w:hint="eastAsia"/>
                <w:bCs/>
                <w:color w:val="auto"/>
                <w:sz w:val="21"/>
                <w:szCs w:val="21"/>
              </w:rPr>
              <w:t>分。</w:t>
            </w:r>
          </w:p>
        </w:tc>
        <w:tc>
          <w:tcPr>
            <w:tcW w:w="711" w:type="dxa"/>
            <w:vAlign w:val="center"/>
          </w:tcPr>
          <w:p>
            <w:pPr>
              <w:keepNext w:val="0"/>
              <w:keepLines w:val="0"/>
              <w:pageBreakBefore w:val="0"/>
              <w:widowControl w:val="0"/>
              <w:kinsoku/>
              <w:wordWrap/>
              <w:overflowPunct/>
              <w:topLinePunct w:val="0"/>
              <w:autoSpaceDE/>
              <w:autoSpaceDN/>
              <w:bidi w:val="0"/>
              <w:spacing w:line="400" w:lineRule="exact"/>
              <w:jc w:val="center"/>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szCs w:val="21"/>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2" w:type="dxa"/>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color w:val="auto"/>
                <w:szCs w:val="21"/>
                <w:highlight w:val="none"/>
                <w:lang w:val="en-US" w:eastAsia="zh-CN"/>
              </w:rPr>
            </w:pPr>
            <w:r>
              <w:rPr>
                <w:rFonts w:hint="eastAsia" w:ascii="宋体" w:hAnsi="宋体" w:cs="宋体"/>
                <w:bCs/>
                <w:color w:val="auto"/>
                <w:szCs w:val="21"/>
                <w:highlight w:val="none"/>
                <w:lang w:val="en-US" w:eastAsia="zh-CN"/>
              </w:rPr>
              <w:t>6</w:t>
            </w:r>
          </w:p>
        </w:tc>
        <w:tc>
          <w:tcPr>
            <w:tcW w:w="959" w:type="dxa"/>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color w:val="auto"/>
                <w:kern w:val="2"/>
                <w:sz w:val="21"/>
                <w:szCs w:val="21"/>
                <w:highlight w:val="none"/>
                <w:lang w:val="en-US" w:eastAsia="zh-CN" w:bidi="ar-SA"/>
              </w:rPr>
            </w:pPr>
            <w:r>
              <w:rPr>
                <w:rFonts w:hint="eastAsia" w:ascii="宋体" w:hAnsi="宋体" w:cs="宋体"/>
                <w:color w:val="auto"/>
                <w:szCs w:val="21"/>
                <w:highlight w:val="none"/>
              </w:rPr>
              <w:t>商务（客观分）</w:t>
            </w:r>
          </w:p>
        </w:tc>
        <w:tc>
          <w:tcPr>
            <w:tcW w:w="7642" w:type="dxa"/>
            <w:vAlign w:val="top"/>
          </w:tcPr>
          <w:p>
            <w:pPr>
              <w:pStyle w:val="21"/>
              <w:keepNext w:val="0"/>
              <w:keepLines w:val="0"/>
              <w:pageBreakBefore w:val="0"/>
              <w:widowControl w:val="0"/>
              <w:kinsoku/>
              <w:wordWrap/>
              <w:overflowPunct/>
              <w:topLinePunct w:val="0"/>
              <w:autoSpaceDE/>
              <w:autoSpaceDN/>
              <w:bidi w:val="0"/>
              <w:spacing w:line="400" w:lineRule="exact"/>
              <w:rPr>
                <w:rFonts w:hint="eastAsia" w:ascii="宋体" w:hAnsi="宋体" w:eastAsia="宋体" w:cs="Times New Roman"/>
                <w:color w:val="auto"/>
                <w:sz w:val="21"/>
                <w:szCs w:val="21"/>
                <w:lang w:val="en-US" w:eastAsia="zh-CN"/>
              </w:rPr>
            </w:pPr>
            <w:bookmarkStart w:id="204" w:name="OLE_LINK10"/>
            <w:r>
              <w:rPr>
                <w:rFonts w:hint="eastAsia" w:ascii="宋体" w:hAnsi="宋体" w:eastAsia="宋体" w:cs="Times New Roman"/>
                <w:color w:val="auto"/>
                <w:sz w:val="21"/>
                <w:szCs w:val="21"/>
                <w:lang w:val="en-US" w:eastAsia="zh-CN"/>
              </w:rPr>
              <w:t>业绩分（满分</w:t>
            </w:r>
            <w:r>
              <w:rPr>
                <w:rFonts w:hint="eastAsia" w:ascii="宋体" w:hAnsi="宋体" w:cs="Times New Roman"/>
                <w:color w:val="auto"/>
                <w:sz w:val="21"/>
                <w:szCs w:val="21"/>
                <w:lang w:val="en-US" w:eastAsia="zh-CN"/>
              </w:rPr>
              <w:t>6</w:t>
            </w:r>
            <w:r>
              <w:rPr>
                <w:rFonts w:hint="eastAsia" w:ascii="宋体" w:hAnsi="宋体" w:eastAsia="宋体" w:cs="Times New Roman"/>
                <w:color w:val="auto"/>
                <w:sz w:val="21"/>
                <w:szCs w:val="21"/>
                <w:lang w:val="en-US" w:eastAsia="zh-CN"/>
              </w:rPr>
              <w:t>分）</w:t>
            </w:r>
          </w:p>
          <w:p>
            <w:pPr>
              <w:pStyle w:val="21"/>
              <w:keepNext w:val="0"/>
              <w:keepLines w:val="0"/>
              <w:pageBreakBefore w:val="0"/>
              <w:widowControl w:val="0"/>
              <w:kinsoku/>
              <w:wordWrap/>
              <w:overflowPunct/>
              <w:topLinePunct w:val="0"/>
              <w:autoSpaceDE/>
              <w:autoSpaceDN/>
              <w:bidi w:val="0"/>
              <w:spacing w:line="400" w:lineRule="exact"/>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投标人2022年1月1日至投标截止时间完成过类似项目业绩，每具有1项得</w:t>
            </w:r>
            <w:r>
              <w:rPr>
                <w:rFonts w:hint="eastAsia" w:ascii="宋体" w:hAnsi="宋体" w:cs="Times New Roman"/>
                <w:color w:val="auto"/>
                <w:sz w:val="21"/>
                <w:szCs w:val="21"/>
                <w:lang w:val="en-US" w:eastAsia="zh-CN"/>
              </w:rPr>
              <w:t>1</w:t>
            </w:r>
            <w:r>
              <w:rPr>
                <w:rFonts w:hint="eastAsia" w:ascii="宋体" w:hAnsi="宋体" w:eastAsia="宋体" w:cs="Times New Roman"/>
                <w:color w:val="auto"/>
                <w:sz w:val="21"/>
                <w:szCs w:val="21"/>
                <w:lang w:val="en-US" w:eastAsia="zh-CN"/>
              </w:rPr>
              <w:t xml:space="preserve">分，此项满分 </w:t>
            </w:r>
            <w:r>
              <w:rPr>
                <w:rFonts w:hint="eastAsia" w:ascii="宋体" w:hAnsi="宋体" w:cs="Times New Roman"/>
                <w:color w:val="auto"/>
                <w:sz w:val="21"/>
                <w:szCs w:val="21"/>
                <w:lang w:val="en-US" w:eastAsia="zh-CN"/>
              </w:rPr>
              <w:t>6</w:t>
            </w:r>
            <w:r>
              <w:rPr>
                <w:rFonts w:hint="eastAsia" w:ascii="宋体" w:hAnsi="宋体" w:eastAsia="宋体" w:cs="Times New Roman"/>
                <w:color w:val="auto"/>
                <w:sz w:val="21"/>
                <w:szCs w:val="21"/>
                <w:lang w:val="en-US" w:eastAsia="zh-CN"/>
              </w:rPr>
              <w:t>分。</w:t>
            </w:r>
          </w:p>
          <w:p>
            <w:pPr>
              <w:pStyle w:val="21"/>
              <w:keepNext w:val="0"/>
              <w:keepLines w:val="0"/>
              <w:pageBreakBefore w:val="0"/>
              <w:widowControl w:val="0"/>
              <w:kinsoku/>
              <w:wordWrap/>
              <w:overflowPunct/>
              <w:topLinePunct w:val="0"/>
              <w:autoSpaceDE/>
              <w:autoSpaceDN/>
              <w:bidi w:val="0"/>
              <w:spacing w:line="400" w:lineRule="exact"/>
              <w:rPr>
                <w:rFonts w:hint="eastAsia" w:ascii="Times New Roman" w:hAnsi="Times New Roman" w:eastAsia="宋体" w:cs="Times New Roman"/>
                <w:color w:val="auto"/>
                <w:kern w:val="2"/>
                <w:sz w:val="18"/>
                <w:szCs w:val="18"/>
                <w:lang w:val="en-US" w:eastAsia="zh-CN" w:bidi="ar-SA"/>
              </w:rPr>
            </w:pPr>
            <w:r>
              <w:rPr>
                <w:rFonts w:hint="eastAsia" w:ascii="宋体" w:hAnsi="宋体" w:eastAsia="宋体" w:cs="Times New Roman"/>
                <w:color w:val="auto"/>
                <w:sz w:val="21"/>
                <w:szCs w:val="21"/>
                <w:lang w:val="en-US" w:eastAsia="zh-CN"/>
              </w:rPr>
              <w:t>注：投标人须在投标文件中同时提供中标通知书复印件、采购合同文本复印件，以及能够证明该业绩项目已经采购人验收合格的相关证明文件复印件，否则不予计分。</w:t>
            </w:r>
            <w:bookmarkEnd w:id="204"/>
          </w:p>
        </w:tc>
        <w:tc>
          <w:tcPr>
            <w:tcW w:w="711" w:type="dxa"/>
            <w:vAlign w:val="center"/>
          </w:tcPr>
          <w:p>
            <w:pPr>
              <w:keepNext w:val="0"/>
              <w:keepLines w:val="0"/>
              <w:pageBreakBefore w:val="0"/>
              <w:widowControl w:val="0"/>
              <w:kinsoku/>
              <w:wordWrap/>
              <w:overflowPunct/>
              <w:topLinePunct w:val="0"/>
              <w:autoSpaceDE/>
              <w:autoSpaceDN/>
              <w:bidi w:val="0"/>
              <w:spacing w:line="400" w:lineRule="exact"/>
              <w:jc w:val="center"/>
              <w:rPr>
                <w:rFonts w:hint="default" w:ascii="宋体" w:hAnsi="宋体" w:eastAsia="宋体" w:cs="宋体"/>
                <w:bCs/>
                <w:color w:val="auto"/>
                <w:kern w:val="2"/>
                <w:sz w:val="21"/>
                <w:szCs w:val="21"/>
                <w:highlight w:val="none"/>
                <w:lang w:val="en-US" w:eastAsia="zh-CN" w:bidi="ar-SA"/>
              </w:rPr>
            </w:pPr>
            <w:r>
              <w:rPr>
                <w:rFonts w:hint="eastAsia" w:ascii="宋体" w:hAnsi="宋体" w:cs="宋体"/>
                <w:color w:val="auto"/>
                <w:szCs w:val="21"/>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2" w:type="dxa"/>
            <w:vAlign w:val="center"/>
          </w:tcPr>
          <w:p>
            <w:pPr>
              <w:keepNext w:val="0"/>
              <w:keepLines w:val="0"/>
              <w:pageBreakBefore w:val="0"/>
              <w:widowControl w:val="0"/>
              <w:kinsoku/>
              <w:wordWrap/>
              <w:overflowPunct/>
              <w:topLinePunct w:val="0"/>
              <w:autoSpaceDE/>
              <w:autoSpaceDN/>
              <w:bidi w:val="0"/>
              <w:spacing w:line="400" w:lineRule="exact"/>
              <w:jc w:val="center"/>
              <w:rPr>
                <w:rFonts w:hint="eastAsia" w:ascii="宋体" w:hAnsi="宋体" w:eastAsia="宋体" w:cs="宋体"/>
                <w:bCs/>
                <w:color w:val="auto"/>
                <w:szCs w:val="21"/>
                <w:highlight w:val="none"/>
                <w:lang w:eastAsia="zh-CN"/>
              </w:rPr>
            </w:pPr>
            <w:r>
              <w:rPr>
                <w:rFonts w:hint="eastAsia" w:ascii="宋体" w:hAnsi="宋体" w:cs="宋体"/>
                <w:bCs/>
                <w:color w:val="auto"/>
                <w:szCs w:val="21"/>
                <w:highlight w:val="none"/>
                <w:lang w:val="en-US" w:eastAsia="zh-CN"/>
              </w:rPr>
              <w:t>7</w:t>
            </w:r>
          </w:p>
        </w:tc>
        <w:tc>
          <w:tcPr>
            <w:tcW w:w="959" w:type="dxa"/>
            <w:vAlign w:val="center"/>
          </w:tcPr>
          <w:p>
            <w:pPr>
              <w:keepNext w:val="0"/>
              <w:keepLines w:val="0"/>
              <w:pageBreakBefore w:val="0"/>
              <w:widowControl w:val="0"/>
              <w:kinsoku/>
              <w:wordWrap/>
              <w:overflowPunct/>
              <w:topLinePunct w:val="0"/>
              <w:autoSpaceDE/>
              <w:autoSpaceDN/>
              <w:bidi w:val="0"/>
              <w:adjustRightInd w:val="0"/>
              <w:spacing w:line="400" w:lineRule="exact"/>
              <w:jc w:val="center"/>
              <w:textAlignment w:val="baseline"/>
              <w:rPr>
                <w:rFonts w:ascii="宋体" w:hAnsi="宋体" w:eastAsia="宋体" w:cs="宋体"/>
                <w:color w:val="auto"/>
                <w:kern w:val="2"/>
                <w:sz w:val="21"/>
                <w:szCs w:val="21"/>
                <w:highlight w:val="none"/>
                <w:lang w:val="en-US" w:eastAsia="zh-CN" w:bidi="ar-SA"/>
              </w:rPr>
            </w:pPr>
            <w:r>
              <w:rPr>
                <w:rFonts w:hint="eastAsia" w:ascii="宋体" w:hAnsi="宋体" w:cs="宋体"/>
                <w:color w:val="auto"/>
                <w:szCs w:val="21"/>
                <w:highlight w:val="none"/>
              </w:rPr>
              <w:t>商务（客观分）</w:t>
            </w:r>
          </w:p>
        </w:tc>
        <w:tc>
          <w:tcPr>
            <w:tcW w:w="7642" w:type="dxa"/>
            <w:vAlign w:val="top"/>
          </w:tcPr>
          <w:p>
            <w:pPr>
              <w:keepNext w:val="0"/>
              <w:keepLines w:val="0"/>
              <w:pageBreakBefore w:val="0"/>
              <w:widowControl w:val="0"/>
              <w:kinsoku/>
              <w:wordWrap/>
              <w:overflowPunct/>
              <w:topLinePunct w:val="0"/>
              <w:autoSpaceDE/>
              <w:autoSpaceDN/>
              <w:bidi w:val="0"/>
              <w:spacing w:line="400" w:lineRule="exact"/>
              <w:rPr>
                <w:rFonts w:ascii="宋体" w:hAnsi="宋体" w:cs="宋体"/>
                <w:color w:val="auto"/>
                <w:szCs w:val="21"/>
                <w:highlight w:val="none"/>
              </w:rPr>
            </w:pPr>
            <w:bookmarkStart w:id="205" w:name="OLE_LINK11"/>
            <w:r>
              <w:rPr>
                <w:rFonts w:hint="eastAsia" w:ascii="宋体" w:hAnsi="宋体" w:cs="宋体"/>
                <w:color w:val="auto"/>
                <w:szCs w:val="21"/>
                <w:highlight w:val="none"/>
              </w:rPr>
              <w:t>信誉</w:t>
            </w:r>
            <w:r>
              <w:rPr>
                <w:rFonts w:hint="eastAsia" w:ascii="宋体" w:hAnsi="宋体" w:cs="宋体"/>
                <w:color w:val="auto"/>
                <w:szCs w:val="21"/>
                <w:highlight w:val="none"/>
                <w:lang w:val="en-US" w:eastAsia="zh-CN"/>
              </w:rPr>
              <w:t>分</w:t>
            </w:r>
            <w:r>
              <w:rPr>
                <w:rFonts w:hint="eastAsia" w:ascii="宋体" w:hAnsi="宋体" w:cs="宋体"/>
                <w:color w:val="auto"/>
                <w:szCs w:val="21"/>
                <w:highlight w:val="none"/>
              </w:rPr>
              <w:t>（满分</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分）</w:t>
            </w:r>
          </w:p>
          <w:p>
            <w:pPr>
              <w:spacing w:line="360" w:lineRule="exact"/>
              <w:rPr>
                <w:rFonts w:hint="eastAsia"/>
                <w:bCs/>
                <w:color w:val="auto"/>
                <w:szCs w:val="21"/>
                <w:lang w:eastAsia="zh-CN"/>
              </w:rPr>
            </w:pPr>
            <w:r>
              <w:rPr>
                <w:rFonts w:hint="eastAsia"/>
                <w:color w:val="auto"/>
              </w:rPr>
              <w:t>投标人具有</w:t>
            </w:r>
            <w:r>
              <w:rPr>
                <w:rFonts w:hint="eastAsia"/>
                <w:color w:val="auto"/>
                <w:lang w:val="en-US" w:eastAsia="zh-CN"/>
              </w:rPr>
              <w:t>有效的</w:t>
            </w:r>
            <w:r>
              <w:rPr>
                <w:color w:val="auto"/>
              </w:rPr>
              <w:t>ISO9001</w:t>
            </w:r>
            <w:r>
              <w:rPr>
                <w:rFonts w:hint="eastAsia"/>
                <w:color w:val="auto"/>
              </w:rPr>
              <w:t>质量管理体系认证证书</w:t>
            </w:r>
            <w:r>
              <w:rPr>
                <w:rFonts w:hint="eastAsia"/>
                <w:bCs/>
                <w:color w:val="auto"/>
                <w:szCs w:val="21"/>
              </w:rPr>
              <w:t>、</w:t>
            </w:r>
            <w:r>
              <w:rPr>
                <w:bCs/>
                <w:color w:val="auto"/>
                <w:szCs w:val="21"/>
              </w:rPr>
              <w:t>ISO14001</w:t>
            </w:r>
            <w:r>
              <w:rPr>
                <w:rFonts w:hint="eastAsia"/>
                <w:bCs/>
                <w:color w:val="auto"/>
                <w:szCs w:val="21"/>
              </w:rPr>
              <w:t>环境管理体系认证证书、</w:t>
            </w:r>
            <w:r>
              <w:rPr>
                <w:bCs/>
                <w:color w:val="auto"/>
                <w:szCs w:val="21"/>
              </w:rPr>
              <w:t>ISO45001</w:t>
            </w:r>
            <w:r>
              <w:rPr>
                <w:rFonts w:hint="eastAsia"/>
                <w:bCs/>
                <w:color w:val="auto"/>
                <w:szCs w:val="21"/>
              </w:rPr>
              <w:t>职业健康安全管理体系认证证书，每个证书得</w:t>
            </w:r>
            <w:r>
              <w:rPr>
                <w:rFonts w:hint="eastAsia"/>
                <w:bCs/>
                <w:color w:val="auto"/>
                <w:szCs w:val="21"/>
                <w:lang w:val="en-US" w:eastAsia="zh-CN"/>
              </w:rPr>
              <w:t>1</w:t>
            </w:r>
            <w:r>
              <w:rPr>
                <w:rFonts w:hint="eastAsia"/>
                <w:bCs/>
                <w:color w:val="auto"/>
                <w:szCs w:val="21"/>
              </w:rPr>
              <w:t>分，满分</w:t>
            </w:r>
            <w:r>
              <w:rPr>
                <w:rFonts w:hint="eastAsia"/>
                <w:bCs/>
                <w:color w:val="auto"/>
                <w:szCs w:val="21"/>
                <w:lang w:val="en-US" w:eastAsia="zh-CN"/>
              </w:rPr>
              <w:t>3</w:t>
            </w:r>
            <w:r>
              <w:rPr>
                <w:rFonts w:hint="eastAsia"/>
                <w:bCs/>
                <w:color w:val="auto"/>
                <w:szCs w:val="21"/>
              </w:rPr>
              <w:t>分</w:t>
            </w:r>
            <w:r>
              <w:rPr>
                <w:rFonts w:hint="eastAsia"/>
                <w:bCs/>
                <w:color w:val="auto"/>
                <w:szCs w:val="21"/>
                <w:lang w:eastAsia="zh-CN"/>
              </w:rPr>
              <w:t>。</w:t>
            </w:r>
          </w:p>
          <w:p>
            <w:pPr>
              <w:spacing w:line="360" w:lineRule="exact"/>
              <w:rPr>
                <w:rFonts w:ascii="Times New Roman" w:hAnsi="Times New Roman" w:eastAsia="宋体" w:cs="Times New Roman"/>
                <w:color w:val="auto"/>
                <w:kern w:val="2"/>
                <w:sz w:val="21"/>
                <w:szCs w:val="24"/>
                <w:lang w:val="en-US" w:eastAsia="zh-CN" w:bidi="ar-SA"/>
              </w:rPr>
            </w:pPr>
            <w:r>
              <w:rPr>
                <w:rFonts w:hint="eastAsia"/>
                <w:bCs/>
                <w:color w:val="auto"/>
                <w:szCs w:val="21"/>
                <w:lang w:val="en-US" w:eastAsia="zh-CN"/>
              </w:rPr>
              <w:t>注：</w:t>
            </w:r>
            <w:r>
              <w:rPr>
                <w:rFonts w:hint="eastAsia" w:ascii="宋体" w:hAnsi="宋体" w:eastAsia="宋体" w:cs="Times New Roman"/>
                <w:color w:val="auto"/>
                <w:sz w:val="21"/>
                <w:szCs w:val="21"/>
                <w:lang w:val="en-US" w:eastAsia="zh-CN"/>
              </w:rPr>
              <w:t>投标人须在投标文件中</w:t>
            </w:r>
            <w:r>
              <w:rPr>
                <w:rFonts w:hint="eastAsia"/>
                <w:bCs/>
                <w:color w:val="auto"/>
                <w:szCs w:val="21"/>
              </w:rPr>
              <w:t>提供有效的证书复印件</w:t>
            </w:r>
            <w:r>
              <w:rPr>
                <w:rFonts w:hint="eastAsia" w:ascii="宋体" w:hAnsi="宋体" w:eastAsia="宋体" w:cs="Times New Roman"/>
                <w:color w:val="auto"/>
                <w:sz w:val="21"/>
                <w:szCs w:val="21"/>
                <w:lang w:val="en-US" w:eastAsia="zh-CN"/>
              </w:rPr>
              <w:t>，否则不予计分</w:t>
            </w:r>
            <w:r>
              <w:rPr>
                <w:rFonts w:hint="eastAsia"/>
                <w:bCs/>
                <w:color w:val="auto"/>
                <w:szCs w:val="21"/>
              </w:rPr>
              <w:t>。</w:t>
            </w:r>
            <w:bookmarkEnd w:id="205"/>
          </w:p>
        </w:tc>
        <w:tc>
          <w:tcPr>
            <w:tcW w:w="711" w:type="dxa"/>
            <w:vAlign w:val="center"/>
          </w:tcPr>
          <w:p>
            <w:pPr>
              <w:keepNext w:val="0"/>
              <w:keepLines w:val="0"/>
              <w:pageBreakBefore w:val="0"/>
              <w:widowControl w:val="0"/>
              <w:kinsoku/>
              <w:wordWrap/>
              <w:overflowPunct/>
              <w:topLinePunct w:val="0"/>
              <w:autoSpaceDE/>
              <w:autoSpaceDN/>
              <w:bidi w:val="0"/>
              <w:spacing w:line="400" w:lineRule="exact"/>
              <w:jc w:val="center"/>
              <w:rPr>
                <w:rFonts w:hint="default" w:ascii="宋体" w:hAnsi="宋体" w:eastAsia="宋体" w:cs="宋体"/>
                <w:bCs/>
                <w:color w:val="auto"/>
                <w:kern w:val="2"/>
                <w:sz w:val="21"/>
                <w:szCs w:val="21"/>
                <w:highlight w:val="none"/>
                <w:lang w:val="en-US" w:eastAsia="zh-CN" w:bidi="ar-SA"/>
              </w:rPr>
            </w:pPr>
            <w:r>
              <w:rPr>
                <w:rFonts w:hint="eastAsia" w:ascii="宋体" w:hAnsi="宋体" w:cs="宋体"/>
                <w:color w:val="auto"/>
                <w:szCs w:val="21"/>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2" w:type="dxa"/>
            <w:vAlign w:val="center"/>
          </w:tcPr>
          <w:p>
            <w:pPr>
              <w:keepNext w:val="0"/>
              <w:keepLines w:val="0"/>
              <w:pageBreakBefore w:val="0"/>
              <w:widowControl w:val="0"/>
              <w:kinsoku/>
              <w:wordWrap/>
              <w:overflowPunct/>
              <w:topLinePunct w:val="0"/>
              <w:autoSpaceDE/>
              <w:autoSpaceDN/>
              <w:bidi w:val="0"/>
              <w:spacing w:line="400" w:lineRule="exact"/>
              <w:jc w:val="center"/>
              <w:rPr>
                <w:rFonts w:hint="default" w:ascii="宋体" w:hAnsi="宋体" w:cs="宋体"/>
                <w:bCs/>
                <w:color w:val="auto"/>
                <w:szCs w:val="21"/>
                <w:highlight w:val="none"/>
                <w:lang w:val="en-US" w:eastAsia="zh-CN"/>
              </w:rPr>
            </w:pPr>
            <w:r>
              <w:rPr>
                <w:rFonts w:hint="eastAsia" w:ascii="宋体" w:hAnsi="宋体" w:cs="宋体"/>
                <w:bCs/>
                <w:color w:val="auto"/>
                <w:szCs w:val="21"/>
                <w:highlight w:val="none"/>
                <w:lang w:val="en-US" w:eastAsia="zh-CN"/>
              </w:rPr>
              <w:t>8</w:t>
            </w:r>
          </w:p>
        </w:tc>
        <w:tc>
          <w:tcPr>
            <w:tcW w:w="959" w:type="dxa"/>
            <w:vAlign w:val="center"/>
          </w:tcPr>
          <w:p>
            <w:pPr>
              <w:keepNext w:val="0"/>
              <w:keepLines w:val="0"/>
              <w:pageBreakBefore w:val="0"/>
              <w:widowControl w:val="0"/>
              <w:kinsoku/>
              <w:wordWrap/>
              <w:overflowPunct/>
              <w:topLinePunct w:val="0"/>
              <w:autoSpaceDE/>
              <w:autoSpaceDN/>
              <w:bidi w:val="0"/>
              <w:adjustRightInd w:val="0"/>
              <w:spacing w:line="400" w:lineRule="exact"/>
              <w:jc w:val="center"/>
              <w:textAlignment w:val="baseline"/>
              <w:rPr>
                <w:rFonts w:hint="eastAsia" w:ascii="宋体" w:hAnsi="宋体" w:cs="宋体"/>
                <w:color w:val="auto"/>
                <w:szCs w:val="21"/>
                <w:highlight w:val="none"/>
              </w:rPr>
            </w:pPr>
            <w:r>
              <w:rPr>
                <w:rFonts w:hint="eastAsia" w:ascii="宋体" w:hAnsi="宋体" w:cs="宋体"/>
                <w:color w:val="auto"/>
                <w:szCs w:val="21"/>
                <w:highlight w:val="none"/>
              </w:rPr>
              <w:t>商务（客观分）</w:t>
            </w:r>
          </w:p>
        </w:tc>
        <w:tc>
          <w:tcPr>
            <w:tcW w:w="7642" w:type="dxa"/>
            <w:vAlign w:val="top"/>
          </w:tcPr>
          <w:p>
            <w:pPr>
              <w:spacing w:line="360" w:lineRule="exact"/>
              <w:rPr>
                <w:rFonts w:hint="eastAsia"/>
                <w:bCs/>
                <w:color w:val="auto"/>
                <w:szCs w:val="21"/>
                <w:lang w:val="en-US" w:eastAsia="zh-CN"/>
              </w:rPr>
            </w:pPr>
            <w:r>
              <w:rPr>
                <w:rFonts w:hint="eastAsia" w:ascii="宋体" w:hAnsi="宋体" w:eastAsia="宋体" w:cs="宋体"/>
                <w:color w:val="auto"/>
              </w:rPr>
              <w:t>属于财政部《环境标志产品政府采购品目清单》内的产品[投标文件中提供有效的认证证书复印件及品目清单（标注出投标产品在品目清单中所属的品目）]的得1分，满分1分。</w:t>
            </w:r>
          </w:p>
        </w:tc>
        <w:tc>
          <w:tcPr>
            <w:tcW w:w="711" w:type="dxa"/>
            <w:vAlign w:val="center"/>
          </w:tcPr>
          <w:p>
            <w:pPr>
              <w:keepNext w:val="0"/>
              <w:keepLines w:val="0"/>
              <w:pageBreakBefore w:val="0"/>
              <w:widowControl w:val="0"/>
              <w:kinsoku/>
              <w:wordWrap/>
              <w:overflowPunct/>
              <w:topLinePunct w:val="0"/>
              <w:autoSpaceDE/>
              <w:autoSpaceDN/>
              <w:bidi w:val="0"/>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1</w:t>
            </w:r>
          </w:p>
        </w:tc>
      </w:tr>
    </w:tbl>
    <w:p>
      <w:pPr>
        <w:rPr>
          <w:color w:val="auto"/>
          <w:highlight w:val="none"/>
        </w:rPr>
      </w:pPr>
    </w:p>
    <w:p>
      <w:pPr>
        <w:pStyle w:val="4"/>
        <w:jc w:val="center"/>
        <w:rPr>
          <w:rFonts w:ascii="宋体" w:hAnsi="宋体" w:eastAsia="宋体" w:cs="宋体"/>
          <w:b w:val="0"/>
          <w:color w:val="auto"/>
          <w:sz w:val="30"/>
          <w:szCs w:val="30"/>
          <w:highlight w:val="none"/>
        </w:rPr>
      </w:pPr>
      <w:r>
        <w:rPr>
          <w:rFonts w:hint="eastAsia" w:ascii="宋体" w:hAnsi="宋体" w:eastAsia="宋体" w:cs="宋体"/>
          <w:b w:val="0"/>
          <w:color w:val="auto"/>
          <w:sz w:val="30"/>
          <w:szCs w:val="30"/>
          <w:highlight w:val="none"/>
        </w:rPr>
        <w:t>第四节 中标候选人推荐原则</w:t>
      </w:r>
      <w:bookmarkEnd w:id="200"/>
      <w:bookmarkEnd w:id="201"/>
      <w:bookmarkEnd w:id="202"/>
      <w:bookmarkEnd w:id="203"/>
    </w:p>
    <w:p>
      <w:pPr>
        <w:spacing w:line="360" w:lineRule="auto"/>
        <w:ind w:firstLine="420" w:firstLineChars="200"/>
        <w:rPr>
          <w:rFonts w:hint="eastAsia" w:ascii="宋体" w:hAnsi="宋体"/>
          <w:color w:val="auto"/>
          <w:szCs w:val="20"/>
          <w:highlight w:val="none"/>
        </w:rPr>
      </w:pPr>
      <w:r>
        <w:rPr>
          <w:rFonts w:hint="eastAsia" w:ascii="宋体" w:hAnsi="宋体"/>
          <w:color w:val="auto"/>
          <w:szCs w:val="20"/>
          <w:highlight w:val="none"/>
          <w:lang w:val="en-US" w:eastAsia="zh-CN"/>
        </w:rPr>
        <w:t>1、</w:t>
      </w:r>
      <w:r>
        <w:rPr>
          <w:rFonts w:hint="eastAsia" w:ascii="宋体" w:hAnsi="宋体"/>
          <w:color w:val="auto"/>
          <w:szCs w:val="20"/>
          <w:highlight w:val="none"/>
        </w:rPr>
        <w:t>评标委员会将根据总得分由高到低排列次序并推荐中标候选人。总得分相同时，依次按投标报价低优先、技术分得分高优先、商务分得分高优先的顺序排列。投标文件满足招标文件全部实质性要求，且按照评审因素的量化指标评审得分最高的投标人为排名第一的中标候选人。</w:t>
      </w:r>
    </w:p>
    <w:p>
      <w:pPr>
        <w:pStyle w:val="2"/>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hint="default" w:ascii="宋体" w:hAnsi="宋体" w:eastAsia="宋体" w:cs="Times New Roman"/>
          <w:color w:val="auto"/>
          <w:kern w:val="2"/>
          <w:sz w:val="21"/>
          <w:szCs w:val="21"/>
          <w:lang w:val="en-US" w:eastAsia="zh-CN" w:bidi="ar-SA"/>
        </w:rPr>
      </w:pPr>
      <w:r>
        <w:rPr>
          <w:rFonts w:hint="eastAsia" w:hAnsi="宋体"/>
          <w:color w:val="auto"/>
          <w:szCs w:val="20"/>
          <w:highlight w:val="none"/>
          <w:lang w:val="en-US" w:eastAsia="zh-CN"/>
        </w:rPr>
        <w:t xml:space="preserve">  </w:t>
      </w:r>
      <w:r>
        <w:rPr>
          <w:rFonts w:hint="eastAsia" w:hAnsi="宋体"/>
          <w:b/>
          <w:bCs/>
          <w:color w:val="auto"/>
          <w:szCs w:val="20"/>
          <w:highlight w:val="none"/>
          <w:lang w:val="en-US" w:eastAsia="zh-CN"/>
        </w:rPr>
        <w:t xml:space="preserve"> </w:t>
      </w:r>
      <w:r>
        <w:rPr>
          <w:rFonts w:hint="eastAsia" w:ascii="宋体" w:hAnsi="宋体" w:eastAsia="宋体" w:cs="Times New Roman"/>
          <w:b/>
          <w:bCs/>
          <w:color w:val="auto"/>
          <w:kern w:val="2"/>
          <w:sz w:val="21"/>
          <w:szCs w:val="21"/>
          <w:lang w:val="en-US" w:eastAsia="zh-CN" w:bidi="ar-SA"/>
        </w:rPr>
        <w:t>2、一家投标人可以同时投多个分标，但一家投标人最多只能中1个分标（顺序按分标1→分标2依次确认，例如：某投标人分标1、分标2的评审总得分排名都得第一时，只能成为分标1的第一中标候选人，分标2将推荐评审总得分排名第二的投标人作为分标2的</w:t>
      </w:r>
      <w:r>
        <w:rPr>
          <w:rFonts w:hint="eastAsia" w:hAnsi="宋体" w:cs="Times New Roman"/>
          <w:b/>
          <w:bCs/>
          <w:color w:val="auto"/>
          <w:kern w:val="2"/>
          <w:sz w:val="21"/>
          <w:szCs w:val="21"/>
          <w:lang w:val="en-US" w:eastAsia="zh-CN" w:bidi="ar-SA"/>
        </w:rPr>
        <w:t>第一</w:t>
      </w:r>
      <w:r>
        <w:rPr>
          <w:rFonts w:hint="eastAsia" w:ascii="宋体" w:hAnsi="宋体" w:eastAsia="宋体" w:cs="Times New Roman"/>
          <w:b/>
          <w:bCs/>
          <w:color w:val="auto"/>
          <w:kern w:val="2"/>
          <w:sz w:val="21"/>
          <w:szCs w:val="21"/>
          <w:lang w:val="en-US" w:eastAsia="zh-CN" w:bidi="ar-SA"/>
        </w:rPr>
        <w:t>中标候选人）。</w:t>
      </w:r>
    </w:p>
    <w:p>
      <w:pPr>
        <w:pStyle w:val="17"/>
        <w:tabs>
          <w:tab w:val="left" w:pos="2472"/>
        </w:tabs>
        <w:spacing w:line="480" w:lineRule="exact"/>
        <w:ind w:firstLine="420" w:firstLineChars="200"/>
        <w:rPr>
          <w:rFonts w:hAnsi="宋体" w:cs="宋体"/>
          <w:color w:val="auto"/>
          <w:highlight w:val="none"/>
        </w:rPr>
      </w:pPr>
    </w:p>
    <w:p>
      <w:pPr>
        <w:pStyle w:val="4"/>
        <w:spacing w:line="360" w:lineRule="auto"/>
        <w:ind w:firstLine="600" w:firstLineChars="200"/>
        <w:jc w:val="center"/>
        <w:rPr>
          <w:rFonts w:ascii="宋体" w:hAnsi="宋体" w:eastAsia="宋体" w:cs="宋体"/>
          <w:b w:val="0"/>
          <w:color w:val="auto"/>
          <w:sz w:val="30"/>
          <w:szCs w:val="30"/>
          <w:highlight w:val="none"/>
        </w:rPr>
      </w:pPr>
      <w:bookmarkStart w:id="206" w:name="_Toc671"/>
      <w:bookmarkStart w:id="207" w:name="_Toc29998"/>
      <w:bookmarkStart w:id="208" w:name="_Toc21738"/>
      <w:bookmarkStart w:id="209" w:name="_Toc8014"/>
      <w:r>
        <w:rPr>
          <w:rFonts w:hint="eastAsia" w:ascii="宋体" w:hAnsi="宋体" w:eastAsia="宋体" w:cs="宋体"/>
          <w:b w:val="0"/>
          <w:color w:val="auto"/>
          <w:sz w:val="30"/>
          <w:szCs w:val="30"/>
          <w:highlight w:val="none"/>
        </w:rPr>
        <w:t>第五节 评标报告</w:t>
      </w:r>
      <w:bookmarkEnd w:id="206"/>
      <w:bookmarkEnd w:id="207"/>
      <w:bookmarkEnd w:id="208"/>
      <w:bookmarkEnd w:id="209"/>
    </w:p>
    <w:p>
      <w:pPr>
        <w:pStyle w:val="64"/>
        <w:spacing w:before="0"/>
        <w:ind w:firstLine="482"/>
        <w:rPr>
          <w:rFonts w:ascii="宋体" w:hAnsi="宋体" w:cs="宋体"/>
          <w:b/>
          <w:bCs/>
          <w:color w:val="auto"/>
          <w:szCs w:val="24"/>
          <w:highlight w:val="none"/>
        </w:rPr>
      </w:pPr>
      <w:r>
        <w:rPr>
          <w:rFonts w:hint="eastAsia" w:ascii="宋体" w:hAnsi="宋体" w:cs="宋体"/>
          <w:b/>
          <w:bCs/>
          <w:color w:val="auto"/>
          <w:szCs w:val="24"/>
          <w:highlight w:val="none"/>
        </w:rPr>
        <w:t>（一）评标报告与推荐中标候选人</w:t>
      </w:r>
    </w:p>
    <w:p>
      <w:pPr>
        <w:pStyle w:val="17"/>
        <w:tabs>
          <w:tab w:val="left" w:pos="2472"/>
        </w:tabs>
        <w:spacing w:line="360" w:lineRule="auto"/>
        <w:ind w:firstLine="420" w:firstLineChars="200"/>
        <w:rPr>
          <w:rFonts w:hAnsi="宋体" w:cs="宋体"/>
          <w:color w:val="auto"/>
          <w:highlight w:val="none"/>
        </w:rPr>
      </w:pPr>
      <w:r>
        <w:rPr>
          <w:rFonts w:hint="eastAsia" w:hAnsi="宋体" w:cs="宋体"/>
          <w:color w:val="auto"/>
          <w:highlight w:val="none"/>
        </w:rPr>
        <w:t>评标委员会根据原始评标记录和评标结果编写评标报告，并通过电子交易平台向采购人、采购代理机构提交。</w:t>
      </w:r>
    </w:p>
    <w:p>
      <w:pPr>
        <w:widowControl/>
        <w:spacing w:line="360" w:lineRule="auto"/>
        <w:ind w:firstLine="482" w:firstLineChars="200"/>
        <w:jc w:val="left"/>
        <w:rPr>
          <w:rFonts w:ascii="宋体" w:hAnsi="宋体" w:cs="宋体"/>
          <w:b/>
          <w:bCs/>
          <w:color w:val="auto"/>
          <w:sz w:val="24"/>
          <w:highlight w:val="none"/>
        </w:rPr>
      </w:pPr>
      <w:r>
        <w:rPr>
          <w:rFonts w:hint="eastAsia" w:ascii="宋体" w:hAnsi="宋体" w:cs="宋体"/>
          <w:b/>
          <w:bCs/>
          <w:color w:val="auto"/>
          <w:sz w:val="24"/>
          <w:highlight w:val="none"/>
        </w:rPr>
        <w:t>（二）评标争议事项处理</w:t>
      </w:r>
    </w:p>
    <w:p>
      <w:pPr>
        <w:pStyle w:val="17"/>
        <w:tabs>
          <w:tab w:val="left" w:pos="2472"/>
        </w:tabs>
        <w:spacing w:line="360" w:lineRule="auto"/>
        <w:ind w:firstLine="420" w:firstLineChars="200"/>
        <w:rPr>
          <w:rFonts w:hAnsi="宋体" w:cs="宋体"/>
          <w:color w:val="auto"/>
          <w:highlight w:val="none"/>
        </w:rPr>
      </w:pPr>
      <w:r>
        <w:rPr>
          <w:rFonts w:hint="eastAsia" w:hAnsi="宋体" w:cs="宋体"/>
          <w:color w:val="auto"/>
          <w:highlight w:val="none"/>
        </w:rPr>
        <w:t>评标委员会成员对需要共同认定的事项存在争议的，应当按照少数服从多数的原则作出结论。持不同意见的评标委员会成员应当在评标报告上签署不同意见及理由，否则视为同意评标报告。</w:t>
      </w:r>
    </w:p>
    <w:p>
      <w:pPr>
        <w:pStyle w:val="17"/>
        <w:tabs>
          <w:tab w:val="left" w:pos="2472"/>
        </w:tabs>
        <w:spacing w:line="460" w:lineRule="exact"/>
        <w:jc w:val="center"/>
        <w:rPr>
          <w:rFonts w:hAnsi="宋体" w:cs="宋体"/>
          <w:b/>
          <w:color w:val="auto"/>
          <w:sz w:val="36"/>
          <w:highlight w:val="none"/>
        </w:rPr>
      </w:pPr>
      <w:r>
        <w:rPr>
          <w:rFonts w:hint="eastAsia" w:hAnsi="宋体" w:cs="宋体"/>
          <w:b/>
          <w:color w:val="auto"/>
          <w:sz w:val="36"/>
          <w:highlight w:val="none"/>
        </w:rPr>
        <w:br w:type="page"/>
      </w:r>
    </w:p>
    <w:p>
      <w:pPr>
        <w:rPr>
          <w:rFonts w:hAnsi="宋体" w:cs="宋体"/>
          <w:b/>
          <w:color w:val="auto"/>
          <w:sz w:val="36"/>
          <w:highlight w:val="none"/>
        </w:rPr>
      </w:pPr>
    </w:p>
    <w:p>
      <w:pPr>
        <w:rPr>
          <w:rFonts w:hAnsi="宋体" w:cs="宋体"/>
          <w:b/>
          <w:color w:val="auto"/>
          <w:sz w:val="36"/>
          <w:highlight w:val="none"/>
        </w:rPr>
      </w:pPr>
    </w:p>
    <w:p>
      <w:pPr>
        <w:rPr>
          <w:rFonts w:hAnsi="宋体" w:cs="宋体"/>
          <w:b/>
          <w:color w:val="auto"/>
          <w:sz w:val="36"/>
          <w:highlight w:val="none"/>
        </w:rPr>
      </w:pPr>
    </w:p>
    <w:p>
      <w:pPr>
        <w:rPr>
          <w:rFonts w:hAnsi="宋体" w:cs="宋体"/>
          <w:b/>
          <w:color w:val="auto"/>
          <w:sz w:val="36"/>
          <w:highlight w:val="none"/>
        </w:rPr>
      </w:pPr>
    </w:p>
    <w:p>
      <w:pPr>
        <w:rPr>
          <w:rFonts w:hAnsi="宋体" w:cs="宋体"/>
          <w:b/>
          <w:color w:val="auto"/>
          <w:sz w:val="36"/>
          <w:highlight w:val="none"/>
        </w:rPr>
      </w:pPr>
    </w:p>
    <w:p>
      <w:pPr>
        <w:rPr>
          <w:rFonts w:hAnsi="宋体" w:cs="宋体"/>
          <w:b/>
          <w:color w:val="auto"/>
          <w:sz w:val="36"/>
          <w:highlight w:val="none"/>
        </w:rPr>
      </w:pPr>
    </w:p>
    <w:p>
      <w:pPr>
        <w:rPr>
          <w:rFonts w:hAnsi="宋体" w:cs="宋体"/>
          <w:b/>
          <w:color w:val="auto"/>
          <w:sz w:val="36"/>
          <w:highlight w:val="none"/>
        </w:rPr>
      </w:pPr>
    </w:p>
    <w:p>
      <w:pPr>
        <w:rPr>
          <w:rFonts w:hAnsi="宋体" w:cs="宋体"/>
          <w:b/>
          <w:color w:val="auto"/>
          <w:sz w:val="36"/>
          <w:highlight w:val="none"/>
        </w:rPr>
      </w:pPr>
    </w:p>
    <w:p>
      <w:pPr>
        <w:rPr>
          <w:rFonts w:hAnsi="宋体" w:cs="宋体"/>
          <w:b/>
          <w:color w:val="auto"/>
          <w:sz w:val="36"/>
          <w:highlight w:val="none"/>
        </w:rPr>
      </w:pPr>
    </w:p>
    <w:p>
      <w:pPr>
        <w:pStyle w:val="17"/>
        <w:tabs>
          <w:tab w:val="left" w:pos="2472"/>
        </w:tabs>
        <w:spacing w:line="460" w:lineRule="exact"/>
        <w:jc w:val="center"/>
        <w:outlineLvl w:val="0"/>
        <w:rPr>
          <w:rFonts w:hAnsi="宋体" w:cs="宋体"/>
          <w:b/>
          <w:color w:val="auto"/>
          <w:sz w:val="36"/>
          <w:highlight w:val="none"/>
        </w:rPr>
      </w:pPr>
      <w:bookmarkStart w:id="210" w:name="_Toc30669"/>
      <w:bookmarkStart w:id="211" w:name="_Toc17443"/>
      <w:bookmarkStart w:id="212" w:name="_Toc1169"/>
      <w:bookmarkStart w:id="213" w:name="_Toc5426"/>
      <w:r>
        <w:rPr>
          <w:rFonts w:hint="eastAsia" w:hAnsi="宋体" w:cs="宋体"/>
          <w:b/>
          <w:color w:val="auto"/>
          <w:sz w:val="36"/>
          <w:highlight w:val="none"/>
        </w:rPr>
        <w:t>第五章 拟签订的合同文本</w:t>
      </w:r>
      <w:bookmarkEnd w:id="210"/>
      <w:bookmarkEnd w:id="211"/>
      <w:bookmarkEnd w:id="212"/>
      <w:bookmarkEnd w:id="213"/>
    </w:p>
    <w:p>
      <w:pPr>
        <w:adjustRightInd w:val="0"/>
        <w:snapToGrid w:val="0"/>
        <w:spacing w:line="360" w:lineRule="auto"/>
        <w:rPr>
          <w:rFonts w:ascii="宋体" w:hAnsi="宋体" w:cs="宋体"/>
          <w:b/>
          <w:bCs/>
          <w:color w:val="auto"/>
          <w:sz w:val="36"/>
          <w:szCs w:val="36"/>
          <w:highlight w:val="none"/>
        </w:rPr>
      </w:pPr>
    </w:p>
    <w:p>
      <w:pPr>
        <w:rPr>
          <w:rFonts w:ascii="宋体" w:hAnsi="宋体" w:cs="宋体"/>
          <w:b/>
          <w:bCs/>
          <w:color w:val="auto"/>
          <w:sz w:val="32"/>
          <w:szCs w:val="32"/>
          <w:highlight w:val="none"/>
        </w:rPr>
      </w:pPr>
      <w:r>
        <w:rPr>
          <w:rFonts w:hint="eastAsia" w:ascii="宋体" w:hAnsi="宋体" w:cs="宋体"/>
          <w:b/>
          <w:bCs/>
          <w:color w:val="auto"/>
          <w:sz w:val="32"/>
          <w:szCs w:val="32"/>
          <w:highlight w:val="none"/>
        </w:rPr>
        <w:br w:type="page"/>
      </w:r>
    </w:p>
    <w:p>
      <w:pPr>
        <w:spacing w:line="360" w:lineRule="auto"/>
        <w:jc w:val="left"/>
        <w:rPr>
          <w:rFonts w:ascii="宋体" w:hAnsi="宋体" w:cs="宋体"/>
          <w:color w:val="auto"/>
          <w:sz w:val="24"/>
          <w:highlight w:val="none"/>
        </w:rPr>
      </w:pPr>
    </w:p>
    <w:p>
      <w:pPr>
        <w:spacing w:line="360" w:lineRule="auto"/>
        <w:jc w:val="left"/>
        <w:rPr>
          <w:rFonts w:ascii="宋体" w:hAnsi="宋体" w:cs="宋体"/>
          <w:color w:val="auto"/>
          <w:sz w:val="24"/>
          <w:highlight w:val="none"/>
        </w:rPr>
      </w:pPr>
    </w:p>
    <w:p>
      <w:pPr>
        <w:spacing w:line="360" w:lineRule="auto"/>
        <w:jc w:val="center"/>
        <w:rPr>
          <w:rFonts w:ascii="宋体" w:hAnsi="宋体" w:cs="宋体"/>
          <w:b/>
          <w:bCs/>
          <w:color w:val="auto"/>
          <w:sz w:val="52"/>
          <w:highlight w:val="none"/>
        </w:rPr>
      </w:pPr>
      <w:bookmarkStart w:id="214" w:name="OLE_LINK3"/>
      <w:r>
        <w:rPr>
          <w:rFonts w:hint="eastAsia" w:ascii="宋体" w:hAnsi="宋体" w:cs="宋体"/>
          <w:b/>
          <w:bCs/>
          <w:color w:val="auto"/>
          <w:sz w:val="52"/>
          <w:highlight w:val="none"/>
        </w:rPr>
        <w:t>广西壮族自治区政府采购</w:t>
      </w:r>
    </w:p>
    <w:p>
      <w:pPr>
        <w:spacing w:line="360" w:lineRule="auto"/>
        <w:jc w:val="left"/>
        <w:rPr>
          <w:rFonts w:ascii="宋体" w:hAnsi="宋体" w:cs="宋体"/>
          <w:color w:val="auto"/>
          <w:highlight w:val="none"/>
        </w:rPr>
      </w:pPr>
    </w:p>
    <w:p>
      <w:pPr>
        <w:spacing w:line="360" w:lineRule="auto"/>
        <w:jc w:val="left"/>
        <w:rPr>
          <w:rFonts w:ascii="宋体" w:hAnsi="宋体" w:cs="宋体"/>
          <w:color w:val="auto"/>
          <w:highlight w:val="none"/>
        </w:rPr>
      </w:pPr>
    </w:p>
    <w:p>
      <w:pPr>
        <w:spacing w:line="360" w:lineRule="auto"/>
        <w:jc w:val="left"/>
        <w:rPr>
          <w:rFonts w:ascii="宋体" w:hAnsi="宋体" w:cs="宋体"/>
          <w:color w:val="auto"/>
          <w:highlight w:val="none"/>
        </w:rPr>
      </w:pPr>
    </w:p>
    <w:p>
      <w:pPr>
        <w:tabs>
          <w:tab w:val="center" w:pos="4153"/>
          <w:tab w:val="right" w:pos="8306"/>
        </w:tabs>
        <w:snapToGrid w:val="0"/>
        <w:jc w:val="center"/>
        <w:rPr>
          <w:rFonts w:hint="default" w:ascii="宋体" w:hAnsi="宋体" w:eastAsia="宋体" w:cs="宋体"/>
          <w:b/>
          <w:bCs/>
          <w:color w:val="auto"/>
          <w:sz w:val="56"/>
          <w:szCs w:val="32"/>
          <w:highlight w:val="none"/>
          <w:lang w:val="en-US" w:eastAsia="zh-CN"/>
        </w:rPr>
      </w:pPr>
      <w:r>
        <w:rPr>
          <w:rFonts w:hint="eastAsia" w:ascii="宋体" w:hAnsi="宋体" w:cs="宋体"/>
          <w:b/>
          <w:bCs/>
          <w:color w:val="auto"/>
          <w:sz w:val="56"/>
          <w:szCs w:val="32"/>
          <w:highlight w:val="none"/>
          <w:lang w:eastAsia="zh-CN"/>
        </w:rPr>
        <w:t>自治区本级生活救助类物资采购</w:t>
      </w:r>
      <w:r>
        <w:rPr>
          <w:rFonts w:hint="eastAsia" w:ascii="宋体" w:hAnsi="宋体" w:cs="宋体"/>
          <w:b/>
          <w:bCs/>
          <w:color w:val="auto"/>
          <w:sz w:val="56"/>
          <w:szCs w:val="32"/>
          <w:highlight w:val="none"/>
          <w:lang w:val="en-US" w:eastAsia="zh-CN"/>
        </w:rPr>
        <w:t>合同</w:t>
      </w:r>
    </w:p>
    <w:p>
      <w:pPr>
        <w:tabs>
          <w:tab w:val="center" w:pos="4153"/>
          <w:tab w:val="right" w:pos="8306"/>
        </w:tabs>
        <w:snapToGrid w:val="0"/>
        <w:jc w:val="left"/>
        <w:rPr>
          <w:rFonts w:ascii="宋体" w:hAnsi="宋体" w:cs="宋体"/>
          <w:b/>
          <w:bCs/>
          <w:color w:val="auto"/>
          <w:sz w:val="44"/>
          <w:szCs w:val="18"/>
          <w:highlight w:val="none"/>
        </w:rPr>
      </w:pPr>
    </w:p>
    <w:p>
      <w:pPr>
        <w:tabs>
          <w:tab w:val="center" w:pos="4153"/>
          <w:tab w:val="right" w:pos="8306"/>
        </w:tabs>
        <w:snapToGrid w:val="0"/>
        <w:jc w:val="left"/>
        <w:rPr>
          <w:rFonts w:ascii="宋体" w:hAnsi="宋体" w:cs="宋体"/>
          <w:b/>
          <w:bCs/>
          <w:color w:val="auto"/>
          <w:sz w:val="44"/>
          <w:szCs w:val="18"/>
          <w:highlight w:val="none"/>
        </w:rPr>
      </w:pPr>
    </w:p>
    <w:p>
      <w:pPr>
        <w:spacing w:line="360" w:lineRule="auto"/>
        <w:ind w:firstLine="2168" w:firstLineChars="600"/>
        <w:rPr>
          <w:rFonts w:ascii="宋体" w:hAnsi="宋体" w:cs="宋体"/>
          <w:b/>
          <w:color w:val="auto"/>
          <w:sz w:val="36"/>
          <w:szCs w:val="36"/>
          <w:highlight w:val="none"/>
        </w:rPr>
      </w:pPr>
      <w:r>
        <w:rPr>
          <w:rFonts w:hint="eastAsia" w:ascii="宋体" w:hAnsi="宋体" w:cs="宋体"/>
          <w:b/>
          <w:color w:val="auto"/>
          <w:sz w:val="36"/>
          <w:szCs w:val="36"/>
          <w:highlight w:val="none"/>
        </w:rPr>
        <w:t>合同编号：</w:t>
      </w:r>
    </w:p>
    <w:p>
      <w:pPr>
        <w:spacing w:line="360" w:lineRule="auto"/>
        <w:ind w:firstLine="2168" w:firstLineChars="600"/>
        <w:rPr>
          <w:rFonts w:ascii="宋体" w:hAnsi="宋体" w:cs="宋体"/>
          <w:b/>
          <w:color w:val="auto"/>
          <w:sz w:val="36"/>
          <w:szCs w:val="36"/>
          <w:highlight w:val="none"/>
          <w:u w:val="single"/>
        </w:rPr>
      </w:pPr>
      <w:r>
        <w:rPr>
          <w:rFonts w:hint="eastAsia" w:ascii="宋体" w:hAnsi="宋体" w:cs="宋体"/>
          <w:b/>
          <w:color w:val="auto"/>
          <w:sz w:val="36"/>
          <w:szCs w:val="36"/>
          <w:highlight w:val="none"/>
        </w:rPr>
        <w:t>计划编号：</w:t>
      </w:r>
    </w:p>
    <w:p>
      <w:pPr>
        <w:spacing w:line="360" w:lineRule="auto"/>
        <w:ind w:firstLine="2168" w:firstLineChars="600"/>
        <w:rPr>
          <w:rFonts w:ascii="宋体" w:hAnsi="宋体" w:cs="宋体"/>
          <w:b/>
          <w:color w:val="auto"/>
          <w:sz w:val="36"/>
          <w:szCs w:val="36"/>
          <w:highlight w:val="none"/>
          <w:u w:val="single"/>
        </w:rPr>
      </w:pPr>
      <w:r>
        <w:rPr>
          <w:rFonts w:hint="eastAsia" w:ascii="宋体" w:hAnsi="宋体" w:cs="宋体"/>
          <w:b/>
          <w:color w:val="auto"/>
          <w:sz w:val="36"/>
          <w:szCs w:val="36"/>
          <w:highlight w:val="none"/>
          <w:lang w:val="en-US" w:eastAsia="zh-CN"/>
        </w:rPr>
        <w:t>分标</w:t>
      </w:r>
      <w:r>
        <w:rPr>
          <w:rFonts w:hint="eastAsia" w:ascii="宋体" w:hAnsi="宋体" w:cs="宋体"/>
          <w:b/>
          <w:color w:val="auto"/>
          <w:sz w:val="36"/>
          <w:szCs w:val="36"/>
          <w:highlight w:val="none"/>
        </w:rPr>
        <w:t>：</w:t>
      </w:r>
    </w:p>
    <w:p>
      <w:pPr>
        <w:tabs>
          <w:tab w:val="center" w:pos="4153"/>
          <w:tab w:val="right" w:pos="8306"/>
        </w:tabs>
        <w:snapToGrid w:val="0"/>
        <w:jc w:val="left"/>
        <w:rPr>
          <w:rFonts w:ascii="宋体" w:hAnsi="宋体" w:cs="宋体"/>
          <w:b/>
          <w:color w:val="auto"/>
          <w:sz w:val="36"/>
          <w:szCs w:val="36"/>
          <w:highlight w:val="none"/>
        </w:rPr>
      </w:pPr>
    </w:p>
    <w:p>
      <w:pPr>
        <w:tabs>
          <w:tab w:val="center" w:pos="4153"/>
          <w:tab w:val="right" w:pos="8306"/>
        </w:tabs>
        <w:snapToGrid w:val="0"/>
        <w:jc w:val="left"/>
        <w:rPr>
          <w:rFonts w:ascii="宋体" w:hAnsi="宋体" w:cs="宋体"/>
          <w:b/>
          <w:color w:val="auto"/>
          <w:sz w:val="36"/>
          <w:szCs w:val="36"/>
          <w:highlight w:val="none"/>
        </w:rPr>
      </w:pPr>
    </w:p>
    <w:p>
      <w:pPr>
        <w:tabs>
          <w:tab w:val="center" w:pos="4153"/>
          <w:tab w:val="right" w:pos="8306"/>
        </w:tabs>
        <w:snapToGrid w:val="0"/>
        <w:jc w:val="left"/>
        <w:rPr>
          <w:rFonts w:ascii="宋体" w:hAnsi="宋体" w:cs="宋体"/>
          <w:b/>
          <w:color w:val="auto"/>
          <w:sz w:val="36"/>
          <w:szCs w:val="36"/>
          <w:highlight w:val="none"/>
        </w:rPr>
      </w:pPr>
    </w:p>
    <w:p>
      <w:pPr>
        <w:tabs>
          <w:tab w:val="center" w:pos="4153"/>
          <w:tab w:val="right" w:pos="8306"/>
        </w:tabs>
        <w:snapToGrid w:val="0"/>
        <w:jc w:val="left"/>
        <w:rPr>
          <w:rFonts w:ascii="宋体" w:hAnsi="宋体" w:cs="宋体"/>
          <w:b/>
          <w:color w:val="auto"/>
          <w:sz w:val="36"/>
          <w:szCs w:val="36"/>
          <w:highlight w:val="none"/>
        </w:rPr>
      </w:pPr>
    </w:p>
    <w:p>
      <w:pPr>
        <w:tabs>
          <w:tab w:val="center" w:pos="4153"/>
          <w:tab w:val="right" w:pos="8306"/>
        </w:tabs>
        <w:snapToGrid w:val="0"/>
        <w:jc w:val="left"/>
        <w:rPr>
          <w:rFonts w:ascii="宋体" w:hAnsi="宋体" w:cs="宋体"/>
          <w:b/>
          <w:color w:val="auto"/>
          <w:sz w:val="36"/>
          <w:szCs w:val="36"/>
          <w:highlight w:val="none"/>
        </w:rPr>
      </w:pPr>
    </w:p>
    <w:p>
      <w:pPr>
        <w:tabs>
          <w:tab w:val="left" w:pos="7200"/>
        </w:tabs>
        <w:spacing w:line="360" w:lineRule="auto"/>
        <w:jc w:val="center"/>
        <w:rPr>
          <w:rFonts w:hint="eastAsia" w:ascii="宋体" w:hAnsi="宋体" w:eastAsia="宋体" w:cs="宋体"/>
          <w:b/>
          <w:color w:val="auto"/>
          <w:sz w:val="36"/>
          <w:szCs w:val="36"/>
          <w:highlight w:val="none"/>
          <w:lang w:eastAsia="zh-CN"/>
        </w:rPr>
      </w:pPr>
      <w:r>
        <w:rPr>
          <w:rFonts w:hint="eastAsia" w:ascii="宋体" w:hAnsi="宋体" w:cs="宋体"/>
          <w:b/>
          <w:color w:val="auto"/>
          <w:sz w:val="36"/>
          <w:szCs w:val="36"/>
          <w:highlight w:val="none"/>
        </w:rPr>
        <w:t>采购人：</w:t>
      </w:r>
      <w:r>
        <w:rPr>
          <w:rFonts w:hint="eastAsia" w:ascii="宋体" w:hAnsi="宋体" w:cs="宋体"/>
          <w:b/>
          <w:color w:val="auto"/>
          <w:sz w:val="36"/>
          <w:szCs w:val="36"/>
          <w:highlight w:val="none"/>
          <w:lang w:eastAsia="zh-CN"/>
        </w:rPr>
        <w:t>广西壮族自治区救灾物资储备中心</w:t>
      </w:r>
    </w:p>
    <w:p>
      <w:pPr>
        <w:tabs>
          <w:tab w:val="left" w:pos="7380"/>
        </w:tabs>
        <w:spacing w:line="360" w:lineRule="auto"/>
        <w:ind w:left="0" w:leftChars="0" w:firstLine="1363" w:firstLineChars="377"/>
        <w:rPr>
          <w:rFonts w:ascii="宋体" w:hAnsi="宋体" w:cs="宋体"/>
          <w:b/>
          <w:bCs/>
          <w:color w:val="auto"/>
          <w:sz w:val="44"/>
          <w:highlight w:val="none"/>
        </w:rPr>
      </w:pPr>
      <w:r>
        <w:rPr>
          <w:rFonts w:hint="eastAsia" w:ascii="宋体" w:hAnsi="宋体" w:cs="宋体"/>
          <w:b/>
          <w:color w:val="auto"/>
          <w:sz w:val="36"/>
          <w:szCs w:val="36"/>
          <w:highlight w:val="none"/>
        </w:rPr>
        <w:t>中标供应商：</w:t>
      </w:r>
    </w:p>
    <w:p>
      <w:pPr>
        <w:snapToGrid w:val="0"/>
        <w:spacing w:line="360" w:lineRule="auto"/>
        <w:jc w:val="both"/>
        <w:rPr>
          <w:rFonts w:ascii="宋体" w:hAnsi="宋体" w:cs="宋体"/>
          <w:b/>
          <w:color w:val="auto"/>
          <w:sz w:val="28"/>
          <w:szCs w:val="28"/>
          <w:highlight w:val="none"/>
        </w:rPr>
      </w:pPr>
    </w:p>
    <w:p>
      <w:pPr>
        <w:jc w:val="center"/>
        <w:rPr>
          <w:rFonts w:hint="eastAsia" w:ascii="宋体" w:hAnsi="宋体" w:cs="宋体"/>
          <w:b/>
          <w:color w:val="auto"/>
          <w:sz w:val="28"/>
          <w:szCs w:val="28"/>
          <w:highlight w:val="none"/>
        </w:rPr>
      </w:pPr>
      <w:r>
        <w:rPr>
          <w:rFonts w:hint="eastAsia" w:ascii="宋体" w:hAnsi="宋体" w:cs="宋体"/>
          <w:b/>
          <w:color w:val="auto"/>
          <w:sz w:val="28"/>
          <w:szCs w:val="28"/>
          <w:highlight w:val="none"/>
        </w:rPr>
        <w:t>签订日期：202</w:t>
      </w:r>
      <w:r>
        <w:rPr>
          <w:rFonts w:hint="eastAsia" w:ascii="宋体" w:hAnsi="宋体" w:cs="宋体"/>
          <w:b/>
          <w:color w:val="auto"/>
          <w:sz w:val="28"/>
          <w:szCs w:val="28"/>
          <w:highlight w:val="none"/>
          <w:lang w:val="en-US" w:eastAsia="zh-CN"/>
        </w:rPr>
        <w:t>5</w:t>
      </w:r>
      <w:r>
        <w:rPr>
          <w:rFonts w:hint="eastAsia" w:ascii="宋体" w:hAnsi="宋体" w:cs="宋体"/>
          <w:b/>
          <w:color w:val="auto"/>
          <w:sz w:val="28"/>
          <w:szCs w:val="28"/>
          <w:highlight w:val="none"/>
        </w:rPr>
        <w:t>年   月   日</w:t>
      </w:r>
    </w:p>
    <w:p>
      <w:pPr>
        <w:jc w:val="center"/>
        <w:rPr>
          <w:rFonts w:ascii="宋体" w:hAnsi="宋体"/>
          <w:color w:val="auto"/>
          <w:highlight w:val="none"/>
        </w:rPr>
      </w:pPr>
      <w:r>
        <w:rPr>
          <w:rFonts w:hint="eastAsia" w:ascii="宋体" w:hAnsi="Courier New"/>
          <w:color w:val="auto"/>
          <w:highlight w:val="none"/>
        </w:rPr>
        <w:br w:type="page"/>
      </w:r>
    </w:p>
    <w:p>
      <w:pPr>
        <w:spacing w:line="300" w:lineRule="auto"/>
        <w:jc w:val="center"/>
        <w:rPr>
          <w:rFonts w:ascii="宋体" w:hAnsi="Courier New"/>
          <w:color w:val="auto"/>
          <w:highlight w:val="none"/>
        </w:rPr>
      </w:pPr>
    </w:p>
    <w:p>
      <w:pPr>
        <w:snapToGrid w:val="0"/>
        <w:spacing w:line="360" w:lineRule="exact"/>
        <w:jc w:val="center"/>
        <w:rPr>
          <w:rFonts w:ascii="宋体" w:hAnsi="宋体"/>
          <w:b/>
          <w:bCs/>
          <w:color w:val="auto"/>
          <w:sz w:val="32"/>
          <w:szCs w:val="32"/>
          <w:highlight w:val="none"/>
        </w:rPr>
      </w:pPr>
      <w:r>
        <w:rPr>
          <w:rFonts w:hint="eastAsia" w:ascii="宋体" w:hAnsi="宋体"/>
          <w:b/>
          <w:bCs/>
          <w:color w:val="auto"/>
          <w:sz w:val="32"/>
          <w:szCs w:val="32"/>
          <w:highlight w:val="none"/>
        </w:rPr>
        <w:t>广西壮族自治区政府采购合同</w:t>
      </w:r>
    </w:p>
    <w:p>
      <w:pPr>
        <w:snapToGrid w:val="0"/>
        <w:spacing w:line="360" w:lineRule="exact"/>
        <w:jc w:val="center"/>
        <w:rPr>
          <w:rFonts w:ascii="宋体" w:hAnsi="宋体"/>
          <w:color w:val="auto"/>
          <w:szCs w:val="21"/>
          <w:highlight w:val="none"/>
        </w:rPr>
      </w:pPr>
    </w:p>
    <w:p>
      <w:pPr>
        <w:snapToGrid w:val="0"/>
        <w:spacing w:line="400" w:lineRule="exact"/>
        <w:ind w:right="480"/>
        <w:rPr>
          <w:rFonts w:hint="eastAsia" w:ascii="宋体" w:hAnsi="宋体" w:eastAsia="宋体" w:cs="宋体"/>
          <w:bCs/>
          <w:color w:val="auto"/>
          <w:szCs w:val="21"/>
          <w:u w:val="single"/>
        </w:rPr>
      </w:pPr>
      <w:r>
        <w:rPr>
          <w:rFonts w:hint="eastAsia" w:ascii="宋体" w:hAnsi="宋体" w:eastAsia="宋体" w:cs="宋体"/>
          <w:bCs/>
          <w:color w:val="auto"/>
          <w:szCs w:val="21"/>
        </w:rPr>
        <w:t>合同编号：</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p>
    <w:p>
      <w:pPr>
        <w:snapToGrid w:val="0"/>
        <w:spacing w:line="440" w:lineRule="exact"/>
        <w:rPr>
          <w:rFonts w:hint="eastAsia" w:ascii="宋体" w:hAnsi="宋体" w:eastAsia="宋体" w:cs="宋体"/>
          <w:color w:val="auto"/>
          <w:szCs w:val="21"/>
        </w:rPr>
      </w:pPr>
      <w:r>
        <w:rPr>
          <w:rFonts w:hint="eastAsia" w:ascii="宋体" w:hAnsi="宋体" w:eastAsia="宋体" w:cs="宋体"/>
          <w:color w:val="auto"/>
          <w:spacing w:val="-20"/>
          <w:szCs w:val="21"/>
        </w:rPr>
        <w:t>采 购 计 划 号：</w:t>
      </w:r>
      <w:r>
        <w:rPr>
          <w:rFonts w:hint="eastAsia" w:ascii="宋体" w:hAnsi="宋体" w:eastAsia="宋体" w:cs="宋体"/>
          <w:color w:val="auto"/>
          <w:szCs w:val="21"/>
          <w:u w:val="single"/>
        </w:rPr>
        <w:t xml:space="preserve">             </w:t>
      </w:r>
    </w:p>
    <w:p>
      <w:pPr>
        <w:snapToGrid w:val="0"/>
        <w:spacing w:line="440" w:lineRule="exact"/>
        <w:rPr>
          <w:rFonts w:hint="eastAsia" w:ascii="宋体" w:hAnsi="宋体" w:eastAsia="宋体" w:cs="宋体"/>
          <w:color w:val="auto"/>
          <w:szCs w:val="21"/>
        </w:rPr>
      </w:pPr>
    </w:p>
    <w:p>
      <w:pPr>
        <w:snapToGrid w:val="0"/>
        <w:spacing w:line="440" w:lineRule="exact"/>
        <w:rPr>
          <w:rFonts w:hint="eastAsia" w:ascii="宋体" w:hAnsi="宋体" w:eastAsia="宋体" w:cs="宋体"/>
          <w:color w:val="auto"/>
          <w:szCs w:val="21"/>
          <w:u w:val="single"/>
        </w:rPr>
      </w:pPr>
      <w:r>
        <w:rPr>
          <w:rFonts w:hint="eastAsia" w:ascii="宋体" w:hAnsi="宋体" w:eastAsia="宋体" w:cs="宋体"/>
          <w:color w:val="auto"/>
          <w:szCs w:val="21"/>
        </w:rPr>
        <w:t>采购人（甲方）：</w:t>
      </w:r>
      <w:r>
        <w:rPr>
          <w:rFonts w:hint="eastAsia" w:ascii="宋体" w:hAnsi="宋体" w:eastAsia="宋体" w:cs="宋体"/>
          <w:color w:val="auto"/>
          <w:szCs w:val="21"/>
          <w:u w:val="single"/>
        </w:rPr>
        <w:t xml:space="preserve">                          </w:t>
      </w:r>
    </w:p>
    <w:p>
      <w:pPr>
        <w:snapToGrid w:val="0"/>
        <w:spacing w:line="440" w:lineRule="exact"/>
        <w:rPr>
          <w:rFonts w:hint="eastAsia" w:ascii="宋体" w:hAnsi="宋体" w:eastAsia="宋体" w:cs="宋体"/>
          <w:color w:val="auto"/>
          <w:szCs w:val="21"/>
          <w:u w:val="single"/>
        </w:rPr>
      </w:pPr>
      <w:r>
        <w:rPr>
          <w:rFonts w:hint="eastAsia" w:ascii="宋体" w:hAnsi="宋体" w:eastAsia="宋体" w:cs="宋体"/>
          <w:color w:val="auto"/>
          <w:szCs w:val="21"/>
        </w:rPr>
        <w:t>供应商（乙方）：</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p>
    <w:p>
      <w:pPr>
        <w:widowControl w:val="0"/>
        <w:snapToGrid w:val="0"/>
        <w:spacing w:line="440" w:lineRule="exact"/>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u w:val="none"/>
          <w:lang w:val="en-US" w:eastAsia="zh-CN" w:bidi="ar-SA"/>
        </w:rPr>
        <w:t>项目名称：</w:t>
      </w:r>
      <w:r>
        <w:rPr>
          <w:rFonts w:hint="eastAsia" w:ascii="宋体" w:hAnsi="宋体" w:eastAsia="宋体" w:cs="宋体"/>
          <w:color w:val="auto"/>
          <w:kern w:val="0"/>
          <w:sz w:val="21"/>
          <w:szCs w:val="21"/>
          <w:u w:val="single"/>
          <w:lang w:val="en-US" w:eastAsia="zh-CN" w:bidi="ar-SA"/>
        </w:rPr>
        <w:t xml:space="preserve">                               </w:t>
      </w:r>
    </w:p>
    <w:p>
      <w:pPr>
        <w:snapToGrid w:val="0"/>
        <w:spacing w:line="440" w:lineRule="exact"/>
        <w:rPr>
          <w:rFonts w:hint="eastAsia" w:ascii="宋体" w:hAnsi="宋体" w:eastAsia="宋体" w:cs="宋体"/>
          <w:color w:val="auto"/>
          <w:szCs w:val="21"/>
          <w:u w:val="single"/>
        </w:rPr>
      </w:pPr>
      <w:r>
        <w:rPr>
          <w:rFonts w:hint="eastAsia" w:ascii="宋体" w:hAnsi="宋体" w:eastAsia="宋体" w:cs="宋体"/>
          <w:color w:val="auto"/>
          <w:szCs w:val="21"/>
        </w:rPr>
        <w:t>项目</w:t>
      </w:r>
      <w:r>
        <w:rPr>
          <w:rFonts w:hint="eastAsia" w:ascii="宋体" w:hAnsi="宋体" w:eastAsia="宋体" w:cs="宋体"/>
          <w:color w:val="auto"/>
          <w:spacing w:val="-20"/>
          <w:szCs w:val="21"/>
        </w:rPr>
        <w:t>编 号：</w:t>
      </w:r>
      <w:r>
        <w:rPr>
          <w:rFonts w:hint="eastAsia" w:ascii="宋体" w:hAnsi="宋体" w:eastAsia="宋体" w:cs="宋体"/>
          <w:color w:val="auto"/>
          <w:szCs w:val="21"/>
          <w:u w:val="single"/>
        </w:rPr>
        <w:t xml:space="preserve">                                </w:t>
      </w:r>
    </w:p>
    <w:p>
      <w:pPr>
        <w:snapToGrid w:val="0"/>
        <w:spacing w:line="440" w:lineRule="exact"/>
        <w:rPr>
          <w:rFonts w:hint="eastAsia" w:ascii="宋体" w:hAnsi="宋体" w:eastAsia="宋体" w:cs="宋体"/>
          <w:color w:val="auto"/>
          <w:szCs w:val="21"/>
          <w:u w:val="single"/>
        </w:rPr>
      </w:pPr>
      <w:r>
        <w:rPr>
          <w:rFonts w:hint="eastAsia" w:ascii="宋体" w:hAnsi="宋体" w:eastAsia="宋体" w:cs="宋体"/>
          <w:color w:val="auto"/>
          <w:szCs w:val="21"/>
        </w:rPr>
        <w:t>签订地点：</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签订时间：</w:t>
      </w:r>
      <w:r>
        <w:rPr>
          <w:rFonts w:hint="eastAsia" w:ascii="宋体" w:hAnsi="宋体" w:eastAsia="宋体" w:cs="宋体"/>
          <w:color w:val="auto"/>
          <w:szCs w:val="21"/>
          <w:u w:val="single"/>
        </w:rPr>
        <w:t xml:space="preserve">             </w:t>
      </w:r>
    </w:p>
    <w:p>
      <w:pPr>
        <w:snapToGrid w:val="0"/>
        <w:spacing w:line="360" w:lineRule="auto"/>
        <w:ind w:firstLine="420" w:firstLineChars="200"/>
        <w:rPr>
          <w:rFonts w:hint="eastAsia" w:ascii="宋体" w:hAnsi="宋体" w:eastAsia="宋体" w:cs="宋体"/>
          <w:color w:val="auto"/>
          <w:szCs w:val="21"/>
        </w:rPr>
      </w:pPr>
    </w:p>
    <w:p>
      <w:pPr>
        <w:snapToGrid w:val="0"/>
        <w:spacing w:line="360" w:lineRule="exact"/>
        <w:ind w:firstLine="420" w:firstLineChars="200"/>
        <w:rPr>
          <w:rFonts w:ascii="宋体" w:hAnsi="宋体" w:eastAsia="宋体" w:cs="Times New Roman"/>
          <w:color w:val="auto"/>
          <w:szCs w:val="21"/>
        </w:rPr>
      </w:pPr>
      <w:r>
        <w:rPr>
          <w:rFonts w:hint="eastAsia" w:ascii="宋体" w:hAnsi="宋体" w:eastAsia="宋体" w:cs="Times New Roman"/>
          <w:color w:val="auto"/>
          <w:szCs w:val="21"/>
        </w:rPr>
        <w:t>根据《中华人民共和国政府采购法》《中华人民共和国民法典》等法律、法规规定，按照招投标文件规定条款和成交供应商承诺，甲乙双方签订本合同。</w:t>
      </w:r>
    </w:p>
    <w:p>
      <w:pPr>
        <w:snapToGrid w:val="0"/>
        <w:spacing w:line="360" w:lineRule="exact"/>
        <w:ind w:firstLine="422" w:firstLineChars="200"/>
        <w:rPr>
          <w:rFonts w:ascii="宋体" w:hAnsi="宋体" w:eastAsia="宋体" w:cs="Times New Roman"/>
          <w:b/>
          <w:color w:val="auto"/>
          <w:szCs w:val="21"/>
        </w:rPr>
      </w:pPr>
      <w:r>
        <w:rPr>
          <w:rFonts w:hint="eastAsia" w:ascii="宋体" w:hAnsi="宋体" w:eastAsia="宋体" w:cs="Times New Roman"/>
          <w:b/>
          <w:color w:val="auto"/>
          <w:szCs w:val="21"/>
        </w:rPr>
        <w:t>第一条　合同标的</w:t>
      </w:r>
    </w:p>
    <w:p>
      <w:pPr>
        <w:snapToGrid w:val="0"/>
        <w:spacing w:line="420" w:lineRule="exact"/>
        <w:ind w:firstLine="420" w:firstLineChars="200"/>
        <w:rPr>
          <w:rFonts w:hint="default" w:ascii="宋体" w:hAnsi="宋体" w:eastAsia="宋体" w:cs="Times New Roman"/>
          <w:color w:val="auto"/>
          <w:szCs w:val="21"/>
          <w:lang w:val="en-US" w:eastAsia="zh-CN"/>
        </w:rPr>
      </w:pPr>
      <w:r>
        <w:rPr>
          <w:rFonts w:hint="eastAsia" w:ascii="宋体" w:hAnsi="宋体" w:eastAsia="宋体" w:cs="Times New Roman"/>
          <w:color w:val="auto"/>
          <w:szCs w:val="21"/>
        </w:rPr>
        <w:t>1、供货一览表</w:t>
      </w:r>
      <w:r>
        <w:rPr>
          <w:rFonts w:hint="eastAsia" w:ascii="宋体" w:hAnsi="宋体" w:eastAsia="宋体" w:cs="Times New Roman"/>
          <w:color w:val="auto"/>
          <w:szCs w:val="21"/>
          <w:lang w:eastAsia="zh-CN"/>
        </w:rPr>
        <w:t>：</w:t>
      </w:r>
      <w:r>
        <w:rPr>
          <w:rFonts w:hint="eastAsia" w:ascii="宋体" w:hAnsi="宋体" w:eastAsia="宋体" w:cs="Times New Roman"/>
          <w:color w:val="auto"/>
          <w:szCs w:val="21"/>
          <w:lang w:val="en-US" w:eastAsia="zh-CN"/>
        </w:rPr>
        <w:t>详见合同附件《开标一览表》</w:t>
      </w:r>
    </w:p>
    <w:p>
      <w:pPr>
        <w:snapToGrid w:val="0"/>
        <w:spacing w:line="420" w:lineRule="exact"/>
        <w:ind w:firstLine="420" w:firstLineChars="200"/>
        <w:rPr>
          <w:rFonts w:hint="default"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2、合同合计金额：</w:t>
      </w:r>
      <w:r>
        <w:rPr>
          <w:rFonts w:hint="eastAsia" w:ascii="宋体" w:hAnsi="宋体" w:eastAsia="宋体" w:cs="Times New Roman"/>
          <w:b/>
          <w:bCs/>
          <w:color w:val="auto"/>
          <w:szCs w:val="21"/>
          <w:u w:val="single"/>
          <w:lang w:val="en-US" w:eastAsia="zh-CN"/>
        </w:rPr>
        <w:t>人民币          （¥        ）</w:t>
      </w:r>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lang w:val="en-US" w:eastAsia="zh-CN"/>
        </w:rPr>
        <w:t>3</w:t>
      </w:r>
      <w:r>
        <w:rPr>
          <w:rFonts w:hint="eastAsia" w:ascii="宋体" w:hAnsi="宋体" w:eastAsia="宋体" w:cs="Times New Roman"/>
          <w:color w:val="auto"/>
          <w:kern w:val="0"/>
          <w:szCs w:val="21"/>
        </w:rPr>
        <w:t>、合同合计金额包括货物价款，检验、技术培训及技术资料和包装、运输等全部费用。如招投标文件对其另有规定的，从其规定。</w:t>
      </w:r>
      <w:bookmarkStart w:id="215" w:name="_Hlk91195317"/>
      <w:r>
        <w:rPr>
          <w:rFonts w:hint="eastAsia" w:ascii="宋体" w:hAnsi="宋体" w:eastAsia="宋体" w:cs="Times New Roman"/>
          <w:color w:val="auto"/>
          <w:kern w:val="0"/>
          <w:szCs w:val="21"/>
        </w:rPr>
        <w:t>对于本文件中未列明，而乙方认为必须的费用也需列入总报价。在合同实施时，甲方将不予支付没有列入的项目费用，并认为此项目的费用已包括在总报价中。</w:t>
      </w:r>
      <w:bookmarkEnd w:id="215"/>
    </w:p>
    <w:p>
      <w:pPr>
        <w:snapToGrid w:val="0"/>
        <w:spacing w:line="420" w:lineRule="exact"/>
        <w:ind w:firstLine="422" w:firstLineChars="200"/>
        <w:rPr>
          <w:rFonts w:ascii="宋体" w:hAnsi="宋体" w:eastAsia="宋体" w:cs="Times New Roman"/>
          <w:color w:val="auto"/>
          <w:kern w:val="0"/>
          <w:szCs w:val="21"/>
        </w:rPr>
      </w:pPr>
      <w:r>
        <w:rPr>
          <w:rFonts w:hint="eastAsia" w:ascii="宋体" w:hAnsi="宋体" w:eastAsia="宋体" w:cs="Times New Roman"/>
          <w:b/>
          <w:color w:val="auto"/>
          <w:kern w:val="0"/>
          <w:szCs w:val="21"/>
        </w:rPr>
        <w:t>第二条　质量保证</w:t>
      </w:r>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rPr>
        <w:t>1、乙方所提供的货物的型号、技术规格、技术参数等质量必须与公告规定及响应文件承诺相一致。乙方提供的节能和环保产品必须是列入政府采购清单的产品。</w:t>
      </w:r>
      <w:r>
        <w:rPr>
          <w:rFonts w:hint="eastAsia" w:ascii="宋体" w:hAnsi="宋体" w:eastAsia="宋体" w:cs="宋体"/>
          <w:color w:val="auto"/>
          <w:szCs w:val="21"/>
        </w:rPr>
        <w:t>有国家标准的，还必须符合国家标准的规定，没有国家标准的，有其他强制性标准的，必须符合其他强制性标准的规定。</w:t>
      </w:r>
    </w:p>
    <w:p>
      <w:pPr>
        <w:snapToGrid w:val="0"/>
        <w:spacing w:line="420" w:lineRule="exact"/>
        <w:ind w:firstLine="420" w:firstLineChars="200"/>
        <w:rPr>
          <w:rFonts w:ascii="宋体" w:hAnsi="宋体" w:eastAsia="宋体" w:cs="Times New Roman"/>
          <w:color w:val="auto"/>
          <w:kern w:val="0"/>
          <w:szCs w:val="21"/>
          <w:u w:val="single"/>
        </w:rPr>
      </w:pPr>
      <w:r>
        <w:rPr>
          <w:rFonts w:hint="eastAsia" w:ascii="宋体" w:hAnsi="宋体" w:eastAsia="宋体" w:cs="Times New Roman"/>
          <w:color w:val="auto"/>
          <w:kern w:val="0"/>
          <w:szCs w:val="21"/>
        </w:rPr>
        <w:t>2、乙方所提供的货物必须是全新、未使用的原装产品，且在正常安装、使用和保养条件下，其使用寿命期内各项指标均达到公告规定或响应文件承诺的质量要求。</w:t>
      </w:r>
    </w:p>
    <w:p>
      <w:pPr>
        <w:snapToGrid w:val="0"/>
        <w:spacing w:line="420" w:lineRule="exact"/>
        <w:ind w:firstLine="422" w:firstLineChars="200"/>
        <w:rPr>
          <w:rFonts w:ascii="宋体" w:hAnsi="宋体" w:eastAsia="宋体" w:cs="Times New Roman"/>
          <w:color w:val="auto"/>
          <w:kern w:val="0"/>
          <w:szCs w:val="21"/>
        </w:rPr>
      </w:pPr>
      <w:r>
        <w:rPr>
          <w:rFonts w:hint="eastAsia" w:ascii="宋体" w:hAnsi="宋体" w:eastAsia="宋体" w:cs="Times New Roman"/>
          <w:b/>
          <w:color w:val="auto"/>
          <w:kern w:val="0"/>
          <w:szCs w:val="21"/>
        </w:rPr>
        <w:t>第三条　权利保证</w:t>
      </w:r>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rPr>
        <w:t>1、乙方应保证所提供货物在使用时不会侵犯任何第三方的专利权、商标权、工业设计权或其他权利。乙方保证将要交付的服务成果及货物的所有权完全属于乙方且无任何抵押、质押、查封等产权瑕疵。</w:t>
      </w:r>
      <w:r>
        <w:rPr>
          <w:rFonts w:hint="eastAsia" w:ascii="宋体" w:hAnsi="宋体" w:eastAsia="宋体" w:cs="宋体"/>
          <w:color w:val="auto"/>
          <w:szCs w:val="21"/>
        </w:rPr>
        <w:t>如因此发生任何针对甲方的争议、索赔、诉讼等，按照本合同第十一条第</w:t>
      </w:r>
      <w:r>
        <w:rPr>
          <w:rFonts w:hint="eastAsia" w:ascii="宋体" w:hAnsi="宋体" w:cs="宋体"/>
          <w:color w:val="auto"/>
          <w:szCs w:val="21"/>
          <w:lang w:val="en-US" w:eastAsia="zh-CN"/>
        </w:rPr>
        <w:t>2</w:t>
      </w:r>
      <w:r>
        <w:rPr>
          <w:rFonts w:hint="eastAsia" w:ascii="宋体" w:hAnsi="宋体" w:eastAsia="宋体" w:cs="宋体"/>
          <w:color w:val="auto"/>
          <w:szCs w:val="21"/>
        </w:rPr>
        <w:t>点的约定处理。</w:t>
      </w:r>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rPr>
        <w:t>2、乙方应按投标文件承诺的时间向甲方提供使用货物的有关技术资料，但不得晚于招标文件的要求；乙方未交付技术资料的，视为没有交付货物。</w:t>
      </w:r>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rPr>
        <w:t>3、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r>
        <w:rPr>
          <w:rFonts w:hint="eastAsia" w:ascii="宋体" w:hAnsi="宋体" w:eastAsia="宋体" w:cs="宋体"/>
          <w:color w:val="auto"/>
          <w:szCs w:val="21"/>
        </w:rPr>
        <w:t>乙方的保密义务持续有效，不因为本合同履行终止、解除或无效而解除。乙方发生失泄密事件导致甲方损失的，应赔偿直接损失及间接损失</w:t>
      </w:r>
    </w:p>
    <w:p>
      <w:pPr>
        <w:snapToGrid w:val="0"/>
        <w:spacing w:line="420" w:lineRule="exact"/>
        <w:ind w:firstLine="420" w:firstLineChars="200"/>
        <w:rPr>
          <w:rFonts w:hint="eastAsia" w:ascii="宋体" w:hAnsi="宋体" w:eastAsia="宋体" w:cs="Times New Roman"/>
          <w:color w:val="auto"/>
          <w:kern w:val="0"/>
          <w:szCs w:val="21"/>
        </w:rPr>
      </w:pPr>
      <w:r>
        <w:rPr>
          <w:rFonts w:hint="eastAsia" w:ascii="宋体" w:hAnsi="宋体" w:eastAsia="宋体" w:cs="Times New Roman"/>
          <w:color w:val="auto"/>
          <w:kern w:val="0"/>
          <w:szCs w:val="21"/>
        </w:rPr>
        <w:t>4、本项目中产生的新技术成果所有权及知识产权归甲方所有，未经甲方书面许可，乙方方不得随意使用或许可第三人使用，包括不得在评奖、教学、著作、研讨等非营利性活动中使用。</w:t>
      </w:r>
    </w:p>
    <w:p>
      <w:pPr>
        <w:snapToGrid w:val="0"/>
        <w:spacing w:line="420" w:lineRule="exact"/>
        <w:ind w:firstLine="420" w:firstLineChars="200"/>
        <w:rPr>
          <w:rFonts w:hint="eastAsia" w:ascii="宋体" w:hAnsi="宋体" w:eastAsia="宋体" w:cs="Times New Roman"/>
          <w:color w:val="auto"/>
          <w:kern w:val="0"/>
          <w:szCs w:val="21"/>
        </w:rPr>
      </w:pPr>
      <w:r>
        <w:rPr>
          <w:rFonts w:hint="eastAsia" w:ascii="宋体" w:hAnsi="宋体" w:eastAsia="宋体" w:cs="Times New Roman"/>
          <w:color w:val="auto"/>
          <w:kern w:val="0"/>
          <w:szCs w:val="21"/>
        </w:rPr>
        <w:t>5、甲方提供给乙方的相关资料的知识产权及其相关权利永久归属甲方所有，未经甲方书面同意，乙方不得随意使用或许可第三人使用，不得用于其他商业或宣传用途，包括不得在评奖、教学、著作、研讨等非营利性活动中使用。</w:t>
      </w:r>
    </w:p>
    <w:p>
      <w:pPr>
        <w:snapToGrid w:val="0"/>
        <w:spacing w:line="420" w:lineRule="exact"/>
        <w:ind w:firstLine="420" w:firstLineChars="200"/>
        <w:rPr>
          <w:rFonts w:hint="eastAsia" w:ascii="宋体" w:hAnsi="宋体" w:eastAsia="宋体" w:cs="Times New Roman"/>
          <w:color w:val="auto"/>
          <w:kern w:val="0"/>
          <w:szCs w:val="21"/>
        </w:rPr>
      </w:pPr>
      <w:r>
        <w:rPr>
          <w:rFonts w:hint="eastAsia" w:ascii="宋体" w:hAnsi="宋体" w:eastAsia="宋体" w:cs="Times New Roman"/>
          <w:color w:val="auto"/>
          <w:kern w:val="0"/>
          <w:szCs w:val="21"/>
          <w:lang w:val="en-US" w:eastAsia="zh-CN"/>
        </w:rPr>
        <w:t>6</w:t>
      </w:r>
      <w:r>
        <w:rPr>
          <w:rFonts w:hint="eastAsia" w:ascii="宋体" w:hAnsi="宋体" w:eastAsia="宋体" w:cs="Times New Roman"/>
          <w:color w:val="auto"/>
          <w:kern w:val="0"/>
          <w:szCs w:val="21"/>
        </w:rPr>
        <w:t>、乙方需配合甲方对乙方的服务人员进行岗前审查、保密教育及保密检查，发生失泄密事件甲方有权立即终止合同。</w:t>
      </w:r>
    </w:p>
    <w:p>
      <w:pPr>
        <w:snapToGrid w:val="0"/>
        <w:spacing w:line="420" w:lineRule="exact"/>
        <w:ind w:firstLine="422" w:firstLineChars="200"/>
        <w:rPr>
          <w:rFonts w:ascii="宋体" w:hAnsi="宋体" w:eastAsia="宋体" w:cs="Times New Roman"/>
          <w:b/>
          <w:color w:val="auto"/>
          <w:kern w:val="0"/>
          <w:szCs w:val="21"/>
        </w:rPr>
      </w:pPr>
      <w:r>
        <w:rPr>
          <w:rFonts w:hint="eastAsia" w:ascii="宋体" w:hAnsi="宋体" w:eastAsia="宋体" w:cs="Times New Roman"/>
          <w:b/>
          <w:color w:val="auto"/>
          <w:kern w:val="0"/>
          <w:szCs w:val="21"/>
        </w:rPr>
        <w:t>第四条　包装和运输</w:t>
      </w:r>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rPr>
        <w:t>1、乙方提供的货物均应按公告规定或响应文件承诺的包装材料、包装标准、包装方式进行包装，每一包装单元内应附详细的装箱单和质量合格证。</w:t>
      </w:r>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rPr>
        <w:t>2、货物的运输方式：</w:t>
      </w:r>
      <w:r>
        <w:rPr>
          <w:rFonts w:hint="eastAsia" w:ascii="宋体" w:hAnsi="宋体" w:eastAsia="宋体" w:cs="Times New Roman"/>
          <w:color w:val="auto"/>
          <w:kern w:val="0"/>
          <w:szCs w:val="21"/>
          <w:u w:val="single"/>
        </w:rPr>
        <w:t>由乙方自行安排。</w:t>
      </w:r>
    </w:p>
    <w:p>
      <w:pPr>
        <w:snapToGrid w:val="0"/>
        <w:spacing w:line="420" w:lineRule="exact"/>
        <w:ind w:firstLine="420" w:firstLineChars="200"/>
        <w:rPr>
          <w:rFonts w:ascii="宋体" w:hAnsi="宋体" w:eastAsia="宋体" w:cs="Times New Roman"/>
          <w:color w:val="auto"/>
          <w:kern w:val="0"/>
          <w:szCs w:val="21"/>
          <w:u w:val="single"/>
        </w:rPr>
      </w:pPr>
      <w:r>
        <w:rPr>
          <w:rFonts w:hint="eastAsia" w:ascii="宋体" w:hAnsi="宋体" w:eastAsia="宋体" w:cs="Times New Roman"/>
          <w:color w:val="auto"/>
          <w:kern w:val="0"/>
          <w:szCs w:val="21"/>
        </w:rPr>
        <w:t>3、乙方负责货物运输及相关费用，货物运输合理损耗及计算方法：</w:t>
      </w:r>
      <w:r>
        <w:rPr>
          <w:rFonts w:hint="eastAsia" w:ascii="宋体" w:hAnsi="宋体" w:eastAsia="宋体" w:cs="Times New Roman"/>
          <w:color w:val="auto"/>
          <w:kern w:val="0"/>
          <w:szCs w:val="21"/>
          <w:u w:val="single"/>
        </w:rPr>
        <w:t>本项目不接受损耗，乙方自行办理相关保险。</w:t>
      </w:r>
    </w:p>
    <w:p>
      <w:pPr>
        <w:snapToGrid w:val="0"/>
        <w:spacing w:line="420" w:lineRule="exact"/>
        <w:ind w:firstLine="420" w:firstLineChars="200"/>
        <w:rPr>
          <w:rFonts w:hint="eastAsia" w:ascii="宋体" w:hAnsi="宋体" w:eastAsia="宋体" w:cs="Times New Roman"/>
          <w:color w:val="auto"/>
          <w:kern w:val="0"/>
          <w:szCs w:val="21"/>
        </w:rPr>
      </w:pPr>
      <w:r>
        <w:rPr>
          <w:rFonts w:hint="eastAsia" w:ascii="宋体" w:hAnsi="宋体" w:eastAsia="宋体" w:cs="Times New Roman"/>
          <w:color w:val="auto"/>
          <w:kern w:val="0"/>
          <w:szCs w:val="21"/>
        </w:rPr>
        <w:t>4、货物在甲方最终验收合格前发生的风险由乙方承担。</w:t>
      </w:r>
    </w:p>
    <w:p>
      <w:pPr>
        <w:snapToGrid w:val="0"/>
        <w:spacing w:line="420" w:lineRule="exact"/>
        <w:ind w:firstLine="420" w:firstLineChars="200"/>
        <w:rPr>
          <w:rFonts w:hint="eastAsia" w:ascii="宋体" w:hAnsi="宋体" w:eastAsia="宋体" w:cs="Times New Roman"/>
          <w:color w:val="auto"/>
          <w:kern w:val="0"/>
          <w:szCs w:val="21"/>
        </w:rPr>
      </w:pPr>
      <w:r>
        <w:rPr>
          <w:rFonts w:hint="eastAsia" w:ascii="宋体" w:hAnsi="宋体" w:cs="Times New Roman"/>
          <w:color w:val="auto"/>
          <w:kern w:val="0"/>
          <w:szCs w:val="21"/>
          <w:lang w:val="en-US" w:eastAsia="zh-CN"/>
        </w:rPr>
        <w:t>5、</w:t>
      </w:r>
      <w:r>
        <w:rPr>
          <w:rFonts w:hint="eastAsia" w:ascii="宋体" w:hAnsi="宋体" w:eastAsia="宋体" w:cs="Times New Roman"/>
          <w:color w:val="auto"/>
          <w:kern w:val="0"/>
          <w:szCs w:val="21"/>
        </w:rPr>
        <w:t>乙方应采用适合长途运输的产品包装，包装必须坚固并根据产品各部分的结构特点进行妥善方式包装。在货物发运前对其进行满足运输距离、防潮、防震、防锈、、防碰撞和防破损装卸等要求包装，以保证货物安全运达甲方指定地点。</w:t>
      </w:r>
    </w:p>
    <w:p>
      <w:pPr>
        <w:snapToGrid w:val="0"/>
        <w:spacing w:line="420" w:lineRule="exact"/>
        <w:ind w:firstLine="420" w:firstLineChars="200"/>
        <w:rPr>
          <w:rFonts w:hint="eastAsia" w:ascii="宋体" w:hAnsi="宋体" w:eastAsia="宋体" w:cs="Times New Roman"/>
          <w:color w:val="auto"/>
          <w:kern w:val="0"/>
          <w:szCs w:val="21"/>
        </w:rPr>
      </w:pPr>
      <w:r>
        <w:rPr>
          <w:rFonts w:hint="eastAsia" w:ascii="宋体" w:hAnsi="宋体" w:cs="Times New Roman"/>
          <w:color w:val="auto"/>
          <w:kern w:val="0"/>
          <w:szCs w:val="21"/>
          <w:lang w:val="en-US" w:eastAsia="zh-CN"/>
        </w:rPr>
        <w:t>6、</w:t>
      </w:r>
      <w:r>
        <w:rPr>
          <w:rFonts w:hint="eastAsia" w:ascii="宋体" w:hAnsi="宋体" w:eastAsia="宋体" w:cs="Times New Roman"/>
          <w:color w:val="auto"/>
          <w:kern w:val="0"/>
          <w:szCs w:val="21"/>
        </w:rPr>
        <w:t>使用说明书、质量检验证明书、随配附件和工具以及清单一并附于货物内。</w:t>
      </w:r>
    </w:p>
    <w:p>
      <w:pPr>
        <w:snapToGrid w:val="0"/>
        <w:spacing w:line="420" w:lineRule="exact"/>
        <w:ind w:firstLine="420" w:firstLineChars="200"/>
        <w:rPr>
          <w:rFonts w:hint="eastAsia" w:ascii="宋体" w:hAnsi="宋体" w:eastAsia="宋体" w:cs="Times New Roman"/>
          <w:color w:val="auto"/>
          <w:kern w:val="0"/>
          <w:szCs w:val="21"/>
        </w:rPr>
      </w:pPr>
      <w:r>
        <w:rPr>
          <w:rFonts w:hint="eastAsia" w:ascii="宋体" w:hAnsi="宋体" w:cs="Times New Roman"/>
          <w:color w:val="auto"/>
          <w:kern w:val="0"/>
          <w:szCs w:val="21"/>
          <w:lang w:val="en-US" w:eastAsia="zh-CN"/>
        </w:rPr>
        <w:t>7、</w:t>
      </w:r>
      <w:r>
        <w:rPr>
          <w:rFonts w:hint="eastAsia" w:ascii="宋体" w:hAnsi="宋体" w:eastAsia="宋体" w:cs="Times New Roman"/>
          <w:color w:val="auto"/>
          <w:kern w:val="0"/>
          <w:szCs w:val="21"/>
        </w:rPr>
        <w:t>乙方在货物发运手续办理完毕后二十四小时内或货到甲方四十八小时前通知甲方，以准备接货。</w:t>
      </w:r>
    </w:p>
    <w:p>
      <w:pPr>
        <w:snapToGrid w:val="0"/>
        <w:spacing w:line="420" w:lineRule="exact"/>
        <w:ind w:firstLine="420" w:firstLineChars="200"/>
        <w:rPr>
          <w:rFonts w:hint="eastAsia" w:ascii="宋体" w:hAnsi="宋体" w:eastAsia="宋体" w:cs="Times New Roman"/>
          <w:color w:val="auto"/>
          <w:kern w:val="0"/>
          <w:szCs w:val="21"/>
        </w:rPr>
      </w:pPr>
      <w:r>
        <w:rPr>
          <w:rFonts w:hint="eastAsia" w:ascii="宋体" w:hAnsi="宋体" w:cs="Times New Roman"/>
          <w:color w:val="auto"/>
          <w:kern w:val="0"/>
          <w:szCs w:val="21"/>
          <w:lang w:val="en-US" w:eastAsia="zh-CN"/>
        </w:rPr>
        <w:t>8、</w:t>
      </w:r>
      <w:r>
        <w:rPr>
          <w:rFonts w:hint="eastAsia" w:ascii="宋体" w:hAnsi="宋体" w:eastAsia="宋体" w:cs="Times New Roman"/>
          <w:color w:val="auto"/>
          <w:kern w:val="0"/>
          <w:szCs w:val="21"/>
        </w:rPr>
        <w:t>货物在交付甲方前发生的风险均由乙方负责。</w:t>
      </w:r>
    </w:p>
    <w:p>
      <w:pPr>
        <w:snapToGrid w:val="0"/>
        <w:spacing w:line="420" w:lineRule="exact"/>
        <w:ind w:firstLine="420" w:firstLineChars="200"/>
        <w:rPr>
          <w:rFonts w:hint="eastAsia" w:ascii="宋体" w:hAnsi="宋体" w:eastAsia="宋体" w:cs="Times New Roman"/>
          <w:color w:val="auto"/>
          <w:kern w:val="0"/>
          <w:szCs w:val="21"/>
        </w:rPr>
      </w:pPr>
      <w:r>
        <w:rPr>
          <w:rFonts w:hint="eastAsia" w:ascii="宋体" w:hAnsi="宋体" w:cs="Times New Roman"/>
          <w:color w:val="auto"/>
          <w:kern w:val="0"/>
          <w:szCs w:val="21"/>
          <w:lang w:val="en-US" w:eastAsia="zh-CN"/>
        </w:rPr>
        <w:t>9、</w:t>
      </w:r>
      <w:r>
        <w:rPr>
          <w:rFonts w:hint="eastAsia" w:ascii="宋体" w:hAnsi="宋体" w:eastAsia="宋体" w:cs="Times New Roman"/>
          <w:color w:val="auto"/>
          <w:kern w:val="0"/>
          <w:szCs w:val="21"/>
        </w:rPr>
        <w:t>货物在规定的交付期限内由乙方送达甲方指定的地点，乙方同时需通知甲方货物已送达。</w:t>
      </w:r>
      <w:r>
        <w:rPr>
          <w:rFonts w:hint="eastAsia" w:ascii="宋体" w:hAnsi="宋体"/>
          <w:color w:val="auto"/>
          <w:kern w:val="0"/>
          <w:szCs w:val="21"/>
        </w:rPr>
        <w:t>甲方有权在最终验收前对货物进行全面检查，如发现不合格货物，甲方有权拒绝接收并要求乙方承担相关责任。</w:t>
      </w:r>
    </w:p>
    <w:p>
      <w:pPr>
        <w:snapToGrid w:val="0"/>
        <w:spacing w:line="420" w:lineRule="exact"/>
        <w:ind w:firstLine="422" w:firstLineChars="200"/>
        <w:rPr>
          <w:rFonts w:ascii="宋体" w:hAnsi="宋体" w:eastAsia="宋体" w:cs="Times New Roman"/>
          <w:color w:val="auto"/>
          <w:kern w:val="0"/>
          <w:szCs w:val="21"/>
        </w:rPr>
      </w:pPr>
      <w:r>
        <w:rPr>
          <w:rFonts w:hint="eastAsia" w:ascii="宋体" w:hAnsi="宋体" w:eastAsia="宋体" w:cs="Times New Roman"/>
          <w:b/>
          <w:color w:val="auto"/>
          <w:kern w:val="0"/>
          <w:szCs w:val="21"/>
        </w:rPr>
        <w:t>第五条　交付和验收</w:t>
      </w:r>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rPr>
        <w:t>1、交货时间：</w:t>
      </w:r>
      <w:r>
        <w:rPr>
          <w:rFonts w:hint="eastAsia" w:ascii="宋体" w:hAnsi="宋体" w:eastAsia="宋体" w:cs="Times New Roman"/>
          <w:color w:val="auto"/>
          <w:kern w:val="0"/>
          <w:szCs w:val="21"/>
          <w:u w:val="single"/>
        </w:rPr>
        <w:t xml:space="preserve">               </w:t>
      </w:r>
      <w:r>
        <w:rPr>
          <w:rFonts w:hint="eastAsia" w:ascii="宋体" w:hAnsi="宋体" w:eastAsia="宋体" w:cs="Times New Roman"/>
          <w:color w:val="auto"/>
          <w:kern w:val="0"/>
          <w:szCs w:val="21"/>
        </w:rPr>
        <w:t>；交货地点：</w:t>
      </w:r>
      <w:r>
        <w:rPr>
          <w:rFonts w:hint="eastAsia" w:ascii="宋体" w:hAnsi="宋体" w:eastAsia="宋体" w:cs="Times New Roman"/>
          <w:color w:val="auto"/>
          <w:kern w:val="0"/>
          <w:szCs w:val="21"/>
          <w:u w:val="single"/>
          <w:lang w:val="en-US" w:eastAsia="zh-CN"/>
        </w:rPr>
        <w:t xml:space="preserve">              </w:t>
      </w:r>
      <w:r>
        <w:rPr>
          <w:rFonts w:hint="eastAsia" w:ascii="宋体" w:hAnsi="宋体" w:eastAsia="宋体" w:cs="Times New Roman"/>
          <w:color w:val="auto"/>
          <w:kern w:val="0"/>
          <w:szCs w:val="21"/>
        </w:rPr>
        <w:t>。</w:t>
      </w:r>
    </w:p>
    <w:p>
      <w:pPr>
        <w:pStyle w:val="21"/>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val="en-US" w:eastAsia="zh-CN"/>
        </w:rPr>
        <w:t>验收要求</w:t>
      </w:r>
    </w:p>
    <w:p>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（1）验收总体要求：</w:t>
      </w:r>
    </w:p>
    <w:p>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1）乙方应随货提供货物合格的检验报告（由具备国家认可的有资质的第三方检测机构出具），经甲方认可后，与招标文件、投标文件、中标样品的性能指标一起作为货物验收标准，乙方交付的货物与样品一致，招标文件、投标文件、中标样品的性能指标不一致时以最优的性能指标为准，甲方委托具备国家认可的有资质的第三方检测机构进行抽检并出具检验报告，符合乙方投标文件、中标样品及承诺的，给予验收，不符合乙方投标文件及承诺的，不予验收。</w:t>
      </w:r>
    </w:p>
    <w:p>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2）如实际供货参数与投标响应参数不一致的，甲方与乙方双方如对质量要求和技术指标的约定标准有相互抵触或异议的事项，须以乙方投标响应参数为准，乙方须限时整改，整改后仍不满足投标响应承诺、中标样品的，可判定为验收不合格，甲方有权按乙方不履约的相关规定进行处罚。 </w:t>
      </w:r>
    </w:p>
    <w:p>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3）甲方对货物进行初步验收及具备国家认可的有资质的第三方检测机构抽检合格后，双方共同签署验收合格入库单。 </w:t>
      </w:r>
    </w:p>
    <w:p>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（2）验收具体要求： </w:t>
      </w:r>
    </w:p>
    <w:p>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1）所有供货产品的检验标准应符合“技术要求”表参数中的执行标准等相关技术标准。 </w:t>
      </w:r>
    </w:p>
    <w:p>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2）验收入库： </w:t>
      </w:r>
    </w:p>
    <w:p>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①货物送达经甲方组织初步验收，初步验收包括数量、外观检测和产品质检报告（由具备国家认可的有资质的第三方检测机构出具）审核。初验不合格的，甲方有权拒绝接收货物，因退还货物产生的风险及全部费用由乙方自行承担。 </w:t>
      </w:r>
    </w:p>
    <w:p>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②初步验收通过后，由甲方委托具备国家认可的有资质的第三方检测机构抽查检验并出具检验报告。第三方检验机构抽查检验费用由乙方承担。</w:t>
      </w:r>
    </w:p>
    <w:p>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③经第三方检测机构抽查检验合格后,进行正式验收入库。 </w:t>
      </w:r>
    </w:p>
    <w:p>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3）乙方所交付的货物经有具备国家认可的有资质的第三方检测机构检验不合格的，甲方有权直接退货，乙方要在接到甲方的通知后 10 日内把货物搬离暂存地点，因搬离货物产生的风险及全部费用由乙方自行承担。 </w:t>
      </w:r>
    </w:p>
    <w:p>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4）产品未验收入库前，因存储出现质量等问题，由乙方自行承担，甲方不承担任何责任；因存储期超过 25 天以上且产品检验为不合格的，甲方有权利收取一定超期仓储占用费。 </w:t>
      </w:r>
    </w:p>
    <w:p>
      <w:pPr>
        <w:keepNext w:val="0"/>
        <w:keepLines w:val="0"/>
        <w:pageBreakBefore w:val="0"/>
        <w:widowControl w:val="0"/>
        <w:kinsoku/>
        <w:wordWrap/>
        <w:overflowPunct/>
        <w:topLinePunct w:val="0"/>
        <w:autoSpaceDE/>
        <w:autoSpaceDN/>
        <w:bidi w:val="0"/>
        <w:adjustRightInd/>
        <w:snapToGrid w:val="0"/>
        <w:spacing w:line="420" w:lineRule="exact"/>
        <w:ind w:firstLine="420" w:firstLineChars="200"/>
        <w:textAlignment w:val="auto"/>
        <w:rPr>
          <w:rFonts w:hint="eastAsia" w:ascii="宋体" w:hAnsi="宋体" w:eastAsia="宋体" w:cs="Times New Roman"/>
          <w:b w:val="0"/>
          <w:bCs/>
          <w:color w:val="auto"/>
          <w:kern w:val="0"/>
          <w:szCs w:val="21"/>
        </w:rPr>
      </w:pPr>
      <w:r>
        <w:rPr>
          <w:rFonts w:hint="eastAsia" w:ascii="宋体" w:hAnsi="宋体" w:cs="宋体"/>
          <w:color w:val="auto"/>
          <w:sz w:val="21"/>
          <w:szCs w:val="21"/>
          <w:highlight w:val="none"/>
          <w:lang w:val="en-US" w:eastAsia="zh-CN"/>
        </w:rPr>
        <w:t>5）其他未尽事宜应严格按照《关于印发广西壮族自治区政府采购项目履约验收管理办法的通知》 [桂财采〔2015〕22 号]以及《财政部关于进一步加强政府采购需求和履约验收管理的指导意见》[财库〔2016〕205 号]规定执行。</w:t>
      </w:r>
    </w:p>
    <w:p>
      <w:pPr>
        <w:snapToGrid w:val="0"/>
        <w:spacing w:line="420" w:lineRule="exact"/>
        <w:ind w:firstLine="422" w:firstLineChars="200"/>
        <w:rPr>
          <w:rFonts w:ascii="宋体" w:hAnsi="宋体" w:eastAsia="宋体" w:cs="Times New Roman"/>
          <w:b/>
          <w:color w:val="auto"/>
          <w:kern w:val="0"/>
          <w:szCs w:val="21"/>
        </w:rPr>
      </w:pPr>
      <w:r>
        <w:rPr>
          <w:rFonts w:hint="eastAsia" w:ascii="宋体" w:hAnsi="宋体" w:eastAsia="宋体" w:cs="Times New Roman"/>
          <w:b/>
          <w:color w:val="auto"/>
          <w:kern w:val="0"/>
          <w:szCs w:val="21"/>
        </w:rPr>
        <w:t>第六条　培训</w:t>
      </w:r>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rPr>
        <w:t>1、乙方负责甲方有关人员的培训。培训时间、地点：由甲方指定。</w:t>
      </w:r>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rPr>
        <w:t>2、乙方应当按照投标承诺负责甲方有关人员的培训，但不得违反或低于招标文件的要求。培训时间、地点：甲方指定时间和地点。</w:t>
      </w:r>
    </w:p>
    <w:p>
      <w:pPr>
        <w:snapToGrid w:val="0"/>
        <w:spacing w:line="420" w:lineRule="exact"/>
        <w:ind w:firstLine="420" w:firstLineChars="200"/>
        <w:rPr>
          <w:rFonts w:ascii="宋体" w:hAnsi="宋体" w:eastAsia="宋体" w:cs="Times New Roman"/>
          <w:color w:val="auto"/>
          <w:kern w:val="0"/>
          <w:szCs w:val="21"/>
        </w:rPr>
      </w:pPr>
      <w:r>
        <w:rPr>
          <w:rFonts w:ascii="宋体" w:hAnsi="宋体" w:eastAsia="宋体" w:cs="Times New Roman"/>
          <w:color w:val="auto"/>
          <w:kern w:val="0"/>
          <w:szCs w:val="21"/>
        </w:rPr>
        <w:t>3</w:t>
      </w:r>
      <w:r>
        <w:rPr>
          <w:rFonts w:hint="eastAsia" w:ascii="宋体" w:hAnsi="宋体" w:eastAsia="宋体" w:cs="Times New Roman"/>
          <w:color w:val="auto"/>
          <w:kern w:val="0"/>
          <w:szCs w:val="21"/>
        </w:rPr>
        <w:t>、乙方应提供对甲方使用人员的多次免费培训，使甲方使用人员熟练掌握所培训内容，熟练掌握全部功能；乙方培训甲方使用人员直至其掌握全部功能是甲方进行最终验收的必要前提条件。</w:t>
      </w:r>
    </w:p>
    <w:p>
      <w:pPr>
        <w:snapToGrid w:val="0"/>
        <w:spacing w:line="420" w:lineRule="exact"/>
        <w:ind w:firstLine="420" w:firstLineChars="200"/>
        <w:rPr>
          <w:rFonts w:hint="eastAsia" w:ascii="宋体" w:hAnsi="宋体" w:eastAsia="宋体" w:cs="Times New Roman"/>
          <w:color w:val="auto"/>
          <w:kern w:val="0"/>
          <w:szCs w:val="21"/>
        </w:rPr>
      </w:pPr>
      <w:bookmarkStart w:id="216" w:name="_Hlk91195458"/>
      <w:r>
        <w:rPr>
          <w:rFonts w:hint="eastAsia" w:ascii="宋体" w:hAnsi="宋体" w:eastAsia="宋体" w:cs="Times New Roman"/>
          <w:color w:val="auto"/>
          <w:kern w:val="0"/>
          <w:szCs w:val="21"/>
        </w:rPr>
        <w:t>4、乙方未在甲方规定的时间内提供足够次数的培训的，按乙方未履行本合同约定的服务处理。</w:t>
      </w:r>
    </w:p>
    <w:bookmarkEnd w:id="216"/>
    <w:p>
      <w:pPr>
        <w:snapToGrid w:val="0"/>
        <w:spacing w:line="420" w:lineRule="exact"/>
        <w:ind w:firstLine="422" w:firstLineChars="200"/>
        <w:rPr>
          <w:rFonts w:ascii="宋体" w:hAnsi="宋体" w:eastAsia="宋体" w:cs="Times New Roman"/>
          <w:b/>
          <w:color w:val="auto"/>
          <w:kern w:val="0"/>
          <w:szCs w:val="21"/>
        </w:rPr>
      </w:pPr>
      <w:r>
        <w:rPr>
          <w:rFonts w:hint="eastAsia" w:ascii="宋体" w:hAnsi="宋体" w:eastAsia="宋体" w:cs="Times New Roman"/>
          <w:b/>
          <w:color w:val="auto"/>
          <w:kern w:val="0"/>
          <w:szCs w:val="21"/>
        </w:rPr>
        <w:t>第七条  售后服务、保修期</w:t>
      </w:r>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rPr>
        <w:t>1、乙方应按照国家有关法律法规和“三包”规定以及招标文件、投标文件和本合同所附的《服务承诺》，为甲方提供售后服务。</w:t>
      </w:r>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rPr>
        <w:t>2、质保</w:t>
      </w:r>
      <w:r>
        <w:rPr>
          <w:rFonts w:ascii="宋体" w:hAnsi="宋体" w:eastAsia="宋体" w:cs="Times New Roman"/>
          <w:color w:val="auto"/>
          <w:kern w:val="0"/>
          <w:szCs w:val="21"/>
        </w:rPr>
        <w:t>期</w:t>
      </w:r>
      <w:r>
        <w:rPr>
          <w:rFonts w:hint="eastAsia" w:ascii="宋体" w:hAnsi="宋体" w:eastAsia="宋体" w:cs="Times New Roman"/>
          <w:color w:val="auto"/>
          <w:kern w:val="0"/>
          <w:szCs w:val="21"/>
        </w:rPr>
        <w:t>：</w:t>
      </w:r>
      <w:r>
        <w:rPr>
          <w:rFonts w:hint="eastAsia" w:ascii="宋体" w:hAnsi="宋体" w:eastAsia="宋体" w:cs="Times New Roman"/>
          <w:b/>
          <w:bCs/>
          <w:color w:val="auto"/>
          <w:kern w:val="0"/>
          <w:szCs w:val="21"/>
          <w:u w:val="single"/>
          <w:lang w:val="en-US" w:eastAsia="zh-CN"/>
        </w:rPr>
        <w:t xml:space="preserve">   </w:t>
      </w:r>
      <w:r>
        <w:rPr>
          <w:rFonts w:hint="eastAsia" w:ascii="宋体" w:hAnsi="宋体" w:eastAsia="宋体" w:cs="Times New Roman"/>
          <w:b/>
          <w:bCs/>
          <w:color w:val="auto"/>
          <w:kern w:val="0"/>
          <w:szCs w:val="21"/>
        </w:rPr>
        <w:t>年</w:t>
      </w:r>
      <w:r>
        <w:rPr>
          <w:rFonts w:hint="eastAsia" w:ascii="宋体" w:hAnsi="宋体" w:eastAsia="宋体" w:cs="Times New Roman"/>
          <w:color w:val="auto"/>
          <w:kern w:val="0"/>
          <w:szCs w:val="21"/>
        </w:rPr>
        <w:t>（若产品生产厂家免费质保期超过此年限的，合同履行过程中按厂家规定执行；若中标人质保期承诺优于产品生产厂家质保年限的，以中标人承诺执行），自甲方最终验收合格之日起计算。</w:t>
      </w:r>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rPr>
        <w:t>3、乙方提供的服务承诺和售后服务及保修期责任等其它具体约定事项。（见合同附件）</w:t>
      </w:r>
    </w:p>
    <w:p>
      <w:pPr>
        <w:snapToGrid w:val="0"/>
        <w:spacing w:line="420" w:lineRule="exact"/>
        <w:ind w:firstLine="420" w:firstLineChars="200"/>
        <w:rPr>
          <w:rFonts w:hint="eastAsia" w:ascii="宋体" w:hAnsi="宋体" w:eastAsia="宋体" w:cs="Times New Roman"/>
          <w:color w:val="auto"/>
          <w:kern w:val="0"/>
          <w:szCs w:val="21"/>
        </w:rPr>
      </w:pPr>
      <w:r>
        <w:rPr>
          <w:rFonts w:ascii="宋体" w:hAnsi="宋体" w:eastAsia="宋体" w:cs="Times New Roman"/>
          <w:color w:val="auto"/>
          <w:kern w:val="0"/>
          <w:szCs w:val="21"/>
        </w:rPr>
        <w:t>4</w:t>
      </w:r>
      <w:r>
        <w:rPr>
          <w:rFonts w:hint="eastAsia" w:ascii="宋体" w:hAnsi="宋体" w:eastAsia="宋体" w:cs="Times New Roman"/>
          <w:color w:val="auto"/>
          <w:kern w:val="0"/>
          <w:szCs w:val="21"/>
        </w:rPr>
        <w:t>、乙方应按招标文件规定的货物性能、技术要求、质量标准向甲方提供未经使用的全新产品。对达不到技术要求者，根据实际情况，经双方协商，可按以下办法处理：</w:t>
      </w:r>
    </w:p>
    <w:p>
      <w:pPr>
        <w:snapToGrid w:val="0"/>
        <w:spacing w:line="420" w:lineRule="exact"/>
        <w:ind w:firstLine="420" w:firstLineChars="200"/>
        <w:rPr>
          <w:rFonts w:hint="eastAsia" w:ascii="宋体" w:hAnsi="宋体" w:eastAsia="宋体" w:cs="Times New Roman"/>
          <w:color w:val="auto"/>
          <w:kern w:val="0"/>
          <w:szCs w:val="21"/>
        </w:rPr>
      </w:pPr>
      <w:r>
        <w:rPr>
          <w:rFonts w:hint="eastAsia" w:ascii="宋体" w:hAnsi="宋体" w:eastAsia="宋体" w:cs="Times New Roman"/>
          <w:color w:val="auto"/>
          <w:kern w:val="0"/>
          <w:szCs w:val="21"/>
        </w:rPr>
        <w:t>（1）更换：由乙方承担所发生的全部费用。</w:t>
      </w:r>
    </w:p>
    <w:p>
      <w:pPr>
        <w:snapToGrid w:val="0"/>
        <w:spacing w:line="420" w:lineRule="exact"/>
        <w:ind w:firstLine="420" w:firstLineChars="200"/>
        <w:rPr>
          <w:rFonts w:hint="eastAsia" w:ascii="宋体" w:hAnsi="宋体" w:eastAsia="宋体" w:cs="Times New Roman"/>
          <w:color w:val="auto"/>
          <w:kern w:val="0"/>
          <w:szCs w:val="21"/>
        </w:rPr>
      </w:pPr>
      <w:r>
        <w:rPr>
          <w:rFonts w:hint="eastAsia" w:ascii="宋体" w:hAnsi="宋体" w:eastAsia="宋体" w:cs="Times New Roman"/>
          <w:color w:val="auto"/>
          <w:kern w:val="0"/>
          <w:szCs w:val="21"/>
        </w:rPr>
        <w:t>（2）贬值处理：由甲乙双方合议定价。</w:t>
      </w:r>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rPr>
        <w:t>（3）退货处理：乙方应退还甲方支付的合同款，同时应承担该货物的直接费用（运输、保险、检验、货款利息及银行手续费等）。</w:t>
      </w:r>
    </w:p>
    <w:p>
      <w:pPr>
        <w:snapToGrid w:val="0"/>
        <w:spacing w:line="420" w:lineRule="exact"/>
        <w:ind w:firstLine="420" w:firstLineChars="200"/>
        <w:rPr>
          <w:rFonts w:ascii="宋体" w:hAnsi="宋体" w:eastAsia="宋体" w:cs="Times New Roman"/>
          <w:color w:val="auto"/>
          <w:kern w:val="0"/>
          <w:szCs w:val="21"/>
        </w:rPr>
      </w:pPr>
      <w:r>
        <w:rPr>
          <w:rFonts w:ascii="宋体" w:hAnsi="宋体" w:eastAsia="宋体" w:cs="Times New Roman"/>
          <w:color w:val="auto"/>
          <w:kern w:val="0"/>
          <w:szCs w:val="21"/>
        </w:rPr>
        <w:t>5</w:t>
      </w:r>
      <w:r>
        <w:rPr>
          <w:rFonts w:hint="eastAsia" w:ascii="宋体" w:hAnsi="宋体" w:eastAsia="宋体" w:cs="Times New Roman"/>
          <w:color w:val="auto"/>
          <w:kern w:val="0"/>
          <w:szCs w:val="21"/>
        </w:rPr>
        <w:t>、按国家有关产品“三包”规定执行“三包”。采购范围内的货物在验收合格后90天内出现质量问题，售后响应时间在4小时以内，中标供应商保证在接到通知72小时内赶到现场,由中标供应商无条件免费进行更换。</w:t>
      </w:r>
    </w:p>
    <w:p>
      <w:pPr>
        <w:snapToGrid w:val="0"/>
        <w:spacing w:line="420" w:lineRule="exact"/>
        <w:ind w:firstLine="420" w:firstLineChars="200"/>
        <w:rPr>
          <w:rFonts w:ascii="宋体" w:hAnsi="宋体" w:eastAsia="宋体" w:cs="Times New Roman"/>
          <w:color w:val="auto"/>
          <w:kern w:val="0"/>
          <w:szCs w:val="21"/>
        </w:rPr>
      </w:pPr>
      <w:r>
        <w:rPr>
          <w:rFonts w:ascii="宋体" w:hAnsi="宋体" w:eastAsia="宋体" w:cs="Times New Roman"/>
          <w:color w:val="auto"/>
          <w:kern w:val="0"/>
          <w:szCs w:val="21"/>
        </w:rPr>
        <w:t>6</w:t>
      </w:r>
      <w:r>
        <w:rPr>
          <w:rFonts w:hint="eastAsia" w:ascii="宋体" w:hAnsi="宋体" w:eastAsia="宋体" w:cs="Times New Roman"/>
          <w:color w:val="auto"/>
          <w:kern w:val="0"/>
          <w:szCs w:val="21"/>
        </w:rPr>
        <w:t>、在质保期内，</w:t>
      </w:r>
      <w:r>
        <w:rPr>
          <w:rFonts w:ascii="宋体" w:hAnsi="宋体" w:eastAsia="宋体" w:cs="Times New Roman"/>
          <w:color w:val="auto"/>
          <w:kern w:val="0"/>
          <w:szCs w:val="21"/>
        </w:rPr>
        <w:t>乙方应对</w:t>
      </w:r>
      <w:r>
        <w:rPr>
          <w:rFonts w:hint="eastAsia" w:ascii="宋体" w:hAnsi="宋体" w:eastAsia="宋体" w:cs="Times New Roman"/>
          <w:color w:val="auto"/>
          <w:kern w:val="0"/>
          <w:szCs w:val="21"/>
        </w:rPr>
        <w:t>产品</w:t>
      </w:r>
      <w:r>
        <w:rPr>
          <w:rFonts w:ascii="宋体" w:hAnsi="宋体" w:eastAsia="宋体" w:cs="Times New Roman"/>
          <w:color w:val="auto"/>
          <w:kern w:val="0"/>
          <w:szCs w:val="21"/>
        </w:rPr>
        <w:t>出现的质量及安全问题负责处理解决并承担一切费用。</w:t>
      </w:r>
      <w:r>
        <w:rPr>
          <w:rFonts w:hint="eastAsia" w:ascii="宋体" w:hAnsi="宋体" w:eastAsia="宋体" w:cs="宋体"/>
          <w:color w:val="auto"/>
          <w:szCs w:val="21"/>
        </w:rPr>
        <w:t>质保期满前1个月内中标人应负责一次免费全面检查；质保期满后，以优惠价格提供维修和备件更换，且免除一切手续费。质保期满后，终身维护，维修时只收部件成本费。</w:t>
      </w:r>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rPr>
        <w:t>7、</w:t>
      </w:r>
      <w:r>
        <w:rPr>
          <w:rFonts w:hint="eastAsia" w:ascii="宋体" w:hAnsi="宋体" w:eastAsia="宋体" w:cs="宋体"/>
          <w:color w:val="auto"/>
          <w:szCs w:val="21"/>
        </w:rPr>
        <w:t>若在最终验收通过后3个月内，乙方提供的货物出现</w:t>
      </w:r>
      <w:r>
        <w:rPr>
          <w:rFonts w:hint="eastAsia" w:ascii="宋体" w:hAnsi="宋体" w:cs="宋体"/>
          <w:color w:val="auto"/>
          <w:szCs w:val="21"/>
          <w:lang w:val="en-US" w:eastAsia="zh-CN"/>
        </w:rPr>
        <w:t>重大质量问题</w:t>
      </w:r>
      <w:r>
        <w:rPr>
          <w:rFonts w:hint="eastAsia" w:ascii="宋体" w:hAnsi="宋体" w:eastAsia="宋体" w:cs="宋体"/>
          <w:color w:val="auto"/>
          <w:szCs w:val="21"/>
        </w:rPr>
        <w:t>的，乙方应予以免费换货。</w:t>
      </w:r>
    </w:p>
    <w:p>
      <w:pPr>
        <w:snapToGrid w:val="0"/>
        <w:spacing w:line="420" w:lineRule="exact"/>
        <w:ind w:firstLine="420" w:firstLineChars="200"/>
        <w:rPr>
          <w:rFonts w:hint="eastAsia" w:ascii="宋体" w:hAnsi="宋体" w:eastAsia="宋体" w:cs="Times New Roman"/>
          <w:color w:val="auto"/>
          <w:kern w:val="0"/>
          <w:szCs w:val="21"/>
        </w:rPr>
      </w:pPr>
      <w:r>
        <w:rPr>
          <w:rFonts w:hint="eastAsia" w:ascii="宋体" w:hAnsi="宋体" w:eastAsia="宋体" w:cs="Times New Roman"/>
          <w:color w:val="auto"/>
          <w:kern w:val="0"/>
          <w:szCs w:val="21"/>
        </w:rPr>
        <w:t>8、未经甲方书面允许或要求，乙方不可随意更换投标文件中确定的服务团队成员；如乙方的服务团队成员从乙方离职的，乙方应当及时补充补充资质及能力不低于原服务团队成员的新成员，新成员在服务甲方前，应当先经甲方书面同意，如甲方需对其进行背景调查的，乙方应当无条件配合。</w:t>
      </w:r>
    </w:p>
    <w:p>
      <w:pPr>
        <w:snapToGrid w:val="0"/>
        <w:spacing w:line="420" w:lineRule="exact"/>
        <w:ind w:firstLine="422" w:firstLineChars="200"/>
        <w:rPr>
          <w:rFonts w:ascii="宋体" w:hAnsi="宋体" w:eastAsia="宋体" w:cs="Times New Roman"/>
          <w:color w:val="auto"/>
          <w:kern w:val="0"/>
          <w:szCs w:val="21"/>
        </w:rPr>
      </w:pPr>
      <w:r>
        <w:rPr>
          <w:rFonts w:hint="eastAsia" w:ascii="宋体" w:hAnsi="宋体" w:eastAsia="宋体" w:cs="Times New Roman"/>
          <w:b/>
          <w:color w:val="auto"/>
          <w:kern w:val="0"/>
          <w:szCs w:val="21"/>
        </w:rPr>
        <w:t>第八条　付款方式</w:t>
      </w:r>
    </w:p>
    <w:p>
      <w:pPr>
        <w:widowControl/>
        <w:spacing w:line="360" w:lineRule="auto"/>
        <w:ind w:firstLine="420" w:firstLineChars="200"/>
        <w:rPr>
          <w:rFonts w:hint="eastAsia" w:ascii="宋体" w:hAnsi="宋体" w:eastAsia="宋体" w:cs="Times New Roman"/>
          <w:color w:val="auto"/>
          <w:kern w:val="0"/>
          <w:szCs w:val="21"/>
        </w:rPr>
      </w:pPr>
      <w:bookmarkStart w:id="217" w:name="_Hlk91195243"/>
      <w:r>
        <w:rPr>
          <w:rFonts w:hint="eastAsia" w:ascii="宋体" w:hAnsi="宋体" w:eastAsia="宋体" w:cs="Times New Roman"/>
          <w:color w:val="auto"/>
          <w:kern w:val="0"/>
          <w:szCs w:val="21"/>
        </w:rPr>
        <w:t>1、当采购数量与实际使用数量不一致时，乙方应根据实际使用量供货，合同的最终结算金额按实际使用量乘以成交单价进行计算。（使用量变更导致合同变动部分的金额不得超过本采购合同金额的10%，且另需签订补充合同）。</w:t>
      </w:r>
    </w:p>
    <w:p>
      <w:pPr>
        <w:widowControl/>
        <w:spacing w:line="360" w:lineRule="auto"/>
        <w:ind w:firstLine="420" w:firstLineChars="200"/>
        <w:rPr>
          <w:rFonts w:hint="eastAsia" w:ascii="宋体" w:hAnsi="宋体" w:eastAsia="宋体" w:cs="Times New Roman"/>
          <w:color w:val="auto"/>
          <w:kern w:val="0"/>
          <w:szCs w:val="21"/>
        </w:rPr>
      </w:pPr>
      <w:r>
        <w:rPr>
          <w:rFonts w:hint="eastAsia" w:ascii="宋体" w:hAnsi="宋体" w:eastAsia="宋体" w:cs="Times New Roman"/>
          <w:color w:val="auto"/>
          <w:kern w:val="0"/>
          <w:szCs w:val="21"/>
        </w:rPr>
        <w:t>2、付款方式：</w:t>
      </w:r>
    </w:p>
    <w:p>
      <w:pPr>
        <w:widowControl/>
        <w:spacing w:line="360" w:lineRule="auto"/>
        <w:ind w:firstLine="420" w:firstLineChars="200"/>
        <w:rPr>
          <w:rFonts w:hint="eastAsia" w:ascii="宋体" w:hAnsi="宋体" w:eastAsia="宋体" w:cs="Times New Roman"/>
          <w:color w:val="auto"/>
          <w:kern w:val="0"/>
          <w:szCs w:val="21"/>
        </w:rPr>
      </w:pPr>
      <w:r>
        <w:rPr>
          <w:rFonts w:hint="eastAsia" w:ascii="宋体" w:hAnsi="宋体" w:eastAsia="宋体" w:cs="Times New Roman"/>
          <w:color w:val="auto"/>
          <w:kern w:val="0"/>
          <w:szCs w:val="21"/>
        </w:rPr>
        <w:t>1）乙方在签订合同之前，5个工作日内，按</w:t>
      </w:r>
      <w:r>
        <w:rPr>
          <w:rFonts w:hint="eastAsia" w:ascii="宋体" w:hAnsi="宋体" w:cs="Times New Roman"/>
          <w:color w:val="auto"/>
          <w:kern w:val="0"/>
          <w:szCs w:val="21"/>
          <w:lang w:val="en-US" w:eastAsia="zh-CN"/>
        </w:rPr>
        <w:t>合同</w:t>
      </w:r>
      <w:r>
        <w:rPr>
          <w:rFonts w:hint="eastAsia" w:ascii="宋体" w:hAnsi="宋体" w:eastAsia="宋体" w:cs="Times New Roman"/>
          <w:color w:val="auto"/>
          <w:kern w:val="0"/>
          <w:szCs w:val="21"/>
        </w:rPr>
        <w:t>金额的5%，足额提交履约保证金，即可签订采购合同。未提交履约保证金的，不予签订合同。履约保证金在项目履约完成后</w:t>
      </w:r>
      <w:r>
        <w:rPr>
          <w:rFonts w:hint="eastAsia" w:ascii="宋体" w:hAnsi="宋体" w:cs="Times New Roman"/>
          <w:color w:val="auto"/>
          <w:kern w:val="0"/>
          <w:szCs w:val="21"/>
          <w:lang w:eastAsia="zh-CN"/>
        </w:rPr>
        <w:t>5个工作日</w:t>
      </w:r>
      <w:r>
        <w:rPr>
          <w:rFonts w:hint="eastAsia" w:ascii="宋体" w:hAnsi="宋体" w:eastAsia="宋体" w:cs="Times New Roman"/>
          <w:color w:val="auto"/>
          <w:kern w:val="0"/>
          <w:szCs w:val="21"/>
        </w:rPr>
        <w:t>内无息退还。中标货物由中小企业制造，即货物由中小企业生产且使用该中小企业商号或者注册商标的（提供有合格的《中小企业声明函》），按合同金额的2%提交。</w:t>
      </w:r>
    </w:p>
    <w:p>
      <w:pPr>
        <w:widowControl/>
        <w:spacing w:line="360" w:lineRule="auto"/>
        <w:ind w:firstLine="420" w:firstLineChars="200"/>
        <w:rPr>
          <w:rFonts w:hint="eastAsia" w:ascii="宋体" w:hAnsi="宋体" w:eastAsia="宋体" w:cs="Times New Roman"/>
          <w:color w:val="auto"/>
          <w:kern w:val="0"/>
          <w:szCs w:val="21"/>
        </w:rPr>
      </w:pPr>
      <w:r>
        <w:rPr>
          <w:rFonts w:hint="eastAsia" w:ascii="宋体" w:hAnsi="宋体" w:eastAsia="宋体" w:cs="Times New Roman"/>
          <w:color w:val="auto"/>
          <w:kern w:val="0"/>
          <w:szCs w:val="21"/>
        </w:rPr>
        <w:t>2）所有货物全部到货且验收合格后10个工作日内，由乙方提供验收入库单及开具符合国家规定的发票向甲方申请一次性支付乙方全额合同货款。</w:t>
      </w:r>
    </w:p>
    <w:p>
      <w:pPr>
        <w:widowControl/>
        <w:spacing w:line="360" w:lineRule="auto"/>
        <w:ind w:firstLine="420" w:firstLineChars="200"/>
        <w:rPr>
          <w:rFonts w:hint="eastAsia" w:ascii="宋体" w:hAnsi="宋体" w:eastAsia="宋体" w:cs="Times New Roman"/>
          <w:color w:val="auto"/>
          <w:kern w:val="0"/>
          <w:szCs w:val="21"/>
        </w:rPr>
      </w:pPr>
      <w:r>
        <w:rPr>
          <w:rFonts w:hint="eastAsia" w:ascii="宋体" w:hAnsi="宋体" w:eastAsia="宋体" w:cs="Times New Roman"/>
          <w:color w:val="auto"/>
          <w:kern w:val="0"/>
          <w:szCs w:val="21"/>
          <w:lang w:val="en-US" w:eastAsia="zh-CN"/>
        </w:rPr>
        <w:t>3</w:t>
      </w:r>
      <w:r>
        <w:rPr>
          <w:rFonts w:hint="eastAsia" w:ascii="宋体" w:hAnsi="宋体" w:eastAsia="宋体" w:cs="Times New Roman"/>
          <w:color w:val="auto"/>
          <w:kern w:val="0"/>
          <w:szCs w:val="21"/>
        </w:rPr>
        <w:t>、甲方每次付款前，乙方应当先向甲方开具等额有效的增值税发票，乙方开具等额有效发票为甲方付款的必要前提条件之一，乙方未开具发票的，甲方有权顺延付款时间且不视为甲方违约。</w:t>
      </w:r>
    </w:p>
    <w:p>
      <w:pPr>
        <w:widowControl/>
        <w:spacing w:line="360" w:lineRule="auto"/>
        <w:ind w:firstLine="420" w:firstLineChars="200"/>
        <w:rPr>
          <w:rFonts w:hint="eastAsia" w:ascii="宋体" w:hAnsi="宋体" w:eastAsia="宋体" w:cs="宋体"/>
          <w:bCs/>
          <w:color w:val="auto"/>
          <w:kern w:val="0"/>
          <w:szCs w:val="21"/>
        </w:rPr>
      </w:pPr>
      <w:r>
        <w:rPr>
          <w:rFonts w:hint="eastAsia" w:ascii="宋体" w:hAnsi="宋体" w:eastAsia="宋体" w:cs="Times New Roman"/>
          <w:color w:val="auto"/>
          <w:kern w:val="0"/>
          <w:szCs w:val="21"/>
          <w:lang w:val="en-US" w:eastAsia="zh-CN"/>
        </w:rPr>
        <w:t>4</w:t>
      </w:r>
      <w:r>
        <w:rPr>
          <w:rFonts w:hint="eastAsia" w:ascii="宋体" w:hAnsi="宋体" w:eastAsia="宋体" w:cs="Times New Roman"/>
          <w:color w:val="auto"/>
          <w:kern w:val="0"/>
          <w:szCs w:val="21"/>
        </w:rPr>
        <w:t>、如果甲方可证明因该项目财政预算安排的原因而导致无法按时支付的，则甲方根据拨款进度进行支付，不因此产生任何违约责任。</w:t>
      </w:r>
    </w:p>
    <w:bookmarkEnd w:id="217"/>
    <w:p>
      <w:pPr>
        <w:snapToGrid w:val="0"/>
        <w:spacing w:line="420" w:lineRule="exact"/>
        <w:ind w:firstLine="422" w:firstLineChars="200"/>
        <w:rPr>
          <w:rFonts w:hint="eastAsia" w:ascii="宋体" w:hAnsi="宋体" w:eastAsia="宋体" w:cs="Times New Roman"/>
          <w:b/>
          <w:color w:val="auto"/>
          <w:kern w:val="0"/>
          <w:szCs w:val="21"/>
        </w:rPr>
      </w:pPr>
      <w:r>
        <w:rPr>
          <w:rFonts w:hint="eastAsia" w:ascii="宋体" w:hAnsi="宋体" w:eastAsia="宋体" w:cs="Times New Roman"/>
          <w:b/>
          <w:color w:val="auto"/>
          <w:kern w:val="0"/>
          <w:szCs w:val="21"/>
        </w:rPr>
        <w:t>第九条　履约保证金：</w:t>
      </w:r>
    </w:p>
    <w:p>
      <w:pPr>
        <w:snapToGrid w:val="0"/>
        <w:spacing w:line="420" w:lineRule="exact"/>
        <w:ind w:firstLine="420" w:firstLineChars="200"/>
        <w:rPr>
          <w:rFonts w:hint="eastAsia" w:ascii="宋体" w:hAnsi="宋体" w:eastAsia="宋体" w:cs="Times New Roman"/>
          <w:b w:val="0"/>
          <w:bCs/>
          <w:color w:val="auto"/>
          <w:kern w:val="0"/>
          <w:szCs w:val="21"/>
        </w:rPr>
      </w:pPr>
      <w:bookmarkStart w:id="218" w:name="OLE_LINK6"/>
      <w:r>
        <w:rPr>
          <w:rFonts w:hint="eastAsia" w:ascii="宋体" w:hAnsi="宋体" w:eastAsia="宋体" w:cs="Times New Roman"/>
          <w:b w:val="0"/>
          <w:bCs/>
          <w:color w:val="auto"/>
          <w:kern w:val="0"/>
          <w:szCs w:val="21"/>
        </w:rPr>
        <w:t>履约保证金金额：</w:t>
      </w:r>
      <w:r>
        <w:rPr>
          <w:rFonts w:hint="eastAsia" w:ascii="宋体" w:hAnsi="宋体" w:eastAsia="宋体" w:cs="Times New Roman"/>
          <w:color w:val="auto"/>
          <w:kern w:val="0"/>
          <w:szCs w:val="21"/>
        </w:rPr>
        <w:t>乙方在签订合同之前，5个工作日内，按</w:t>
      </w:r>
      <w:r>
        <w:rPr>
          <w:rFonts w:hint="eastAsia" w:ascii="宋体" w:hAnsi="宋体" w:cs="Times New Roman"/>
          <w:color w:val="auto"/>
          <w:kern w:val="0"/>
          <w:szCs w:val="21"/>
          <w:lang w:val="en-US" w:eastAsia="zh-CN"/>
        </w:rPr>
        <w:t>合同</w:t>
      </w:r>
      <w:r>
        <w:rPr>
          <w:rFonts w:hint="eastAsia" w:ascii="宋体" w:hAnsi="宋体" w:eastAsia="宋体" w:cs="Times New Roman"/>
          <w:color w:val="auto"/>
          <w:kern w:val="0"/>
          <w:szCs w:val="21"/>
        </w:rPr>
        <w:t>金额的5%，足额提交履约保证金，即可签订采购合同。未提交履约保证金的，不予签订合同。中标货物由中小企业制造，即货物由中小企业生产且使用该中小企业商号或者注册商标的（提供有合格的《中小企业声明函》），按</w:t>
      </w:r>
      <w:r>
        <w:rPr>
          <w:rFonts w:hint="eastAsia" w:ascii="宋体" w:hAnsi="宋体" w:cs="Times New Roman"/>
          <w:color w:val="auto"/>
          <w:kern w:val="0"/>
          <w:szCs w:val="21"/>
          <w:lang w:val="en-US" w:eastAsia="zh-CN"/>
        </w:rPr>
        <w:t>合同</w:t>
      </w:r>
      <w:r>
        <w:rPr>
          <w:rFonts w:hint="eastAsia" w:ascii="宋体" w:hAnsi="宋体" w:eastAsia="宋体" w:cs="Times New Roman"/>
          <w:color w:val="auto"/>
          <w:kern w:val="0"/>
          <w:szCs w:val="21"/>
        </w:rPr>
        <w:t>金额的</w:t>
      </w:r>
      <w:r>
        <w:rPr>
          <w:rFonts w:hint="eastAsia" w:ascii="宋体" w:hAnsi="宋体" w:cs="Times New Roman"/>
          <w:color w:val="auto"/>
          <w:kern w:val="0"/>
          <w:szCs w:val="21"/>
          <w:lang w:val="en-US" w:eastAsia="zh-CN"/>
        </w:rPr>
        <w:t>2</w:t>
      </w:r>
      <w:r>
        <w:rPr>
          <w:rFonts w:hint="eastAsia" w:ascii="宋体" w:hAnsi="宋体" w:eastAsia="宋体" w:cs="Times New Roman"/>
          <w:color w:val="auto"/>
          <w:kern w:val="0"/>
          <w:szCs w:val="21"/>
        </w:rPr>
        <w:t>%</w:t>
      </w:r>
      <w:r>
        <w:rPr>
          <w:rFonts w:hint="eastAsia" w:ascii="宋体" w:hAnsi="宋体" w:cs="Times New Roman"/>
          <w:color w:val="auto"/>
          <w:kern w:val="0"/>
          <w:szCs w:val="21"/>
          <w:lang w:val="en-US" w:eastAsia="zh-CN"/>
        </w:rPr>
        <w:t>提交</w:t>
      </w:r>
      <w:r>
        <w:rPr>
          <w:rFonts w:hint="eastAsia" w:ascii="宋体" w:hAnsi="宋体" w:eastAsia="宋体" w:cs="Times New Roman"/>
          <w:b w:val="0"/>
          <w:bCs/>
          <w:color w:val="auto"/>
          <w:kern w:val="0"/>
          <w:szCs w:val="21"/>
        </w:rPr>
        <w:t>。</w:t>
      </w:r>
    </w:p>
    <w:p>
      <w:pPr>
        <w:snapToGrid w:val="0"/>
        <w:spacing w:line="420" w:lineRule="exact"/>
        <w:ind w:firstLine="420" w:firstLineChars="200"/>
        <w:rPr>
          <w:rFonts w:hint="eastAsia" w:ascii="宋体" w:hAnsi="宋体" w:eastAsia="宋体" w:cs="Times New Roman"/>
          <w:b w:val="0"/>
          <w:bCs/>
          <w:color w:val="auto"/>
          <w:kern w:val="0"/>
          <w:szCs w:val="21"/>
        </w:rPr>
      </w:pPr>
      <w:r>
        <w:rPr>
          <w:rFonts w:hint="eastAsia" w:ascii="宋体" w:hAnsi="宋体" w:eastAsia="宋体" w:cs="Times New Roman"/>
          <w:b w:val="0"/>
          <w:bCs/>
          <w:color w:val="auto"/>
          <w:kern w:val="0"/>
          <w:szCs w:val="21"/>
        </w:rPr>
        <w:t>履约保证金递交方式：银行转账、支票、汇票、本票或者金融、担保机构出具的保函等非现金方式（参照投标保证金）。</w:t>
      </w:r>
    </w:p>
    <w:p>
      <w:pPr>
        <w:snapToGrid w:val="0"/>
        <w:spacing w:line="420" w:lineRule="exact"/>
        <w:ind w:firstLine="420" w:firstLineChars="200"/>
        <w:rPr>
          <w:rFonts w:hint="eastAsia" w:ascii="宋体" w:hAnsi="宋体" w:eastAsia="宋体" w:cs="Times New Roman"/>
          <w:b w:val="0"/>
          <w:bCs/>
          <w:color w:val="auto"/>
          <w:kern w:val="0"/>
          <w:szCs w:val="21"/>
        </w:rPr>
      </w:pPr>
      <w:r>
        <w:rPr>
          <w:rFonts w:hint="eastAsia" w:ascii="宋体" w:hAnsi="宋体" w:eastAsia="宋体" w:cs="Times New Roman"/>
          <w:b w:val="0"/>
          <w:bCs/>
          <w:color w:val="auto"/>
          <w:kern w:val="0"/>
          <w:szCs w:val="21"/>
        </w:rPr>
        <w:t>履约保证金退付方式、时间及条件：</w:t>
      </w:r>
      <w:r>
        <w:rPr>
          <w:rFonts w:hint="eastAsia" w:ascii="宋体" w:hAnsi="宋体" w:eastAsia="宋体" w:cs="Times New Roman"/>
          <w:color w:val="auto"/>
          <w:kern w:val="0"/>
          <w:szCs w:val="21"/>
        </w:rPr>
        <w:t>在项目履约完成后</w:t>
      </w:r>
      <w:r>
        <w:rPr>
          <w:rFonts w:hint="eastAsia" w:ascii="宋体" w:hAnsi="宋体" w:eastAsia="宋体" w:cs="Times New Roman"/>
          <w:b w:val="0"/>
          <w:bCs/>
          <w:color w:val="auto"/>
          <w:kern w:val="0"/>
          <w:szCs w:val="21"/>
        </w:rPr>
        <w:t>，乙方向甲方提出办理退还履约保证金，甲方应在收到申请相关材料（由乙方向履约保证金收取单位提供《广西壮族自治区政府采购项目合同验收书》（详见桂财采（2015）22号））后5个工作日内完成无息退付，如有扣除履约保证金的情形，只退履约保证金扣除后的余款（无息）。</w:t>
      </w:r>
    </w:p>
    <w:p>
      <w:pPr>
        <w:snapToGrid w:val="0"/>
        <w:spacing w:line="420" w:lineRule="exact"/>
        <w:ind w:firstLine="420" w:firstLineChars="200"/>
        <w:rPr>
          <w:rFonts w:hint="eastAsia" w:ascii="宋体" w:hAnsi="宋体" w:eastAsia="宋体" w:cs="Times New Roman"/>
          <w:b w:val="0"/>
          <w:bCs/>
          <w:color w:val="auto"/>
          <w:kern w:val="0"/>
          <w:szCs w:val="21"/>
        </w:rPr>
      </w:pPr>
      <w:r>
        <w:rPr>
          <w:rFonts w:hint="eastAsia" w:ascii="宋体" w:hAnsi="宋体" w:eastAsia="宋体" w:cs="Times New Roman"/>
          <w:b w:val="0"/>
          <w:bCs/>
          <w:color w:val="auto"/>
          <w:kern w:val="0"/>
          <w:szCs w:val="21"/>
        </w:rPr>
        <w:t>履约保证金指定账户：</w:t>
      </w:r>
    </w:p>
    <w:p>
      <w:pPr>
        <w:snapToGrid w:val="0"/>
        <w:spacing w:line="420" w:lineRule="exact"/>
        <w:ind w:firstLine="420" w:firstLineChars="200"/>
        <w:rPr>
          <w:rFonts w:hint="eastAsia" w:ascii="宋体" w:hAnsi="宋体" w:eastAsia="宋体" w:cs="Times New Roman"/>
          <w:b w:val="0"/>
          <w:bCs/>
          <w:color w:val="auto"/>
          <w:kern w:val="0"/>
          <w:szCs w:val="21"/>
        </w:rPr>
      </w:pPr>
      <w:r>
        <w:rPr>
          <w:rFonts w:hint="eastAsia" w:ascii="宋体" w:hAnsi="宋体" w:eastAsia="宋体" w:cs="Times New Roman"/>
          <w:b w:val="0"/>
          <w:bCs/>
          <w:color w:val="auto"/>
          <w:kern w:val="0"/>
          <w:szCs w:val="21"/>
        </w:rPr>
        <w:t>开户名称：广西壮族自治区救灾物资储备中心</w:t>
      </w:r>
    </w:p>
    <w:p>
      <w:pPr>
        <w:snapToGrid w:val="0"/>
        <w:spacing w:line="420" w:lineRule="exact"/>
        <w:ind w:firstLine="420" w:firstLineChars="200"/>
        <w:rPr>
          <w:rFonts w:hint="eastAsia" w:ascii="宋体" w:hAnsi="宋体" w:eastAsia="宋体" w:cs="Times New Roman"/>
          <w:b w:val="0"/>
          <w:bCs/>
          <w:color w:val="auto"/>
          <w:kern w:val="0"/>
          <w:szCs w:val="21"/>
        </w:rPr>
      </w:pPr>
      <w:r>
        <w:rPr>
          <w:rFonts w:hint="eastAsia" w:ascii="宋体" w:hAnsi="宋体" w:eastAsia="宋体" w:cs="Times New Roman"/>
          <w:b w:val="0"/>
          <w:bCs/>
          <w:color w:val="auto"/>
          <w:kern w:val="0"/>
          <w:szCs w:val="21"/>
        </w:rPr>
        <w:t>开户银行：中国银行股份有限公司南宁建政支行</w:t>
      </w:r>
    </w:p>
    <w:p>
      <w:pPr>
        <w:snapToGrid w:val="0"/>
        <w:spacing w:line="420" w:lineRule="exact"/>
        <w:ind w:firstLine="420" w:firstLineChars="200"/>
        <w:rPr>
          <w:rFonts w:hint="eastAsia" w:ascii="宋体" w:hAnsi="宋体" w:eastAsia="宋体" w:cs="Times New Roman"/>
          <w:b w:val="0"/>
          <w:bCs/>
          <w:color w:val="auto"/>
          <w:kern w:val="0"/>
          <w:szCs w:val="21"/>
        </w:rPr>
      </w:pPr>
      <w:r>
        <w:rPr>
          <w:rFonts w:hint="eastAsia" w:ascii="宋体" w:hAnsi="宋体" w:eastAsia="宋体" w:cs="Times New Roman"/>
          <w:b w:val="0"/>
          <w:bCs/>
          <w:color w:val="auto"/>
          <w:kern w:val="0"/>
          <w:szCs w:val="21"/>
        </w:rPr>
        <w:t>银行账号：618478801852</w:t>
      </w:r>
      <w:bookmarkEnd w:id="218"/>
    </w:p>
    <w:p>
      <w:pPr>
        <w:snapToGrid w:val="0"/>
        <w:spacing w:line="420" w:lineRule="exact"/>
        <w:ind w:firstLine="422" w:firstLineChars="200"/>
        <w:rPr>
          <w:rFonts w:ascii="宋体" w:hAnsi="宋体" w:eastAsia="宋体" w:cs="Times New Roman"/>
          <w:b/>
          <w:color w:val="auto"/>
          <w:kern w:val="0"/>
          <w:szCs w:val="21"/>
        </w:rPr>
      </w:pPr>
      <w:r>
        <w:rPr>
          <w:rFonts w:hint="eastAsia" w:ascii="宋体" w:hAnsi="宋体" w:eastAsia="宋体" w:cs="Times New Roman"/>
          <w:b/>
          <w:color w:val="auto"/>
          <w:kern w:val="0"/>
          <w:szCs w:val="21"/>
        </w:rPr>
        <w:t>第十条  税费</w:t>
      </w:r>
    </w:p>
    <w:p>
      <w:pPr>
        <w:snapToGrid w:val="0"/>
        <w:spacing w:line="420" w:lineRule="exact"/>
        <w:ind w:firstLine="420" w:firstLineChars="200"/>
        <w:rPr>
          <w:rFonts w:ascii="宋体" w:hAnsi="宋体" w:eastAsia="宋体" w:cs="Times New Roman"/>
          <w:bCs/>
          <w:color w:val="auto"/>
          <w:kern w:val="0"/>
          <w:szCs w:val="21"/>
        </w:rPr>
      </w:pPr>
      <w:r>
        <w:rPr>
          <w:rFonts w:hint="eastAsia" w:ascii="宋体" w:hAnsi="宋体" w:eastAsia="宋体" w:cs="Times New Roman"/>
          <w:bCs/>
          <w:color w:val="auto"/>
          <w:kern w:val="0"/>
          <w:szCs w:val="21"/>
        </w:rPr>
        <w:t>本合同执行中相关的一切税费均由乙方负担。</w:t>
      </w:r>
    </w:p>
    <w:p>
      <w:pPr>
        <w:snapToGrid w:val="0"/>
        <w:spacing w:line="420" w:lineRule="exact"/>
        <w:ind w:firstLine="422" w:firstLineChars="200"/>
        <w:rPr>
          <w:rFonts w:ascii="宋体" w:hAnsi="宋体" w:eastAsia="宋体" w:cs="Times New Roman"/>
          <w:b/>
          <w:color w:val="auto"/>
          <w:kern w:val="0"/>
          <w:szCs w:val="21"/>
        </w:rPr>
      </w:pPr>
      <w:r>
        <w:rPr>
          <w:rFonts w:hint="eastAsia" w:ascii="宋体" w:hAnsi="宋体" w:eastAsia="宋体" w:cs="Times New Roman"/>
          <w:b/>
          <w:color w:val="auto"/>
          <w:kern w:val="0"/>
          <w:szCs w:val="21"/>
        </w:rPr>
        <w:t>第十一条　违约责任</w:t>
      </w:r>
    </w:p>
    <w:p>
      <w:pPr>
        <w:spacing w:line="440" w:lineRule="exact"/>
        <w:ind w:firstLine="420" w:firstLineChars="200"/>
        <w:jc w:val="left"/>
        <w:rPr>
          <w:rFonts w:hint="eastAsia" w:ascii="宋体" w:hAnsi="Calibri" w:eastAsia="宋体" w:cs="Times New Roman"/>
          <w:color w:val="auto"/>
          <w:szCs w:val="21"/>
        </w:rPr>
      </w:pPr>
      <w:bookmarkStart w:id="219" w:name="OLE_LINK7"/>
      <w:r>
        <w:rPr>
          <w:rFonts w:hint="eastAsia" w:ascii="宋体" w:hAnsi="Calibri" w:eastAsia="宋体" w:cs="Times New Roman"/>
          <w:color w:val="auto"/>
          <w:szCs w:val="21"/>
        </w:rPr>
        <w:t>1</w:t>
      </w:r>
      <w:r>
        <w:rPr>
          <w:rFonts w:hint="eastAsia" w:ascii="宋体" w:hAnsi="Calibri" w:cs="Times New Roman"/>
          <w:color w:val="auto"/>
          <w:szCs w:val="21"/>
          <w:lang w:eastAsia="zh-CN"/>
        </w:rPr>
        <w:t>、</w:t>
      </w:r>
      <w:r>
        <w:rPr>
          <w:rFonts w:hint="eastAsia" w:ascii="宋体" w:hAnsi="Calibri" w:eastAsia="宋体" w:cs="Times New Roman"/>
          <w:color w:val="auto"/>
          <w:szCs w:val="21"/>
        </w:rPr>
        <w:t>乙方所提供的货物规格、技术标准、材料等质量不合格的，应及时更换，更换不及时的按逾期交货处罚；因质量问题甲方不同意接收的或特殊情况甲方同意接收的，乙方应向甲方支付本合同合计金额违约货款额 5%违约金并赔偿给甲方造成的经济损失。违约金上限为本合同合计金额的</w:t>
      </w:r>
      <w:r>
        <w:rPr>
          <w:rFonts w:hint="eastAsia" w:ascii="宋体" w:hAnsi="Calibri" w:cs="Times New Roman"/>
          <w:color w:val="auto"/>
          <w:szCs w:val="21"/>
          <w:lang w:eastAsia="zh-CN"/>
        </w:rPr>
        <w:t>1</w:t>
      </w:r>
      <w:r>
        <w:rPr>
          <w:rFonts w:hint="eastAsia" w:ascii="宋体" w:hAnsi="Calibri" w:cs="Times New Roman"/>
          <w:color w:val="auto"/>
          <w:szCs w:val="21"/>
          <w:lang w:val="en-US" w:eastAsia="zh-CN"/>
        </w:rPr>
        <w:t>5</w:t>
      </w:r>
      <w:r>
        <w:rPr>
          <w:rFonts w:hint="eastAsia" w:ascii="宋体" w:hAnsi="Calibri" w:eastAsia="宋体" w:cs="Times New Roman"/>
          <w:color w:val="auto"/>
          <w:szCs w:val="21"/>
        </w:rPr>
        <w:t>%</w:t>
      </w:r>
    </w:p>
    <w:p>
      <w:pPr>
        <w:spacing w:line="440" w:lineRule="exact"/>
        <w:ind w:firstLine="420" w:firstLineChars="200"/>
        <w:jc w:val="left"/>
        <w:rPr>
          <w:rFonts w:hint="eastAsia" w:ascii="宋体" w:hAnsi="Calibri" w:eastAsia="宋体" w:cs="Times New Roman"/>
          <w:color w:val="auto"/>
          <w:szCs w:val="21"/>
        </w:rPr>
      </w:pPr>
      <w:r>
        <w:rPr>
          <w:rFonts w:hint="eastAsia" w:ascii="宋体" w:hAnsi="Calibri" w:eastAsia="宋体" w:cs="Times New Roman"/>
          <w:color w:val="auto"/>
          <w:szCs w:val="21"/>
        </w:rPr>
        <w:t>2</w:t>
      </w:r>
      <w:r>
        <w:rPr>
          <w:rFonts w:hint="eastAsia" w:ascii="宋体" w:hAnsi="Calibri" w:cs="Times New Roman"/>
          <w:color w:val="auto"/>
          <w:szCs w:val="21"/>
          <w:lang w:eastAsia="zh-CN"/>
        </w:rPr>
        <w:t>、</w:t>
      </w:r>
      <w:r>
        <w:rPr>
          <w:rFonts w:hint="eastAsia" w:ascii="宋体" w:hAnsi="Calibri" w:eastAsia="宋体" w:cs="Times New Roman"/>
          <w:color w:val="auto"/>
          <w:szCs w:val="21"/>
        </w:rPr>
        <w:t>乙方提供的货物如侵犯了第三方合法权益而引发的任何纠纷或诉讼，均由乙方负责交涉并承担全部责任</w:t>
      </w:r>
      <w:r>
        <w:rPr>
          <w:rFonts w:hint="eastAsia" w:ascii="宋体" w:hAnsi="Calibri"/>
          <w:color w:val="auto"/>
          <w:szCs w:val="21"/>
        </w:rPr>
        <w:t>，并应向甲方支付该批次货物对应合同金额20%的违约金。</w:t>
      </w:r>
    </w:p>
    <w:p>
      <w:pPr>
        <w:spacing w:line="440" w:lineRule="exact"/>
        <w:ind w:firstLine="420" w:firstLineChars="200"/>
        <w:jc w:val="left"/>
        <w:rPr>
          <w:rFonts w:hint="eastAsia" w:ascii="宋体" w:hAnsi="Calibri" w:eastAsia="宋体" w:cs="Times New Roman"/>
          <w:color w:val="auto"/>
          <w:szCs w:val="21"/>
        </w:rPr>
      </w:pPr>
      <w:r>
        <w:rPr>
          <w:rFonts w:hint="eastAsia" w:ascii="宋体" w:hAnsi="Calibri" w:eastAsia="宋体" w:cs="Times New Roman"/>
          <w:color w:val="auto"/>
          <w:szCs w:val="21"/>
        </w:rPr>
        <w:t>3</w:t>
      </w:r>
      <w:r>
        <w:rPr>
          <w:rFonts w:hint="eastAsia" w:ascii="宋体" w:hAnsi="Calibri" w:cs="Times New Roman"/>
          <w:color w:val="auto"/>
          <w:szCs w:val="21"/>
          <w:lang w:eastAsia="zh-CN"/>
        </w:rPr>
        <w:t>、</w:t>
      </w:r>
      <w:r>
        <w:rPr>
          <w:rFonts w:hint="eastAsia" w:ascii="宋体" w:hAnsi="Calibri" w:eastAsia="宋体" w:cs="Times New Roman"/>
          <w:color w:val="auto"/>
          <w:szCs w:val="21"/>
        </w:rPr>
        <w:t>因包装、运输引起的货物损坏，按质量不合格处罚。</w:t>
      </w:r>
    </w:p>
    <w:p>
      <w:pPr>
        <w:spacing w:line="440" w:lineRule="exact"/>
        <w:ind w:firstLine="420" w:firstLineChars="200"/>
        <w:jc w:val="left"/>
        <w:rPr>
          <w:rFonts w:hint="eastAsia" w:ascii="宋体" w:hAnsi="Calibri" w:eastAsia="宋体" w:cs="Times New Roman"/>
          <w:color w:val="auto"/>
          <w:szCs w:val="21"/>
        </w:rPr>
      </w:pPr>
      <w:r>
        <w:rPr>
          <w:rFonts w:hint="eastAsia" w:ascii="宋体" w:hAnsi="Calibri" w:eastAsia="宋体" w:cs="Times New Roman"/>
          <w:color w:val="auto"/>
          <w:szCs w:val="21"/>
        </w:rPr>
        <w:t>4</w:t>
      </w:r>
      <w:r>
        <w:rPr>
          <w:rFonts w:hint="eastAsia" w:ascii="宋体" w:hAnsi="Calibri" w:cs="Times New Roman"/>
          <w:color w:val="auto"/>
          <w:szCs w:val="21"/>
          <w:lang w:eastAsia="zh-CN"/>
        </w:rPr>
        <w:t>、</w:t>
      </w:r>
      <w:r>
        <w:rPr>
          <w:rFonts w:hint="eastAsia" w:ascii="宋体" w:hAnsi="Calibri" w:eastAsia="宋体" w:cs="Times New Roman"/>
          <w:color w:val="auto"/>
          <w:szCs w:val="21"/>
        </w:rPr>
        <w:t>甲方无故延期接收货物、乙方逾期交货的，每天向对方偿付违约货款额3‰违约金，但违约金累计不得超过违约货款额9%，超过3天对方有权解除合同，违约方承担因此给对方造成经济损失；甲方延期付货款的，每天向乙方偿付延期货款额</w:t>
      </w:r>
      <w:r>
        <w:rPr>
          <w:rFonts w:hint="eastAsia" w:ascii="宋体" w:hAnsi="Calibri" w:cs="Times New Roman"/>
          <w:color w:val="auto"/>
          <w:szCs w:val="21"/>
          <w:lang w:val="en-US" w:eastAsia="zh-CN"/>
        </w:rPr>
        <w:t>万分之三</w:t>
      </w:r>
      <w:r>
        <w:rPr>
          <w:rFonts w:hint="eastAsia" w:ascii="宋体" w:hAnsi="Calibri" w:eastAsia="宋体" w:cs="Times New Roman"/>
          <w:color w:val="auto"/>
          <w:szCs w:val="21"/>
        </w:rPr>
        <w:t>滞纳金。</w:t>
      </w:r>
    </w:p>
    <w:p>
      <w:pPr>
        <w:spacing w:line="440" w:lineRule="exact"/>
        <w:ind w:firstLine="420" w:firstLineChars="200"/>
        <w:jc w:val="left"/>
        <w:rPr>
          <w:rFonts w:hint="eastAsia" w:ascii="宋体" w:hAnsi="Calibri" w:eastAsia="宋体" w:cs="Times New Roman"/>
          <w:color w:val="auto"/>
          <w:szCs w:val="21"/>
        </w:rPr>
      </w:pPr>
      <w:r>
        <w:rPr>
          <w:rFonts w:hint="eastAsia" w:ascii="宋体" w:hAnsi="Calibri" w:eastAsia="宋体" w:cs="Times New Roman"/>
          <w:color w:val="auto"/>
          <w:szCs w:val="21"/>
        </w:rPr>
        <w:t>5</w:t>
      </w:r>
      <w:r>
        <w:rPr>
          <w:rFonts w:hint="eastAsia" w:ascii="宋体" w:hAnsi="Calibri" w:cs="Times New Roman"/>
          <w:color w:val="auto"/>
          <w:szCs w:val="21"/>
          <w:lang w:eastAsia="zh-CN"/>
        </w:rPr>
        <w:t>、</w:t>
      </w:r>
      <w:r>
        <w:rPr>
          <w:rFonts w:hint="eastAsia" w:ascii="宋体" w:hAnsi="Calibri" w:eastAsia="宋体" w:cs="Times New Roman"/>
          <w:color w:val="auto"/>
          <w:szCs w:val="21"/>
        </w:rPr>
        <w:t>乙方未按本合同和投标文件中规定的服务承诺提供售后服务的，乙方应按本合同合计金额 5%向甲方支付违约金。</w:t>
      </w:r>
    </w:p>
    <w:p>
      <w:pPr>
        <w:spacing w:line="440" w:lineRule="exact"/>
        <w:ind w:firstLine="420" w:firstLineChars="200"/>
        <w:jc w:val="left"/>
        <w:rPr>
          <w:rFonts w:hint="eastAsia" w:ascii="宋体" w:hAnsi="Calibri" w:eastAsia="宋体" w:cs="Times New Roman"/>
          <w:color w:val="auto"/>
          <w:szCs w:val="21"/>
        </w:rPr>
      </w:pPr>
      <w:r>
        <w:rPr>
          <w:rFonts w:hint="eastAsia" w:ascii="宋体" w:hAnsi="Calibri" w:eastAsia="宋体" w:cs="Times New Roman"/>
          <w:color w:val="auto"/>
          <w:szCs w:val="21"/>
        </w:rPr>
        <w:t>6</w:t>
      </w:r>
      <w:r>
        <w:rPr>
          <w:rFonts w:hint="eastAsia" w:ascii="宋体" w:hAnsi="Calibri" w:cs="Times New Roman"/>
          <w:color w:val="auto"/>
          <w:szCs w:val="21"/>
          <w:lang w:eastAsia="zh-CN"/>
        </w:rPr>
        <w:t>、</w:t>
      </w:r>
      <w:r>
        <w:rPr>
          <w:rFonts w:hint="eastAsia" w:ascii="宋体" w:hAnsi="Calibri" w:eastAsia="宋体" w:cs="Times New Roman"/>
          <w:color w:val="auto"/>
          <w:szCs w:val="21"/>
        </w:rPr>
        <w:t>乙方提供的货物在质量保证期内，因设计、工艺或材料的缺陷和其它质量原因造成的问题，由乙方负责修复，如无法修复的乙方负责更换全新货物，或者按合同价向甲方赔偿经济损失。</w:t>
      </w:r>
    </w:p>
    <w:p>
      <w:pPr>
        <w:spacing w:line="440" w:lineRule="exact"/>
        <w:ind w:firstLine="420" w:firstLineChars="200"/>
        <w:jc w:val="left"/>
        <w:rPr>
          <w:rFonts w:hint="eastAsia" w:ascii="宋体" w:hAnsi="Calibri" w:eastAsia="宋体" w:cs="Times New Roman"/>
          <w:color w:val="auto"/>
          <w:szCs w:val="21"/>
        </w:rPr>
      </w:pPr>
      <w:r>
        <w:rPr>
          <w:rFonts w:hint="eastAsia" w:ascii="宋体" w:hAnsi="Calibri" w:eastAsia="宋体" w:cs="Times New Roman"/>
          <w:color w:val="auto"/>
          <w:szCs w:val="21"/>
        </w:rPr>
        <w:t>7</w:t>
      </w:r>
      <w:r>
        <w:rPr>
          <w:rFonts w:hint="eastAsia" w:ascii="宋体" w:hAnsi="Calibri" w:cs="Times New Roman"/>
          <w:color w:val="auto"/>
          <w:szCs w:val="21"/>
          <w:lang w:eastAsia="zh-CN"/>
        </w:rPr>
        <w:t>、</w:t>
      </w:r>
      <w:r>
        <w:rPr>
          <w:rFonts w:hint="eastAsia" w:ascii="宋体" w:hAnsi="Calibri" w:eastAsia="宋体" w:cs="Times New Roman"/>
          <w:color w:val="auto"/>
          <w:szCs w:val="21"/>
        </w:rPr>
        <w:t>甲乙双方其它违约行为的，由违约方向对方支付该批货款额5%违约金。并承担相应法律责任及赔偿其它一切经济损失。</w:t>
      </w:r>
      <w:bookmarkEnd w:id="219"/>
    </w:p>
    <w:p>
      <w:pPr>
        <w:snapToGrid w:val="0"/>
        <w:spacing w:line="420" w:lineRule="exact"/>
        <w:ind w:firstLine="422" w:firstLineChars="200"/>
        <w:rPr>
          <w:rFonts w:ascii="宋体" w:hAnsi="宋体" w:eastAsia="宋体" w:cs="Times New Roman"/>
          <w:b/>
          <w:color w:val="auto"/>
          <w:kern w:val="0"/>
          <w:szCs w:val="21"/>
        </w:rPr>
      </w:pPr>
      <w:r>
        <w:rPr>
          <w:rFonts w:hint="eastAsia" w:ascii="宋体" w:hAnsi="宋体" w:eastAsia="宋体" w:cs="Times New Roman"/>
          <w:b/>
          <w:color w:val="auto"/>
          <w:kern w:val="0"/>
          <w:szCs w:val="21"/>
        </w:rPr>
        <w:t>第十二条  不可抗力事件处理</w:t>
      </w:r>
    </w:p>
    <w:p>
      <w:pPr>
        <w:snapToGrid w:val="0"/>
        <w:spacing w:line="420" w:lineRule="exact"/>
        <w:ind w:firstLine="420" w:firstLineChars="200"/>
        <w:rPr>
          <w:rFonts w:hint="eastAsia" w:ascii="宋体" w:hAnsi="宋体" w:eastAsia="宋体" w:cs="Times New Roman"/>
          <w:color w:val="auto"/>
          <w:kern w:val="0"/>
          <w:szCs w:val="21"/>
        </w:rPr>
      </w:pPr>
      <w:bookmarkStart w:id="220" w:name="OLE_LINK8"/>
      <w:r>
        <w:rPr>
          <w:rFonts w:hint="eastAsia" w:ascii="宋体" w:hAnsi="宋体" w:eastAsia="宋体" w:cs="Times New Roman"/>
          <w:color w:val="auto"/>
          <w:kern w:val="0"/>
          <w:szCs w:val="21"/>
        </w:rPr>
        <w:t>1</w:t>
      </w:r>
      <w:r>
        <w:rPr>
          <w:rFonts w:hint="eastAsia" w:ascii="宋体" w:hAnsi="宋体" w:cs="Times New Roman"/>
          <w:color w:val="auto"/>
          <w:kern w:val="0"/>
          <w:szCs w:val="21"/>
          <w:lang w:eastAsia="zh-CN"/>
        </w:rPr>
        <w:t>、</w:t>
      </w:r>
      <w:r>
        <w:rPr>
          <w:rFonts w:hint="eastAsia" w:ascii="宋体" w:hAnsi="宋体" w:eastAsia="宋体" w:cs="Times New Roman"/>
          <w:color w:val="auto"/>
          <w:kern w:val="0"/>
          <w:szCs w:val="21"/>
        </w:rPr>
        <w:t>在合同有效期内，任何一方因不可抗力事件导致不能履行合同，则合同履行期可延长，其延长期与不可抗力影响期相同。</w:t>
      </w:r>
    </w:p>
    <w:p>
      <w:pPr>
        <w:snapToGrid w:val="0"/>
        <w:spacing w:line="420" w:lineRule="exact"/>
        <w:ind w:firstLine="420" w:firstLineChars="200"/>
        <w:rPr>
          <w:rFonts w:hint="eastAsia" w:ascii="宋体" w:hAnsi="宋体" w:eastAsia="宋体" w:cs="Times New Roman"/>
          <w:color w:val="auto"/>
          <w:kern w:val="0"/>
          <w:szCs w:val="21"/>
        </w:rPr>
      </w:pPr>
      <w:r>
        <w:rPr>
          <w:rFonts w:hint="eastAsia" w:ascii="宋体" w:hAnsi="宋体" w:eastAsia="宋体" w:cs="Times New Roman"/>
          <w:color w:val="auto"/>
          <w:kern w:val="0"/>
          <w:szCs w:val="21"/>
        </w:rPr>
        <w:t>2</w:t>
      </w:r>
      <w:r>
        <w:rPr>
          <w:rFonts w:hint="eastAsia" w:ascii="宋体" w:hAnsi="宋体" w:cs="Times New Roman"/>
          <w:color w:val="auto"/>
          <w:kern w:val="0"/>
          <w:szCs w:val="21"/>
          <w:lang w:eastAsia="zh-CN"/>
        </w:rPr>
        <w:t>、</w:t>
      </w:r>
      <w:r>
        <w:rPr>
          <w:rFonts w:hint="eastAsia" w:ascii="宋体" w:hAnsi="宋体" w:eastAsia="宋体" w:cs="Times New Roman"/>
          <w:color w:val="auto"/>
          <w:kern w:val="0"/>
          <w:szCs w:val="21"/>
        </w:rPr>
        <w:t>不可抗力事件发生后，应立即通知对方，并寄送有关权威机构出具的证明。</w:t>
      </w:r>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rPr>
        <w:t>3</w:t>
      </w:r>
      <w:r>
        <w:rPr>
          <w:rFonts w:hint="eastAsia" w:ascii="宋体" w:hAnsi="宋体" w:cs="Times New Roman"/>
          <w:color w:val="auto"/>
          <w:kern w:val="0"/>
          <w:szCs w:val="21"/>
          <w:lang w:eastAsia="zh-CN"/>
        </w:rPr>
        <w:t>、</w:t>
      </w:r>
      <w:r>
        <w:rPr>
          <w:rFonts w:hint="eastAsia" w:ascii="宋体" w:hAnsi="宋体" w:eastAsia="宋体" w:cs="Times New Roman"/>
          <w:color w:val="auto"/>
          <w:kern w:val="0"/>
          <w:szCs w:val="21"/>
        </w:rPr>
        <w:t>不可抗力事件延续一百二十天以上，双方应通过友好协商，确定是否继续履行合同。</w:t>
      </w:r>
      <w:bookmarkEnd w:id="220"/>
    </w:p>
    <w:p>
      <w:pPr>
        <w:snapToGrid w:val="0"/>
        <w:spacing w:line="420" w:lineRule="exact"/>
        <w:ind w:firstLine="422" w:firstLineChars="200"/>
        <w:rPr>
          <w:rFonts w:ascii="宋体" w:hAnsi="宋体" w:eastAsia="宋体" w:cs="Times New Roman"/>
          <w:color w:val="auto"/>
          <w:kern w:val="0"/>
          <w:szCs w:val="21"/>
        </w:rPr>
      </w:pPr>
      <w:r>
        <w:rPr>
          <w:rFonts w:hint="eastAsia" w:ascii="宋体" w:hAnsi="宋体" w:eastAsia="宋体" w:cs="Times New Roman"/>
          <w:b/>
          <w:color w:val="auto"/>
          <w:kern w:val="0"/>
          <w:szCs w:val="21"/>
        </w:rPr>
        <w:t>第十三条  合同争议解决及诉讼</w:t>
      </w:r>
    </w:p>
    <w:p>
      <w:pPr>
        <w:snapToGrid w:val="0"/>
        <w:spacing w:line="420" w:lineRule="exact"/>
        <w:ind w:firstLine="420" w:firstLineChars="200"/>
        <w:rPr>
          <w:rFonts w:ascii="宋体" w:hAnsi="宋体" w:eastAsia="宋体" w:cs="Times New Roman"/>
          <w:color w:val="auto"/>
          <w:kern w:val="0"/>
          <w:szCs w:val="21"/>
        </w:rPr>
      </w:pPr>
      <w:bookmarkStart w:id="221" w:name="OLE_LINK9"/>
      <w:r>
        <w:rPr>
          <w:rFonts w:hint="eastAsia" w:ascii="宋体" w:hAnsi="宋体" w:eastAsia="宋体" w:cs="Times New Roman"/>
          <w:color w:val="auto"/>
          <w:kern w:val="0"/>
          <w:szCs w:val="21"/>
        </w:rPr>
        <w:t>1、因货物质量问题发生争议的，应邀请国家认可的质量检测机构对货物参数进行检测（复检）。货物参数符合投标文件的承诺的，鉴定费由甲方承担；货物不符合投标文件的承诺的，鉴定费由乙方承担。</w:t>
      </w:r>
      <w:bookmarkEnd w:id="221"/>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rPr>
        <w:t>2、因履行本合同引起的或与本合同有关的争议，甲乙双方应首先通过友好协商解决，如果协商不能解决，可向甲方所在地人民法院提起诉讼。</w:t>
      </w:r>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rPr>
        <w:t>3、诉讼期间，本合同继续履行。</w:t>
      </w:r>
    </w:p>
    <w:p>
      <w:pPr>
        <w:spacing w:line="360" w:lineRule="auto"/>
        <w:ind w:firstLine="422" w:firstLineChars="200"/>
        <w:jc w:val="left"/>
        <w:rPr>
          <w:rFonts w:ascii="宋体" w:hAnsi="宋体" w:eastAsia="宋体" w:cs="Times New Roman"/>
          <w:b/>
          <w:color w:val="auto"/>
          <w:szCs w:val="21"/>
        </w:rPr>
      </w:pPr>
      <w:r>
        <w:rPr>
          <w:rFonts w:hint="eastAsia" w:ascii="宋体" w:hAnsi="宋体" w:eastAsia="宋体" w:cs="Times New Roman"/>
          <w:b/>
          <w:color w:val="auto"/>
          <w:szCs w:val="21"/>
        </w:rPr>
        <w:t>第十四条 通知和送达</w:t>
      </w:r>
    </w:p>
    <w:p>
      <w:pPr>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1、各方确认，本合同载明的各方地址为各方真实有效通讯地址，一方向对方发出的任何通知、信函和文件，以挂号信函或快递信函方式向对方地址邮寄有关通知、信函和文件的，自发出之日起第三日视为送达对方，挂号信函或快递信函的邮寄凭证即视为成功送达的有效凭证。一方地址变更的，应在变更后10日内书面通知对方，否则本合同载明的地址仍为真实有效通讯地址。若为专人提交的，自对方法定代表人、授权代表、委托代理人签收时或单位盖章时视为送达对方。因提供或者确认的通讯地址不准确、通讯地址变更后未及时依程序告知对方或受送达方拒绝签收等原因，导致文书未能被实际接收的，邮寄送达的，以文书退回之日视为送达之日。</w:t>
      </w:r>
    </w:p>
    <w:p>
      <w:pPr>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2、本合同载明的各方电子邮箱、电话号是各方真实有效的通讯联系方式，一方向对方发出的任何通知、信函和文件，若以邮件方式发送的，自邮件发送成功视为送达对方。一方电子邮箱或电话变更的，应在变更后10日内书面通知对方，否则本合同载明的电子邮箱或电话仍为真实有效的通讯联系方式。</w:t>
      </w:r>
    </w:p>
    <w:p>
      <w:pPr>
        <w:spacing w:line="360" w:lineRule="auto"/>
        <w:ind w:firstLine="420" w:firstLineChars="200"/>
        <w:jc w:val="left"/>
        <w:rPr>
          <w:rFonts w:ascii="宋体" w:hAnsi="宋体" w:eastAsia="宋体" w:cs="Times New Roman"/>
          <w:color w:val="auto"/>
          <w:szCs w:val="21"/>
        </w:rPr>
      </w:pPr>
      <w:r>
        <w:rPr>
          <w:rFonts w:hint="eastAsia" w:ascii="宋体" w:hAnsi="宋体" w:eastAsia="宋体" w:cs="Times New Roman"/>
          <w:color w:val="auto"/>
          <w:szCs w:val="21"/>
        </w:rPr>
        <w:t>3、上述送达地址和联系方式适用范围包括双方非诉时各类通知、合同等文件以及就合同发生纠纷时相关文件和法律文书的送达，同时包括在争议进入仲裁、民事诉讼程序后的一审、二审、再审和执行程序。</w:t>
      </w:r>
    </w:p>
    <w:p>
      <w:pPr>
        <w:snapToGrid w:val="0"/>
        <w:spacing w:line="420" w:lineRule="exact"/>
        <w:ind w:firstLine="422" w:firstLineChars="200"/>
        <w:rPr>
          <w:rFonts w:ascii="宋体" w:hAnsi="宋体" w:eastAsia="宋体" w:cs="Times New Roman"/>
          <w:b/>
          <w:color w:val="auto"/>
          <w:kern w:val="0"/>
          <w:szCs w:val="21"/>
        </w:rPr>
      </w:pPr>
      <w:r>
        <w:rPr>
          <w:rFonts w:hint="eastAsia" w:ascii="宋体" w:hAnsi="宋体" w:eastAsia="宋体" w:cs="Times New Roman"/>
          <w:b/>
          <w:color w:val="auto"/>
          <w:kern w:val="0"/>
          <w:szCs w:val="21"/>
        </w:rPr>
        <w:t>第十五条  合同生效及其它</w:t>
      </w:r>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rPr>
        <w:t>1、合同经双方法定代表人或授权代表签字并加盖单位公章后生效。（授权代表签字的需后附法定代表人授权委托书，格式自拟）。</w:t>
      </w:r>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rPr>
        <w:t>2、</w:t>
      </w:r>
      <w:r>
        <w:rPr>
          <w:rFonts w:ascii="宋体" w:hAnsi="宋体" w:eastAsia="宋体" w:cs="Arial"/>
          <w:color w:val="auto"/>
          <w:szCs w:val="21"/>
        </w:rPr>
        <w:t>合同执行中涉及采购内容修改或补充的，按政府采购相关规定要求签订书面补充协议，并作为主合同不可分割的一部分</w:t>
      </w:r>
      <w:r>
        <w:rPr>
          <w:rFonts w:hint="eastAsia" w:ascii="宋体" w:hAnsi="宋体" w:eastAsia="宋体" w:cs="Times New Roman"/>
          <w:color w:val="auto"/>
          <w:kern w:val="0"/>
          <w:szCs w:val="21"/>
        </w:rPr>
        <w:t>。</w:t>
      </w:r>
    </w:p>
    <w:p>
      <w:pPr>
        <w:snapToGrid w:val="0"/>
        <w:spacing w:line="420" w:lineRule="exact"/>
        <w:ind w:firstLine="422" w:firstLineChars="200"/>
        <w:rPr>
          <w:rFonts w:ascii="宋体" w:hAnsi="宋体" w:eastAsia="宋体" w:cs="Times New Roman"/>
          <w:b/>
          <w:color w:val="auto"/>
          <w:kern w:val="0"/>
          <w:szCs w:val="21"/>
        </w:rPr>
      </w:pPr>
      <w:r>
        <w:rPr>
          <w:rFonts w:hint="eastAsia" w:ascii="宋体" w:hAnsi="宋体" w:eastAsia="宋体" w:cs="Times New Roman"/>
          <w:b/>
          <w:color w:val="auto"/>
          <w:kern w:val="0"/>
          <w:szCs w:val="21"/>
        </w:rPr>
        <w:t>第十六条　合同的变更、终止与转让</w:t>
      </w:r>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rPr>
        <w:t>1、除《中华人民共和国政府采购法》第50条规定的情形外，本合同一经签订，甲乙双方不得擅自变更、中止或终止。</w:t>
      </w:r>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rPr>
        <w:t>2、乙方不得擅自转让其应履行的合同义务。</w:t>
      </w:r>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rPr>
        <w:t>3、本合同未尽事宜，遵照《中华人民共和国民法典》有关条文执行。</w:t>
      </w:r>
    </w:p>
    <w:p>
      <w:pPr>
        <w:snapToGrid w:val="0"/>
        <w:spacing w:line="420" w:lineRule="exact"/>
        <w:ind w:firstLine="422" w:firstLineChars="200"/>
        <w:rPr>
          <w:rFonts w:ascii="宋体" w:hAnsi="宋体" w:eastAsia="宋体" w:cs="Times New Roman"/>
          <w:b/>
          <w:color w:val="auto"/>
          <w:kern w:val="0"/>
          <w:szCs w:val="21"/>
        </w:rPr>
      </w:pPr>
      <w:r>
        <w:rPr>
          <w:rFonts w:hint="eastAsia" w:ascii="宋体" w:hAnsi="宋体" w:eastAsia="宋体" w:cs="Times New Roman"/>
          <w:b/>
          <w:color w:val="auto"/>
          <w:kern w:val="0"/>
          <w:szCs w:val="21"/>
        </w:rPr>
        <w:t>第十七条　签订本合同依据</w:t>
      </w:r>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rPr>
        <w:t>1、政府采购招标文件；</w:t>
      </w:r>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rPr>
        <w:t>2、乙方提供的投标文件；</w:t>
      </w:r>
    </w:p>
    <w:p>
      <w:pPr>
        <w:snapToGrid w:val="0"/>
        <w:spacing w:line="420" w:lineRule="exact"/>
        <w:ind w:firstLine="420" w:firstLineChars="200"/>
        <w:rPr>
          <w:rFonts w:ascii="宋体" w:hAnsi="宋体" w:eastAsia="宋体" w:cs="Times New Roman"/>
          <w:color w:val="auto"/>
          <w:kern w:val="0"/>
          <w:szCs w:val="21"/>
        </w:rPr>
      </w:pPr>
      <w:r>
        <w:rPr>
          <w:rFonts w:hint="eastAsia" w:ascii="宋体" w:hAnsi="宋体" w:eastAsia="宋体" w:cs="Times New Roman"/>
          <w:color w:val="auto"/>
          <w:kern w:val="0"/>
          <w:szCs w:val="21"/>
        </w:rPr>
        <w:t>3、投标承诺书；</w:t>
      </w:r>
    </w:p>
    <w:p>
      <w:pPr>
        <w:snapToGrid w:val="0"/>
        <w:spacing w:line="420" w:lineRule="exact"/>
        <w:ind w:firstLine="420" w:firstLineChars="200"/>
        <w:rPr>
          <w:rFonts w:hint="eastAsia" w:ascii="宋体" w:hAnsi="宋体" w:eastAsia="宋体" w:cs="Times New Roman"/>
          <w:color w:val="auto"/>
          <w:kern w:val="0"/>
          <w:szCs w:val="21"/>
        </w:rPr>
      </w:pPr>
      <w:r>
        <w:rPr>
          <w:rFonts w:hint="eastAsia" w:ascii="宋体" w:hAnsi="宋体" w:eastAsia="宋体" w:cs="Times New Roman"/>
          <w:color w:val="auto"/>
          <w:kern w:val="0"/>
          <w:szCs w:val="21"/>
        </w:rPr>
        <w:t>4、中标通知书。</w:t>
      </w:r>
    </w:p>
    <w:p>
      <w:pPr>
        <w:snapToGrid w:val="0"/>
        <w:spacing w:line="420" w:lineRule="exact"/>
        <w:ind w:firstLine="422" w:firstLineChars="200"/>
        <w:rPr>
          <w:rFonts w:hint="eastAsia" w:ascii="宋体" w:hAnsi="宋体" w:eastAsia="宋体" w:cs="Times New Roman"/>
          <w:b/>
          <w:color w:val="auto"/>
          <w:kern w:val="0"/>
          <w:szCs w:val="21"/>
        </w:rPr>
      </w:pPr>
      <w:r>
        <w:rPr>
          <w:rFonts w:hint="eastAsia" w:ascii="宋体" w:hAnsi="宋体" w:eastAsia="宋体" w:cs="Times New Roman"/>
          <w:b/>
          <w:color w:val="auto"/>
          <w:kern w:val="0"/>
          <w:szCs w:val="21"/>
        </w:rPr>
        <w:t xml:space="preserve">第十八条 </w:t>
      </w:r>
      <w:r>
        <w:rPr>
          <w:rFonts w:hint="eastAsia" w:ascii="宋体" w:hAnsi="宋体" w:eastAsia="宋体" w:cs="Times New Roman"/>
          <w:color w:val="auto"/>
          <w:kern w:val="0"/>
          <w:szCs w:val="21"/>
        </w:rPr>
        <w:t>本合同凡与招标文件实质性条款不一致的，一律按照以招标文件约定为准。</w:t>
      </w:r>
    </w:p>
    <w:p>
      <w:pPr>
        <w:snapToGrid w:val="0"/>
        <w:spacing w:line="420" w:lineRule="exact"/>
        <w:ind w:firstLine="422" w:firstLineChars="200"/>
        <w:rPr>
          <w:rFonts w:hint="eastAsia" w:ascii="宋体" w:hAnsi="宋体" w:eastAsia="宋体" w:cs="Times New Roman"/>
          <w:color w:val="auto"/>
          <w:kern w:val="0"/>
          <w:szCs w:val="21"/>
        </w:rPr>
      </w:pPr>
      <w:r>
        <w:rPr>
          <w:rFonts w:hint="eastAsia" w:ascii="宋体" w:hAnsi="宋体" w:eastAsia="宋体" w:cs="Times New Roman"/>
          <w:b/>
          <w:color w:val="auto"/>
          <w:kern w:val="0"/>
          <w:szCs w:val="21"/>
        </w:rPr>
        <w:t>第十九条</w:t>
      </w:r>
      <w:r>
        <w:rPr>
          <w:rFonts w:hint="eastAsia" w:ascii="宋体" w:hAnsi="宋体" w:eastAsia="宋体" w:cs="Times New Roman"/>
          <w:color w:val="auto"/>
          <w:kern w:val="0"/>
          <w:szCs w:val="21"/>
        </w:rPr>
        <w:t xml:space="preserve"> 本合同一式七份，具有同等法律效力。财政部门(政府采购监督管理部门)、采购代理机构各一份，甲方三份，乙方二份，均具有同等法律效力。</w:t>
      </w:r>
    </w:p>
    <w:p>
      <w:pPr>
        <w:snapToGrid w:val="0"/>
        <w:spacing w:line="42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本合同自签订之日起2个工作日内，甲方应当将采购合同在广西壮族自治区财政厅指定的媒体上公告。</w:t>
      </w:r>
    </w:p>
    <w:p>
      <w:pPr>
        <w:snapToGrid w:val="0"/>
        <w:spacing w:line="420" w:lineRule="exact"/>
        <w:ind w:firstLine="402" w:firstLineChars="200"/>
        <w:rPr>
          <w:rFonts w:hint="eastAsia" w:ascii="Calibri" w:hAnsi="Calibri" w:eastAsia="宋体" w:cs="Times New Roman"/>
          <w:b/>
          <w:bCs/>
          <w:color w:val="auto"/>
          <w:kern w:val="0"/>
          <w:sz w:val="20"/>
          <w:szCs w:val="20"/>
          <w:lang w:val="en-US" w:eastAsia="zh-CN" w:bidi="ar-SA"/>
        </w:rPr>
      </w:pPr>
      <w:r>
        <w:rPr>
          <w:rFonts w:hint="eastAsia" w:ascii="Calibri" w:hAnsi="Calibri" w:eastAsia="宋体" w:cs="Times New Roman"/>
          <w:b/>
          <w:bCs/>
          <w:color w:val="auto"/>
          <w:kern w:val="0"/>
          <w:sz w:val="20"/>
          <w:szCs w:val="20"/>
          <w:lang w:val="en-US" w:eastAsia="zh-CN" w:bidi="ar-SA"/>
        </w:rPr>
        <w:t>（以下无正文）</w:t>
      </w:r>
    </w:p>
    <w:p>
      <w:pPr>
        <w:pStyle w:val="2"/>
        <w:rPr>
          <w:rFonts w:hint="eastAsia" w:ascii="Calibri" w:hAnsi="Calibri" w:eastAsia="宋体" w:cs="Times New Roman"/>
          <w:b/>
          <w:bCs/>
          <w:color w:val="auto"/>
          <w:kern w:val="0"/>
          <w:sz w:val="20"/>
          <w:szCs w:val="20"/>
          <w:lang w:val="en-US" w:eastAsia="zh-CN" w:bidi="ar-SA"/>
        </w:rPr>
      </w:pPr>
    </w:p>
    <w:p>
      <w:pPr>
        <w:pStyle w:val="2"/>
        <w:rPr>
          <w:rFonts w:hint="eastAsia" w:ascii="Calibri" w:hAnsi="Calibri" w:eastAsia="宋体" w:cs="Times New Roman"/>
          <w:b/>
          <w:bCs/>
          <w:color w:val="auto"/>
          <w:kern w:val="0"/>
          <w:sz w:val="20"/>
          <w:szCs w:val="20"/>
          <w:lang w:val="en-US" w:eastAsia="zh-CN" w:bidi="ar-SA"/>
        </w:rPr>
      </w:pP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gridCol w:w="4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8" w:hRule="atLeast"/>
          <w:jc w:val="center"/>
        </w:trPr>
        <w:tc>
          <w:tcPr>
            <w:tcW w:w="4516" w:type="dxa"/>
            <w:noWrap w:val="0"/>
            <w:vAlign w:val="center"/>
          </w:tcPr>
          <w:p>
            <w:pPr>
              <w:rPr>
                <w:rFonts w:hint="eastAsia" w:ascii="宋体" w:hAnsi="宋体" w:eastAsia="宋体" w:cs="宋体"/>
                <w:color w:val="auto"/>
                <w:szCs w:val="21"/>
              </w:rPr>
            </w:pPr>
            <w:r>
              <w:rPr>
                <w:rFonts w:hint="eastAsia" w:ascii="Calibri" w:hAnsi="Calibri" w:eastAsia="宋体" w:cs="Times New Roman"/>
                <w:b/>
                <w:bCs/>
                <w:color w:val="auto"/>
                <w:kern w:val="0"/>
                <w:sz w:val="20"/>
                <w:szCs w:val="20"/>
                <w:lang w:val="en-US" w:eastAsia="zh-CN" w:bidi="ar-SA"/>
              </w:rPr>
              <w:br w:type="page"/>
            </w:r>
            <w:r>
              <w:rPr>
                <w:rFonts w:hint="eastAsia" w:ascii="宋体" w:hAnsi="宋体" w:eastAsia="宋体" w:cs="宋体"/>
                <w:color w:val="auto"/>
                <w:szCs w:val="21"/>
              </w:rPr>
              <w:t xml:space="preserve">甲方（章） </w:t>
            </w:r>
          </w:p>
          <w:p>
            <w:pPr>
              <w:snapToGrid w:val="0"/>
              <w:spacing w:line="360" w:lineRule="auto"/>
              <w:rPr>
                <w:rFonts w:hint="eastAsia" w:ascii="宋体" w:hAnsi="宋体" w:eastAsia="宋体" w:cs="宋体"/>
                <w:color w:val="auto"/>
                <w:szCs w:val="21"/>
              </w:rPr>
            </w:pPr>
          </w:p>
          <w:p>
            <w:pPr>
              <w:snapToGrid w:val="0"/>
              <w:spacing w:line="360" w:lineRule="auto"/>
              <w:ind w:firstLine="945" w:firstLineChars="450"/>
              <w:jc w:val="right"/>
              <w:rPr>
                <w:rFonts w:hint="eastAsia" w:ascii="宋体" w:hAnsi="宋体" w:eastAsia="宋体" w:cs="宋体"/>
                <w:color w:val="auto"/>
                <w:szCs w:val="21"/>
              </w:rPr>
            </w:pPr>
            <w:r>
              <w:rPr>
                <w:rFonts w:hint="eastAsia" w:ascii="宋体" w:hAnsi="宋体" w:eastAsia="宋体" w:cs="宋体"/>
                <w:color w:val="auto"/>
                <w:szCs w:val="21"/>
              </w:rPr>
              <w:t>年   月   日</w:t>
            </w:r>
          </w:p>
        </w:tc>
        <w:tc>
          <w:tcPr>
            <w:tcW w:w="4517" w:type="dxa"/>
            <w:noWrap w:val="0"/>
            <w:vAlign w:val="center"/>
          </w:tcPr>
          <w:p>
            <w:pPr>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乙方（章）</w:t>
            </w:r>
          </w:p>
          <w:p>
            <w:pPr>
              <w:snapToGrid w:val="0"/>
              <w:spacing w:line="360" w:lineRule="auto"/>
              <w:rPr>
                <w:rFonts w:hint="eastAsia" w:ascii="宋体" w:hAnsi="宋体" w:eastAsia="宋体" w:cs="宋体"/>
                <w:color w:val="auto"/>
                <w:szCs w:val="21"/>
              </w:rPr>
            </w:pPr>
          </w:p>
          <w:p>
            <w:pPr>
              <w:snapToGrid w:val="0"/>
              <w:spacing w:line="360" w:lineRule="auto"/>
              <w:jc w:val="right"/>
              <w:rPr>
                <w:rFonts w:hint="eastAsia" w:ascii="宋体" w:hAnsi="宋体" w:eastAsia="宋体" w:cs="宋体"/>
                <w:color w:val="auto"/>
                <w:szCs w:val="21"/>
              </w:rPr>
            </w:pPr>
            <w:r>
              <w:rPr>
                <w:rFonts w:hint="eastAsia" w:ascii="宋体" w:hAnsi="宋体" w:eastAsia="宋体" w:cs="宋体"/>
                <w:color w:val="auto"/>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jc w:val="center"/>
        </w:trPr>
        <w:tc>
          <w:tcPr>
            <w:tcW w:w="4516" w:type="dxa"/>
            <w:noWrap w:val="0"/>
            <w:vAlign w:val="center"/>
          </w:tcPr>
          <w:p>
            <w:pPr>
              <w:snapToGrid w:val="0"/>
              <w:spacing w:line="360" w:lineRule="auto"/>
              <w:rPr>
                <w:rFonts w:hint="eastAsia" w:ascii="Calibri" w:hAnsi="Calibri" w:eastAsia="宋体" w:cs="Times New Roman"/>
                <w:color w:val="auto"/>
                <w:kern w:val="0"/>
                <w:sz w:val="18"/>
                <w:szCs w:val="18"/>
                <w:lang w:val="en-US" w:eastAsia="zh-CN" w:bidi="ar-SA"/>
              </w:rPr>
            </w:pPr>
            <w:r>
              <w:rPr>
                <w:rFonts w:hint="eastAsia" w:ascii="Calibri" w:hAnsi="Calibri" w:eastAsia="宋体" w:cs="Times New Roman"/>
                <w:color w:val="auto"/>
              </w:rPr>
              <w:t>单位地址：</w:t>
            </w:r>
          </w:p>
        </w:tc>
        <w:tc>
          <w:tcPr>
            <w:tcW w:w="4517" w:type="dxa"/>
            <w:noWrap w:val="0"/>
            <w:vAlign w:val="center"/>
          </w:tcPr>
          <w:p>
            <w:pPr>
              <w:snapToGrid w:val="0"/>
              <w:spacing w:line="360" w:lineRule="auto"/>
              <w:rPr>
                <w:rFonts w:hint="eastAsia" w:ascii="Calibri" w:hAnsi="Calibri" w:eastAsia="宋体" w:cs="Times New Roman"/>
                <w:color w:val="auto"/>
              </w:rPr>
            </w:pPr>
            <w:r>
              <w:rPr>
                <w:rFonts w:hint="eastAsia" w:ascii="Calibri" w:hAnsi="Calibri" w:eastAsia="宋体" w:cs="Times New Roman"/>
                <w:color w:val="auto"/>
              </w:rPr>
              <w:t>单位地址：</w:t>
            </w:r>
          </w:p>
          <w:p>
            <w:pPr>
              <w:widowControl w:val="0"/>
              <w:snapToGrid w:val="0"/>
              <w:jc w:val="left"/>
              <w:rPr>
                <w:rFonts w:hint="eastAsia" w:ascii="宋体" w:hAnsi="宋体" w:eastAsia="宋体" w:cs="宋体"/>
                <w:color w:val="auto"/>
                <w:kern w:val="0"/>
                <w:sz w:val="18"/>
                <w:szCs w:val="21"/>
                <w:lang w:val="en-US" w:eastAsia="zh-CN" w:bidi="ar-SA"/>
              </w:rPr>
            </w:pPr>
          </w:p>
          <w:p>
            <w:pPr>
              <w:widowControl w:val="0"/>
              <w:snapToGrid w:val="0"/>
              <w:jc w:val="left"/>
              <w:rPr>
                <w:rFonts w:hint="eastAsia" w:ascii="宋体" w:hAnsi="宋体" w:eastAsia="宋体" w:cs="宋体"/>
                <w:color w:val="auto"/>
                <w:kern w:val="0"/>
                <w:sz w:val="18"/>
                <w:szCs w:val="21"/>
                <w:lang w:val="en-US" w:eastAsia="zh-CN" w:bidi="ar-SA"/>
              </w:rPr>
            </w:pPr>
          </w:p>
          <w:p>
            <w:pPr>
              <w:widowControl w:val="0"/>
              <w:snapToGrid w:val="0"/>
              <w:jc w:val="left"/>
              <w:rPr>
                <w:rFonts w:hint="eastAsia" w:ascii="宋体" w:hAnsi="宋体" w:eastAsia="宋体" w:cs="宋体"/>
                <w:color w:val="auto"/>
                <w:kern w:val="0"/>
                <w:sz w:val="18"/>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jc w:val="center"/>
        </w:trPr>
        <w:tc>
          <w:tcPr>
            <w:tcW w:w="4516" w:type="dxa"/>
            <w:noWrap w:val="0"/>
            <w:vAlign w:val="top"/>
          </w:tcPr>
          <w:p>
            <w:pPr>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法定代表人或者其委托代理人：</w:t>
            </w:r>
          </w:p>
        </w:tc>
        <w:tc>
          <w:tcPr>
            <w:tcW w:w="4517" w:type="dxa"/>
            <w:noWrap w:val="0"/>
            <w:vAlign w:val="top"/>
          </w:tcPr>
          <w:p>
            <w:pPr>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法定代表人或者其委托代理人：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jc w:val="center"/>
        </w:trPr>
        <w:tc>
          <w:tcPr>
            <w:tcW w:w="4516" w:type="dxa"/>
            <w:noWrap w:val="0"/>
            <w:vAlign w:val="center"/>
          </w:tcPr>
          <w:p>
            <w:pPr>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电话：</w:t>
            </w:r>
          </w:p>
        </w:tc>
        <w:tc>
          <w:tcPr>
            <w:tcW w:w="4517" w:type="dxa"/>
            <w:noWrap w:val="0"/>
            <w:vAlign w:val="center"/>
          </w:tcPr>
          <w:p>
            <w:pPr>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jc w:val="center"/>
        </w:trPr>
        <w:tc>
          <w:tcPr>
            <w:tcW w:w="4516" w:type="dxa"/>
            <w:noWrap w:val="0"/>
            <w:vAlign w:val="center"/>
          </w:tcPr>
          <w:p>
            <w:pPr>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电子邮箱：</w:t>
            </w:r>
          </w:p>
        </w:tc>
        <w:tc>
          <w:tcPr>
            <w:tcW w:w="4517" w:type="dxa"/>
            <w:noWrap w:val="0"/>
            <w:vAlign w:val="center"/>
          </w:tcPr>
          <w:p>
            <w:pPr>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jc w:val="center"/>
        </w:trPr>
        <w:tc>
          <w:tcPr>
            <w:tcW w:w="4516" w:type="dxa"/>
            <w:noWrap w:val="0"/>
            <w:vAlign w:val="center"/>
          </w:tcPr>
          <w:p>
            <w:pPr>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开户银行：</w:t>
            </w:r>
          </w:p>
        </w:tc>
        <w:tc>
          <w:tcPr>
            <w:tcW w:w="4517" w:type="dxa"/>
            <w:noWrap w:val="0"/>
            <w:vAlign w:val="center"/>
          </w:tcPr>
          <w:p>
            <w:pPr>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jc w:val="center"/>
        </w:trPr>
        <w:tc>
          <w:tcPr>
            <w:tcW w:w="4516" w:type="dxa"/>
            <w:noWrap w:val="0"/>
            <w:vAlign w:val="center"/>
          </w:tcPr>
          <w:p>
            <w:pPr>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账号：</w:t>
            </w:r>
          </w:p>
        </w:tc>
        <w:tc>
          <w:tcPr>
            <w:tcW w:w="4517" w:type="dxa"/>
            <w:noWrap w:val="0"/>
            <w:vAlign w:val="center"/>
          </w:tcPr>
          <w:p>
            <w:pPr>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exact"/>
          <w:jc w:val="center"/>
        </w:trPr>
        <w:tc>
          <w:tcPr>
            <w:tcW w:w="4516" w:type="dxa"/>
            <w:noWrap w:val="0"/>
            <w:vAlign w:val="center"/>
          </w:tcPr>
          <w:p>
            <w:pPr>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邮政编码：</w:t>
            </w:r>
          </w:p>
        </w:tc>
        <w:tc>
          <w:tcPr>
            <w:tcW w:w="4517" w:type="dxa"/>
            <w:noWrap w:val="0"/>
            <w:vAlign w:val="center"/>
          </w:tcPr>
          <w:p>
            <w:pPr>
              <w:snapToGrid w:val="0"/>
              <w:spacing w:line="360" w:lineRule="auto"/>
              <w:rPr>
                <w:rFonts w:hint="eastAsia" w:ascii="宋体" w:hAnsi="宋体" w:eastAsia="宋体" w:cs="宋体"/>
                <w:color w:val="auto"/>
                <w:szCs w:val="21"/>
              </w:rPr>
            </w:pPr>
            <w:r>
              <w:rPr>
                <w:rFonts w:hint="eastAsia" w:ascii="宋体" w:hAnsi="宋体" w:eastAsia="宋体" w:cs="宋体"/>
                <w:color w:val="auto"/>
                <w:szCs w:val="21"/>
              </w:rPr>
              <w:t>邮政编码：</w:t>
            </w:r>
          </w:p>
        </w:tc>
      </w:tr>
      <w:bookmarkEnd w:id="214"/>
    </w:tbl>
    <w:p>
      <w:pPr>
        <w:snapToGrid w:val="0"/>
        <w:spacing w:line="360" w:lineRule="auto"/>
        <w:jc w:val="left"/>
        <w:rPr>
          <w:rFonts w:hint="eastAsia" w:ascii="宋体" w:hAnsi="宋体" w:eastAsia="宋体" w:cs="宋体"/>
          <w:color w:val="auto"/>
          <w:szCs w:val="21"/>
        </w:rPr>
      </w:pPr>
    </w:p>
    <w:p>
      <w:pPr>
        <w:rPr>
          <w:rFonts w:hAnsi="宋体" w:cs="宋体"/>
          <w:color w:val="auto"/>
          <w:highlight w:val="none"/>
        </w:rPr>
      </w:pPr>
      <w:r>
        <w:rPr>
          <w:rFonts w:hint="eastAsia" w:hAnsi="宋体" w:cs="宋体"/>
          <w:color w:val="auto"/>
          <w:highlight w:val="none"/>
        </w:rPr>
        <w:br w:type="page"/>
      </w:r>
    </w:p>
    <w:p>
      <w:pPr>
        <w:rPr>
          <w:rFonts w:hAnsi="宋体" w:cs="宋体"/>
          <w:color w:val="auto"/>
          <w:highlight w:val="none"/>
        </w:rPr>
      </w:pPr>
    </w:p>
    <w:p>
      <w:pPr>
        <w:rPr>
          <w:rFonts w:hAnsi="宋体" w:cs="宋体"/>
          <w:color w:val="auto"/>
          <w:highlight w:val="none"/>
        </w:rPr>
      </w:pPr>
    </w:p>
    <w:p>
      <w:pPr>
        <w:pStyle w:val="17"/>
        <w:tabs>
          <w:tab w:val="left" w:pos="2472"/>
        </w:tabs>
        <w:spacing w:line="460" w:lineRule="exact"/>
        <w:jc w:val="center"/>
        <w:rPr>
          <w:rFonts w:hAnsi="宋体" w:cs="宋体"/>
          <w:b/>
          <w:color w:val="auto"/>
          <w:sz w:val="36"/>
          <w:highlight w:val="none"/>
        </w:rPr>
      </w:pPr>
    </w:p>
    <w:p>
      <w:pPr>
        <w:pStyle w:val="17"/>
        <w:tabs>
          <w:tab w:val="left" w:pos="2472"/>
        </w:tabs>
        <w:spacing w:line="460" w:lineRule="exact"/>
        <w:jc w:val="center"/>
        <w:rPr>
          <w:rFonts w:hAnsi="宋体" w:cs="宋体"/>
          <w:b/>
          <w:color w:val="auto"/>
          <w:sz w:val="36"/>
          <w:highlight w:val="none"/>
        </w:rPr>
      </w:pPr>
    </w:p>
    <w:p>
      <w:pPr>
        <w:jc w:val="center"/>
        <w:rPr>
          <w:rFonts w:hAnsi="宋体" w:cs="宋体"/>
          <w:b/>
          <w:color w:val="auto"/>
          <w:sz w:val="36"/>
          <w:highlight w:val="none"/>
        </w:rPr>
      </w:pPr>
    </w:p>
    <w:p>
      <w:pPr>
        <w:pStyle w:val="17"/>
        <w:tabs>
          <w:tab w:val="left" w:pos="2472"/>
        </w:tabs>
        <w:spacing w:line="460" w:lineRule="exact"/>
        <w:jc w:val="center"/>
        <w:rPr>
          <w:rFonts w:hAnsi="宋体" w:cs="宋体"/>
          <w:b/>
          <w:color w:val="auto"/>
          <w:sz w:val="36"/>
          <w:highlight w:val="none"/>
        </w:rPr>
      </w:pPr>
    </w:p>
    <w:p>
      <w:pPr>
        <w:pStyle w:val="17"/>
        <w:tabs>
          <w:tab w:val="left" w:pos="2472"/>
        </w:tabs>
        <w:spacing w:line="460" w:lineRule="exact"/>
        <w:jc w:val="center"/>
        <w:rPr>
          <w:rFonts w:hAnsi="宋体" w:cs="宋体"/>
          <w:b/>
          <w:color w:val="auto"/>
          <w:sz w:val="36"/>
          <w:highlight w:val="none"/>
        </w:rPr>
      </w:pPr>
    </w:p>
    <w:p>
      <w:pPr>
        <w:jc w:val="center"/>
        <w:rPr>
          <w:rFonts w:hAnsi="宋体" w:cs="宋体"/>
          <w:b/>
          <w:color w:val="auto"/>
          <w:sz w:val="36"/>
          <w:highlight w:val="none"/>
        </w:rPr>
      </w:pPr>
    </w:p>
    <w:p>
      <w:pPr>
        <w:pStyle w:val="21"/>
        <w:jc w:val="center"/>
        <w:rPr>
          <w:rFonts w:hAnsi="宋体" w:cs="宋体"/>
          <w:b/>
          <w:color w:val="auto"/>
          <w:sz w:val="36"/>
          <w:highlight w:val="none"/>
        </w:rPr>
      </w:pPr>
    </w:p>
    <w:p>
      <w:pPr>
        <w:jc w:val="center"/>
        <w:rPr>
          <w:color w:val="auto"/>
          <w:highlight w:val="none"/>
        </w:rPr>
      </w:pPr>
    </w:p>
    <w:p>
      <w:pPr>
        <w:pStyle w:val="17"/>
        <w:tabs>
          <w:tab w:val="left" w:pos="2472"/>
        </w:tabs>
        <w:spacing w:line="460" w:lineRule="exact"/>
        <w:jc w:val="center"/>
        <w:rPr>
          <w:rFonts w:hAnsi="宋体" w:cs="宋体"/>
          <w:b/>
          <w:color w:val="auto"/>
          <w:sz w:val="36"/>
          <w:highlight w:val="none"/>
        </w:rPr>
      </w:pPr>
    </w:p>
    <w:p>
      <w:pPr>
        <w:pStyle w:val="17"/>
        <w:tabs>
          <w:tab w:val="left" w:pos="2472"/>
        </w:tabs>
        <w:spacing w:line="460" w:lineRule="exact"/>
        <w:jc w:val="center"/>
        <w:rPr>
          <w:rFonts w:hAnsi="宋体" w:cs="宋体"/>
          <w:b/>
          <w:color w:val="auto"/>
          <w:sz w:val="36"/>
          <w:highlight w:val="none"/>
        </w:rPr>
      </w:pPr>
    </w:p>
    <w:p>
      <w:pPr>
        <w:pStyle w:val="17"/>
        <w:tabs>
          <w:tab w:val="left" w:pos="2472"/>
        </w:tabs>
        <w:spacing w:line="460" w:lineRule="exact"/>
        <w:jc w:val="center"/>
        <w:rPr>
          <w:rFonts w:hAnsi="宋体" w:cs="宋体"/>
          <w:b/>
          <w:color w:val="auto"/>
          <w:sz w:val="36"/>
          <w:highlight w:val="none"/>
        </w:rPr>
      </w:pPr>
    </w:p>
    <w:p>
      <w:pPr>
        <w:pStyle w:val="17"/>
        <w:tabs>
          <w:tab w:val="left" w:pos="2472"/>
        </w:tabs>
        <w:spacing w:line="460" w:lineRule="exact"/>
        <w:jc w:val="center"/>
        <w:outlineLvl w:val="0"/>
        <w:rPr>
          <w:rFonts w:hAnsi="宋体" w:cs="宋体"/>
          <w:b/>
          <w:color w:val="auto"/>
          <w:sz w:val="36"/>
          <w:highlight w:val="none"/>
        </w:rPr>
      </w:pPr>
      <w:bookmarkStart w:id="222" w:name="_Toc20288"/>
      <w:bookmarkStart w:id="223" w:name="_Toc23759"/>
      <w:bookmarkStart w:id="224" w:name="_Toc14291"/>
      <w:bookmarkStart w:id="225" w:name="_Toc7880"/>
      <w:r>
        <w:rPr>
          <w:rFonts w:hint="eastAsia" w:hAnsi="宋体" w:cs="宋体"/>
          <w:b/>
          <w:color w:val="auto"/>
          <w:sz w:val="36"/>
          <w:highlight w:val="none"/>
        </w:rPr>
        <w:t>第六章 投标文件格式</w:t>
      </w:r>
      <w:bookmarkEnd w:id="222"/>
      <w:bookmarkEnd w:id="223"/>
      <w:bookmarkEnd w:id="224"/>
      <w:bookmarkEnd w:id="225"/>
    </w:p>
    <w:p>
      <w:pPr>
        <w:pStyle w:val="17"/>
        <w:ind w:firstLine="411" w:firstLineChars="196"/>
        <w:jc w:val="center"/>
        <w:outlineLvl w:val="1"/>
        <w:rPr>
          <w:rFonts w:hAnsi="宋体" w:cs="宋体"/>
          <w:b/>
          <w:bCs/>
          <w:color w:val="auto"/>
          <w:sz w:val="28"/>
          <w:szCs w:val="28"/>
          <w:highlight w:val="none"/>
        </w:rPr>
      </w:pPr>
      <w:bookmarkStart w:id="226" w:name="_Toc5213"/>
      <w:bookmarkStart w:id="227" w:name="_Toc1470"/>
      <w:bookmarkStart w:id="228" w:name="_Toc22716"/>
      <w:bookmarkStart w:id="229" w:name="_Toc24554"/>
      <w:r>
        <w:rPr>
          <w:rFonts w:hint="eastAsia" w:hAnsi="宋体" w:cs="宋体"/>
          <w:color w:val="auto"/>
          <w:highlight w:val="none"/>
        </w:rPr>
        <w:br w:type="page"/>
      </w:r>
      <w:bookmarkEnd w:id="226"/>
      <w:bookmarkEnd w:id="227"/>
      <w:bookmarkEnd w:id="228"/>
      <w:bookmarkEnd w:id="229"/>
      <w:bookmarkStart w:id="230" w:name="_Toc18461"/>
      <w:r>
        <w:rPr>
          <w:rFonts w:hint="eastAsia" w:hAnsi="宋体" w:cs="宋体"/>
          <w:b/>
          <w:bCs/>
          <w:color w:val="auto"/>
          <w:sz w:val="28"/>
          <w:szCs w:val="28"/>
          <w:highlight w:val="none"/>
        </w:rPr>
        <w:t>第一节 投标文件封面</w:t>
      </w:r>
      <w:bookmarkEnd w:id="230"/>
    </w:p>
    <w:p>
      <w:pPr>
        <w:spacing w:beforeLines="50" w:afterLines="50"/>
        <w:jc w:val="center"/>
        <w:rPr>
          <w:rFonts w:ascii="宋体" w:hAnsi="宋体" w:cs="宋体"/>
          <w:color w:val="auto"/>
          <w:spacing w:val="20"/>
          <w:sz w:val="44"/>
          <w:szCs w:val="44"/>
          <w:highlight w:val="none"/>
        </w:rPr>
      </w:pPr>
    </w:p>
    <w:p>
      <w:pPr>
        <w:spacing w:beforeLines="50" w:afterLines="50"/>
        <w:jc w:val="center"/>
        <w:rPr>
          <w:rFonts w:ascii="宋体" w:hAnsi="宋体" w:cs="宋体"/>
          <w:color w:val="auto"/>
          <w:spacing w:val="20"/>
          <w:sz w:val="44"/>
          <w:szCs w:val="44"/>
          <w:highlight w:val="none"/>
        </w:rPr>
      </w:pPr>
    </w:p>
    <w:p>
      <w:pPr>
        <w:spacing w:beforeLines="50" w:afterLines="50"/>
        <w:jc w:val="center"/>
        <w:rPr>
          <w:rFonts w:ascii="宋体" w:hAnsi="宋体" w:cs="宋体"/>
          <w:color w:val="auto"/>
          <w:spacing w:val="40"/>
          <w:w w:val="110"/>
          <w:sz w:val="44"/>
          <w:szCs w:val="44"/>
          <w:highlight w:val="none"/>
        </w:rPr>
      </w:pPr>
      <w:r>
        <w:rPr>
          <w:rFonts w:hint="eastAsia" w:ascii="宋体" w:hAnsi="宋体" w:cs="宋体"/>
          <w:color w:val="auto"/>
          <w:spacing w:val="40"/>
          <w:w w:val="110"/>
          <w:sz w:val="44"/>
          <w:szCs w:val="44"/>
          <w:highlight w:val="none"/>
        </w:rPr>
        <w:t>投标文件</w:t>
      </w:r>
    </w:p>
    <w:p>
      <w:pPr>
        <w:jc w:val="center"/>
        <w:rPr>
          <w:rFonts w:ascii="宋体" w:hAnsi="宋体" w:cs="宋体"/>
          <w:color w:val="auto"/>
          <w:sz w:val="24"/>
          <w:highlight w:val="none"/>
        </w:rPr>
      </w:pPr>
      <w:r>
        <w:rPr>
          <w:rFonts w:hint="eastAsia" w:ascii="宋体" w:hAnsi="宋体" w:cs="宋体"/>
          <w:color w:val="auto"/>
          <w:sz w:val="24"/>
          <w:highlight w:val="none"/>
        </w:rPr>
        <w:t>（电子投标文件）</w:t>
      </w:r>
    </w:p>
    <w:tbl>
      <w:tblPr>
        <w:tblStyle w:val="32"/>
        <w:tblW w:w="8520" w:type="dxa"/>
        <w:jc w:val="center"/>
        <w:tblLayout w:type="fixed"/>
        <w:tblCellMar>
          <w:top w:w="0" w:type="dxa"/>
          <w:left w:w="108" w:type="dxa"/>
          <w:bottom w:w="0" w:type="dxa"/>
          <w:right w:w="108" w:type="dxa"/>
        </w:tblCellMar>
      </w:tblPr>
      <w:tblGrid>
        <w:gridCol w:w="1755"/>
        <w:gridCol w:w="6765"/>
      </w:tblGrid>
      <w:tr>
        <w:tblPrEx>
          <w:tblCellMar>
            <w:top w:w="0" w:type="dxa"/>
            <w:left w:w="108" w:type="dxa"/>
            <w:bottom w:w="0" w:type="dxa"/>
            <w:right w:w="108" w:type="dxa"/>
          </w:tblCellMar>
        </w:tblPrEx>
        <w:trPr>
          <w:trHeight w:val="1122" w:hRule="atLeast"/>
          <w:jc w:val="center"/>
        </w:trPr>
        <w:tc>
          <w:tcPr>
            <w:tcW w:w="1755" w:type="dxa"/>
            <w:noWrap/>
            <w:vAlign w:val="bottom"/>
          </w:tcPr>
          <w:p>
            <w:pPr>
              <w:jc w:val="distribute"/>
              <w:rPr>
                <w:rFonts w:ascii="宋体" w:hAnsi="宋体" w:cs="宋体"/>
                <w:color w:val="auto"/>
                <w:sz w:val="24"/>
                <w:highlight w:val="none"/>
              </w:rPr>
            </w:pPr>
            <w:r>
              <w:rPr>
                <w:rFonts w:hint="eastAsia" w:ascii="宋体" w:hAnsi="宋体" w:cs="宋体"/>
                <w:color w:val="auto"/>
                <w:sz w:val="24"/>
                <w:highlight w:val="none"/>
              </w:rPr>
              <w:t>项目名称：</w:t>
            </w:r>
          </w:p>
        </w:tc>
        <w:tc>
          <w:tcPr>
            <w:tcW w:w="6765" w:type="dxa"/>
            <w:tcBorders>
              <w:top w:val="nil"/>
              <w:left w:val="nil"/>
              <w:bottom w:val="single" w:color="000000" w:sz="4" w:space="0"/>
              <w:right w:val="nil"/>
            </w:tcBorders>
            <w:noWrap/>
            <w:vAlign w:val="bottom"/>
          </w:tcPr>
          <w:p>
            <w:pPr>
              <w:jc w:val="left"/>
              <w:rPr>
                <w:rFonts w:ascii="宋体" w:hAnsi="宋体" w:cs="宋体"/>
                <w:color w:val="auto"/>
                <w:sz w:val="24"/>
                <w:highlight w:val="none"/>
              </w:rPr>
            </w:pPr>
          </w:p>
        </w:tc>
      </w:tr>
      <w:tr>
        <w:tblPrEx>
          <w:tblCellMar>
            <w:top w:w="0" w:type="dxa"/>
            <w:left w:w="108" w:type="dxa"/>
            <w:bottom w:w="0" w:type="dxa"/>
            <w:right w:w="108" w:type="dxa"/>
          </w:tblCellMar>
        </w:tblPrEx>
        <w:trPr>
          <w:trHeight w:val="579" w:hRule="atLeast"/>
          <w:jc w:val="center"/>
        </w:trPr>
        <w:tc>
          <w:tcPr>
            <w:tcW w:w="1755" w:type="dxa"/>
            <w:noWrap/>
            <w:vAlign w:val="bottom"/>
          </w:tcPr>
          <w:p>
            <w:pPr>
              <w:jc w:val="distribute"/>
              <w:rPr>
                <w:rFonts w:ascii="宋体" w:hAnsi="宋体" w:cs="宋体"/>
                <w:color w:val="auto"/>
                <w:sz w:val="24"/>
                <w:highlight w:val="none"/>
              </w:rPr>
            </w:pPr>
            <w:r>
              <w:rPr>
                <w:rFonts w:hint="eastAsia" w:ascii="宋体" w:hAnsi="宋体" w:cs="宋体"/>
                <w:color w:val="auto"/>
                <w:sz w:val="24"/>
                <w:highlight w:val="none"/>
              </w:rPr>
              <w:t>采购方式：</w:t>
            </w:r>
          </w:p>
        </w:tc>
        <w:tc>
          <w:tcPr>
            <w:tcW w:w="6765" w:type="dxa"/>
            <w:tcBorders>
              <w:top w:val="single" w:color="000000" w:sz="4" w:space="0"/>
              <w:left w:val="nil"/>
              <w:bottom w:val="single" w:color="000000" w:sz="4" w:space="0"/>
              <w:right w:val="nil"/>
            </w:tcBorders>
            <w:noWrap/>
            <w:vAlign w:val="bottom"/>
          </w:tcPr>
          <w:p>
            <w:pPr>
              <w:jc w:val="left"/>
              <w:rPr>
                <w:rFonts w:ascii="宋体" w:hAnsi="宋体" w:cs="宋体"/>
                <w:color w:val="auto"/>
                <w:sz w:val="24"/>
                <w:highlight w:val="none"/>
              </w:rPr>
            </w:pPr>
            <w:bookmarkStart w:id="231" w:name="PO_3000001867_PM003"/>
            <w:r>
              <w:rPr>
                <w:rFonts w:hint="eastAsia" w:ascii="宋体" w:hAnsi="宋体" w:cs="宋体"/>
                <w:color w:val="auto"/>
                <w:sz w:val="24"/>
                <w:highlight w:val="none"/>
              </w:rPr>
              <w:t>在线投标响应</w:t>
            </w:r>
            <w:bookmarkEnd w:id="231"/>
          </w:p>
        </w:tc>
      </w:tr>
      <w:tr>
        <w:tblPrEx>
          <w:tblCellMar>
            <w:top w:w="0" w:type="dxa"/>
            <w:left w:w="108" w:type="dxa"/>
            <w:bottom w:w="0" w:type="dxa"/>
            <w:right w:w="108" w:type="dxa"/>
          </w:tblCellMar>
        </w:tblPrEx>
        <w:trPr>
          <w:trHeight w:val="579" w:hRule="atLeast"/>
          <w:jc w:val="center"/>
        </w:trPr>
        <w:tc>
          <w:tcPr>
            <w:tcW w:w="1755" w:type="dxa"/>
            <w:noWrap/>
            <w:vAlign w:val="bottom"/>
          </w:tcPr>
          <w:p>
            <w:pPr>
              <w:jc w:val="distribute"/>
              <w:rPr>
                <w:rFonts w:ascii="宋体" w:hAnsi="宋体" w:cs="宋体"/>
                <w:color w:val="auto"/>
                <w:sz w:val="24"/>
                <w:highlight w:val="none"/>
              </w:rPr>
            </w:pPr>
            <w:r>
              <w:rPr>
                <w:rFonts w:hint="eastAsia" w:ascii="宋体" w:hAnsi="宋体" w:cs="宋体"/>
                <w:color w:val="auto"/>
                <w:sz w:val="24"/>
                <w:highlight w:val="none"/>
              </w:rPr>
              <w:t>项目编号：</w:t>
            </w:r>
          </w:p>
        </w:tc>
        <w:tc>
          <w:tcPr>
            <w:tcW w:w="6765" w:type="dxa"/>
            <w:tcBorders>
              <w:top w:val="single" w:color="000000" w:sz="4" w:space="0"/>
              <w:left w:val="nil"/>
              <w:bottom w:val="single" w:color="000000" w:sz="4" w:space="0"/>
              <w:right w:val="nil"/>
            </w:tcBorders>
            <w:noWrap/>
            <w:vAlign w:val="bottom"/>
          </w:tcPr>
          <w:p>
            <w:pPr>
              <w:jc w:val="left"/>
              <w:rPr>
                <w:rFonts w:ascii="宋体" w:hAnsi="宋体" w:cs="宋体"/>
                <w:color w:val="auto"/>
                <w:sz w:val="24"/>
                <w:highlight w:val="none"/>
              </w:rPr>
            </w:pPr>
          </w:p>
        </w:tc>
      </w:tr>
      <w:tr>
        <w:tblPrEx>
          <w:tblCellMar>
            <w:top w:w="0" w:type="dxa"/>
            <w:left w:w="108" w:type="dxa"/>
            <w:bottom w:w="0" w:type="dxa"/>
            <w:right w:w="108" w:type="dxa"/>
          </w:tblCellMar>
        </w:tblPrEx>
        <w:trPr>
          <w:trHeight w:val="579" w:hRule="atLeast"/>
          <w:jc w:val="center"/>
        </w:trPr>
        <w:tc>
          <w:tcPr>
            <w:tcW w:w="1755" w:type="dxa"/>
            <w:noWrap/>
            <w:vAlign w:val="bottom"/>
          </w:tcPr>
          <w:p>
            <w:pPr>
              <w:jc w:val="distribute"/>
              <w:rPr>
                <w:rFonts w:ascii="宋体" w:hAnsi="宋体" w:cs="宋体"/>
                <w:color w:val="auto"/>
                <w:sz w:val="24"/>
                <w:highlight w:val="none"/>
              </w:rPr>
            </w:pPr>
            <w:r>
              <w:rPr>
                <w:rFonts w:hint="eastAsia" w:ascii="宋体" w:hAnsi="宋体" w:cs="宋体"/>
                <w:color w:val="auto"/>
                <w:sz w:val="24"/>
                <w:highlight w:val="none"/>
              </w:rPr>
              <w:t>所投分标：</w:t>
            </w:r>
          </w:p>
        </w:tc>
        <w:tc>
          <w:tcPr>
            <w:tcW w:w="6765" w:type="dxa"/>
            <w:tcBorders>
              <w:top w:val="single" w:color="000000" w:sz="4" w:space="0"/>
              <w:left w:val="nil"/>
              <w:bottom w:val="single" w:color="000000" w:sz="4" w:space="0"/>
              <w:right w:val="nil"/>
            </w:tcBorders>
            <w:noWrap/>
            <w:vAlign w:val="bottom"/>
          </w:tcPr>
          <w:p>
            <w:pPr>
              <w:jc w:val="left"/>
              <w:rPr>
                <w:rFonts w:ascii="宋体" w:hAnsi="宋体" w:cs="宋体"/>
                <w:color w:val="auto"/>
                <w:sz w:val="24"/>
                <w:highlight w:val="none"/>
              </w:rPr>
            </w:pPr>
            <w:r>
              <w:rPr>
                <w:rFonts w:hint="eastAsia" w:ascii="宋体" w:hAnsi="宋体" w:cs="宋体"/>
                <w:i/>
                <w:iCs/>
                <w:color w:val="auto"/>
                <w:sz w:val="24"/>
                <w:highlight w:val="none"/>
              </w:rPr>
              <w:t>（如有则填写，无分标时填写“无”或者留空）</w:t>
            </w:r>
          </w:p>
        </w:tc>
      </w:tr>
      <w:tr>
        <w:tblPrEx>
          <w:tblCellMar>
            <w:top w:w="0" w:type="dxa"/>
            <w:left w:w="108" w:type="dxa"/>
            <w:bottom w:w="0" w:type="dxa"/>
            <w:right w:w="108" w:type="dxa"/>
          </w:tblCellMar>
        </w:tblPrEx>
        <w:trPr>
          <w:trHeight w:val="579" w:hRule="atLeast"/>
          <w:jc w:val="center"/>
        </w:trPr>
        <w:tc>
          <w:tcPr>
            <w:tcW w:w="1755" w:type="dxa"/>
            <w:noWrap/>
            <w:vAlign w:val="bottom"/>
          </w:tcPr>
          <w:p>
            <w:pPr>
              <w:jc w:val="distribute"/>
              <w:rPr>
                <w:rFonts w:ascii="宋体" w:hAnsi="宋体" w:cs="宋体"/>
                <w:color w:val="auto"/>
                <w:sz w:val="24"/>
                <w:highlight w:val="none"/>
              </w:rPr>
            </w:pPr>
            <w:r>
              <w:rPr>
                <w:rFonts w:hint="eastAsia" w:ascii="宋体" w:hAnsi="宋体" w:cs="宋体"/>
                <w:color w:val="auto"/>
                <w:sz w:val="24"/>
                <w:highlight w:val="none"/>
              </w:rPr>
              <w:t>投标人名称：</w:t>
            </w:r>
          </w:p>
        </w:tc>
        <w:tc>
          <w:tcPr>
            <w:tcW w:w="6765" w:type="dxa"/>
            <w:tcBorders>
              <w:top w:val="single" w:color="000000" w:sz="4" w:space="0"/>
              <w:left w:val="nil"/>
              <w:bottom w:val="single" w:color="000000" w:sz="4" w:space="0"/>
              <w:right w:val="nil"/>
            </w:tcBorders>
            <w:noWrap/>
            <w:vAlign w:val="bottom"/>
          </w:tcPr>
          <w:p>
            <w:pPr>
              <w:jc w:val="left"/>
              <w:rPr>
                <w:rFonts w:ascii="宋体" w:hAnsi="宋体" w:cs="宋体"/>
                <w:color w:val="auto"/>
                <w:sz w:val="24"/>
                <w:highlight w:val="none"/>
              </w:rPr>
            </w:pPr>
          </w:p>
        </w:tc>
      </w:tr>
      <w:tr>
        <w:tblPrEx>
          <w:tblCellMar>
            <w:top w:w="0" w:type="dxa"/>
            <w:left w:w="108" w:type="dxa"/>
            <w:bottom w:w="0" w:type="dxa"/>
            <w:right w:w="108" w:type="dxa"/>
          </w:tblCellMar>
        </w:tblPrEx>
        <w:trPr>
          <w:trHeight w:val="597" w:hRule="atLeast"/>
          <w:jc w:val="center"/>
        </w:trPr>
        <w:tc>
          <w:tcPr>
            <w:tcW w:w="1755" w:type="dxa"/>
            <w:noWrap/>
            <w:vAlign w:val="bottom"/>
          </w:tcPr>
          <w:p>
            <w:pPr>
              <w:jc w:val="distribute"/>
              <w:rPr>
                <w:rFonts w:ascii="宋体" w:hAnsi="宋体" w:cs="宋体"/>
                <w:color w:val="auto"/>
                <w:sz w:val="24"/>
                <w:highlight w:val="none"/>
              </w:rPr>
            </w:pPr>
            <w:r>
              <w:rPr>
                <w:rFonts w:hint="eastAsia" w:ascii="宋体" w:hAnsi="宋体" w:cs="宋体"/>
                <w:color w:val="auto"/>
                <w:sz w:val="24"/>
                <w:highlight w:val="none"/>
              </w:rPr>
              <w:t>投标人地址：</w:t>
            </w:r>
          </w:p>
        </w:tc>
        <w:tc>
          <w:tcPr>
            <w:tcW w:w="6765" w:type="dxa"/>
            <w:tcBorders>
              <w:top w:val="single" w:color="000000" w:sz="4" w:space="0"/>
              <w:left w:val="nil"/>
              <w:bottom w:val="single" w:color="000000" w:sz="4" w:space="0"/>
              <w:right w:val="nil"/>
            </w:tcBorders>
            <w:noWrap/>
            <w:vAlign w:val="bottom"/>
          </w:tcPr>
          <w:p>
            <w:pPr>
              <w:jc w:val="left"/>
              <w:rPr>
                <w:rFonts w:ascii="宋体" w:hAnsi="宋体" w:cs="宋体"/>
                <w:color w:val="auto"/>
                <w:sz w:val="24"/>
                <w:highlight w:val="none"/>
              </w:rPr>
            </w:pPr>
          </w:p>
        </w:tc>
      </w:tr>
    </w:tbl>
    <w:p>
      <w:pPr>
        <w:ind w:firstLine="4200" w:firstLineChars="1750"/>
        <w:rPr>
          <w:rFonts w:ascii="宋体" w:hAnsi="宋体" w:cs="宋体"/>
          <w:color w:val="auto"/>
          <w:sz w:val="24"/>
          <w:highlight w:val="none"/>
        </w:rPr>
      </w:pPr>
    </w:p>
    <w:p>
      <w:pPr>
        <w:ind w:firstLine="4200" w:firstLineChars="1750"/>
        <w:rPr>
          <w:rFonts w:ascii="宋体" w:hAnsi="宋体" w:cs="宋体"/>
          <w:color w:val="auto"/>
          <w:sz w:val="24"/>
          <w:highlight w:val="none"/>
        </w:rPr>
      </w:pPr>
    </w:p>
    <w:p>
      <w:pPr>
        <w:ind w:firstLine="4200" w:firstLineChars="1750"/>
        <w:rPr>
          <w:rFonts w:ascii="宋体" w:hAnsi="宋体" w:cs="宋体"/>
          <w:color w:val="auto"/>
          <w:sz w:val="24"/>
          <w:highlight w:val="none"/>
        </w:rPr>
      </w:pPr>
    </w:p>
    <w:p>
      <w:pPr>
        <w:ind w:firstLine="5880" w:firstLineChars="2450"/>
        <w:rPr>
          <w:rFonts w:ascii="宋体" w:hAnsi="宋体" w:cs="宋体"/>
          <w:color w:val="auto"/>
          <w:sz w:val="24"/>
          <w:highlight w:val="none"/>
        </w:rPr>
      </w:pPr>
      <w:r>
        <w:rPr>
          <w:rFonts w:hint="eastAsia" w:ascii="宋体" w:hAnsi="宋体" w:cs="宋体"/>
          <w:color w:val="auto"/>
          <w:sz w:val="24"/>
          <w:highlight w:val="none"/>
        </w:rPr>
        <w:t>投标截止时间前不得解密</w:t>
      </w:r>
    </w:p>
    <w:p>
      <w:pPr>
        <w:ind w:firstLine="6480" w:firstLineChars="2700"/>
        <w:rPr>
          <w:rFonts w:ascii="宋体" w:hAnsi="宋体" w:cs="宋体"/>
          <w:color w:val="auto"/>
          <w:sz w:val="24"/>
          <w:highlight w:val="none"/>
        </w:rPr>
      </w:pPr>
      <w:r>
        <w:rPr>
          <w:rFonts w:hint="eastAsia" w:ascii="宋体" w:hAnsi="宋体" w:cs="宋体"/>
          <w:color w:val="auto"/>
          <w:sz w:val="24"/>
          <w:highlight w:val="none"/>
        </w:rPr>
        <w:t>年   月   日</w:t>
      </w:r>
    </w:p>
    <w:p>
      <w:pPr>
        <w:jc w:val="center"/>
        <w:outlineLvl w:val="1"/>
        <w:rPr>
          <w:rFonts w:ascii="宋体" w:hAnsi="宋体" w:cs="宋体"/>
          <w:b/>
          <w:bCs/>
          <w:color w:val="auto"/>
          <w:sz w:val="28"/>
          <w:szCs w:val="28"/>
          <w:highlight w:val="none"/>
        </w:rPr>
      </w:pPr>
      <w:bookmarkStart w:id="232" w:name="_Toc29743"/>
      <w:bookmarkStart w:id="233" w:name="_Toc26915"/>
      <w:bookmarkStart w:id="234" w:name="_Toc16447"/>
      <w:bookmarkStart w:id="235" w:name="_Toc30455"/>
      <w:bookmarkStart w:id="236" w:name="_Toc247"/>
      <w:r>
        <w:rPr>
          <w:rFonts w:hint="eastAsia" w:ascii="宋体" w:hAnsi="宋体" w:cs="宋体"/>
          <w:b/>
          <w:bCs/>
          <w:color w:val="auto"/>
          <w:sz w:val="28"/>
          <w:szCs w:val="28"/>
          <w:highlight w:val="none"/>
        </w:rPr>
        <w:br w:type="page"/>
      </w:r>
      <w:r>
        <w:rPr>
          <w:rFonts w:hint="eastAsia" w:ascii="宋体" w:hAnsi="宋体" w:cs="宋体"/>
          <w:b/>
          <w:bCs/>
          <w:color w:val="auto"/>
          <w:sz w:val="28"/>
          <w:szCs w:val="28"/>
          <w:highlight w:val="none"/>
        </w:rPr>
        <w:t>第二节 资格证明文件格式</w:t>
      </w:r>
      <w:bookmarkEnd w:id="232"/>
      <w:bookmarkEnd w:id="233"/>
      <w:bookmarkEnd w:id="234"/>
      <w:bookmarkEnd w:id="235"/>
      <w:bookmarkEnd w:id="236"/>
    </w:p>
    <w:p>
      <w:pPr>
        <w:spacing w:line="360" w:lineRule="auto"/>
        <w:ind w:firstLine="420"/>
        <w:rPr>
          <w:rFonts w:ascii="宋体" w:hAnsi="宋体" w:cs="宋体"/>
          <w:color w:val="auto"/>
          <w:sz w:val="24"/>
          <w:highlight w:val="none"/>
        </w:rPr>
      </w:pPr>
    </w:p>
    <w:p>
      <w:pPr>
        <w:spacing w:line="360" w:lineRule="auto"/>
        <w:ind w:firstLine="420"/>
        <w:rPr>
          <w:rFonts w:ascii="宋体" w:hAnsi="宋体" w:cs="宋体"/>
          <w:b/>
          <w:bCs/>
          <w:color w:val="auto"/>
          <w:sz w:val="24"/>
          <w:highlight w:val="none"/>
        </w:rPr>
      </w:pPr>
      <w:r>
        <w:rPr>
          <w:rFonts w:hint="eastAsia" w:ascii="宋体" w:hAnsi="宋体" w:cs="宋体"/>
          <w:b/>
          <w:bCs/>
          <w:color w:val="auto"/>
          <w:sz w:val="28"/>
          <w:szCs w:val="28"/>
          <w:highlight w:val="none"/>
        </w:rPr>
        <w:t>1.资格证明文件封面的格式：</w:t>
      </w:r>
    </w:p>
    <w:p>
      <w:pPr>
        <w:ind w:left="2940"/>
        <w:rPr>
          <w:color w:val="auto"/>
          <w:highlight w:val="none"/>
        </w:rPr>
      </w:pPr>
    </w:p>
    <w:p>
      <w:pPr>
        <w:snapToGrid w:val="0"/>
        <w:spacing w:beforeLines="50" w:after="50"/>
        <w:jc w:val="right"/>
        <w:rPr>
          <w:rFonts w:ascii="宋体" w:hAnsi="宋体" w:cs="宋体"/>
          <w:bCs/>
          <w:color w:val="auto"/>
          <w:sz w:val="32"/>
          <w:szCs w:val="20"/>
          <w:highlight w:val="none"/>
        </w:rPr>
      </w:pPr>
      <w:r>
        <w:rPr>
          <w:rFonts w:hint="eastAsia" w:ascii="宋体" w:hAnsi="宋体" w:cs="宋体"/>
          <w:bCs/>
          <w:color w:val="auto"/>
          <w:highlight w:val="none"/>
        </w:rPr>
        <w:t>电子投标文件</w:t>
      </w:r>
    </w:p>
    <w:p>
      <w:pPr>
        <w:snapToGrid w:val="0"/>
        <w:spacing w:beforeLines="50" w:after="50"/>
        <w:rPr>
          <w:rFonts w:ascii="宋体" w:hAnsi="宋体" w:cs="宋体"/>
          <w:color w:val="auto"/>
          <w:sz w:val="24"/>
          <w:szCs w:val="20"/>
          <w:highlight w:val="none"/>
        </w:rPr>
      </w:pPr>
    </w:p>
    <w:p>
      <w:pPr>
        <w:snapToGrid w:val="0"/>
        <w:spacing w:beforeLines="50" w:after="50"/>
        <w:jc w:val="center"/>
        <w:rPr>
          <w:rFonts w:ascii="宋体" w:hAnsi="宋体" w:cs="宋体"/>
          <w:b/>
          <w:color w:val="auto"/>
          <w:sz w:val="32"/>
          <w:szCs w:val="32"/>
          <w:highlight w:val="none"/>
        </w:rPr>
      </w:pPr>
    </w:p>
    <w:p>
      <w:pPr>
        <w:snapToGrid w:val="0"/>
        <w:spacing w:beforeLines="50" w:after="50"/>
        <w:jc w:val="center"/>
        <w:rPr>
          <w:rFonts w:ascii="宋体" w:hAnsi="宋体" w:cs="宋体"/>
          <w:b/>
          <w:color w:val="auto"/>
          <w:sz w:val="24"/>
          <w:szCs w:val="20"/>
          <w:highlight w:val="none"/>
        </w:rPr>
      </w:pPr>
      <w:r>
        <w:rPr>
          <w:rFonts w:hint="eastAsia" w:ascii="宋体" w:hAnsi="宋体" w:cs="宋体"/>
          <w:b/>
          <w:color w:val="auto"/>
          <w:sz w:val="32"/>
          <w:szCs w:val="32"/>
          <w:highlight w:val="none"/>
        </w:rPr>
        <w:t>资格证明文件</w:t>
      </w:r>
    </w:p>
    <w:p>
      <w:pPr>
        <w:snapToGrid w:val="0"/>
        <w:spacing w:beforeLines="50" w:after="50"/>
        <w:rPr>
          <w:rFonts w:ascii="宋体" w:hAnsi="宋体" w:cs="宋体"/>
          <w:bCs/>
          <w:color w:val="auto"/>
          <w:sz w:val="24"/>
          <w:szCs w:val="20"/>
          <w:highlight w:val="none"/>
        </w:rPr>
      </w:pPr>
    </w:p>
    <w:p>
      <w:pPr>
        <w:snapToGrid w:val="0"/>
        <w:spacing w:beforeLines="50" w:after="50"/>
        <w:rPr>
          <w:rFonts w:ascii="宋体" w:hAnsi="宋体" w:cs="宋体"/>
          <w:bCs/>
          <w:color w:val="auto"/>
          <w:sz w:val="24"/>
          <w:szCs w:val="20"/>
          <w:highlight w:val="none"/>
        </w:rPr>
      </w:pPr>
    </w:p>
    <w:p>
      <w:pPr>
        <w:snapToGrid w:val="0"/>
        <w:spacing w:beforeLines="50" w:after="50"/>
        <w:rPr>
          <w:rFonts w:ascii="宋体" w:hAnsi="宋体" w:cs="宋体"/>
          <w:bCs/>
          <w:color w:val="auto"/>
          <w:sz w:val="24"/>
          <w:szCs w:val="20"/>
          <w:highlight w:val="none"/>
        </w:rPr>
      </w:pPr>
    </w:p>
    <w:p>
      <w:pPr>
        <w:snapToGrid w:val="0"/>
        <w:spacing w:beforeLines="50" w:after="50"/>
        <w:rPr>
          <w:rFonts w:ascii="宋体" w:hAnsi="宋体" w:cs="宋体"/>
          <w:bCs/>
          <w:color w:val="auto"/>
          <w:sz w:val="24"/>
          <w:szCs w:val="20"/>
          <w:highlight w:val="none"/>
        </w:rPr>
      </w:pPr>
    </w:p>
    <w:p>
      <w:pPr>
        <w:snapToGrid w:val="0"/>
        <w:spacing w:beforeLines="50" w:after="50"/>
        <w:rPr>
          <w:rFonts w:ascii="宋体" w:hAnsi="宋体" w:cs="宋体"/>
          <w:bCs/>
          <w:color w:val="auto"/>
          <w:sz w:val="24"/>
          <w:szCs w:val="20"/>
          <w:highlight w:val="none"/>
        </w:rPr>
      </w:pPr>
    </w:p>
    <w:p>
      <w:pPr>
        <w:snapToGrid w:val="0"/>
        <w:spacing w:beforeLines="50" w:after="50"/>
        <w:rPr>
          <w:rFonts w:ascii="宋体" w:hAnsi="宋体" w:cs="宋体"/>
          <w:bCs/>
          <w:color w:val="auto"/>
          <w:sz w:val="24"/>
          <w:szCs w:val="20"/>
          <w:highlight w:val="none"/>
        </w:rPr>
      </w:pPr>
    </w:p>
    <w:p>
      <w:pPr>
        <w:snapToGrid w:val="0"/>
        <w:spacing w:beforeLines="50" w:after="50"/>
        <w:rPr>
          <w:rFonts w:ascii="宋体" w:hAnsi="宋体" w:cs="宋体"/>
          <w:bCs/>
          <w:color w:val="auto"/>
          <w:sz w:val="24"/>
          <w:szCs w:val="20"/>
          <w:highlight w:val="none"/>
        </w:rPr>
      </w:pPr>
    </w:p>
    <w:p>
      <w:pPr>
        <w:snapToGrid w:val="0"/>
        <w:spacing w:beforeLines="50" w:after="50"/>
        <w:ind w:firstLine="540" w:firstLineChars="225"/>
        <w:rPr>
          <w:rFonts w:ascii="宋体" w:hAnsi="宋体" w:cs="宋体"/>
          <w:bCs/>
          <w:color w:val="auto"/>
          <w:sz w:val="24"/>
          <w:szCs w:val="20"/>
          <w:highlight w:val="none"/>
        </w:rPr>
      </w:pPr>
      <w:r>
        <w:rPr>
          <w:rFonts w:hint="eastAsia" w:ascii="宋体" w:hAnsi="宋体" w:cs="宋体"/>
          <w:bCs/>
          <w:color w:val="auto"/>
          <w:sz w:val="24"/>
          <w:highlight w:val="none"/>
        </w:rPr>
        <w:t>项目名称：</w:t>
      </w:r>
    </w:p>
    <w:p>
      <w:pPr>
        <w:snapToGrid w:val="0"/>
        <w:spacing w:beforeLines="50" w:after="50"/>
        <w:ind w:firstLine="540" w:firstLineChars="225"/>
        <w:rPr>
          <w:rFonts w:ascii="宋体" w:hAnsi="宋体" w:cs="宋体"/>
          <w:bCs/>
          <w:color w:val="auto"/>
          <w:sz w:val="24"/>
          <w:highlight w:val="none"/>
        </w:rPr>
      </w:pPr>
      <w:r>
        <w:rPr>
          <w:rFonts w:hint="eastAsia" w:ascii="宋体" w:hAnsi="宋体" w:cs="宋体"/>
          <w:bCs/>
          <w:color w:val="auto"/>
          <w:sz w:val="24"/>
          <w:highlight w:val="none"/>
        </w:rPr>
        <w:t>项目编号：</w:t>
      </w:r>
    </w:p>
    <w:p>
      <w:pPr>
        <w:snapToGrid w:val="0"/>
        <w:spacing w:beforeLines="50" w:after="50"/>
        <w:ind w:firstLine="540" w:firstLineChars="225"/>
        <w:rPr>
          <w:rFonts w:ascii="宋体" w:hAnsi="宋体" w:cs="宋体"/>
          <w:bCs/>
          <w:color w:val="auto"/>
          <w:sz w:val="24"/>
          <w:szCs w:val="20"/>
          <w:highlight w:val="none"/>
        </w:rPr>
      </w:pPr>
    </w:p>
    <w:p>
      <w:pPr>
        <w:snapToGrid w:val="0"/>
        <w:spacing w:beforeLines="50" w:after="50"/>
        <w:ind w:firstLine="540" w:firstLineChars="225"/>
        <w:rPr>
          <w:rFonts w:ascii="宋体" w:hAnsi="宋体" w:cs="宋体"/>
          <w:bCs/>
          <w:color w:val="auto"/>
          <w:sz w:val="24"/>
          <w:highlight w:val="none"/>
        </w:rPr>
      </w:pPr>
      <w:r>
        <w:rPr>
          <w:rFonts w:hint="eastAsia" w:ascii="宋体" w:hAnsi="宋体" w:cs="宋体"/>
          <w:bCs/>
          <w:color w:val="auto"/>
          <w:sz w:val="24"/>
          <w:highlight w:val="none"/>
        </w:rPr>
        <w:t>所投分标（如有则填写，无分标时填写“无”或者留空）：</w:t>
      </w:r>
    </w:p>
    <w:p>
      <w:pPr>
        <w:snapToGrid w:val="0"/>
        <w:spacing w:before="50" w:after="50"/>
        <w:ind w:firstLine="540" w:firstLineChars="225"/>
        <w:rPr>
          <w:rFonts w:ascii="宋体" w:hAnsi="宋体" w:cs="宋体"/>
          <w:bCs/>
          <w:color w:val="auto"/>
          <w:sz w:val="24"/>
          <w:highlight w:val="none"/>
        </w:rPr>
      </w:pPr>
    </w:p>
    <w:p>
      <w:pPr>
        <w:snapToGrid w:val="0"/>
        <w:spacing w:before="50" w:after="50"/>
        <w:ind w:firstLine="540" w:firstLineChars="225"/>
        <w:rPr>
          <w:rFonts w:ascii="宋体" w:hAnsi="宋体" w:cs="宋体"/>
          <w:bCs/>
          <w:color w:val="auto"/>
          <w:sz w:val="24"/>
          <w:highlight w:val="none"/>
        </w:rPr>
      </w:pPr>
      <w:r>
        <w:rPr>
          <w:rFonts w:hint="eastAsia" w:ascii="宋体" w:hAnsi="宋体" w:cs="宋体"/>
          <w:bCs/>
          <w:color w:val="auto"/>
          <w:sz w:val="24"/>
          <w:highlight w:val="none"/>
        </w:rPr>
        <w:t>投标人名称：</w:t>
      </w:r>
    </w:p>
    <w:p>
      <w:pPr>
        <w:snapToGrid w:val="0"/>
        <w:spacing w:before="50" w:after="50"/>
        <w:ind w:firstLine="540" w:firstLineChars="225"/>
        <w:rPr>
          <w:rFonts w:ascii="宋体" w:hAnsi="宋体" w:cs="宋体"/>
          <w:bCs/>
          <w:color w:val="auto"/>
          <w:sz w:val="24"/>
          <w:highlight w:val="none"/>
        </w:rPr>
      </w:pPr>
    </w:p>
    <w:p>
      <w:pPr>
        <w:snapToGrid w:val="0"/>
        <w:spacing w:before="50" w:after="50"/>
        <w:ind w:firstLine="960" w:firstLineChars="400"/>
        <w:rPr>
          <w:rFonts w:ascii="宋体" w:hAnsi="宋体" w:cs="宋体"/>
          <w:bCs/>
          <w:color w:val="auto"/>
          <w:sz w:val="24"/>
          <w:highlight w:val="none"/>
        </w:rPr>
      </w:pPr>
    </w:p>
    <w:p>
      <w:pPr>
        <w:snapToGrid w:val="0"/>
        <w:spacing w:beforeLines="50" w:after="50"/>
        <w:ind w:firstLine="645"/>
        <w:jc w:val="center"/>
        <w:rPr>
          <w:rFonts w:ascii="宋体" w:hAnsi="宋体" w:cs="宋体"/>
          <w:color w:val="auto"/>
          <w:sz w:val="24"/>
          <w:highlight w:val="none"/>
        </w:rPr>
      </w:pPr>
      <w:r>
        <w:rPr>
          <w:rFonts w:hint="eastAsia" w:ascii="宋体" w:hAnsi="宋体" w:cs="宋体"/>
          <w:color w:val="auto"/>
          <w:sz w:val="24"/>
          <w:highlight w:val="none"/>
        </w:rPr>
        <w:t>年  月  日</w:t>
      </w:r>
    </w:p>
    <w:p>
      <w:pPr>
        <w:rPr>
          <w:rFonts w:ascii="宋体" w:hAnsi="宋体" w:cs="宋体"/>
          <w:b/>
          <w:color w:val="auto"/>
          <w:kern w:val="0"/>
          <w:sz w:val="28"/>
          <w:szCs w:val="28"/>
          <w:highlight w:val="none"/>
        </w:rPr>
      </w:pPr>
      <w:r>
        <w:rPr>
          <w:rFonts w:hint="eastAsia" w:ascii="宋体" w:hAnsi="宋体" w:cs="宋体"/>
          <w:b/>
          <w:color w:val="auto"/>
          <w:kern w:val="0"/>
          <w:sz w:val="28"/>
          <w:szCs w:val="28"/>
          <w:highlight w:val="none"/>
        </w:rPr>
        <w:br w:type="page"/>
      </w:r>
      <w:r>
        <w:rPr>
          <w:rFonts w:hint="eastAsia" w:ascii="宋体" w:hAnsi="宋体" w:cs="宋体"/>
          <w:b/>
          <w:color w:val="auto"/>
          <w:kern w:val="0"/>
          <w:sz w:val="28"/>
          <w:szCs w:val="28"/>
          <w:highlight w:val="none"/>
        </w:rPr>
        <w:t>2.资格证明文件目录</w:t>
      </w:r>
    </w:p>
    <w:p>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根据招标文件规定及投标人提供的材料自行编写目录（部分格式后附）。</w:t>
      </w:r>
    </w:p>
    <w:p>
      <w:pPr>
        <w:snapToGrid w:val="0"/>
        <w:spacing w:line="360" w:lineRule="auto"/>
        <w:rPr>
          <w:rFonts w:ascii="宋体" w:hAnsi="宋体" w:cs="宋体"/>
          <w:b/>
          <w:color w:val="auto"/>
          <w:kern w:val="0"/>
          <w:sz w:val="32"/>
          <w:szCs w:val="32"/>
          <w:highlight w:val="none"/>
          <w:lang w:val="zh-CN"/>
        </w:rPr>
      </w:pPr>
    </w:p>
    <w:p>
      <w:pPr>
        <w:snapToGrid w:val="0"/>
        <w:spacing w:line="360" w:lineRule="auto"/>
        <w:ind w:right="480"/>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br w:type="page"/>
      </w:r>
      <w:r>
        <w:rPr>
          <w:rFonts w:hint="eastAsia" w:ascii="宋体" w:hAnsi="宋体" w:cs="宋体"/>
          <w:b/>
          <w:color w:val="auto"/>
          <w:kern w:val="0"/>
          <w:sz w:val="32"/>
          <w:szCs w:val="32"/>
          <w:highlight w:val="none"/>
        </w:rPr>
        <w:t>3.</w:t>
      </w:r>
      <w:r>
        <w:rPr>
          <w:rFonts w:hint="eastAsia" w:ascii="宋体" w:hAnsi="宋体" w:cs="宋体"/>
          <w:b/>
          <w:color w:val="auto"/>
          <w:sz w:val="28"/>
          <w:szCs w:val="28"/>
          <w:highlight w:val="none"/>
        </w:rPr>
        <w:t>声明函的格式</w:t>
      </w:r>
      <w:r>
        <w:rPr>
          <w:rFonts w:hint="eastAsia"/>
          <w:color w:val="auto"/>
          <w:sz w:val="28"/>
          <w:szCs w:val="28"/>
          <w:highlight w:val="none"/>
        </w:rPr>
        <w:t>：</w:t>
      </w:r>
    </w:p>
    <w:p>
      <w:pPr>
        <w:snapToGrid w:val="0"/>
        <w:jc w:val="left"/>
        <w:rPr>
          <w:color w:val="auto"/>
          <w:sz w:val="18"/>
          <w:szCs w:val="18"/>
          <w:highlight w:val="none"/>
        </w:rPr>
      </w:pPr>
    </w:p>
    <w:p>
      <w:pPr>
        <w:snapToGrid w:val="0"/>
        <w:spacing w:before="50" w:afterLines="50"/>
        <w:jc w:val="center"/>
        <w:rPr>
          <w:rFonts w:ascii="宋体" w:hAnsi="宋体" w:cs="宋体"/>
          <w:b/>
          <w:color w:val="auto"/>
          <w:sz w:val="28"/>
          <w:szCs w:val="28"/>
          <w:highlight w:val="none"/>
        </w:rPr>
      </w:pPr>
      <w:r>
        <w:rPr>
          <w:rFonts w:hint="eastAsia" w:ascii="宋体" w:hAnsi="宋体" w:cs="宋体"/>
          <w:b/>
          <w:color w:val="auto"/>
          <w:sz w:val="28"/>
          <w:szCs w:val="28"/>
          <w:highlight w:val="none"/>
        </w:rPr>
        <w:t>声明函</w:t>
      </w:r>
    </w:p>
    <w:p>
      <w:pPr>
        <w:tabs>
          <w:tab w:val="left" w:pos="7200"/>
        </w:tabs>
        <w:spacing w:line="360" w:lineRule="auto"/>
        <w:rPr>
          <w:rFonts w:ascii="宋体" w:hAnsi="宋体" w:cs="宋体"/>
          <w:color w:val="auto"/>
          <w:szCs w:val="21"/>
          <w:highlight w:val="none"/>
        </w:rPr>
      </w:pPr>
      <w:r>
        <w:rPr>
          <w:rFonts w:hint="eastAsia" w:ascii="宋体" w:hAnsi="宋体" w:cs="宋体"/>
          <w:color w:val="auto"/>
          <w:szCs w:val="21"/>
          <w:highlight w:val="none"/>
        </w:rPr>
        <w:t>致：</w:t>
      </w:r>
      <w:bookmarkStart w:id="237" w:name="PO_3000001919_PM031"/>
      <w:r>
        <w:rPr>
          <w:rFonts w:hint="eastAsia" w:ascii="宋体" w:hAnsi="宋体" w:cs="宋体"/>
          <w:color w:val="auto"/>
          <w:szCs w:val="21"/>
          <w:highlight w:val="none"/>
          <w:u w:val="single"/>
        </w:rPr>
        <w:t>广西科联招标中心有限公司</w:t>
      </w:r>
      <w:bookmarkEnd w:id="237"/>
    </w:p>
    <w:p>
      <w:pPr>
        <w:snapToGrid w:val="0"/>
        <w:ind w:firstLine="420" w:firstLineChars="200"/>
        <w:jc w:val="left"/>
        <w:rPr>
          <w:color w:val="auto"/>
          <w:szCs w:val="21"/>
          <w:highlight w:val="none"/>
        </w:rPr>
      </w:pPr>
      <w:r>
        <w:rPr>
          <w:rFonts w:hint="eastAsia" w:ascii="宋体" w:hAnsi="宋体" w:cs="宋体"/>
          <w:i/>
          <w:iCs/>
          <w:color w:val="auto"/>
          <w:szCs w:val="21"/>
          <w:highlight w:val="none"/>
          <w:u w:val="single"/>
        </w:rPr>
        <w:t>（投标人名称）</w:t>
      </w:r>
      <w:r>
        <w:rPr>
          <w:rFonts w:hint="eastAsia" w:ascii="宋体" w:hAnsi="宋体" w:cs="宋体"/>
          <w:color w:val="auto"/>
          <w:szCs w:val="21"/>
          <w:highlight w:val="none"/>
        </w:rPr>
        <w:t>系中华人民共和国合法供应商，经营地址。</w:t>
      </w:r>
    </w:p>
    <w:p>
      <w:pPr>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我方愿意参加贵方组织的</w:t>
      </w:r>
      <w:r>
        <w:rPr>
          <w:rFonts w:hint="eastAsia" w:ascii="宋体" w:hAnsi="宋体"/>
          <w:i/>
          <w:iCs/>
          <w:color w:val="auto"/>
          <w:szCs w:val="21"/>
          <w:highlight w:val="none"/>
          <w:u w:val="single"/>
        </w:rPr>
        <w:t xml:space="preserve">（项目名称） </w:t>
      </w:r>
      <w:r>
        <w:rPr>
          <w:rFonts w:hint="eastAsia" w:ascii="宋体" w:hAnsi="宋体"/>
          <w:color w:val="auto"/>
          <w:szCs w:val="21"/>
          <w:highlight w:val="none"/>
        </w:rPr>
        <w:t>（项目编号：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）项目的投标，为便于贵方公正、择优地确定中标人，我方就本次投标有关事项郑重声明如下：</w:t>
      </w:r>
    </w:p>
    <w:p>
      <w:pPr>
        <w:snapToGrid w:val="0"/>
        <w:ind w:firstLine="420" w:firstLineChars="200"/>
        <w:jc w:val="left"/>
        <w:rPr>
          <w:color w:val="auto"/>
          <w:szCs w:val="21"/>
          <w:highlight w:val="none"/>
        </w:rPr>
      </w:pPr>
      <w:r>
        <w:rPr>
          <w:rFonts w:hint="eastAsia" w:ascii="宋体" w:hAnsi="宋体" w:cs="宋体"/>
          <w:color w:val="auto"/>
          <w:szCs w:val="21"/>
          <w:highlight w:val="none"/>
        </w:rPr>
        <w:t>1、我方向贵方提交的所有投标文件、资料都是准确的和真实的。</w:t>
      </w:r>
    </w:p>
    <w:p>
      <w:pPr>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我方不是采购人的附属机构；不是为本次采购项目提供整体设计、规范编制或者项目管理、监理、检测等服务的供应商；在获知本项目采购信息后，与采购人聘请的为此项目提供咨询服务的公司及其附属机构没有任何联系。</w:t>
      </w:r>
    </w:p>
    <w:p>
      <w:pPr>
        <w:spacing w:line="360" w:lineRule="exact"/>
        <w:ind w:firstLine="420" w:firstLineChars="200"/>
        <w:contextualSpacing/>
        <w:rPr>
          <w:rFonts w:ascii="宋体" w:hAnsi="宋体" w:cs="宋体"/>
          <w:color w:val="auto"/>
          <w:szCs w:val="21"/>
          <w:highlight w:val="none"/>
        </w:rPr>
      </w:pPr>
      <w:r>
        <w:rPr>
          <w:rFonts w:hint="eastAsia" w:ascii="宋体" w:hAnsi="宋体" w:cs="宋体"/>
          <w:color w:val="auto"/>
          <w:szCs w:val="21"/>
          <w:highlight w:val="none"/>
        </w:rPr>
        <w:t>3、在此，我方宣布同意如下：</w:t>
      </w:r>
    </w:p>
    <w:p>
      <w:pPr>
        <w:spacing w:line="360" w:lineRule="exact"/>
        <w:ind w:firstLine="420" w:firstLineChars="200"/>
        <w:contextualSpacing/>
        <w:rPr>
          <w:rFonts w:ascii="宋体" w:hAnsi="宋体" w:cs="宋体"/>
          <w:color w:val="auto"/>
          <w:szCs w:val="21"/>
          <w:highlight w:val="none"/>
        </w:rPr>
      </w:pPr>
      <w:r>
        <w:rPr>
          <w:rFonts w:hint="eastAsia" w:ascii="宋体" w:hAnsi="宋体" w:cs="宋体"/>
          <w:color w:val="auto"/>
          <w:szCs w:val="21"/>
          <w:highlight w:val="none"/>
        </w:rPr>
        <w:t>（1）将按招标文件的约定履行合同责任和义务；</w:t>
      </w:r>
    </w:p>
    <w:p>
      <w:pPr>
        <w:spacing w:line="360" w:lineRule="exact"/>
        <w:ind w:firstLine="420" w:firstLineChars="200"/>
        <w:contextualSpacing/>
        <w:rPr>
          <w:rFonts w:ascii="宋体" w:hAnsi="宋体" w:cs="宋体"/>
          <w:color w:val="auto"/>
          <w:szCs w:val="21"/>
          <w:highlight w:val="none"/>
        </w:rPr>
      </w:pPr>
      <w:r>
        <w:rPr>
          <w:rFonts w:hint="eastAsia" w:ascii="宋体" w:hAnsi="宋体" w:cs="宋体"/>
          <w:color w:val="auto"/>
          <w:szCs w:val="21"/>
          <w:highlight w:val="none"/>
        </w:rPr>
        <w:t>（2）已详细审查招标文件的全部</w:t>
      </w:r>
      <w:r>
        <w:rPr>
          <w:rFonts w:hint="eastAsia" w:ascii="宋体" w:hAnsi="宋体" w:cs="宋体"/>
          <w:color w:val="auto"/>
          <w:kern w:val="0"/>
          <w:szCs w:val="21"/>
          <w:highlight w:val="none"/>
        </w:rPr>
        <w:t>内容</w:t>
      </w:r>
      <w:r>
        <w:rPr>
          <w:rFonts w:hint="eastAsia" w:ascii="宋体" w:hAnsi="宋体" w:cs="宋体"/>
          <w:color w:val="auto"/>
          <w:szCs w:val="21"/>
          <w:highlight w:val="none"/>
        </w:rPr>
        <w:t>，包括澄清或者更正公告（如有）；</w:t>
      </w:r>
    </w:p>
    <w:p>
      <w:pPr>
        <w:spacing w:line="360" w:lineRule="exact"/>
        <w:ind w:firstLine="420" w:firstLineChars="200"/>
        <w:contextualSpacing/>
        <w:rPr>
          <w:rFonts w:ascii="宋体" w:hAnsi="宋体" w:cs="宋体"/>
          <w:color w:val="auto"/>
          <w:szCs w:val="21"/>
          <w:highlight w:val="none"/>
        </w:rPr>
      </w:pPr>
      <w:r>
        <w:rPr>
          <w:rFonts w:hint="eastAsia" w:ascii="宋体" w:hAnsi="宋体" w:cs="宋体"/>
          <w:color w:val="auto"/>
          <w:szCs w:val="21"/>
          <w:highlight w:val="none"/>
        </w:rPr>
        <w:t>（3）同意提供按照贵方可能要求的与投标有关的一切数据或者资料。</w:t>
      </w:r>
    </w:p>
    <w:p>
      <w:pPr>
        <w:snapToGrid w:val="0"/>
        <w:jc w:val="left"/>
        <w:rPr>
          <w:color w:val="auto"/>
          <w:sz w:val="18"/>
          <w:szCs w:val="18"/>
          <w:highlight w:val="none"/>
        </w:rPr>
      </w:pP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我方在此声明，我方在参加本项目的政府采购活动前三年内，在经营活动中没有重大违法记录（重大违法记录是指供应商因违法经营受到刑事处罚或者责令停产停业、吊销许可证或者执照、较大数额罚款等行政处罚），未被列入失信被执行人、重大税收违法失信主体、政府采购严重违法失信行为记录名单。</w:t>
      </w:r>
    </w:p>
    <w:p>
      <w:pPr>
        <w:spacing w:line="360" w:lineRule="exact"/>
        <w:ind w:firstLine="420" w:firstLineChars="200"/>
        <w:contextualSpacing/>
        <w:rPr>
          <w:rFonts w:ascii="宋体" w:hAnsi="宋体" w:cs="宋体"/>
          <w:i/>
          <w:iCs/>
          <w:color w:val="auto"/>
          <w:szCs w:val="21"/>
          <w:highlight w:val="none"/>
        </w:rPr>
      </w:pPr>
      <w:r>
        <w:rPr>
          <w:rFonts w:hint="eastAsia" w:ascii="宋体" w:hAnsi="宋体"/>
          <w:color w:val="auto"/>
          <w:szCs w:val="21"/>
          <w:highlight w:val="none"/>
        </w:rPr>
        <w:t>5、</w:t>
      </w:r>
      <w:r>
        <w:rPr>
          <w:rFonts w:hint="eastAsia" w:ascii="宋体" w:hAnsi="宋体" w:cs="宋体"/>
          <w:color w:val="auto"/>
          <w:szCs w:val="21"/>
          <w:highlight w:val="none"/>
        </w:rPr>
        <w:t>根据《中华人民共和国政府采购法实施条例》第五十条要求对政府采购合同进行公告，但政府采购合同中涉及国家秘密、商业秘密的内容除外。我方就对本次投标文件进行注明如下：</w:t>
      </w:r>
      <w:r>
        <w:rPr>
          <w:rFonts w:hint="eastAsia" w:ascii="宋体" w:hAnsi="宋体" w:cs="宋体"/>
          <w:i/>
          <w:iCs/>
          <w:color w:val="auto"/>
          <w:szCs w:val="21"/>
          <w:highlight w:val="none"/>
        </w:rPr>
        <w:t>（两项内容中必须选择一项）</w:t>
      </w:r>
    </w:p>
    <w:p>
      <w:pPr>
        <w:spacing w:line="360" w:lineRule="exact"/>
        <w:ind w:firstLine="420" w:firstLineChars="200"/>
        <w:contextualSpacing/>
        <w:rPr>
          <w:rFonts w:ascii="宋体" w:hAnsi="宋体" w:cs="宋体"/>
          <w:color w:val="auto"/>
          <w:szCs w:val="21"/>
          <w:highlight w:val="none"/>
        </w:rPr>
      </w:pPr>
      <w:r>
        <w:rPr>
          <w:rFonts w:hint="eastAsia" w:ascii="宋体" w:hAnsi="宋体" w:cs="宋体"/>
          <w:color w:val="auto"/>
          <w:szCs w:val="21"/>
          <w:highlight w:val="none"/>
        </w:rPr>
        <w:t>□我方本次投标文件</w:t>
      </w:r>
      <w:r>
        <w:rPr>
          <w:rFonts w:hint="eastAsia" w:ascii="宋体" w:hAnsi="宋体" w:cs="宋体"/>
          <w:color w:val="auto"/>
          <w:kern w:val="0"/>
          <w:szCs w:val="21"/>
          <w:highlight w:val="none"/>
        </w:rPr>
        <w:t>内容中</w:t>
      </w:r>
      <w:r>
        <w:rPr>
          <w:rFonts w:hint="eastAsia" w:ascii="宋体" w:hAnsi="宋体" w:cs="宋体"/>
          <w:color w:val="auto"/>
          <w:szCs w:val="21"/>
          <w:highlight w:val="none"/>
        </w:rPr>
        <w:t>未</w:t>
      </w:r>
      <w:r>
        <w:rPr>
          <w:rFonts w:hint="eastAsia" w:ascii="宋体" w:hAnsi="宋体" w:cs="宋体"/>
          <w:color w:val="auto"/>
          <w:kern w:val="0"/>
          <w:szCs w:val="21"/>
          <w:highlight w:val="none"/>
        </w:rPr>
        <w:t>涉及商业秘密。</w:t>
      </w:r>
    </w:p>
    <w:p>
      <w:pPr>
        <w:spacing w:line="360" w:lineRule="exact"/>
        <w:ind w:firstLine="420" w:firstLineChars="200"/>
        <w:contextualSpacing/>
        <w:rPr>
          <w:rFonts w:ascii="宋体" w:hAnsi="宋体" w:cs="宋体"/>
          <w:color w:val="auto"/>
          <w:szCs w:val="21"/>
          <w:highlight w:val="none"/>
        </w:rPr>
      </w:pPr>
      <w:r>
        <w:rPr>
          <w:rFonts w:hint="eastAsia" w:ascii="宋体" w:hAnsi="宋体" w:cs="宋体"/>
          <w:color w:val="auto"/>
          <w:szCs w:val="21"/>
          <w:highlight w:val="none"/>
        </w:rPr>
        <w:t>□我方本次投标文件</w:t>
      </w:r>
      <w:r>
        <w:rPr>
          <w:rFonts w:hint="eastAsia" w:ascii="宋体" w:hAnsi="宋体" w:cs="宋体"/>
          <w:color w:val="auto"/>
          <w:kern w:val="0"/>
          <w:szCs w:val="21"/>
          <w:highlight w:val="none"/>
        </w:rPr>
        <w:t>涉及商业秘密的内容有：</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pPr>
        <w:snapToGrid w:val="0"/>
        <w:jc w:val="left"/>
        <w:rPr>
          <w:color w:val="auto"/>
          <w:sz w:val="18"/>
          <w:szCs w:val="18"/>
          <w:highlight w:val="none"/>
        </w:rPr>
      </w:pPr>
    </w:p>
    <w:p>
      <w:pPr>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6、以上事项如有虚假或者隐瞒，我方愿意承担一切后果，并不再寻求任何旨在减轻或者免除法律责任的辩解。 </w:t>
      </w:r>
    </w:p>
    <w:p>
      <w:pPr>
        <w:tabs>
          <w:tab w:val="left" w:pos="939"/>
        </w:tabs>
        <w:spacing w:line="360" w:lineRule="exact"/>
        <w:ind w:left="141" w:leftChars="67" w:firstLine="315" w:firstLineChars="150"/>
        <w:contextualSpacing/>
        <w:rPr>
          <w:rFonts w:ascii="宋体" w:hAnsi="宋体" w:cs="宋体"/>
          <w:color w:val="auto"/>
          <w:szCs w:val="21"/>
          <w:highlight w:val="none"/>
        </w:rPr>
      </w:pPr>
      <w:r>
        <w:rPr>
          <w:rFonts w:hint="eastAsia" w:ascii="宋体" w:hAnsi="宋体" w:cs="宋体"/>
          <w:color w:val="auto"/>
          <w:szCs w:val="21"/>
          <w:highlight w:val="none"/>
        </w:rPr>
        <w:t>特此承诺。</w:t>
      </w:r>
    </w:p>
    <w:p>
      <w:pPr>
        <w:snapToGrid w:val="0"/>
        <w:spacing w:before="50" w:afterLines="50"/>
        <w:ind w:firstLine="181" w:firstLineChars="100"/>
        <w:jc w:val="left"/>
        <w:rPr>
          <w:rFonts w:ascii="宋体" w:hAnsi="宋体"/>
          <w:color w:val="auto"/>
          <w:sz w:val="18"/>
          <w:szCs w:val="18"/>
          <w:highlight w:val="none"/>
        </w:rPr>
      </w:pPr>
      <w:r>
        <w:rPr>
          <w:rFonts w:hint="eastAsia" w:ascii="宋体" w:hAnsi="宋体"/>
          <w:b/>
          <w:color w:val="auto"/>
          <w:sz w:val="18"/>
          <w:szCs w:val="18"/>
          <w:highlight w:val="none"/>
        </w:rPr>
        <w:t xml:space="preserve">   注： 如为联合体投标，盖章处须加盖联合体各方公章，否则</w:t>
      </w:r>
      <w:r>
        <w:rPr>
          <w:rFonts w:hint="eastAsia" w:ascii="宋体" w:hAnsi="宋体" w:cs="宋体"/>
          <w:b/>
          <w:bCs/>
          <w:color w:val="auto"/>
          <w:sz w:val="18"/>
          <w:szCs w:val="18"/>
          <w:highlight w:val="none"/>
        </w:rPr>
        <w:t>其投标文件作无效响应处理</w:t>
      </w:r>
      <w:r>
        <w:rPr>
          <w:rFonts w:hint="eastAsia" w:ascii="宋体" w:hAnsi="宋体"/>
          <w:b/>
          <w:color w:val="auto"/>
          <w:sz w:val="18"/>
          <w:szCs w:val="18"/>
          <w:highlight w:val="none"/>
        </w:rPr>
        <w:t>。</w:t>
      </w:r>
    </w:p>
    <w:p>
      <w:pPr>
        <w:snapToGrid w:val="0"/>
        <w:spacing w:before="50" w:afterLines="100" w:line="360" w:lineRule="auto"/>
        <w:jc w:val="left"/>
        <w:rPr>
          <w:rFonts w:ascii="宋体" w:hAnsi="宋体" w:cs="宋体"/>
          <w:color w:val="auto"/>
          <w:sz w:val="24"/>
          <w:highlight w:val="none"/>
        </w:rPr>
      </w:pPr>
    </w:p>
    <w:p>
      <w:pPr>
        <w:snapToGrid w:val="0"/>
        <w:spacing w:before="50" w:afterLines="100" w:line="360" w:lineRule="auto"/>
        <w:ind w:left="7428" w:leftChars="2223" w:hanging="2760" w:hangingChars="115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投标人名称(盖公章)：</w:t>
      </w:r>
      <w:r>
        <w:rPr>
          <w:rFonts w:hint="eastAsia" w:ascii="宋体" w:hAnsi="宋体" w:cs="宋体"/>
          <w:color w:val="auto"/>
          <w:sz w:val="24"/>
          <w:highlight w:val="none"/>
        </w:rPr>
        <w:t>年    月    日</w:t>
      </w:r>
    </w:p>
    <w:p>
      <w:pPr>
        <w:snapToGrid w:val="0"/>
        <w:spacing w:before="50" w:afterLines="100" w:line="360" w:lineRule="auto"/>
        <w:ind w:left="8131" w:leftChars="2223" w:hanging="3463" w:hangingChars="1150"/>
        <w:jc w:val="left"/>
        <w:rPr>
          <w:rFonts w:ascii="宋体" w:hAnsi="宋体" w:cs="宋体"/>
          <w:b/>
          <w:bCs/>
          <w:color w:val="auto"/>
          <w:sz w:val="30"/>
          <w:szCs w:val="30"/>
          <w:highlight w:val="none"/>
        </w:rPr>
      </w:pPr>
    </w:p>
    <w:p>
      <w:pPr>
        <w:snapToGrid w:val="0"/>
        <w:spacing w:line="360" w:lineRule="auto"/>
        <w:ind w:right="480"/>
        <w:rPr>
          <w:rFonts w:ascii="宋体" w:hAnsi="宋体" w:cs="宋体"/>
          <w:b/>
          <w:color w:val="auto"/>
          <w:kern w:val="0"/>
          <w:sz w:val="32"/>
          <w:szCs w:val="32"/>
          <w:highlight w:val="none"/>
        </w:rPr>
      </w:pPr>
      <w:r>
        <w:rPr>
          <w:rFonts w:hint="eastAsia" w:ascii="宋体" w:hAnsi="宋体" w:cs="宋体"/>
          <w:b/>
          <w:bCs/>
          <w:color w:val="auto"/>
          <w:sz w:val="28"/>
          <w:szCs w:val="28"/>
          <w:highlight w:val="none"/>
        </w:rPr>
        <w:br w:type="page"/>
      </w:r>
      <w:r>
        <w:rPr>
          <w:rFonts w:hint="eastAsia" w:ascii="宋体" w:hAnsi="宋体" w:cs="宋体"/>
          <w:b/>
          <w:color w:val="auto"/>
          <w:kern w:val="0"/>
          <w:sz w:val="32"/>
          <w:szCs w:val="32"/>
          <w:highlight w:val="none"/>
        </w:rPr>
        <w:t>4.</w:t>
      </w:r>
      <w:r>
        <w:rPr>
          <w:rFonts w:hint="eastAsia" w:ascii="宋体" w:hAnsi="宋体" w:cs="宋体"/>
          <w:b/>
          <w:color w:val="auto"/>
          <w:sz w:val="28"/>
          <w:szCs w:val="28"/>
          <w:highlight w:val="none"/>
        </w:rPr>
        <w:t>投标人直接控股股东信息表的格式</w:t>
      </w:r>
      <w:r>
        <w:rPr>
          <w:rFonts w:hint="eastAsia"/>
          <w:color w:val="auto"/>
          <w:sz w:val="28"/>
          <w:szCs w:val="28"/>
          <w:highlight w:val="none"/>
        </w:rPr>
        <w:t>：</w:t>
      </w:r>
    </w:p>
    <w:p>
      <w:pPr>
        <w:snapToGrid w:val="0"/>
        <w:jc w:val="left"/>
        <w:rPr>
          <w:color w:val="auto"/>
          <w:sz w:val="18"/>
          <w:szCs w:val="18"/>
          <w:highlight w:val="none"/>
        </w:rPr>
      </w:pPr>
    </w:p>
    <w:p>
      <w:pPr>
        <w:snapToGrid w:val="0"/>
        <w:spacing w:before="50" w:afterLines="50" w:line="360" w:lineRule="auto"/>
        <w:jc w:val="center"/>
        <w:rPr>
          <w:rFonts w:ascii="仿宋_GB2312" w:hAnsi="仿宋" w:eastAsia="仿宋_GB2312" w:cs="仿宋_GB2312"/>
          <w:b/>
          <w:color w:val="auto"/>
          <w:kern w:val="0"/>
          <w:sz w:val="32"/>
          <w:szCs w:val="32"/>
          <w:highlight w:val="none"/>
        </w:rPr>
      </w:pPr>
      <w:r>
        <w:rPr>
          <w:rFonts w:hint="eastAsia" w:ascii="仿宋_GB2312" w:hAnsi="仿宋" w:eastAsia="仿宋_GB2312" w:cs="仿宋_GB2312"/>
          <w:b/>
          <w:color w:val="auto"/>
          <w:kern w:val="0"/>
          <w:sz w:val="32"/>
          <w:szCs w:val="32"/>
          <w:highlight w:val="none"/>
        </w:rPr>
        <w:t>投标人直接控股股东信息表</w:t>
      </w:r>
    </w:p>
    <w:tbl>
      <w:tblPr>
        <w:tblStyle w:val="32"/>
        <w:tblW w:w="0" w:type="auto"/>
        <w:tblInd w:w="125" w:type="dxa"/>
        <w:shd w:val="clear" w:color="auto" w:fill="FBFBFB"/>
        <w:tblLayout w:type="fixed"/>
        <w:tblCellMar>
          <w:top w:w="0" w:type="dxa"/>
          <w:left w:w="0" w:type="dxa"/>
          <w:bottom w:w="0" w:type="dxa"/>
          <w:right w:w="0" w:type="dxa"/>
        </w:tblCellMar>
      </w:tblPr>
      <w:tblGrid>
        <w:gridCol w:w="828"/>
        <w:gridCol w:w="2269"/>
        <w:gridCol w:w="1239"/>
        <w:gridCol w:w="3879"/>
        <w:gridCol w:w="1261"/>
      </w:tblGrid>
      <w:tr>
        <w:tblPrEx>
          <w:shd w:val="clear" w:color="auto" w:fill="FBFBFB"/>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pPr>
              <w:spacing w:line="360" w:lineRule="auto"/>
              <w:jc w:val="center"/>
              <w:rPr>
                <w:rFonts w:ascii="宋体" w:hAnsi="宋体" w:cs="宋体"/>
                <w:b/>
                <w:bCs/>
                <w:color w:val="auto"/>
                <w:kern w:val="0"/>
                <w:sz w:val="24"/>
                <w:highlight w:val="none"/>
              </w:rPr>
            </w:pPr>
            <w:r>
              <w:rPr>
                <w:rFonts w:hint="eastAsia" w:ascii="宋体" w:hAnsi="宋体" w:cs="宋体"/>
                <w:b/>
                <w:bCs/>
                <w:color w:val="auto"/>
                <w:kern w:val="0"/>
                <w:sz w:val="24"/>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pPr>
              <w:spacing w:line="360" w:lineRule="auto"/>
              <w:jc w:val="center"/>
              <w:rPr>
                <w:rFonts w:ascii="宋体" w:hAnsi="宋体" w:cs="宋体"/>
                <w:b/>
                <w:bCs/>
                <w:color w:val="auto"/>
                <w:kern w:val="0"/>
                <w:sz w:val="24"/>
                <w:highlight w:val="none"/>
              </w:rPr>
            </w:pPr>
            <w:r>
              <w:rPr>
                <w:rFonts w:hint="eastAsia" w:ascii="宋体" w:hAnsi="宋体" w:cs="宋体"/>
                <w:b/>
                <w:bCs/>
                <w:color w:val="auto"/>
                <w:kern w:val="0"/>
                <w:sz w:val="24"/>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pPr>
              <w:spacing w:line="360" w:lineRule="auto"/>
              <w:jc w:val="center"/>
              <w:rPr>
                <w:rFonts w:ascii="宋体" w:hAnsi="宋体" w:cs="宋体"/>
                <w:b/>
                <w:bCs/>
                <w:color w:val="auto"/>
                <w:kern w:val="0"/>
                <w:sz w:val="24"/>
                <w:highlight w:val="none"/>
              </w:rPr>
            </w:pPr>
            <w:r>
              <w:rPr>
                <w:rFonts w:hint="eastAsia" w:ascii="宋体" w:hAnsi="宋体" w:cs="宋体"/>
                <w:b/>
                <w:bCs/>
                <w:color w:val="auto"/>
                <w:kern w:val="0"/>
                <w:sz w:val="24"/>
                <w:highlight w:val="none"/>
              </w:rPr>
              <w:t>出资比例</w:t>
            </w:r>
          </w:p>
        </w:tc>
        <w:tc>
          <w:tcPr>
            <w:tcW w:w="3879"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pPr>
              <w:spacing w:line="360" w:lineRule="auto"/>
              <w:jc w:val="center"/>
              <w:rPr>
                <w:rFonts w:ascii="宋体" w:hAnsi="宋体" w:cs="宋体"/>
                <w:b/>
                <w:bCs/>
                <w:color w:val="auto"/>
                <w:kern w:val="0"/>
                <w:sz w:val="24"/>
                <w:highlight w:val="none"/>
              </w:rPr>
            </w:pPr>
            <w:r>
              <w:rPr>
                <w:rFonts w:hint="eastAsia" w:ascii="宋体" w:hAnsi="宋体" w:cs="宋体"/>
                <w:b/>
                <w:bCs/>
                <w:color w:val="auto"/>
                <w:kern w:val="0"/>
                <w:sz w:val="24"/>
                <w:highlight w:val="none"/>
              </w:rPr>
              <w:t>身份证号码或者统一社会信用代码</w:t>
            </w:r>
          </w:p>
        </w:tc>
        <w:tc>
          <w:tcPr>
            <w:tcW w:w="1261"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pPr>
              <w:spacing w:line="360" w:lineRule="auto"/>
              <w:jc w:val="center"/>
              <w:rPr>
                <w:rFonts w:ascii="宋体" w:hAnsi="宋体" w:cs="宋体"/>
                <w:b/>
                <w:bCs/>
                <w:color w:val="auto"/>
                <w:kern w:val="0"/>
                <w:sz w:val="24"/>
                <w:highlight w:val="none"/>
              </w:rPr>
            </w:pPr>
            <w:r>
              <w:rPr>
                <w:rFonts w:hint="eastAsia" w:ascii="宋体" w:hAnsi="宋体" w:cs="宋体"/>
                <w:b/>
                <w:bCs/>
                <w:color w:val="auto"/>
                <w:kern w:val="0"/>
                <w:sz w:val="24"/>
                <w:highlight w:val="none"/>
              </w:rPr>
              <w:t>备注</w:t>
            </w:r>
          </w:p>
        </w:tc>
      </w:tr>
      <w:tr>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c>
          <w:tcPr>
            <w:tcW w:w="387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c>
          <w:tcPr>
            <w:tcW w:w="1261"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r>
      <w:tr>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c>
          <w:tcPr>
            <w:tcW w:w="387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c>
          <w:tcPr>
            <w:tcW w:w="1261"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r>
      <w:tr>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c>
          <w:tcPr>
            <w:tcW w:w="387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c>
          <w:tcPr>
            <w:tcW w:w="1261"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r>
      <w:tr>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c>
          <w:tcPr>
            <w:tcW w:w="387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c>
          <w:tcPr>
            <w:tcW w:w="1261"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r>
    </w:tbl>
    <w:p>
      <w:pPr>
        <w:snapToGrid w:val="0"/>
        <w:spacing w:line="360" w:lineRule="auto"/>
        <w:jc w:val="left"/>
        <w:rPr>
          <w:rFonts w:ascii="宋体" w:hAnsi="宋体"/>
          <w:color w:val="auto"/>
          <w:sz w:val="24"/>
          <w:highlight w:val="none"/>
        </w:rPr>
      </w:pPr>
      <w:r>
        <w:rPr>
          <w:rFonts w:hint="eastAsia" w:ascii="宋体" w:hAnsi="宋体"/>
          <w:color w:val="auto"/>
          <w:sz w:val="24"/>
          <w:highlight w:val="none"/>
        </w:rPr>
        <w:t>注：</w:t>
      </w:r>
    </w:p>
    <w:p>
      <w:pPr>
        <w:snapToGrid w:val="0"/>
        <w:spacing w:line="360" w:lineRule="auto"/>
        <w:jc w:val="left"/>
        <w:rPr>
          <w:rFonts w:ascii="宋体" w:hAnsi="宋体"/>
          <w:color w:val="auto"/>
          <w:sz w:val="24"/>
          <w:highlight w:val="none"/>
        </w:rPr>
      </w:pPr>
      <w:r>
        <w:rPr>
          <w:rFonts w:hint="eastAsia" w:ascii="宋体" w:hAnsi="宋体"/>
          <w:color w:val="auto"/>
          <w:sz w:val="24"/>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pPr>
        <w:snapToGrid w:val="0"/>
        <w:spacing w:line="360" w:lineRule="auto"/>
        <w:jc w:val="left"/>
        <w:rPr>
          <w:rFonts w:ascii="宋体" w:hAnsi="宋体"/>
          <w:color w:val="auto"/>
          <w:sz w:val="24"/>
          <w:highlight w:val="none"/>
        </w:rPr>
      </w:pPr>
      <w:r>
        <w:rPr>
          <w:rFonts w:hint="eastAsia" w:ascii="宋体" w:hAnsi="宋体"/>
          <w:color w:val="auto"/>
          <w:sz w:val="24"/>
          <w:highlight w:val="none"/>
        </w:rPr>
        <w:t>2.本表所指的控股关系仅限于直接控股关系，不包括间接的控股关系。公司实际控制人与公司之间的关系不属于本表所指的直接控股关系。</w:t>
      </w:r>
    </w:p>
    <w:p>
      <w:pPr>
        <w:snapToGrid w:val="0"/>
        <w:spacing w:line="360" w:lineRule="auto"/>
        <w:jc w:val="left"/>
        <w:rPr>
          <w:rFonts w:ascii="宋体" w:hAnsi="宋体"/>
          <w:color w:val="auto"/>
          <w:sz w:val="24"/>
          <w:highlight w:val="none"/>
        </w:rPr>
      </w:pPr>
      <w:r>
        <w:rPr>
          <w:rFonts w:hint="eastAsia" w:ascii="宋体" w:hAnsi="宋体"/>
          <w:color w:val="auto"/>
          <w:sz w:val="24"/>
          <w:highlight w:val="none"/>
        </w:rPr>
        <w:t>3.供应商不存在直接控股股东的，则填“无”。</w:t>
      </w:r>
    </w:p>
    <w:p>
      <w:pPr>
        <w:snapToGrid w:val="0"/>
        <w:spacing w:before="50" w:afterLines="50"/>
        <w:ind w:firstLine="180" w:firstLineChars="100"/>
        <w:jc w:val="left"/>
        <w:rPr>
          <w:rFonts w:ascii="宋体" w:hAnsi="宋体"/>
          <w:color w:val="auto"/>
          <w:sz w:val="18"/>
          <w:szCs w:val="18"/>
          <w:highlight w:val="none"/>
        </w:rPr>
      </w:pPr>
    </w:p>
    <w:p>
      <w:pPr>
        <w:snapToGrid w:val="0"/>
        <w:spacing w:before="50" w:afterLines="100" w:line="360" w:lineRule="auto"/>
        <w:jc w:val="left"/>
        <w:rPr>
          <w:rFonts w:ascii="宋体" w:hAnsi="宋体" w:cs="宋体"/>
          <w:color w:val="auto"/>
          <w:sz w:val="24"/>
          <w:highlight w:val="none"/>
        </w:rPr>
      </w:pPr>
    </w:p>
    <w:p>
      <w:pPr>
        <w:snapToGrid w:val="0"/>
        <w:spacing w:before="50" w:afterLines="100" w:line="360" w:lineRule="auto"/>
        <w:ind w:left="7428" w:leftChars="2223" w:hanging="2760" w:hangingChars="1150"/>
        <w:jc w:val="left"/>
        <w:rPr>
          <w:rFonts w:ascii="宋体" w:hAnsi="宋体" w:cs="宋体"/>
          <w:b/>
          <w:bCs/>
          <w:color w:val="auto"/>
          <w:sz w:val="30"/>
          <w:szCs w:val="30"/>
          <w:highlight w:val="none"/>
        </w:rPr>
      </w:pPr>
      <w:r>
        <w:rPr>
          <w:rFonts w:hint="eastAsia" w:ascii="宋体" w:hAnsi="宋体" w:cs="宋体"/>
          <w:color w:val="auto"/>
          <w:kern w:val="0"/>
          <w:sz w:val="24"/>
          <w:highlight w:val="none"/>
          <w:lang w:val="zh-CN"/>
        </w:rPr>
        <w:t>投标人名称(盖公章)：</w:t>
      </w:r>
      <w:r>
        <w:rPr>
          <w:rFonts w:hint="eastAsia" w:ascii="宋体" w:hAnsi="宋体" w:cs="宋体"/>
          <w:color w:val="auto"/>
          <w:sz w:val="24"/>
          <w:highlight w:val="none"/>
        </w:rPr>
        <w:t>年    月    日</w:t>
      </w:r>
    </w:p>
    <w:p>
      <w:pPr>
        <w:rPr>
          <w:rFonts w:ascii="宋体" w:hAnsi="宋体" w:cs="宋体"/>
          <w:b/>
          <w:bCs/>
          <w:color w:val="auto"/>
          <w:sz w:val="28"/>
          <w:szCs w:val="28"/>
          <w:highlight w:val="none"/>
        </w:rPr>
      </w:pPr>
      <w:r>
        <w:rPr>
          <w:rFonts w:hint="eastAsia" w:ascii="宋体" w:hAnsi="宋体" w:cs="宋体"/>
          <w:b/>
          <w:bCs/>
          <w:color w:val="auto"/>
          <w:sz w:val="28"/>
          <w:szCs w:val="28"/>
          <w:highlight w:val="none"/>
        </w:rPr>
        <w:br w:type="page"/>
      </w:r>
    </w:p>
    <w:p>
      <w:pPr>
        <w:snapToGrid w:val="0"/>
        <w:spacing w:line="360" w:lineRule="auto"/>
        <w:ind w:right="480"/>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5.</w:t>
      </w:r>
      <w:r>
        <w:rPr>
          <w:rFonts w:hint="eastAsia" w:ascii="宋体" w:hAnsi="宋体" w:cs="宋体"/>
          <w:b/>
          <w:color w:val="auto"/>
          <w:sz w:val="28"/>
          <w:szCs w:val="28"/>
          <w:highlight w:val="none"/>
        </w:rPr>
        <w:t>投标人直接管理关系信息表的格式</w:t>
      </w:r>
      <w:r>
        <w:rPr>
          <w:rFonts w:hint="eastAsia"/>
          <w:color w:val="auto"/>
          <w:sz w:val="28"/>
          <w:szCs w:val="28"/>
          <w:highlight w:val="none"/>
        </w:rPr>
        <w:t>：</w:t>
      </w:r>
    </w:p>
    <w:p>
      <w:pPr>
        <w:snapToGrid w:val="0"/>
        <w:jc w:val="left"/>
        <w:rPr>
          <w:color w:val="auto"/>
          <w:sz w:val="18"/>
          <w:szCs w:val="18"/>
          <w:highlight w:val="none"/>
        </w:rPr>
      </w:pPr>
    </w:p>
    <w:p>
      <w:pPr>
        <w:snapToGrid w:val="0"/>
        <w:spacing w:line="360" w:lineRule="auto"/>
        <w:jc w:val="center"/>
        <w:rPr>
          <w:rFonts w:ascii="宋体" w:hAnsi="宋体"/>
          <w:color w:val="auto"/>
          <w:sz w:val="32"/>
          <w:szCs w:val="32"/>
          <w:highlight w:val="none"/>
        </w:rPr>
      </w:pPr>
      <w:r>
        <w:rPr>
          <w:rFonts w:hint="eastAsia" w:ascii="宋体" w:hAnsi="宋体"/>
          <w:b/>
          <w:color w:val="auto"/>
          <w:sz w:val="32"/>
          <w:szCs w:val="32"/>
          <w:highlight w:val="none"/>
        </w:rPr>
        <w:t>投标人直接管理关系信息表</w:t>
      </w:r>
    </w:p>
    <w:tbl>
      <w:tblPr>
        <w:tblStyle w:val="32"/>
        <w:tblW w:w="0" w:type="auto"/>
        <w:tblInd w:w="125" w:type="dxa"/>
        <w:shd w:val="clear" w:color="auto" w:fill="FBFBFB"/>
        <w:tblLayout w:type="fixed"/>
        <w:tblCellMar>
          <w:top w:w="0" w:type="dxa"/>
          <w:left w:w="0" w:type="dxa"/>
          <w:bottom w:w="0" w:type="dxa"/>
          <w:right w:w="0" w:type="dxa"/>
        </w:tblCellMar>
      </w:tblPr>
      <w:tblGrid>
        <w:gridCol w:w="1005"/>
        <w:gridCol w:w="2659"/>
        <w:gridCol w:w="3924"/>
        <w:gridCol w:w="2064"/>
      </w:tblGrid>
      <w:tr>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pPr>
              <w:spacing w:line="360" w:lineRule="auto"/>
              <w:jc w:val="center"/>
              <w:rPr>
                <w:rFonts w:ascii="宋体" w:hAnsi="宋体" w:cs="宋体"/>
                <w:b/>
                <w:bCs/>
                <w:color w:val="auto"/>
                <w:kern w:val="0"/>
                <w:sz w:val="24"/>
                <w:highlight w:val="none"/>
              </w:rPr>
            </w:pPr>
            <w:r>
              <w:rPr>
                <w:rFonts w:hint="eastAsia" w:ascii="宋体" w:hAnsi="宋体" w:cs="宋体"/>
                <w:b/>
                <w:bCs/>
                <w:color w:val="auto"/>
                <w:kern w:val="0"/>
                <w:sz w:val="24"/>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pPr>
              <w:spacing w:line="360" w:lineRule="auto"/>
              <w:jc w:val="center"/>
              <w:rPr>
                <w:rFonts w:ascii="宋体" w:hAnsi="宋体" w:cs="宋体"/>
                <w:b/>
                <w:bCs/>
                <w:color w:val="auto"/>
                <w:kern w:val="0"/>
                <w:sz w:val="24"/>
                <w:highlight w:val="none"/>
              </w:rPr>
            </w:pPr>
            <w:r>
              <w:rPr>
                <w:rFonts w:hint="eastAsia" w:ascii="宋体" w:hAnsi="宋体" w:cs="宋体"/>
                <w:b/>
                <w:bCs/>
                <w:color w:val="auto"/>
                <w:kern w:val="0"/>
                <w:sz w:val="24"/>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pPr>
              <w:spacing w:line="360" w:lineRule="auto"/>
              <w:jc w:val="center"/>
              <w:rPr>
                <w:rFonts w:ascii="宋体" w:hAnsi="宋体" w:cs="宋体"/>
                <w:b/>
                <w:bCs/>
                <w:color w:val="auto"/>
                <w:kern w:val="0"/>
                <w:sz w:val="24"/>
                <w:highlight w:val="none"/>
              </w:rPr>
            </w:pPr>
            <w:r>
              <w:rPr>
                <w:rFonts w:hint="eastAsia" w:ascii="宋体" w:hAnsi="宋体" w:cs="宋体"/>
                <w:b/>
                <w:bCs/>
                <w:color w:val="auto"/>
                <w:kern w:val="0"/>
                <w:sz w:val="24"/>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pPr>
              <w:spacing w:line="360" w:lineRule="auto"/>
              <w:jc w:val="center"/>
              <w:rPr>
                <w:rFonts w:ascii="宋体" w:hAnsi="宋体" w:cs="宋体"/>
                <w:b/>
                <w:bCs/>
                <w:color w:val="auto"/>
                <w:kern w:val="0"/>
                <w:sz w:val="24"/>
                <w:highlight w:val="none"/>
              </w:rPr>
            </w:pPr>
            <w:r>
              <w:rPr>
                <w:rFonts w:hint="eastAsia" w:ascii="宋体" w:hAnsi="宋体" w:cs="宋体"/>
                <w:b/>
                <w:bCs/>
                <w:color w:val="auto"/>
                <w:kern w:val="0"/>
                <w:sz w:val="24"/>
                <w:highlight w:val="none"/>
              </w:rPr>
              <w:t>备注</w:t>
            </w:r>
          </w:p>
        </w:tc>
      </w:tr>
      <w:tr>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r>
      <w:tr>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r>
      <w:tr>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r>
      <w:tr>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pPr>
              <w:spacing w:line="360" w:lineRule="auto"/>
              <w:jc w:val="center"/>
              <w:rPr>
                <w:rFonts w:ascii="宋体" w:hAnsi="宋体" w:cs="宋体"/>
                <w:color w:val="auto"/>
                <w:kern w:val="0"/>
                <w:sz w:val="24"/>
                <w:highlight w:val="none"/>
              </w:rPr>
            </w:pPr>
          </w:p>
        </w:tc>
      </w:tr>
    </w:tbl>
    <w:p>
      <w:pPr>
        <w:snapToGrid w:val="0"/>
        <w:spacing w:line="360" w:lineRule="auto"/>
        <w:jc w:val="left"/>
        <w:rPr>
          <w:rFonts w:ascii="宋体" w:hAnsi="宋体"/>
          <w:color w:val="auto"/>
          <w:sz w:val="24"/>
          <w:highlight w:val="none"/>
        </w:rPr>
      </w:pPr>
      <w:r>
        <w:rPr>
          <w:rFonts w:hint="eastAsia" w:ascii="宋体" w:hAnsi="宋体"/>
          <w:color w:val="auto"/>
          <w:sz w:val="24"/>
          <w:highlight w:val="none"/>
        </w:rPr>
        <w:t>注：</w:t>
      </w:r>
    </w:p>
    <w:p>
      <w:pPr>
        <w:snapToGrid w:val="0"/>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1.管理关系：是指不具有出资持股关系的其他单位之间存在的管理与被管理关系，如一些上下级关系的事业单位和团体组织。</w:t>
      </w:r>
    </w:p>
    <w:p>
      <w:pPr>
        <w:snapToGrid w:val="0"/>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pacing w:val="-6"/>
          <w:sz w:val="24"/>
          <w:highlight w:val="none"/>
        </w:rPr>
        <w:t>本表所指的管理关系仅限于直接管理关系，不包括间接的管理关系。</w:t>
      </w:r>
    </w:p>
    <w:p>
      <w:pPr>
        <w:snapToGrid w:val="0"/>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3.供应商不存在直接管理关系的，则填“无”。</w:t>
      </w:r>
    </w:p>
    <w:p>
      <w:pPr>
        <w:snapToGrid w:val="0"/>
        <w:spacing w:before="50" w:afterLines="50"/>
        <w:ind w:firstLine="180" w:firstLineChars="100"/>
        <w:jc w:val="left"/>
        <w:rPr>
          <w:rFonts w:ascii="宋体" w:hAnsi="宋体"/>
          <w:color w:val="auto"/>
          <w:sz w:val="18"/>
          <w:szCs w:val="18"/>
          <w:highlight w:val="none"/>
        </w:rPr>
      </w:pPr>
    </w:p>
    <w:p>
      <w:pPr>
        <w:snapToGrid w:val="0"/>
        <w:spacing w:before="50" w:afterLines="100" w:line="360" w:lineRule="auto"/>
        <w:jc w:val="left"/>
        <w:rPr>
          <w:rFonts w:ascii="宋体" w:hAnsi="宋体" w:cs="宋体"/>
          <w:color w:val="auto"/>
          <w:sz w:val="24"/>
          <w:highlight w:val="none"/>
        </w:rPr>
      </w:pPr>
    </w:p>
    <w:p>
      <w:pPr>
        <w:snapToGrid w:val="0"/>
        <w:spacing w:before="50" w:afterLines="100" w:line="360" w:lineRule="auto"/>
        <w:ind w:left="7428" w:leftChars="2223" w:hanging="2760" w:hangingChars="1150"/>
        <w:jc w:val="left"/>
        <w:rPr>
          <w:rFonts w:ascii="宋体" w:hAnsi="宋体" w:cs="宋体"/>
          <w:b/>
          <w:bCs/>
          <w:color w:val="auto"/>
          <w:sz w:val="30"/>
          <w:szCs w:val="30"/>
          <w:highlight w:val="none"/>
        </w:rPr>
      </w:pPr>
      <w:r>
        <w:rPr>
          <w:rFonts w:hint="eastAsia" w:ascii="宋体" w:hAnsi="宋体" w:cs="宋体"/>
          <w:color w:val="auto"/>
          <w:kern w:val="0"/>
          <w:sz w:val="24"/>
          <w:highlight w:val="none"/>
          <w:lang w:val="zh-CN"/>
        </w:rPr>
        <w:t>投标人名称(盖公章)：</w:t>
      </w:r>
      <w:r>
        <w:rPr>
          <w:rFonts w:hint="eastAsia" w:ascii="宋体" w:hAnsi="宋体" w:cs="宋体"/>
          <w:color w:val="auto"/>
          <w:sz w:val="24"/>
          <w:highlight w:val="none"/>
        </w:rPr>
        <w:t>年    月    日</w:t>
      </w:r>
    </w:p>
    <w:p>
      <w:pPr>
        <w:rPr>
          <w:color w:val="auto"/>
          <w:highlight w:val="none"/>
        </w:rPr>
      </w:pPr>
      <w:r>
        <w:rPr>
          <w:rFonts w:hint="eastAsia"/>
          <w:color w:val="auto"/>
          <w:highlight w:val="none"/>
        </w:rPr>
        <w:br w:type="page"/>
      </w:r>
    </w:p>
    <w:p>
      <w:pPr>
        <w:rPr>
          <w:rFonts w:ascii="宋体" w:hAnsi="宋体" w:cs="宋体"/>
          <w:b/>
          <w:bCs/>
          <w:color w:val="auto"/>
          <w:sz w:val="28"/>
          <w:szCs w:val="28"/>
          <w:highlight w:val="none"/>
        </w:rPr>
      </w:pPr>
      <w:r>
        <w:rPr>
          <w:rFonts w:hint="eastAsia" w:ascii="宋体" w:hAnsi="宋体" w:cs="宋体"/>
          <w:b/>
          <w:bCs/>
          <w:color w:val="auto"/>
          <w:sz w:val="28"/>
          <w:szCs w:val="28"/>
          <w:highlight w:val="none"/>
        </w:rPr>
        <w:t>6.联合体投标协议书的格式：</w:t>
      </w:r>
    </w:p>
    <w:p>
      <w:pPr>
        <w:spacing w:line="600" w:lineRule="exact"/>
        <w:jc w:val="center"/>
        <w:rPr>
          <w:rFonts w:ascii="宋体" w:hAnsi="宋体" w:cs="宋体"/>
          <w:color w:val="auto"/>
          <w:sz w:val="28"/>
          <w:szCs w:val="28"/>
          <w:highlight w:val="none"/>
        </w:rPr>
      </w:pPr>
      <w:r>
        <w:rPr>
          <w:rFonts w:hint="eastAsia" w:ascii="宋体" w:hAnsi="宋体" w:cs="宋体"/>
          <w:b/>
          <w:bCs/>
          <w:color w:val="auto"/>
          <w:sz w:val="28"/>
          <w:szCs w:val="28"/>
          <w:highlight w:val="none"/>
        </w:rPr>
        <w:t>联合体投标协议书</w:t>
      </w:r>
    </w:p>
    <w:p>
      <w:pPr>
        <w:autoSpaceDE w:val="0"/>
        <w:autoSpaceDN w:val="0"/>
        <w:adjustRightInd w:val="0"/>
        <w:jc w:val="left"/>
        <w:rPr>
          <w:rFonts w:ascii="宋体" w:hAnsi="宋体" w:cs="宋体"/>
          <w:color w:val="auto"/>
          <w:kern w:val="0"/>
          <w:szCs w:val="21"/>
          <w:highlight w:val="none"/>
          <w:u w:val="single"/>
        </w:rPr>
      </w:pPr>
    </w:p>
    <w:p>
      <w:pPr>
        <w:autoSpaceDE w:val="0"/>
        <w:autoSpaceDN w:val="0"/>
        <w:adjustRightIn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（所有成员单位名称）自愿组成联合体，共同参加</w:t>
      </w:r>
      <w:r>
        <w:rPr>
          <w:rFonts w:hint="eastAsia" w:ascii="宋体" w:hAnsi="宋体" w:eastAsia="宋体" w:cs="宋体"/>
          <w:color w:val="auto"/>
          <w:kern w:val="0"/>
          <w:szCs w:val="21"/>
          <w:highlight w:val="none"/>
          <w:u w:val="single"/>
        </w:rPr>
        <w:t xml:space="preserve">    </w:t>
      </w:r>
      <w:bookmarkStart w:id="238" w:name="PO_3000001919_PM031_1"/>
      <w:r>
        <w:rPr>
          <w:rFonts w:hint="eastAsia" w:ascii="宋体" w:hAnsi="宋体" w:eastAsia="宋体" w:cs="宋体"/>
          <w:color w:val="auto"/>
          <w:kern w:val="0"/>
          <w:szCs w:val="21"/>
          <w:highlight w:val="none"/>
          <w:u w:val="single"/>
        </w:rPr>
        <w:t>广西科联招标中心有限公司</w:t>
      </w:r>
      <w:bookmarkEnd w:id="238"/>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组织的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i/>
          <w:iCs/>
          <w:color w:val="auto"/>
          <w:kern w:val="0"/>
          <w:szCs w:val="21"/>
          <w:highlight w:val="none"/>
          <w:u w:val="single"/>
        </w:rPr>
        <w:t>（项目名称）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（项目编号：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）投标。现就联合体投标事宜订立如下协议：</w:t>
      </w:r>
    </w:p>
    <w:p>
      <w:pPr>
        <w:autoSpaceDE w:val="0"/>
        <w:autoSpaceDN w:val="0"/>
        <w:adjustRightInd w:val="0"/>
        <w:spacing w:line="360" w:lineRule="auto"/>
        <w:ind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（某成员单位名称）为联合体名称牵头人。</w:t>
      </w:r>
    </w:p>
    <w:p>
      <w:pPr>
        <w:autoSpaceDE w:val="0"/>
        <w:autoSpaceDN w:val="0"/>
        <w:adjustRightInd w:val="0"/>
        <w:spacing w:line="360" w:lineRule="auto"/>
        <w:ind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联合体牵头人合法代表联合体各成员负责本招标项目投标文件编制和合同谈判活动，并代表联合体提交和接收相关的资料、信息及指示，并处理与之有关的一切事务，负责合同实施阶段的主办、组织和协调工作。</w:t>
      </w:r>
    </w:p>
    <w:p>
      <w:pPr>
        <w:autoSpaceDE w:val="0"/>
        <w:autoSpaceDN w:val="0"/>
        <w:adjustRightInd w:val="0"/>
        <w:spacing w:line="360" w:lineRule="auto"/>
        <w:ind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3、联合体牵头人在本项目中签署和盖章的一切文件和处理的一切事宜，联合体各成员均予以承认。 联合体各成员将严格按照招标文件、投标文件和合同的要求全面履行义务，并向采购人承担连带责任。</w:t>
      </w:r>
    </w:p>
    <w:p>
      <w:pPr>
        <w:autoSpaceDE w:val="0"/>
        <w:autoSpaceDN w:val="0"/>
        <w:adjustRightInd w:val="0"/>
        <w:spacing w:line="360" w:lineRule="auto"/>
        <w:ind w:firstLine="420"/>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4、联合体各成员单位内部的职责分工如下</w:t>
      </w:r>
      <w:r>
        <w:rPr>
          <w:rFonts w:hint="eastAsia" w:ascii="宋体" w:hAnsi="宋体" w:eastAsia="宋体" w:cs="宋体"/>
          <w:color w:val="auto"/>
          <w:kern w:val="0"/>
          <w:szCs w:val="21"/>
          <w:highlight w:val="none"/>
          <w:u w:val="single"/>
        </w:rPr>
        <w:t>：                             。</w:t>
      </w:r>
    </w:p>
    <w:p>
      <w:pPr>
        <w:widowControl w:val="0"/>
        <w:spacing w:line="360" w:lineRule="auto"/>
        <w:ind w:firstLine="420" w:firstLineChars="200"/>
        <w:jc w:val="both"/>
        <w:rPr>
          <w:rFonts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5、本联合体中</w:t>
      </w:r>
      <w:r>
        <w:rPr>
          <w:rFonts w:hint="eastAsia" w:ascii="宋体" w:hAnsi="宋体" w:eastAsia="宋体" w:cs="宋体"/>
          <w:color w:val="auto"/>
          <w:kern w:val="0"/>
          <w:sz w:val="21"/>
          <w:szCs w:val="21"/>
          <w:highlight w:val="none"/>
          <w:u w:val="single"/>
          <w:lang w:val="en-US" w:eastAsia="zh-CN" w:bidi="ar-SA"/>
        </w:rPr>
        <w:t xml:space="preserve">，                          （某成员单位名称）为      </w:t>
      </w:r>
      <w:r>
        <w:rPr>
          <w:rFonts w:hint="eastAsia" w:ascii="宋体" w:hAnsi="宋体" w:eastAsia="宋体" w:cs="宋体"/>
          <w:color w:val="auto"/>
          <w:kern w:val="2"/>
          <w:sz w:val="21"/>
          <w:szCs w:val="21"/>
          <w:highlight w:val="none"/>
          <w:lang w:val="en-US" w:eastAsia="zh-CN" w:bidi="ar-SA"/>
        </w:rPr>
        <w:t>（请填写：中型、小型、微型）企业，其协议合同金额占联合体协议合同总金额的</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%。【如联合体成员中有小型、微型企业的，请填写此条，否则无需填写；如联合体成员中有多个小型、微型企业的，请逐一列出。】</w:t>
      </w:r>
    </w:p>
    <w:p>
      <w:pPr>
        <w:autoSpaceDE w:val="0"/>
        <w:autoSpaceDN w:val="0"/>
        <w:adjustRightInd w:val="0"/>
        <w:spacing w:line="360" w:lineRule="auto"/>
        <w:ind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6、本协议书自签署之日起生效，合同履行完毕后自动失效。</w:t>
      </w:r>
    </w:p>
    <w:p>
      <w:pPr>
        <w:autoSpaceDE w:val="0"/>
        <w:autoSpaceDN w:val="0"/>
        <w:adjustRightInd w:val="0"/>
        <w:spacing w:line="360" w:lineRule="auto"/>
        <w:ind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7、本协议书一式</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份，联合体成员和采购代理机构各执一份。</w:t>
      </w:r>
    </w:p>
    <w:p>
      <w:pPr>
        <w:autoSpaceDE w:val="0"/>
        <w:autoSpaceDN w:val="0"/>
        <w:adjustRightInd w:val="0"/>
        <w:spacing w:line="360" w:lineRule="auto"/>
        <w:ind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注：本协议书由法定代表人签字的，应附法定代表人身份证明；本协议书由委托代理人签字的，应附法定代表人授权委托书。</w:t>
      </w:r>
    </w:p>
    <w:p>
      <w:pPr>
        <w:autoSpaceDE w:val="0"/>
        <w:autoSpaceDN w:val="0"/>
        <w:adjustRightIn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牵头人名称：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（盖公章）</w:t>
      </w:r>
    </w:p>
    <w:p>
      <w:pPr>
        <w:autoSpaceDE w:val="0"/>
        <w:autoSpaceDN w:val="0"/>
        <w:adjustRightIn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法定代表人或其委托代理人：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（签字）</w:t>
      </w:r>
    </w:p>
    <w:p>
      <w:pPr>
        <w:autoSpaceDE w:val="0"/>
        <w:autoSpaceDN w:val="0"/>
        <w:adjustRightInd w:val="0"/>
        <w:spacing w:line="360" w:lineRule="auto"/>
        <w:jc w:val="left"/>
        <w:rPr>
          <w:rFonts w:ascii="宋体" w:hAnsi="宋体" w:eastAsia="宋体" w:cs="宋体"/>
          <w:color w:val="auto"/>
          <w:kern w:val="0"/>
          <w:szCs w:val="21"/>
          <w:highlight w:val="none"/>
        </w:rPr>
      </w:pPr>
    </w:p>
    <w:p>
      <w:pPr>
        <w:autoSpaceDE w:val="0"/>
        <w:autoSpaceDN w:val="0"/>
        <w:adjustRightIn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成员一名称：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（盖公章）</w:t>
      </w:r>
    </w:p>
    <w:p>
      <w:pPr>
        <w:autoSpaceDE w:val="0"/>
        <w:autoSpaceDN w:val="0"/>
        <w:adjustRightIn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法定代表人或其委托代理人：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（签字）</w:t>
      </w:r>
    </w:p>
    <w:p>
      <w:pPr>
        <w:autoSpaceDE w:val="0"/>
        <w:autoSpaceDN w:val="0"/>
        <w:adjustRightInd w:val="0"/>
        <w:spacing w:line="360" w:lineRule="auto"/>
        <w:jc w:val="left"/>
        <w:rPr>
          <w:rFonts w:ascii="宋体" w:hAnsi="宋体" w:eastAsia="宋体" w:cs="宋体"/>
          <w:color w:val="auto"/>
          <w:kern w:val="0"/>
          <w:szCs w:val="21"/>
          <w:highlight w:val="none"/>
        </w:rPr>
      </w:pPr>
    </w:p>
    <w:p>
      <w:pPr>
        <w:autoSpaceDE w:val="0"/>
        <w:autoSpaceDN w:val="0"/>
        <w:adjustRightIn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成员二名称：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（盖公章）</w:t>
      </w:r>
    </w:p>
    <w:p>
      <w:pPr>
        <w:widowControl w:val="0"/>
        <w:spacing w:line="360" w:lineRule="auto"/>
        <w:jc w:val="both"/>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法定代表人或其委托代理人：</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（签字）</w:t>
      </w:r>
    </w:p>
    <w:p>
      <w:pPr>
        <w:widowControl w:val="0"/>
        <w:overflowPunct w:val="0"/>
        <w:spacing w:line="360" w:lineRule="auto"/>
        <w:ind w:firstLine="367" w:firstLineChars="175"/>
        <w:jc w:val="both"/>
        <w:rPr>
          <w:rFonts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w:t>
      </w:r>
    </w:p>
    <w:p>
      <w:pPr>
        <w:widowControl w:val="0"/>
        <w:overflowPunct w:val="0"/>
        <w:spacing w:line="360" w:lineRule="auto"/>
        <w:ind w:firstLine="367" w:firstLineChars="175"/>
        <w:jc w:val="both"/>
        <w:rPr>
          <w:rFonts w:ascii="宋体" w:hAnsi="宋体" w:eastAsia="宋体" w:cs="宋体"/>
          <w:color w:val="auto"/>
          <w:kern w:val="2"/>
          <w:sz w:val="21"/>
          <w:szCs w:val="21"/>
          <w:highlight w:val="none"/>
          <w:lang w:val="en-US" w:eastAsia="zh-CN" w:bidi="ar-SA"/>
        </w:rPr>
      </w:pPr>
    </w:p>
    <w:p>
      <w:pPr>
        <w:widowControl w:val="0"/>
        <w:overflowPunct w:val="0"/>
        <w:spacing w:line="360" w:lineRule="auto"/>
        <w:ind w:firstLine="6247" w:firstLineChars="2975"/>
        <w:jc w:val="both"/>
        <w:rPr>
          <w:rFonts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 </w:t>
      </w:r>
      <w:r>
        <w:rPr>
          <w:rFonts w:hint="eastAsia" w:ascii="宋体" w:hAnsi="宋体" w:eastAsia="宋体" w:cs="宋体"/>
          <w:color w:val="auto"/>
          <w:kern w:val="2"/>
          <w:sz w:val="21"/>
          <w:szCs w:val="21"/>
          <w:highlight w:val="none"/>
          <w:lang w:val="en-US" w:eastAsia="zh-CN" w:bidi="ar-SA"/>
        </w:rPr>
        <w:tab/>
      </w:r>
      <w:r>
        <w:rPr>
          <w:rFonts w:hint="eastAsia" w:ascii="宋体" w:hAnsi="宋体" w:eastAsia="宋体" w:cs="宋体"/>
          <w:color w:val="auto"/>
          <w:kern w:val="2"/>
          <w:sz w:val="21"/>
          <w:szCs w:val="21"/>
          <w:highlight w:val="none"/>
          <w:lang w:val="en-US" w:eastAsia="zh-CN" w:bidi="ar-SA"/>
        </w:rPr>
        <w:t xml:space="preserve">年  </w:t>
      </w:r>
      <w:r>
        <w:rPr>
          <w:rFonts w:hint="eastAsia" w:ascii="宋体" w:hAnsi="宋体" w:eastAsia="宋体" w:cs="宋体"/>
          <w:color w:val="auto"/>
          <w:kern w:val="2"/>
          <w:sz w:val="21"/>
          <w:szCs w:val="21"/>
          <w:highlight w:val="none"/>
          <w:lang w:val="en-US" w:eastAsia="zh-CN" w:bidi="ar-SA"/>
        </w:rPr>
        <w:tab/>
      </w:r>
      <w:r>
        <w:rPr>
          <w:rFonts w:hint="eastAsia" w:ascii="宋体" w:hAnsi="宋体" w:eastAsia="宋体" w:cs="宋体"/>
          <w:color w:val="auto"/>
          <w:kern w:val="2"/>
          <w:sz w:val="21"/>
          <w:szCs w:val="21"/>
          <w:highlight w:val="none"/>
          <w:lang w:val="en-US" w:eastAsia="zh-CN" w:bidi="ar-SA"/>
        </w:rPr>
        <w:t xml:space="preserve">月  </w:t>
      </w:r>
      <w:r>
        <w:rPr>
          <w:rFonts w:hint="eastAsia" w:ascii="宋体" w:hAnsi="宋体" w:eastAsia="宋体" w:cs="宋体"/>
          <w:color w:val="auto"/>
          <w:kern w:val="2"/>
          <w:sz w:val="21"/>
          <w:szCs w:val="21"/>
          <w:highlight w:val="none"/>
          <w:lang w:val="en-US" w:eastAsia="zh-CN" w:bidi="ar-SA"/>
        </w:rPr>
        <w:tab/>
      </w:r>
      <w:r>
        <w:rPr>
          <w:rFonts w:hint="eastAsia" w:ascii="宋体" w:hAnsi="宋体" w:eastAsia="宋体" w:cs="宋体"/>
          <w:color w:val="auto"/>
          <w:kern w:val="2"/>
          <w:sz w:val="21"/>
          <w:szCs w:val="21"/>
          <w:highlight w:val="none"/>
          <w:lang w:val="en-US" w:eastAsia="zh-CN" w:bidi="ar-SA"/>
        </w:rPr>
        <w:t>日</w:t>
      </w:r>
    </w:p>
    <w:p>
      <w:pPr>
        <w:jc w:val="center"/>
        <w:outlineLvl w:val="1"/>
        <w:rPr>
          <w:rFonts w:ascii="宋体" w:hAnsi="宋体" w:cs="宋体"/>
          <w:color w:val="auto"/>
          <w:szCs w:val="21"/>
          <w:highlight w:val="none"/>
        </w:rPr>
      </w:pPr>
      <w:r>
        <w:rPr>
          <w:rFonts w:hint="eastAsia" w:ascii="宋体" w:hAnsi="宋体" w:cs="宋体"/>
          <w:color w:val="auto"/>
          <w:szCs w:val="21"/>
          <w:highlight w:val="none"/>
        </w:rPr>
        <w:br w:type="page"/>
      </w:r>
    </w:p>
    <w:p>
      <w:pPr>
        <w:jc w:val="center"/>
        <w:outlineLvl w:val="1"/>
        <w:rPr>
          <w:rFonts w:ascii="宋体" w:hAnsi="宋体" w:cs="宋体"/>
          <w:b/>
          <w:bCs/>
          <w:color w:val="auto"/>
          <w:sz w:val="28"/>
          <w:szCs w:val="28"/>
          <w:highlight w:val="none"/>
        </w:rPr>
      </w:pPr>
      <w:bookmarkStart w:id="239" w:name="_Toc32555"/>
      <w:bookmarkStart w:id="240" w:name="_Toc19686838"/>
      <w:bookmarkStart w:id="241" w:name="_Toc22991"/>
      <w:bookmarkStart w:id="242" w:name="_Toc15031"/>
      <w:bookmarkStart w:id="243" w:name="_Toc13558"/>
      <w:bookmarkStart w:id="244" w:name="_Toc13859"/>
      <w:r>
        <w:rPr>
          <w:rFonts w:hint="eastAsia" w:ascii="宋体" w:hAnsi="宋体" w:cs="宋体"/>
          <w:b/>
          <w:bCs/>
          <w:color w:val="auto"/>
          <w:sz w:val="28"/>
          <w:szCs w:val="28"/>
          <w:highlight w:val="none"/>
        </w:rPr>
        <w:t>第三节 商务文件格式</w:t>
      </w:r>
      <w:bookmarkEnd w:id="239"/>
      <w:bookmarkEnd w:id="240"/>
      <w:bookmarkEnd w:id="241"/>
      <w:bookmarkEnd w:id="242"/>
      <w:bookmarkEnd w:id="243"/>
      <w:bookmarkEnd w:id="244"/>
    </w:p>
    <w:p>
      <w:pPr>
        <w:snapToGrid w:val="0"/>
        <w:spacing w:beforeLines="50" w:after="50"/>
        <w:rPr>
          <w:rFonts w:ascii="宋体" w:hAnsi="宋体" w:cs="宋体"/>
          <w:color w:val="auto"/>
          <w:sz w:val="30"/>
          <w:szCs w:val="20"/>
          <w:highlight w:val="none"/>
        </w:rPr>
      </w:pPr>
    </w:p>
    <w:p>
      <w:pPr>
        <w:snapToGrid w:val="0"/>
        <w:spacing w:beforeLines="50" w:after="50"/>
        <w:rPr>
          <w:rFonts w:ascii="宋体" w:hAnsi="宋体" w:cs="宋体"/>
          <w:b/>
          <w:color w:val="auto"/>
          <w:sz w:val="28"/>
          <w:szCs w:val="28"/>
          <w:highlight w:val="none"/>
        </w:rPr>
      </w:pPr>
      <w:r>
        <w:rPr>
          <w:rFonts w:hint="eastAsia" w:ascii="宋体" w:hAnsi="宋体" w:cs="宋体"/>
          <w:b/>
          <w:color w:val="auto"/>
          <w:sz w:val="28"/>
          <w:szCs w:val="28"/>
          <w:highlight w:val="none"/>
        </w:rPr>
        <w:t>1.商务文件封面的格式：</w:t>
      </w:r>
    </w:p>
    <w:p>
      <w:pPr>
        <w:snapToGrid w:val="0"/>
        <w:jc w:val="left"/>
        <w:rPr>
          <w:color w:val="auto"/>
          <w:sz w:val="18"/>
          <w:szCs w:val="18"/>
          <w:highlight w:val="none"/>
        </w:rPr>
      </w:pPr>
    </w:p>
    <w:p>
      <w:pPr>
        <w:snapToGrid w:val="0"/>
        <w:spacing w:beforeLines="50" w:after="50"/>
        <w:jc w:val="right"/>
        <w:rPr>
          <w:rFonts w:ascii="宋体" w:hAnsi="宋体" w:cs="宋体"/>
          <w:bCs/>
          <w:color w:val="auto"/>
          <w:sz w:val="32"/>
          <w:szCs w:val="20"/>
          <w:highlight w:val="none"/>
        </w:rPr>
      </w:pPr>
      <w:r>
        <w:rPr>
          <w:rFonts w:hint="eastAsia" w:ascii="宋体" w:hAnsi="宋体" w:cs="宋体"/>
          <w:bCs/>
          <w:color w:val="auto"/>
          <w:highlight w:val="none"/>
        </w:rPr>
        <w:t xml:space="preserve">             电子投标文件</w:t>
      </w:r>
    </w:p>
    <w:p>
      <w:pPr>
        <w:snapToGrid w:val="0"/>
        <w:spacing w:beforeLines="50" w:after="50"/>
        <w:rPr>
          <w:rFonts w:ascii="宋体" w:hAnsi="宋体" w:cs="宋体"/>
          <w:color w:val="auto"/>
          <w:sz w:val="24"/>
          <w:szCs w:val="20"/>
          <w:highlight w:val="none"/>
        </w:rPr>
      </w:pPr>
    </w:p>
    <w:p>
      <w:pPr>
        <w:snapToGrid w:val="0"/>
        <w:spacing w:beforeLines="50" w:after="50"/>
        <w:jc w:val="center"/>
        <w:rPr>
          <w:rFonts w:ascii="宋体" w:hAnsi="宋体" w:cs="宋体"/>
          <w:b/>
          <w:color w:val="auto"/>
          <w:sz w:val="32"/>
          <w:szCs w:val="32"/>
          <w:highlight w:val="none"/>
        </w:rPr>
      </w:pPr>
    </w:p>
    <w:p>
      <w:pPr>
        <w:snapToGrid w:val="0"/>
        <w:spacing w:beforeLines="50" w:after="50"/>
        <w:jc w:val="center"/>
        <w:rPr>
          <w:rFonts w:ascii="宋体" w:hAnsi="宋体" w:cs="宋体"/>
          <w:b/>
          <w:color w:val="auto"/>
          <w:sz w:val="24"/>
          <w:szCs w:val="20"/>
          <w:highlight w:val="none"/>
        </w:rPr>
      </w:pPr>
      <w:r>
        <w:rPr>
          <w:rFonts w:hint="eastAsia" w:ascii="宋体" w:hAnsi="宋体" w:cs="宋体"/>
          <w:b/>
          <w:color w:val="auto"/>
          <w:sz w:val="32"/>
          <w:szCs w:val="32"/>
          <w:highlight w:val="none"/>
        </w:rPr>
        <w:t>商务文件</w:t>
      </w:r>
    </w:p>
    <w:p>
      <w:pPr>
        <w:snapToGrid w:val="0"/>
        <w:spacing w:beforeLines="50" w:after="50"/>
        <w:rPr>
          <w:rFonts w:ascii="宋体" w:hAnsi="宋体" w:cs="宋体"/>
          <w:bCs/>
          <w:color w:val="auto"/>
          <w:sz w:val="24"/>
          <w:szCs w:val="20"/>
          <w:highlight w:val="none"/>
        </w:rPr>
      </w:pPr>
    </w:p>
    <w:p>
      <w:pPr>
        <w:snapToGrid w:val="0"/>
        <w:spacing w:beforeLines="50" w:after="50"/>
        <w:ind w:firstLine="540" w:firstLineChars="225"/>
        <w:rPr>
          <w:rFonts w:ascii="宋体" w:hAnsi="宋体" w:cs="宋体"/>
          <w:bCs/>
          <w:color w:val="auto"/>
          <w:sz w:val="24"/>
          <w:highlight w:val="none"/>
        </w:rPr>
      </w:pPr>
    </w:p>
    <w:p>
      <w:pPr>
        <w:snapToGrid w:val="0"/>
        <w:spacing w:beforeLines="50" w:after="50"/>
        <w:ind w:firstLine="540" w:firstLineChars="225"/>
        <w:rPr>
          <w:rFonts w:ascii="宋体" w:hAnsi="宋体" w:cs="宋体"/>
          <w:bCs/>
          <w:color w:val="auto"/>
          <w:sz w:val="24"/>
          <w:highlight w:val="none"/>
        </w:rPr>
      </w:pPr>
    </w:p>
    <w:p>
      <w:pPr>
        <w:snapToGrid w:val="0"/>
        <w:spacing w:beforeLines="50" w:after="50"/>
        <w:ind w:firstLine="540" w:firstLineChars="225"/>
        <w:rPr>
          <w:rFonts w:ascii="宋体" w:hAnsi="宋体" w:cs="宋体"/>
          <w:bCs/>
          <w:color w:val="auto"/>
          <w:sz w:val="24"/>
          <w:highlight w:val="none"/>
        </w:rPr>
      </w:pPr>
      <w:r>
        <w:rPr>
          <w:rFonts w:hint="eastAsia" w:ascii="宋体" w:hAnsi="宋体" w:cs="宋体"/>
          <w:bCs/>
          <w:color w:val="auto"/>
          <w:sz w:val="24"/>
          <w:highlight w:val="none"/>
        </w:rPr>
        <w:t>项目名称：</w:t>
      </w:r>
    </w:p>
    <w:p>
      <w:pPr>
        <w:snapToGrid w:val="0"/>
        <w:spacing w:beforeLines="50" w:after="50"/>
        <w:ind w:firstLine="540" w:firstLineChars="225"/>
        <w:rPr>
          <w:rFonts w:ascii="宋体" w:hAnsi="宋体" w:cs="宋体"/>
          <w:bCs/>
          <w:color w:val="auto"/>
          <w:sz w:val="24"/>
          <w:szCs w:val="20"/>
          <w:highlight w:val="none"/>
        </w:rPr>
      </w:pPr>
    </w:p>
    <w:p>
      <w:pPr>
        <w:snapToGrid w:val="0"/>
        <w:spacing w:beforeLines="50" w:after="50"/>
        <w:ind w:firstLine="540" w:firstLineChars="225"/>
        <w:rPr>
          <w:rFonts w:ascii="宋体" w:hAnsi="宋体" w:cs="宋体"/>
          <w:bCs/>
          <w:color w:val="auto"/>
          <w:sz w:val="24"/>
          <w:highlight w:val="none"/>
        </w:rPr>
      </w:pPr>
      <w:r>
        <w:rPr>
          <w:rFonts w:hint="eastAsia" w:ascii="宋体" w:hAnsi="宋体" w:cs="宋体"/>
          <w:bCs/>
          <w:color w:val="auto"/>
          <w:sz w:val="24"/>
          <w:highlight w:val="none"/>
        </w:rPr>
        <w:t>项目编号：</w:t>
      </w:r>
    </w:p>
    <w:p>
      <w:pPr>
        <w:snapToGrid w:val="0"/>
        <w:spacing w:beforeLines="50" w:after="50"/>
        <w:ind w:firstLine="540" w:firstLineChars="225"/>
        <w:rPr>
          <w:rFonts w:ascii="宋体" w:hAnsi="宋体" w:cs="宋体"/>
          <w:bCs/>
          <w:color w:val="auto"/>
          <w:sz w:val="24"/>
          <w:szCs w:val="20"/>
          <w:highlight w:val="none"/>
        </w:rPr>
      </w:pPr>
    </w:p>
    <w:p>
      <w:pPr>
        <w:snapToGrid w:val="0"/>
        <w:spacing w:beforeLines="50" w:after="50"/>
        <w:ind w:firstLine="540" w:firstLineChars="225"/>
        <w:rPr>
          <w:rFonts w:ascii="宋体" w:hAnsi="宋体" w:cs="宋体"/>
          <w:bCs/>
          <w:color w:val="auto"/>
          <w:sz w:val="24"/>
          <w:highlight w:val="none"/>
        </w:rPr>
      </w:pPr>
      <w:r>
        <w:rPr>
          <w:rFonts w:hint="eastAsia" w:ascii="宋体" w:hAnsi="宋体" w:cs="宋体"/>
          <w:bCs/>
          <w:color w:val="auto"/>
          <w:sz w:val="24"/>
          <w:highlight w:val="none"/>
        </w:rPr>
        <w:t>所投分标（如有则填写，无分标时填写“无”或者留空）：</w:t>
      </w:r>
    </w:p>
    <w:p>
      <w:pPr>
        <w:snapToGrid w:val="0"/>
        <w:spacing w:beforeLines="50" w:after="50"/>
        <w:ind w:firstLine="540" w:firstLineChars="225"/>
        <w:rPr>
          <w:rFonts w:ascii="宋体" w:hAnsi="宋体" w:cs="宋体"/>
          <w:bCs/>
          <w:color w:val="auto"/>
          <w:sz w:val="24"/>
          <w:szCs w:val="20"/>
          <w:highlight w:val="none"/>
        </w:rPr>
      </w:pPr>
    </w:p>
    <w:p>
      <w:pPr>
        <w:snapToGrid w:val="0"/>
        <w:spacing w:before="50" w:after="50"/>
        <w:ind w:firstLine="540" w:firstLineChars="225"/>
        <w:rPr>
          <w:rFonts w:ascii="宋体" w:hAnsi="宋体" w:cs="宋体"/>
          <w:bCs/>
          <w:color w:val="auto"/>
          <w:sz w:val="24"/>
          <w:highlight w:val="none"/>
        </w:rPr>
      </w:pPr>
      <w:r>
        <w:rPr>
          <w:rFonts w:hint="eastAsia" w:ascii="宋体" w:hAnsi="宋体" w:cs="宋体"/>
          <w:bCs/>
          <w:color w:val="auto"/>
          <w:sz w:val="24"/>
          <w:highlight w:val="none"/>
        </w:rPr>
        <w:t>投标人名称：</w:t>
      </w:r>
    </w:p>
    <w:p>
      <w:pPr>
        <w:snapToGrid w:val="0"/>
        <w:spacing w:before="50" w:after="50"/>
        <w:ind w:firstLine="540" w:firstLineChars="225"/>
        <w:rPr>
          <w:rFonts w:ascii="宋体" w:hAnsi="宋体" w:cs="宋体"/>
          <w:bCs/>
          <w:color w:val="auto"/>
          <w:sz w:val="24"/>
          <w:highlight w:val="none"/>
        </w:rPr>
      </w:pPr>
    </w:p>
    <w:p>
      <w:pPr>
        <w:snapToGrid w:val="0"/>
        <w:spacing w:before="50" w:after="50"/>
        <w:ind w:firstLine="540" w:firstLineChars="225"/>
        <w:rPr>
          <w:rFonts w:ascii="宋体" w:hAnsi="宋体" w:cs="宋体"/>
          <w:bCs/>
          <w:color w:val="auto"/>
          <w:sz w:val="24"/>
          <w:highlight w:val="none"/>
        </w:rPr>
      </w:pPr>
      <w:r>
        <w:rPr>
          <w:rFonts w:hint="eastAsia" w:ascii="宋体" w:hAnsi="宋体" w:cs="宋体"/>
          <w:bCs/>
          <w:color w:val="auto"/>
          <w:sz w:val="24"/>
          <w:highlight w:val="none"/>
        </w:rPr>
        <w:t>投标人地址：</w:t>
      </w:r>
    </w:p>
    <w:p>
      <w:pPr>
        <w:snapToGrid w:val="0"/>
        <w:spacing w:before="50" w:after="50"/>
        <w:ind w:firstLine="960" w:firstLineChars="400"/>
        <w:rPr>
          <w:rFonts w:ascii="宋体" w:hAnsi="宋体" w:cs="宋体"/>
          <w:bCs/>
          <w:color w:val="auto"/>
          <w:sz w:val="24"/>
          <w:highlight w:val="none"/>
        </w:rPr>
      </w:pPr>
    </w:p>
    <w:p>
      <w:pPr>
        <w:snapToGrid w:val="0"/>
        <w:spacing w:beforeLines="50" w:after="50"/>
        <w:ind w:firstLine="645"/>
        <w:rPr>
          <w:rFonts w:ascii="宋体" w:hAnsi="宋体" w:cs="宋体"/>
          <w:color w:val="auto"/>
          <w:sz w:val="24"/>
          <w:highlight w:val="none"/>
        </w:rPr>
      </w:pPr>
    </w:p>
    <w:p>
      <w:pPr>
        <w:snapToGrid w:val="0"/>
        <w:spacing w:beforeLines="50" w:after="50"/>
        <w:ind w:firstLine="645"/>
        <w:rPr>
          <w:rFonts w:ascii="宋体" w:hAnsi="宋体" w:cs="宋体"/>
          <w:color w:val="auto"/>
          <w:sz w:val="24"/>
          <w:highlight w:val="none"/>
        </w:rPr>
      </w:pPr>
    </w:p>
    <w:p>
      <w:pPr>
        <w:snapToGrid w:val="0"/>
        <w:spacing w:beforeLines="50" w:after="50"/>
        <w:ind w:firstLine="4329" w:firstLineChars="1804"/>
        <w:rPr>
          <w:rFonts w:ascii="宋体" w:hAnsi="宋体" w:cs="宋体"/>
          <w:color w:val="auto"/>
          <w:sz w:val="24"/>
          <w:highlight w:val="none"/>
        </w:rPr>
      </w:pPr>
      <w:r>
        <w:rPr>
          <w:rFonts w:hint="eastAsia" w:ascii="宋体" w:hAnsi="宋体" w:cs="宋体"/>
          <w:color w:val="auto"/>
          <w:sz w:val="24"/>
          <w:highlight w:val="none"/>
        </w:rPr>
        <w:t>年   月   日</w:t>
      </w:r>
    </w:p>
    <w:p>
      <w:pPr>
        <w:spacing w:line="360" w:lineRule="auto"/>
        <w:ind w:right="420"/>
        <w:rPr>
          <w:rFonts w:ascii="宋体" w:hAnsi="宋体" w:cs="宋体"/>
          <w:color w:val="auto"/>
          <w:sz w:val="24"/>
          <w:szCs w:val="20"/>
          <w:highlight w:val="none"/>
        </w:rPr>
      </w:pPr>
    </w:p>
    <w:p>
      <w:pPr>
        <w:spacing w:line="360" w:lineRule="auto"/>
        <w:ind w:right="420"/>
        <w:rPr>
          <w:rFonts w:ascii="宋体" w:hAnsi="宋体" w:cs="宋体"/>
          <w:color w:val="auto"/>
          <w:sz w:val="24"/>
          <w:szCs w:val="20"/>
          <w:highlight w:val="none"/>
        </w:rPr>
      </w:pPr>
      <w:r>
        <w:rPr>
          <w:rFonts w:hint="eastAsia" w:ascii="宋体" w:hAnsi="宋体" w:cs="宋体"/>
          <w:b/>
          <w:bCs/>
          <w:color w:val="auto"/>
          <w:sz w:val="28"/>
          <w:szCs w:val="28"/>
          <w:highlight w:val="none"/>
        </w:rPr>
        <w:br w:type="page"/>
      </w:r>
      <w:r>
        <w:rPr>
          <w:rFonts w:hint="eastAsia" w:ascii="宋体" w:hAnsi="宋体" w:cs="宋体"/>
          <w:b/>
          <w:bCs/>
          <w:color w:val="auto"/>
          <w:sz w:val="28"/>
          <w:szCs w:val="28"/>
          <w:highlight w:val="none"/>
        </w:rPr>
        <w:t>2.商务文件目录</w:t>
      </w:r>
    </w:p>
    <w:p>
      <w:pPr>
        <w:spacing w:line="360" w:lineRule="auto"/>
        <w:ind w:right="420"/>
        <w:rPr>
          <w:rFonts w:ascii="宋体" w:hAnsi="宋体" w:cs="宋体"/>
          <w:b/>
          <w:color w:val="auto"/>
          <w:kern w:val="0"/>
          <w:sz w:val="36"/>
          <w:szCs w:val="36"/>
          <w:highlight w:val="none"/>
        </w:rPr>
      </w:pPr>
      <w:r>
        <w:rPr>
          <w:rFonts w:hint="eastAsia" w:ascii="宋体" w:hAnsi="宋体" w:cs="宋体"/>
          <w:color w:val="auto"/>
          <w:kern w:val="0"/>
          <w:sz w:val="24"/>
          <w:highlight w:val="none"/>
        </w:rPr>
        <w:t>根据招标文件规定及投标人提供的材料自行编写目录（部分格式后附）。</w:t>
      </w:r>
    </w:p>
    <w:p>
      <w:pPr>
        <w:rPr>
          <w:rFonts w:ascii="宋体" w:hAnsi="宋体" w:cs="宋体"/>
          <w:b/>
          <w:color w:val="auto"/>
          <w:kern w:val="0"/>
          <w:sz w:val="24"/>
          <w:highlight w:val="none"/>
        </w:rPr>
      </w:pPr>
    </w:p>
    <w:p>
      <w:pPr>
        <w:spacing w:line="360" w:lineRule="auto"/>
        <w:rPr>
          <w:rFonts w:ascii="宋体" w:hAnsi="宋体" w:cs="宋体"/>
          <w:b/>
          <w:bCs/>
          <w:color w:val="auto"/>
          <w:sz w:val="24"/>
          <w:highlight w:val="none"/>
        </w:rPr>
      </w:pPr>
    </w:p>
    <w:p>
      <w:pPr>
        <w:snapToGrid w:val="0"/>
        <w:spacing w:beforeLines="50" w:after="50"/>
        <w:rPr>
          <w:rFonts w:ascii="宋体" w:hAnsi="宋体" w:cs="宋体"/>
          <w:b/>
          <w:bCs/>
          <w:color w:val="auto"/>
          <w:sz w:val="28"/>
          <w:szCs w:val="28"/>
          <w:highlight w:val="none"/>
        </w:rPr>
      </w:pPr>
      <w:r>
        <w:rPr>
          <w:rFonts w:hint="eastAsia" w:ascii="宋体" w:hAnsi="宋体" w:cs="宋体"/>
          <w:b/>
          <w:bCs/>
          <w:color w:val="auto"/>
          <w:sz w:val="28"/>
          <w:szCs w:val="28"/>
          <w:highlight w:val="none"/>
        </w:rPr>
        <w:br w:type="page"/>
      </w:r>
      <w:r>
        <w:rPr>
          <w:rFonts w:hint="eastAsia" w:ascii="宋体" w:hAnsi="宋体" w:cs="宋体"/>
          <w:b/>
          <w:bCs/>
          <w:color w:val="auto"/>
          <w:sz w:val="28"/>
          <w:szCs w:val="28"/>
          <w:highlight w:val="none"/>
        </w:rPr>
        <w:t>3.无串通投标行为的承诺函的格式：</w:t>
      </w:r>
    </w:p>
    <w:p>
      <w:pPr>
        <w:snapToGrid w:val="0"/>
        <w:spacing w:beforeLines="50" w:after="50"/>
        <w:ind w:left="420"/>
        <w:jc w:val="center"/>
        <w:rPr>
          <w:rFonts w:ascii="宋体" w:hAnsi="宋体" w:cs="宋体"/>
          <w:b/>
          <w:color w:val="auto"/>
          <w:sz w:val="28"/>
          <w:szCs w:val="28"/>
          <w:highlight w:val="none"/>
        </w:rPr>
      </w:pPr>
    </w:p>
    <w:p>
      <w:pPr>
        <w:snapToGrid w:val="0"/>
        <w:spacing w:beforeLines="50" w:after="50"/>
        <w:ind w:left="420"/>
        <w:jc w:val="center"/>
        <w:rPr>
          <w:rFonts w:ascii="宋体" w:hAnsi="宋体" w:cs="宋体"/>
          <w:b/>
          <w:color w:val="auto"/>
          <w:sz w:val="28"/>
          <w:szCs w:val="28"/>
          <w:highlight w:val="none"/>
        </w:rPr>
      </w:pPr>
      <w:r>
        <w:rPr>
          <w:rFonts w:hint="eastAsia" w:ascii="宋体" w:hAnsi="宋体" w:cs="宋体"/>
          <w:b/>
          <w:color w:val="auto"/>
          <w:sz w:val="28"/>
          <w:szCs w:val="28"/>
          <w:highlight w:val="none"/>
        </w:rPr>
        <w:t>参加本项目无</w:t>
      </w:r>
      <w:r>
        <w:rPr>
          <w:rFonts w:hint="eastAsia" w:ascii="宋体" w:hAnsi="宋体" w:cs="宋体"/>
          <w:b/>
          <w:bCs/>
          <w:color w:val="auto"/>
          <w:sz w:val="28"/>
          <w:szCs w:val="28"/>
          <w:highlight w:val="none"/>
        </w:rPr>
        <w:t>串通投标</w:t>
      </w:r>
      <w:r>
        <w:rPr>
          <w:rFonts w:hint="eastAsia" w:ascii="宋体" w:hAnsi="宋体" w:cs="宋体"/>
          <w:b/>
          <w:color w:val="auto"/>
          <w:sz w:val="28"/>
          <w:szCs w:val="28"/>
          <w:highlight w:val="none"/>
        </w:rPr>
        <w:t>行为的承诺函</w:t>
      </w:r>
    </w:p>
    <w:p>
      <w:pPr>
        <w:snapToGrid w:val="0"/>
        <w:spacing w:beforeLines="50" w:after="50"/>
        <w:rPr>
          <w:rFonts w:ascii="宋体" w:hAnsi="宋体" w:cs="宋体"/>
          <w:b/>
          <w:color w:val="auto"/>
          <w:szCs w:val="21"/>
          <w:highlight w:val="none"/>
        </w:rPr>
      </w:pPr>
    </w:p>
    <w:p>
      <w:pPr>
        <w:snapToGrid w:val="0"/>
        <w:spacing w:beforeLines="50" w:after="50" w:line="360" w:lineRule="auto"/>
        <w:jc w:val="left"/>
        <w:rPr>
          <w:rFonts w:ascii="宋体" w:hAnsi="宋体" w:cs="宋体"/>
          <w:b/>
          <w:color w:val="auto"/>
          <w:szCs w:val="21"/>
          <w:highlight w:val="none"/>
        </w:rPr>
      </w:pPr>
      <w:r>
        <w:rPr>
          <w:rFonts w:hint="eastAsia" w:ascii="宋体" w:hAnsi="宋体" w:cs="宋体"/>
          <w:b/>
          <w:color w:val="auto"/>
          <w:szCs w:val="21"/>
          <w:highlight w:val="none"/>
        </w:rPr>
        <w:t>一、我方承诺无下列相互串通投标的情形：</w:t>
      </w:r>
    </w:p>
    <w:p>
      <w:pPr>
        <w:snapToGrid w:val="0"/>
        <w:spacing w:beforeLines="50" w:after="50" w:line="360" w:lineRule="auto"/>
        <w:ind w:firstLine="411" w:firstLineChars="196"/>
        <w:jc w:val="left"/>
        <w:rPr>
          <w:rFonts w:ascii="宋体" w:hAnsi="宋体" w:cs="宋体"/>
          <w:color w:val="auto"/>
          <w:szCs w:val="21"/>
          <w:highlight w:val="none"/>
        </w:rPr>
      </w:pPr>
      <w:r>
        <w:rPr>
          <w:rFonts w:hint="eastAsia" w:ascii="宋体" w:hAnsi="宋体" w:cs="宋体"/>
          <w:color w:val="auto"/>
          <w:szCs w:val="21"/>
          <w:highlight w:val="none"/>
        </w:rPr>
        <w:t>1.不同投标人的投标文件由同一单位或者个人编制；或不同投标人报名的IP地址一致的。</w:t>
      </w:r>
    </w:p>
    <w:p>
      <w:pPr>
        <w:snapToGrid w:val="0"/>
        <w:spacing w:beforeLines="50" w:after="50" w:line="360" w:lineRule="auto"/>
        <w:ind w:firstLine="411" w:firstLineChars="196"/>
        <w:jc w:val="left"/>
        <w:rPr>
          <w:rFonts w:ascii="宋体" w:hAnsi="宋体" w:cs="宋体"/>
          <w:color w:val="auto"/>
          <w:szCs w:val="21"/>
          <w:highlight w:val="none"/>
        </w:rPr>
      </w:pPr>
      <w:r>
        <w:rPr>
          <w:rFonts w:hint="eastAsia" w:ascii="宋体" w:hAnsi="宋体" w:cs="宋体"/>
          <w:color w:val="auto"/>
          <w:szCs w:val="21"/>
          <w:highlight w:val="none"/>
        </w:rPr>
        <w:t>2.不同投标人委托同一单位或者个人办理投标事宜。</w:t>
      </w:r>
    </w:p>
    <w:p>
      <w:pPr>
        <w:snapToGrid w:val="0"/>
        <w:spacing w:beforeLines="50" w:after="50" w:line="360" w:lineRule="auto"/>
        <w:ind w:firstLine="411" w:firstLineChars="196"/>
        <w:jc w:val="left"/>
        <w:rPr>
          <w:rFonts w:ascii="宋体" w:hAnsi="宋体" w:cs="宋体"/>
          <w:color w:val="auto"/>
          <w:szCs w:val="21"/>
          <w:highlight w:val="none"/>
        </w:rPr>
      </w:pPr>
      <w:r>
        <w:rPr>
          <w:rFonts w:hint="eastAsia" w:ascii="宋体" w:hAnsi="宋体" w:cs="宋体"/>
          <w:color w:val="auto"/>
          <w:szCs w:val="21"/>
          <w:highlight w:val="none"/>
        </w:rPr>
        <w:t>3.不同的投标人的投标文件载明的项目管理员为同一个人。</w:t>
      </w:r>
    </w:p>
    <w:p>
      <w:pPr>
        <w:snapToGrid w:val="0"/>
        <w:spacing w:beforeLines="50" w:after="50" w:line="360" w:lineRule="auto"/>
        <w:ind w:firstLine="411" w:firstLineChars="196"/>
        <w:jc w:val="left"/>
        <w:rPr>
          <w:rFonts w:ascii="宋体" w:hAnsi="宋体" w:cs="宋体"/>
          <w:color w:val="auto"/>
          <w:szCs w:val="21"/>
          <w:highlight w:val="none"/>
        </w:rPr>
      </w:pPr>
      <w:r>
        <w:rPr>
          <w:rFonts w:hint="eastAsia" w:ascii="宋体" w:hAnsi="宋体" w:cs="宋体"/>
          <w:color w:val="auto"/>
          <w:szCs w:val="21"/>
          <w:highlight w:val="none"/>
        </w:rPr>
        <w:t>4.不同投标人的投标文件异常一致或者投标报价呈规律性差异。</w:t>
      </w:r>
    </w:p>
    <w:p>
      <w:pPr>
        <w:snapToGrid w:val="0"/>
        <w:spacing w:beforeLines="50" w:after="50" w:line="360" w:lineRule="auto"/>
        <w:ind w:firstLine="411" w:firstLineChars="196"/>
        <w:jc w:val="left"/>
        <w:rPr>
          <w:rFonts w:ascii="宋体" w:hAnsi="宋体" w:cs="宋体"/>
          <w:color w:val="auto"/>
          <w:szCs w:val="21"/>
          <w:highlight w:val="none"/>
        </w:rPr>
      </w:pPr>
      <w:r>
        <w:rPr>
          <w:rFonts w:hint="eastAsia" w:ascii="宋体" w:hAnsi="宋体" w:cs="宋体"/>
          <w:color w:val="auto"/>
          <w:szCs w:val="21"/>
          <w:highlight w:val="none"/>
        </w:rPr>
        <w:t>5.不同投标人的投标文件相互混装。</w:t>
      </w:r>
    </w:p>
    <w:p>
      <w:pPr>
        <w:snapToGrid w:val="0"/>
        <w:spacing w:beforeLines="50" w:after="50" w:line="360" w:lineRule="auto"/>
        <w:ind w:firstLine="411" w:firstLineChars="196"/>
        <w:jc w:val="left"/>
        <w:rPr>
          <w:rFonts w:ascii="宋体" w:hAnsi="宋体" w:cs="宋体"/>
          <w:color w:val="auto"/>
          <w:szCs w:val="21"/>
          <w:highlight w:val="none"/>
        </w:rPr>
      </w:pPr>
      <w:r>
        <w:rPr>
          <w:rFonts w:ascii="宋体" w:hAnsi="宋体" w:cs="宋体"/>
          <w:color w:val="auto"/>
          <w:szCs w:val="21"/>
          <w:highlight w:val="none"/>
        </w:rPr>
        <w:t>6</w:t>
      </w:r>
      <w:r>
        <w:rPr>
          <w:rFonts w:hint="eastAsia" w:ascii="宋体" w:hAnsi="宋体" w:cs="宋体"/>
          <w:color w:val="auto"/>
          <w:szCs w:val="21"/>
          <w:highlight w:val="none"/>
        </w:rPr>
        <w:t>.不同投标人的投标保证金从同一单位或者个人账户转出。</w:t>
      </w:r>
    </w:p>
    <w:p>
      <w:pPr>
        <w:snapToGrid w:val="0"/>
        <w:spacing w:beforeLines="50" w:after="50" w:line="360" w:lineRule="auto"/>
        <w:jc w:val="left"/>
        <w:rPr>
          <w:rFonts w:ascii="宋体" w:hAnsi="宋体" w:cs="宋体"/>
          <w:color w:val="auto"/>
          <w:szCs w:val="21"/>
          <w:highlight w:val="none"/>
        </w:rPr>
      </w:pPr>
      <w:r>
        <w:rPr>
          <w:rFonts w:hint="eastAsia" w:ascii="宋体" w:hAnsi="宋体" w:cs="宋体"/>
          <w:b/>
          <w:color w:val="auto"/>
          <w:szCs w:val="21"/>
          <w:highlight w:val="none"/>
        </w:rPr>
        <w:t>二、我方承诺无下列恶意串通的情形：</w:t>
      </w:r>
    </w:p>
    <w:p>
      <w:pPr>
        <w:snapToGrid w:val="0"/>
        <w:spacing w:beforeLines="50" w:after="50" w:line="360" w:lineRule="auto"/>
        <w:ind w:firstLine="411" w:firstLineChars="196"/>
        <w:jc w:val="left"/>
        <w:rPr>
          <w:rFonts w:ascii="宋体" w:hAnsi="宋体" w:cs="宋体"/>
          <w:color w:val="auto"/>
          <w:szCs w:val="21"/>
          <w:highlight w:val="none"/>
        </w:rPr>
      </w:pPr>
      <w:r>
        <w:rPr>
          <w:rFonts w:hint="eastAsia" w:ascii="宋体" w:hAnsi="宋体" w:cs="宋体"/>
          <w:color w:val="auto"/>
          <w:szCs w:val="21"/>
          <w:highlight w:val="none"/>
        </w:rPr>
        <w:t>1.投标人直接或者间接从采购人或者采购代理机构处获得其他投标人的相关信息并修改其投标文件。</w:t>
      </w:r>
    </w:p>
    <w:p>
      <w:pPr>
        <w:snapToGrid w:val="0"/>
        <w:spacing w:beforeLines="50" w:after="50" w:line="360" w:lineRule="auto"/>
        <w:ind w:firstLine="411" w:firstLineChars="196"/>
        <w:jc w:val="left"/>
        <w:rPr>
          <w:rFonts w:ascii="宋体" w:hAnsi="宋体" w:cs="宋体"/>
          <w:color w:val="auto"/>
          <w:szCs w:val="21"/>
          <w:highlight w:val="none"/>
        </w:rPr>
      </w:pPr>
      <w:r>
        <w:rPr>
          <w:rFonts w:hint="eastAsia" w:ascii="宋体" w:hAnsi="宋体" w:cs="宋体"/>
          <w:color w:val="auto"/>
          <w:szCs w:val="21"/>
          <w:highlight w:val="none"/>
        </w:rPr>
        <w:t>2.投标人按照采购人或者采购代理机构的授意撤换、修改投标文件。</w:t>
      </w:r>
    </w:p>
    <w:p>
      <w:pPr>
        <w:snapToGrid w:val="0"/>
        <w:spacing w:beforeLines="50" w:after="50" w:line="360" w:lineRule="auto"/>
        <w:ind w:firstLine="411" w:firstLineChars="196"/>
        <w:jc w:val="left"/>
        <w:rPr>
          <w:rFonts w:ascii="宋体" w:hAnsi="宋体" w:cs="宋体"/>
          <w:color w:val="auto"/>
          <w:szCs w:val="21"/>
          <w:highlight w:val="none"/>
        </w:rPr>
      </w:pPr>
      <w:r>
        <w:rPr>
          <w:rFonts w:hint="eastAsia" w:ascii="宋体" w:hAnsi="宋体" w:cs="宋体"/>
          <w:color w:val="auto"/>
          <w:szCs w:val="21"/>
          <w:highlight w:val="none"/>
        </w:rPr>
        <w:t>3.投标人之间协商报价、技术方案等投标文件的实质性内容。</w:t>
      </w:r>
    </w:p>
    <w:p>
      <w:pPr>
        <w:snapToGrid w:val="0"/>
        <w:spacing w:beforeLines="50" w:after="50" w:line="360" w:lineRule="auto"/>
        <w:ind w:firstLine="411" w:firstLineChars="196"/>
        <w:jc w:val="left"/>
        <w:rPr>
          <w:rFonts w:ascii="宋体" w:hAnsi="宋体" w:cs="宋体"/>
          <w:color w:val="auto"/>
          <w:szCs w:val="21"/>
          <w:highlight w:val="none"/>
        </w:rPr>
      </w:pPr>
      <w:r>
        <w:rPr>
          <w:rFonts w:hint="eastAsia" w:ascii="宋体" w:hAnsi="宋体" w:cs="宋体"/>
          <w:color w:val="auto"/>
          <w:szCs w:val="21"/>
          <w:highlight w:val="none"/>
        </w:rPr>
        <w:t>4.属于同一集团、协会、商会等组织成员的投标人按照该组织要求协同参加政府采购活动。</w:t>
      </w:r>
    </w:p>
    <w:p>
      <w:pPr>
        <w:snapToGrid w:val="0"/>
        <w:spacing w:beforeLines="50" w:after="50" w:line="360" w:lineRule="auto"/>
        <w:ind w:firstLine="411" w:firstLineChars="196"/>
        <w:jc w:val="left"/>
        <w:rPr>
          <w:rFonts w:ascii="宋体" w:hAnsi="宋体" w:cs="宋体"/>
          <w:color w:val="auto"/>
          <w:szCs w:val="21"/>
          <w:highlight w:val="none"/>
        </w:rPr>
      </w:pPr>
      <w:r>
        <w:rPr>
          <w:rFonts w:hint="eastAsia" w:ascii="宋体" w:hAnsi="宋体" w:cs="宋体"/>
          <w:color w:val="auto"/>
          <w:szCs w:val="21"/>
          <w:highlight w:val="none"/>
        </w:rPr>
        <w:t>5.投标人之间事先约定一致抬高或者压低投标报价，或者在招标项目中事先约定轮流以高价位或者低价位中标，或者事先约定由某一特定投标人中标，然后再参加投标。</w:t>
      </w:r>
    </w:p>
    <w:p>
      <w:pPr>
        <w:snapToGrid w:val="0"/>
        <w:spacing w:beforeLines="50" w:after="50" w:line="360" w:lineRule="auto"/>
        <w:ind w:firstLine="411" w:firstLineChars="196"/>
        <w:jc w:val="left"/>
        <w:rPr>
          <w:rFonts w:ascii="宋体" w:hAnsi="宋体" w:cs="宋体"/>
          <w:color w:val="auto"/>
          <w:szCs w:val="21"/>
          <w:highlight w:val="none"/>
        </w:rPr>
      </w:pPr>
      <w:r>
        <w:rPr>
          <w:rFonts w:hint="eastAsia" w:ascii="宋体" w:hAnsi="宋体" w:cs="宋体"/>
          <w:color w:val="auto"/>
          <w:szCs w:val="21"/>
          <w:highlight w:val="none"/>
        </w:rPr>
        <w:t>6.投标人之间商定部分投标人放弃参加政府采购活动或者放弃中标。</w:t>
      </w:r>
    </w:p>
    <w:p>
      <w:pPr>
        <w:snapToGrid w:val="0"/>
        <w:spacing w:beforeLines="50" w:after="50" w:line="360" w:lineRule="auto"/>
        <w:ind w:firstLine="411" w:firstLineChars="196"/>
        <w:jc w:val="left"/>
        <w:rPr>
          <w:rFonts w:ascii="宋体" w:hAnsi="宋体" w:cs="宋体"/>
          <w:color w:val="auto"/>
          <w:szCs w:val="21"/>
          <w:highlight w:val="none"/>
        </w:rPr>
      </w:pPr>
      <w:r>
        <w:rPr>
          <w:rFonts w:hint="eastAsia" w:ascii="宋体" w:hAnsi="宋体" w:cs="宋体"/>
          <w:color w:val="auto"/>
          <w:szCs w:val="21"/>
          <w:highlight w:val="none"/>
        </w:rPr>
        <w:t>7.投标人与采购人或者采购代理机构之间、投标人相互之间，为谋求特定投标人中标或者排斥其他投标人的其他串通行为。</w:t>
      </w:r>
    </w:p>
    <w:p>
      <w:pPr>
        <w:snapToGrid w:val="0"/>
        <w:spacing w:beforeLines="50" w:after="50" w:line="360" w:lineRule="auto"/>
        <w:ind w:firstLine="413" w:firstLineChars="196"/>
        <w:jc w:val="left"/>
        <w:rPr>
          <w:rFonts w:ascii="宋体" w:hAnsi="宋体" w:cs="宋体"/>
          <w:b/>
          <w:color w:val="auto"/>
          <w:szCs w:val="21"/>
          <w:highlight w:val="none"/>
        </w:rPr>
      </w:pPr>
      <w:r>
        <w:rPr>
          <w:rFonts w:hint="eastAsia" w:ascii="宋体" w:hAnsi="宋体" w:cs="宋体"/>
          <w:b/>
          <w:bCs/>
          <w:color w:val="auto"/>
          <w:szCs w:val="21"/>
          <w:highlight w:val="none"/>
        </w:rPr>
        <w:t>以上情形一经核查属实，接受政府采购监管部门对我方认定存在围标串标行为，我方愿意承担一切后果，并不再寻求任何旨在减轻或者免除法律责任的辩解</w:t>
      </w:r>
      <w:r>
        <w:rPr>
          <w:rFonts w:hint="eastAsia" w:ascii="宋体" w:hAnsi="宋体" w:cs="宋体"/>
          <w:b/>
          <w:color w:val="auto"/>
          <w:szCs w:val="21"/>
          <w:highlight w:val="none"/>
        </w:rPr>
        <w:t>。</w:t>
      </w:r>
    </w:p>
    <w:p>
      <w:pPr>
        <w:snapToGrid w:val="0"/>
        <w:spacing w:line="360" w:lineRule="auto"/>
        <w:ind w:firstLine="5640" w:firstLineChars="2350"/>
        <w:rPr>
          <w:rFonts w:ascii="宋体" w:hAnsi="宋体" w:cs="宋体"/>
          <w:color w:val="auto"/>
          <w:kern w:val="0"/>
          <w:sz w:val="24"/>
          <w:highlight w:val="none"/>
        </w:rPr>
      </w:pPr>
      <w:r>
        <w:rPr>
          <w:rFonts w:hint="eastAsia" w:ascii="宋体" w:hAnsi="宋体" w:cs="宋体"/>
          <w:color w:val="auto"/>
          <w:kern w:val="0"/>
          <w:sz w:val="24"/>
          <w:highlight w:val="none"/>
          <w:lang w:val="zh-CN"/>
        </w:rPr>
        <w:t>投标人名称(盖公章)：</w:t>
      </w:r>
    </w:p>
    <w:p>
      <w:pPr>
        <w:snapToGrid w:val="0"/>
        <w:spacing w:line="360" w:lineRule="auto"/>
        <w:ind w:firstLine="6360" w:firstLineChars="265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日期</w:t>
      </w:r>
      <w:r>
        <w:rPr>
          <w:rFonts w:hint="eastAsia" w:ascii="宋体" w:hAnsi="宋体" w:cs="宋体"/>
          <w:color w:val="auto"/>
          <w:kern w:val="0"/>
          <w:sz w:val="24"/>
          <w:highlight w:val="none"/>
        </w:rPr>
        <w:t>：  年  月  日</w:t>
      </w:r>
    </w:p>
    <w:p>
      <w:pPr>
        <w:snapToGrid w:val="0"/>
        <w:spacing w:before="295" w:after="295" w:line="360" w:lineRule="auto"/>
        <w:rPr>
          <w:rFonts w:ascii="宋体" w:hAnsi="宋体" w:cs="宋体"/>
          <w:b/>
          <w:color w:val="auto"/>
          <w:sz w:val="24"/>
          <w:szCs w:val="20"/>
          <w:highlight w:val="none"/>
        </w:rPr>
      </w:pPr>
      <w:r>
        <w:rPr>
          <w:rFonts w:hint="eastAsia" w:ascii="宋体" w:hAnsi="宋体" w:cs="宋体"/>
          <w:b/>
          <w:color w:val="auto"/>
          <w:sz w:val="24"/>
          <w:szCs w:val="20"/>
          <w:highlight w:val="none"/>
        </w:rPr>
        <w:br w:type="page"/>
      </w:r>
      <w:r>
        <w:rPr>
          <w:rFonts w:hint="eastAsia" w:ascii="宋体" w:hAnsi="宋体" w:cs="宋体"/>
          <w:b/>
          <w:bCs/>
          <w:color w:val="auto"/>
          <w:sz w:val="28"/>
          <w:szCs w:val="28"/>
          <w:highlight w:val="none"/>
        </w:rPr>
        <w:t>4.法定代表人身份证明的格式：</w:t>
      </w:r>
    </w:p>
    <w:p>
      <w:pPr>
        <w:spacing w:before="240" w:beforeLines="100" w:after="120" w:afterLines="50"/>
        <w:ind w:left="540"/>
        <w:jc w:val="center"/>
        <w:rPr>
          <w:rFonts w:ascii="黑体" w:hAnsi="宋体" w:eastAsia="黑体" w:cs="Times New Roman"/>
          <w:color w:val="auto"/>
          <w:sz w:val="32"/>
          <w:szCs w:val="32"/>
          <w:highlight w:val="none"/>
        </w:rPr>
      </w:pPr>
      <w:r>
        <w:rPr>
          <w:rFonts w:hint="eastAsia" w:ascii="宋体" w:hAnsi="Courier New" w:eastAsia="宋体" w:cs="Times New Roman"/>
          <w:b/>
          <w:color w:val="auto"/>
          <w:sz w:val="32"/>
          <w:szCs w:val="32"/>
          <w:highlight w:val="none"/>
        </w:rPr>
        <w:t>法定代表人身份证明</w:t>
      </w:r>
    </w:p>
    <w:p>
      <w:pPr>
        <w:spacing w:line="500" w:lineRule="exact"/>
        <w:ind w:left="54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投 标 人：</w:t>
      </w:r>
      <w:r>
        <w:rPr>
          <w:rFonts w:hint="eastAsia" w:ascii="宋体" w:hAnsi="宋体" w:eastAsia="宋体" w:cs="Times New Roman"/>
          <w:color w:val="auto"/>
          <w:szCs w:val="21"/>
          <w:highlight w:val="none"/>
          <w:u w:val="single"/>
        </w:rPr>
        <w:t xml:space="preserve">                                                        </w:t>
      </w:r>
    </w:p>
    <w:p>
      <w:pPr>
        <w:spacing w:line="500" w:lineRule="exact"/>
        <w:ind w:left="54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地    址：</w:t>
      </w:r>
      <w:r>
        <w:rPr>
          <w:rFonts w:hint="eastAsia" w:ascii="宋体" w:hAnsi="宋体" w:eastAsia="宋体" w:cs="Times New Roman"/>
          <w:color w:val="auto"/>
          <w:szCs w:val="21"/>
          <w:highlight w:val="none"/>
          <w:u w:val="single"/>
        </w:rPr>
        <w:t xml:space="preserve">                                                        </w:t>
      </w:r>
    </w:p>
    <w:p>
      <w:pPr>
        <w:spacing w:line="500" w:lineRule="exact"/>
        <w:ind w:left="54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姓    名：</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性      别：</w:t>
      </w:r>
      <w:r>
        <w:rPr>
          <w:rFonts w:hint="eastAsia" w:ascii="宋体" w:hAnsi="宋体" w:eastAsia="宋体" w:cs="Times New Roman"/>
          <w:color w:val="auto"/>
          <w:szCs w:val="21"/>
          <w:highlight w:val="none"/>
          <w:u w:val="single"/>
        </w:rPr>
        <w:t xml:space="preserve">                </w:t>
      </w:r>
    </w:p>
    <w:p>
      <w:pPr>
        <w:spacing w:line="500" w:lineRule="exact"/>
        <w:ind w:left="540"/>
        <w:rPr>
          <w:rFonts w:ascii="宋体" w:hAnsi="宋体" w:eastAsia="宋体" w:cs="Times New Roman"/>
          <w:color w:val="auto"/>
          <w:szCs w:val="21"/>
          <w:highlight w:val="none"/>
          <w:u w:val="single"/>
        </w:rPr>
      </w:pPr>
      <w:r>
        <w:rPr>
          <w:rFonts w:hint="eastAsia" w:ascii="宋体" w:hAnsi="宋体" w:eastAsia="宋体" w:cs="Times New Roman"/>
          <w:color w:val="auto"/>
          <w:szCs w:val="21"/>
          <w:highlight w:val="none"/>
        </w:rPr>
        <w:t>年    龄：</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职      务：</w:t>
      </w:r>
      <w:r>
        <w:rPr>
          <w:rFonts w:hint="eastAsia" w:ascii="宋体" w:hAnsi="宋体" w:eastAsia="宋体" w:cs="Times New Roman"/>
          <w:color w:val="auto"/>
          <w:szCs w:val="21"/>
          <w:highlight w:val="none"/>
          <w:u w:val="single"/>
        </w:rPr>
        <w:t xml:space="preserve">                </w:t>
      </w:r>
    </w:p>
    <w:p>
      <w:pPr>
        <w:spacing w:line="500" w:lineRule="exact"/>
        <w:ind w:left="54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身份证</w:t>
      </w:r>
      <w:r>
        <w:rPr>
          <w:rFonts w:hint="eastAsia" w:ascii="Times New Roman" w:hAnsi="Times New Roman" w:eastAsia="宋体" w:cs="Times New Roman"/>
          <w:color w:val="auto"/>
          <w:szCs w:val="21"/>
          <w:highlight w:val="none"/>
        </w:rPr>
        <w:t>号码：</w:t>
      </w:r>
      <w:r>
        <w:rPr>
          <w:rFonts w:ascii="Times New Roman" w:hAnsi="Times New Roman" w:eastAsia="宋体" w:cs="Times New Roman"/>
          <w:color w:val="auto"/>
          <w:szCs w:val="21"/>
          <w:highlight w:val="none"/>
          <w:u w:val="single"/>
        </w:rPr>
        <w:t xml:space="preserve">                                 </w:t>
      </w:r>
    </w:p>
    <w:p>
      <w:pPr>
        <w:spacing w:line="500" w:lineRule="exact"/>
        <w:ind w:left="54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系</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i/>
          <w:iCs/>
          <w:color w:val="auto"/>
          <w:szCs w:val="21"/>
          <w:highlight w:val="none"/>
          <w:u w:val="single"/>
        </w:rPr>
        <w:t>（投标人名称</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的法定代表人。</w:t>
      </w:r>
    </w:p>
    <w:p>
      <w:pPr>
        <w:spacing w:line="500" w:lineRule="exact"/>
        <w:ind w:left="54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特此证明。</w:t>
      </w:r>
    </w:p>
    <w:p>
      <w:pPr>
        <w:spacing w:line="500" w:lineRule="exact"/>
        <w:ind w:left="540"/>
        <w:rPr>
          <w:rFonts w:ascii="宋体" w:hAnsi="宋体" w:eastAsia="宋体" w:cs="Times New Roman"/>
          <w:color w:val="auto"/>
          <w:szCs w:val="21"/>
          <w:highlight w:val="none"/>
        </w:rPr>
      </w:pPr>
    </w:p>
    <w:p>
      <w:pPr>
        <w:spacing w:line="500" w:lineRule="exact"/>
        <w:ind w:left="540"/>
        <w:rPr>
          <w:rFonts w:ascii="宋体" w:hAnsi="宋体" w:eastAsia="宋体" w:cs="Times New Roman"/>
          <w:color w:val="auto"/>
          <w:szCs w:val="21"/>
          <w:highlight w:val="none"/>
        </w:rPr>
      </w:pPr>
    </w:p>
    <w:p>
      <w:pPr>
        <w:spacing w:line="500" w:lineRule="exact"/>
        <w:ind w:left="54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附件：法定代表人有效身份证正反面复印件</w:t>
      </w:r>
    </w:p>
    <w:p>
      <w:pPr>
        <w:spacing w:line="500" w:lineRule="exact"/>
        <w:ind w:left="540"/>
        <w:rPr>
          <w:rFonts w:ascii="宋体" w:hAnsi="宋体" w:eastAsia="宋体" w:cs="Times New Roman"/>
          <w:color w:val="auto"/>
          <w:szCs w:val="21"/>
          <w:highlight w:val="none"/>
        </w:rPr>
      </w:pPr>
    </w:p>
    <w:p>
      <w:pPr>
        <w:snapToGrid w:val="0"/>
        <w:spacing w:line="360" w:lineRule="auto"/>
        <w:ind w:left="7083" w:leftChars="2223" w:hanging="2415" w:hangingChars="1150"/>
        <w:jc w:val="left"/>
        <w:rPr>
          <w:rFonts w:ascii="宋体" w:hAnsi="宋体" w:eastAsia="宋体" w:cs="宋体"/>
          <w:color w:val="auto"/>
          <w:kern w:val="0"/>
          <w:szCs w:val="21"/>
          <w:highlight w:val="none"/>
          <w:lang w:val="zh-CN"/>
        </w:rPr>
      </w:pPr>
      <w:r>
        <w:rPr>
          <w:rFonts w:ascii="Times New Roman" w:hAnsi="宋体" w:eastAsia="宋体" w:cs="Times New Roman"/>
          <w:color w:val="auto"/>
          <w:szCs w:val="21"/>
          <w:highlight w:val="non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kern w:val="0"/>
          <w:szCs w:val="21"/>
          <w:highlight w:val="none"/>
          <w:lang w:val="zh-CN"/>
        </w:rPr>
        <w:t>投标人名称(盖公章)：</w:t>
      </w:r>
    </w:p>
    <w:p>
      <w:pPr>
        <w:snapToGrid w:val="0"/>
        <w:spacing w:line="360" w:lineRule="auto"/>
        <w:ind w:left="7077" w:leftChars="3320" w:hanging="105" w:hangingChars="50"/>
        <w:jc w:val="right"/>
        <w:rPr>
          <w:rFonts w:ascii="仿宋_GB2312" w:hAnsi="仿宋" w:eastAsia="仿宋_GB2312" w:cs="仿宋_GB2312"/>
          <w:color w:val="auto"/>
          <w:kern w:val="0"/>
          <w:szCs w:val="21"/>
          <w:highlight w:val="none"/>
          <w:lang w:val="zh-CN"/>
        </w:rPr>
      </w:pPr>
      <w:r>
        <w:rPr>
          <w:rFonts w:hint="eastAsia" w:ascii="宋体" w:hAnsi="宋体" w:eastAsia="宋体" w:cs="Times New Roman"/>
          <w:color w:val="auto"/>
          <w:szCs w:val="21"/>
          <w:highlight w:val="none"/>
        </w:rPr>
        <w:t>年    月    日</w:t>
      </w:r>
    </w:p>
    <w:p>
      <w:pPr>
        <w:snapToGrid w:val="0"/>
        <w:spacing w:before="120" w:beforeLines="50" w:after="50"/>
        <w:ind w:firstLine="525" w:firstLineChars="250"/>
        <w:jc w:val="left"/>
        <w:rPr>
          <w:rFonts w:ascii="宋体" w:hAnsi="宋体" w:eastAsia="宋体" w:cs="Times New Roman"/>
          <w:color w:val="auto"/>
          <w:szCs w:val="21"/>
          <w:highlight w:val="none"/>
        </w:rPr>
      </w:pPr>
    </w:p>
    <w:p>
      <w:pPr>
        <w:snapToGrid w:val="0"/>
        <w:spacing w:before="120" w:beforeLines="50" w:after="50"/>
        <w:ind w:firstLine="525" w:firstLineChars="250"/>
        <w:jc w:val="left"/>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注：自然人投标的无需提供</w:t>
      </w:r>
    </w:p>
    <w:p>
      <w:pPr>
        <w:snapToGrid w:val="0"/>
        <w:spacing w:before="120" w:beforeLines="50" w:after="50"/>
        <w:ind w:firstLine="527" w:firstLineChars="250"/>
        <w:jc w:val="left"/>
        <w:rPr>
          <w:rFonts w:ascii="宋体" w:hAnsi="宋体" w:eastAsia="宋体" w:cs="Times New Roman"/>
          <w:color w:val="auto"/>
          <w:szCs w:val="21"/>
          <w:highlight w:val="none"/>
        </w:rPr>
      </w:pPr>
      <w:r>
        <w:rPr>
          <w:rFonts w:hint="eastAsia" w:ascii="Times New Roman" w:hAnsi="宋体" w:eastAsia="宋体" w:cs="Times New Roman"/>
          <w:b/>
          <w:color w:val="auto"/>
          <w:szCs w:val="21"/>
          <w:highlight w:val="none"/>
        </w:rPr>
        <w:t>附件：</w:t>
      </w:r>
    </w:p>
    <w:tbl>
      <w:tblPr>
        <w:tblStyle w:val="32"/>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9" w:hRule="atLeast"/>
          <w:jc w:val="center"/>
        </w:trPr>
        <w:tc>
          <w:tcPr>
            <w:tcW w:w="8460" w:type="dxa"/>
            <w:tcBorders>
              <w:top w:val="single" w:color="auto" w:sz="4" w:space="0"/>
              <w:left w:val="single" w:color="auto" w:sz="4" w:space="0"/>
              <w:bottom w:val="single" w:color="auto" w:sz="4" w:space="0"/>
              <w:right w:val="single" w:color="auto" w:sz="4" w:space="0"/>
            </w:tcBorders>
          </w:tcPr>
          <w:p>
            <w:pPr>
              <w:spacing w:line="360" w:lineRule="auto"/>
              <w:rPr>
                <w:rFonts w:ascii="宋体" w:hAnsi="Times New Roman" w:eastAsia="宋体" w:cs="Times New Roman"/>
                <w:b/>
                <w:color w:val="auto"/>
                <w:szCs w:val="21"/>
                <w:highlight w:val="none"/>
              </w:rPr>
            </w:pPr>
            <w:r>
              <w:rPr>
                <w:rFonts w:hint="eastAsia" w:ascii="宋体" w:hAnsi="Times New Roman" w:eastAsia="宋体" w:cs="Times New Roman"/>
                <w:b/>
                <w:color w:val="auto"/>
                <w:szCs w:val="21"/>
                <w:highlight w:val="none"/>
              </w:rPr>
              <w:t>法定代表人有效身份证复印件粘贴处（正、反面）</w:t>
            </w:r>
          </w:p>
        </w:tc>
      </w:tr>
    </w:tbl>
    <w:p>
      <w:pPr>
        <w:rPr>
          <w:rFonts w:hint="eastAsia" w:ascii="宋体" w:hAnsi="宋体" w:cs="宋体"/>
          <w:b/>
          <w:bCs/>
          <w:color w:val="auto"/>
          <w:sz w:val="30"/>
          <w:szCs w:val="30"/>
          <w:highlight w:val="none"/>
        </w:rPr>
      </w:pPr>
      <w:r>
        <w:rPr>
          <w:rFonts w:hint="eastAsia" w:ascii="宋体" w:hAnsi="宋体" w:cs="宋体"/>
          <w:b/>
          <w:bCs/>
          <w:color w:val="auto"/>
          <w:sz w:val="30"/>
          <w:szCs w:val="30"/>
          <w:highlight w:val="none"/>
        </w:rPr>
        <w:br w:type="page"/>
      </w:r>
    </w:p>
    <w:p>
      <w:pPr>
        <w:snapToGrid w:val="0"/>
        <w:spacing w:before="295" w:after="295" w:line="360" w:lineRule="auto"/>
        <w:jc w:val="left"/>
        <w:rPr>
          <w:rFonts w:ascii="宋体" w:hAnsi="宋体" w:cs="宋体"/>
          <w:b/>
          <w:color w:val="auto"/>
          <w:sz w:val="24"/>
          <w:szCs w:val="20"/>
          <w:highlight w:val="none"/>
        </w:rPr>
      </w:pPr>
      <w:r>
        <w:rPr>
          <w:rFonts w:hint="eastAsia" w:ascii="宋体" w:hAnsi="宋体" w:cs="宋体"/>
          <w:b/>
          <w:bCs/>
          <w:color w:val="auto"/>
          <w:sz w:val="30"/>
          <w:szCs w:val="30"/>
          <w:highlight w:val="none"/>
        </w:rPr>
        <w:t>5.法定代表人授权委托书的格式：</w:t>
      </w:r>
    </w:p>
    <w:p>
      <w:pPr>
        <w:snapToGrid w:val="0"/>
        <w:spacing w:beforeLines="50" w:after="50"/>
        <w:jc w:val="center"/>
        <w:rPr>
          <w:rFonts w:ascii="宋体" w:hAnsi="宋体" w:cs="宋体"/>
          <w:b/>
          <w:color w:val="auto"/>
          <w:sz w:val="32"/>
          <w:szCs w:val="32"/>
          <w:highlight w:val="none"/>
        </w:rPr>
      </w:pPr>
      <w:r>
        <w:rPr>
          <w:rFonts w:hint="eastAsia" w:ascii="宋体" w:hAnsi="宋体" w:cs="宋体"/>
          <w:b/>
          <w:color w:val="auto"/>
          <w:sz w:val="32"/>
          <w:szCs w:val="32"/>
          <w:highlight w:val="none"/>
        </w:rPr>
        <w:t>法定代表人授权委托书</w:t>
      </w:r>
      <w:r>
        <w:rPr>
          <w:rFonts w:hint="eastAsia" w:ascii="宋体" w:hAnsi="宋体" w:cs="宋体"/>
          <w:b/>
          <w:bCs/>
          <w:color w:val="auto"/>
          <w:sz w:val="30"/>
          <w:szCs w:val="30"/>
          <w:highlight w:val="none"/>
        </w:rPr>
        <w:t>（如有委托时）</w:t>
      </w:r>
    </w:p>
    <w:p>
      <w:pPr>
        <w:snapToGrid w:val="0"/>
        <w:spacing w:beforeLines="50" w:after="50"/>
        <w:jc w:val="center"/>
        <w:rPr>
          <w:rFonts w:ascii="宋体" w:hAnsi="宋体" w:cs="宋体"/>
          <w:b/>
          <w:color w:val="auto"/>
          <w:sz w:val="24"/>
          <w:highlight w:val="none"/>
        </w:rPr>
      </w:pPr>
    </w:p>
    <w:p>
      <w:pPr>
        <w:spacing w:line="440" w:lineRule="exact"/>
        <w:ind w:firstLine="420" w:firstLineChars="200"/>
        <w:rPr>
          <w:rFonts w:ascii="宋体" w:hAnsi="宋体" w:cs="宋体"/>
          <w:color w:val="auto"/>
          <w:szCs w:val="20"/>
          <w:highlight w:val="none"/>
        </w:rPr>
      </w:pPr>
      <w:r>
        <w:rPr>
          <w:rFonts w:hint="eastAsia" w:ascii="宋体" w:hAnsi="宋体" w:cs="宋体"/>
          <w:color w:val="auto"/>
          <w:szCs w:val="20"/>
          <w:highlight w:val="none"/>
        </w:rPr>
        <w:t>致：</w:t>
      </w:r>
      <w:bookmarkStart w:id="245" w:name="PO_3000001919_PM031_2"/>
      <w:r>
        <w:rPr>
          <w:rFonts w:hint="eastAsia" w:ascii="宋体" w:hAnsi="宋体" w:cs="宋体"/>
          <w:color w:val="auto"/>
          <w:szCs w:val="20"/>
          <w:highlight w:val="none"/>
          <w:u w:val="single"/>
        </w:rPr>
        <w:t>广西科联招标中心有限公司</w:t>
      </w:r>
      <w:bookmarkEnd w:id="245"/>
    </w:p>
    <w:p>
      <w:pPr>
        <w:spacing w:line="440" w:lineRule="exact"/>
        <w:ind w:firstLine="420" w:firstLineChars="200"/>
        <w:rPr>
          <w:rFonts w:ascii="宋体" w:hAnsi="宋体" w:cs="宋体"/>
          <w:color w:val="auto"/>
          <w:szCs w:val="20"/>
          <w:highlight w:val="none"/>
        </w:rPr>
      </w:pPr>
      <w:r>
        <w:rPr>
          <w:rFonts w:hint="eastAsia" w:ascii="宋体" w:hAnsi="宋体" w:cs="宋体"/>
          <w:color w:val="auto"/>
          <w:szCs w:val="20"/>
          <w:highlight w:val="none"/>
        </w:rPr>
        <w:t>本人</w:t>
      </w:r>
      <w:r>
        <w:rPr>
          <w:rFonts w:hint="eastAsia" w:ascii="宋体" w:hAnsi="宋体" w:cs="宋体"/>
          <w:color w:val="auto"/>
          <w:szCs w:val="20"/>
          <w:highlight w:val="none"/>
          <w:u w:val="single"/>
        </w:rPr>
        <w:t>（姓名）</w:t>
      </w:r>
      <w:r>
        <w:rPr>
          <w:rFonts w:hint="eastAsia" w:ascii="宋体" w:hAnsi="宋体" w:cs="宋体"/>
          <w:color w:val="auto"/>
          <w:szCs w:val="20"/>
          <w:highlight w:val="none"/>
        </w:rPr>
        <w:t>系</w:t>
      </w:r>
      <w:r>
        <w:rPr>
          <w:rFonts w:hint="eastAsia" w:ascii="宋体" w:hAnsi="宋体" w:cs="宋体"/>
          <w:color w:val="auto"/>
          <w:szCs w:val="20"/>
          <w:highlight w:val="none"/>
          <w:u w:val="single"/>
        </w:rPr>
        <w:t>（投标人名称）</w:t>
      </w:r>
      <w:r>
        <w:rPr>
          <w:rFonts w:hint="eastAsia" w:ascii="宋体" w:hAnsi="宋体" w:cs="宋体"/>
          <w:color w:val="auto"/>
          <w:szCs w:val="20"/>
          <w:highlight w:val="none"/>
        </w:rPr>
        <w:t>的法定代表人，现授权我单位在职正式员工</w:t>
      </w:r>
      <w:r>
        <w:rPr>
          <w:rFonts w:hint="eastAsia" w:ascii="宋体" w:hAnsi="宋体" w:cs="宋体"/>
          <w:color w:val="auto"/>
          <w:szCs w:val="20"/>
          <w:highlight w:val="none"/>
          <w:u w:val="single"/>
        </w:rPr>
        <w:t>（姓名和职务）</w:t>
      </w:r>
      <w:r>
        <w:rPr>
          <w:rFonts w:hint="eastAsia" w:ascii="宋体" w:hAnsi="宋体" w:cs="宋体"/>
          <w:color w:val="auto"/>
          <w:szCs w:val="20"/>
          <w:highlight w:val="none"/>
        </w:rPr>
        <w:t>为我方代理人。代理人根据授权，以我方名义签署、澄清、说明、补正、递交、撤回、修改贵方组织的</w:t>
      </w:r>
      <w:r>
        <w:rPr>
          <w:rFonts w:hint="eastAsia" w:ascii="宋体" w:hAnsi="宋体" w:cs="宋体"/>
          <w:i/>
          <w:iCs/>
          <w:color w:val="auto"/>
          <w:szCs w:val="20"/>
          <w:highlight w:val="none"/>
          <w:u w:val="single"/>
        </w:rPr>
        <w:t>（项目名称）</w:t>
      </w:r>
      <w:r>
        <w:rPr>
          <w:rFonts w:hint="eastAsia" w:ascii="宋体" w:hAnsi="宋体" w:cs="宋体"/>
          <w:color w:val="auto"/>
          <w:szCs w:val="20"/>
          <w:highlight w:val="none"/>
        </w:rPr>
        <w:t>项目（项目编号：</w:t>
      </w:r>
      <w:r>
        <w:rPr>
          <w:rFonts w:hint="eastAsia" w:ascii="宋体" w:hAnsi="宋体" w:cs="宋体"/>
          <w:color w:val="auto"/>
          <w:szCs w:val="20"/>
          <w:highlight w:val="none"/>
          <w:u w:val="single"/>
          <w:lang w:val="en-US" w:eastAsia="zh-CN"/>
        </w:rPr>
        <w:t xml:space="preserve">           </w:t>
      </w:r>
      <w:r>
        <w:rPr>
          <w:rFonts w:hint="eastAsia" w:ascii="宋体" w:hAnsi="宋体" w:cs="宋体"/>
          <w:color w:val="auto"/>
          <w:szCs w:val="20"/>
          <w:highlight w:val="none"/>
        </w:rPr>
        <w:t>）的投标文件、签订合同和处理一切有关事宜，其法律后果由我方承担。</w:t>
      </w:r>
    </w:p>
    <w:p>
      <w:pPr>
        <w:spacing w:line="440" w:lineRule="exact"/>
        <w:ind w:firstLine="420" w:firstLineChars="200"/>
        <w:rPr>
          <w:rFonts w:ascii="宋体" w:hAnsi="宋体" w:cs="宋体"/>
          <w:color w:val="auto"/>
          <w:szCs w:val="20"/>
          <w:highlight w:val="none"/>
        </w:rPr>
      </w:pPr>
      <w:r>
        <w:rPr>
          <w:rFonts w:hint="eastAsia" w:ascii="宋体" w:hAnsi="宋体" w:cs="宋体"/>
          <w:color w:val="auto"/>
          <w:szCs w:val="20"/>
          <w:highlight w:val="none"/>
        </w:rPr>
        <w:t>本授权书于</w:t>
      </w:r>
      <w:r>
        <w:rPr>
          <w:rFonts w:hint="eastAsia" w:ascii="宋体" w:hAnsi="宋体" w:cs="宋体"/>
          <w:color w:val="auto"/>
          <w:szCs w:val="20"/>
          <w:highlight w:val="none"/>
          <w:u w:val="single"/>
          <w:lang w:val="en-US" w:eastAsia="zh-CN"/>
        </w:rPr>
        <w:t xml:space="preserve">    </w:t>
      </w:r>
      <w:r>
        <w:rPr>
          <w:rFonts w:hint="eastAsia" w:ascii="宋体" w:hAnsi="宋体" w:cs="宋体"/>
          <w:color w:val="auto"/>
          <w:szCs w:val="20"/>
          <w:highlight w:val="none"/>
        </w:rPr>
        <w:t>年</w:t>
      </w:r>
      <w:r>
        <w:rPr>
          <w:rFonts w:hint="eastAsia" w:ascii="宋体" w:hAnsi="宋体" w:cs="宋体"/>
          <w:color w:val="auto"/>
          <w:szCs w:val="20"/>
          <w:highlight w:val="none"/>
          <w:u w:val="single"/>
          <w:lang w:val="en-US" w:eastAsia="zh-CN"/>
        </w:rPr>
        <w:t xml:space="preserve">    </w:t>
      </w:r>
      <w:r>
        <w:rPr>
          <w:rFonts w:hint="eastAsia" w:ascii="宋体" w:hAnsi="宋体" w:cs="宋体"/>
          <w:color w:val="auto"/>
          <w:szCs w:val="20"/>
          <w:highlight w:val="none"/>
        </w:rPr>
        <w:t>月</w:t>
      </w:r>
      <w:r>
        <w:rPr>
          <w:rFonts w:hint="eastAsia" w:ascii="宋体" w:hAnsi="宋体" w:cs="宋体"/>
          <w:color w:val="auto"/>
          <w:szCs w:val="20"/>
          <w:highlight w:val="none"/>
          <w:u w:val="single"/>
          <w:lang w:val="en-US" w:eastAsia="zh-CN"/>
        </w:rPr>
        <w:t xml:space="preserve">    </w:t>
      </w:r>
      <w:r>
        <w:rPr>
          <w:rFonts w:hint="eastAsia" w:ascii="宋体" w:hAnsi="宋体" w:cs="宋体"/>
          <w:color w:val="auto"/>
          <w:szCs w:val="20"/>
          <w:highlight w:val="none"/>
        </w:rPr>
        <w:t>日签字生效，委托期限：</w:t>
      </w:r>
      <w:r>
        <w:rPr>
          <w:rFonts w:hint="eastAsia" w:ascii="宋体" w:hAnsi="宋体" w:cs="宋体"/>
          <w:color w:val="auto"/>
          <w:szCs w:val="20"/>
          <w:highlight w:val="none"/>
          <w:u w:val="single"/>
          <w:lang w:val="en-US" w:eastAsia="zh-CN"/>
        </w:rPr>
        <w:t xml:space="preserve">         </w:t>
      </w:r>
      <w:r>
        <w:rPr>
          <w:rFonts w:hint="eastAsia" w:ascii="宋体" w:hAnsi="宋体" w:cs="宋体"/>
          <w:color w:val="auto"/>
          <w:szCs w:val="20"/>
          <w:highlight w:val="none"/>
        </w:rPr>
        <w:t>。</w:t>
      </w:r>
    </w:p>
    <w:p>
      <w:pPr>
        <w:spacing w:line="360" w:lineRule="auto"/>
        <w:ind w:firstLine="420"/>
        <w:rPr>
          <w:rFonts w:ascii="宋体" w:hAnsi="宋体" w:cs="宋体"/>
          <w:color w:val="auto"/>
          <w:szCs w:val="20"/>
          <w:highlight w:val="none"/>
        </w:rPr>
      </w:pPr>
      <w:r>
        <w:rPr>
          <w:rFonts w:hint="eastAsia" w:ascii="宋体" w:hAnsi="宋体" w:cs="宋体"/>
          <w:color w:val="auto"/>
          <w:szCs w:val="20"/>
          <w:highlight w:val="none"/>
        </w:rPr>
        <w:t>代理人无转委托权。</w:t>
      </w:r>
    </w:p>
    <w:p>
      <w:pPr>
        <w:spacing w:line="360" w:lineRule="auto"/>
        <w:ind w:firstLine="420"/>
        <w:rPr>
          <w:rFonts w:ascii="宋体" w:hAnsi="宋体" w:cs="宋体"/>
          <w:color w:val="auto"/>
          <w:szCs w:val="20"/>
          <w:highlight w:val="none"/>
        </w:rPr>
      </w:pPr>
    </w:p>
    <w:p>
      <w:pPr>
        <w:spacing w:line="360" w:lineRule="auto"/>
        <w:ind w:firstLine="420"/>
        <w:rPr>
          <w:rFonts w:ascii="宋体" w:hAnsi="宋体" w:cs="宋体"/>
          <w:color w:val="auto"/>
          <w:szCs w:val="20"/>
          <w:highlight w:val="none"/>
          <w:u w:val="single"/>
        </w:rPr>
      </w:pPr>
      <w:r>
        <w:rPr>
          <w:rFonts w:hint="eastAsia" w:ascii="宋体" w:hAnsi="宋体" w:cs="宋体"/>
          <w:color w:val="auto"/>
          <w:szCs w:val="20"/>
          <w:highlight w:val="none"/>
        </w:rPr>
        <w:t>投标人（盖单位公章）：</w:t>
      </w:r>
    </w:p>
    <w:p>
      <w:pPr>
        <w:spacing w:line="360" w:lineRule="auto"/>
        <w:ind w:firstLine="420"/>
        <w:rPr>
          <w:rFonts w:ascii="宋体" w:hAnsi="宋体" w:cs="宋体"/>
          <w:color w:val="auto"/>
          <w:szCs w:val="20"/>
          <w:highlight w:val="none"/>
          <w:u w:val="single"/>
        </w:rPr>
      </w:pPr>
      <w:r>
        <w:rPr>
          <w:rFonts w:hint="eastAsia" w:ascii="宋体" w:hAnsi="宋体" w:cs="宋体"/>
          <w:color w:val="auto"/>
          <w:szCs w:val="20"/>
          <w:highlight w:val="none"/>
        </w:rPr>
        <w:t>法定代表人（签字）：</w:t>
      </w:r>
    </w:p>
    <w:p>
      <w:pPr>
        <w:spacing w:line="360" w:lineRule="auto"/>
        <w:ind w:firstLine="420"/>
        <w:rPr>
          <w:rFonts w:ascii="宋体" w:hAnsi="宋体" w:cs="宋体"/>
          <w:color w:val="auto"/>
          <w:szCs w:val="20"/>
          <w:highlight w:val="none"/>
          <w:u w:val="single"/>
        </w:rPr>
      </w:pPr>
      <w:r>
        <w:rPr>
          <w:rFonts w:hint="eastAsia" w:ascii="宋体" w:hAnsi="宋体" w:cs="宋体"/>
          <w:color w:val="auto"/>
          <w:szCs w:val="20"/>
          <w:highlight w:val="none"/>
        </w:rPr>
        <w:t>法定代表人身份证号码：</w:t>
      </w:r>
    </w:p>
    <w:p>
      <w:pPr>
        <w:spacing w:line="360" w:lineRule="auto"/>
        <w:ind w:firstLine="420" w:firstLineChars="200"/>
        <w:rPr>
          <w:rFonts w:ascii="宋体" w:hAnsi="宋体" w:cs="宋体"/>
          <w:color w:val="auto"/>
          <w:szCs w:val="20"/>
          <w:highlight w:val="none"/>
        </w:rPr>
      </w:pPr>
      <w:r>
        <w:rPr>
          <w:rFonts w:hint="eastAsia" w:ascii="宋体" w:hAnsi="宋体" w:cs="宋体"/>
          <w:color w:val="auto"/>
          <w:szCs w:val="20"/>
          <w:highlight w:val="none"/>
        </w:rPr>
        <w:t>委托代理人（签字）：</w:t>
      </w:r>
    </w:p>
    <w:p>
      <w:pPr>
        <w:spacing w:line="360" w:lineRule="auto"/>
        <w:ind w:firstLine="420"/>
        <w:rPr>
          <w:rFonts w:ascii="宋体" w:hAnsi="宋体" w:cs="宋体"/>
          <w:color w:val="auto"/>
          <w:szCs w:val="20"/>
          <w:highlight w:val="none"/>
          <w:u w:val="single"/>
        </w:rPr>
      </w:pPr>
      <w:r>
        <w:rPr>
          <w:rFonts w:hint="eastAsia" w:ascii="宋体" w:hAnsi="宋体" w:cs="宋体"/>
          <w:color w:val="auto"/>
          <w:szCs w:val="20"/>
          <w:highlight w:val="none"/>
        </w:rPr>
        <w:t>委托代理人身份证号码：</w:t>
      </w:r>
    </w:p>
    <w:p>
      <w:pPr>
        <w:spacing w:line="360" w:lineRule="auto"/>
        <w:ind w:firstLine="420"/>
        <w:rPr>
          <w:rFonts w:ascii="宋体" w:hAnsi="宋体" w:cs="宋体"/>
          <w:color w:val="auto"/>
          <w:szCs w:val="20"/>
          <w:highlight w:val="none"/>
          <w:u w:val="single"/>
        </w:rPr>
      </w:pPr>
    </w:p>
    <w:p>
      <w:pPr>
        <w:snapToGrid w:val="0"/>
        <w:spacing w:line="360" w:lineRule="auto"/>
        <w:ind w:firstLine="5640" w:firstLineChars="2350"/>
        <w:rPr>
          <w:rFonts w:ascii="宋体" w:hAnsi="宋体" w:cs="宋体"/>
          <w:color w:val="auto"/>
          <w:kern w:val="0"/>
          <w:sz w:val="24"/>
          <w:highlight w:val="none"/>
        </w:rPr>
      </w:pPr>
      <w:r>
        <w:rPr>
          <w:rFonts w:hint="eastAsia" w:ascii="宋体" w:hAnsi="宋体" w:cs="宋体"/>
          <w:color w:val="auto"/>
          <w:kern w:val="0"/>
          <w:sz w:val="24"/>
          <w:highlight w:val="none"/>
          <w:lang w:val="zh-CN"/>
        </w:rPr>
        <w:t>投标人名称(盖公章)：</w:t>
      </w:r>
    </w:p>
    <w:p>
      <w:pPr>
        <w:snapToGrid w:val="0"/>
        <w:spacing w:line="360" w:lineRule="auto"/>
        <w:ind w:firstLine="5880" w:firstLineChars="245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日期</w:t>
      </w:r>
      <w:r>
        <w:rPr>
          <w:rFonts w:hint="eastAsia" w:ascii="宋体" w:hAnsi="宋体" w:cs="宋体"/>
          <w:color w:val="auto"/>
          <w:kern w:val="0"/>
          <w:sz w:val="24"/>
          <w:highlight w:val="none"/>
        </w:rPr>
        <w:t>：  年  月  日</w:t>
      </w:r>
    </w:p>
    <w:p>
      <w:pPr>
        <w:spacing w:line="360" w:lineRule="auto"/>
        <w:ind w:firstLine="420"/>
        <w:rPr>
          <w:rFonts w:ascii="宋体" w:hAnsi="宋体" w:cs="宋体"/>
          <w:color w:val="auto"/>
          <w:szCs w:val="20"/>
          <w:highlight w:val="none"/>
          <w:u w:val="single"/>
        </w:rPr>
      </w:pPr>
    </w:p>
    <w:p>
      <w:pPr>
        <w:spacing w:line="360" w:lineRule="auto"/>
        <w:rPr>
          <w:rFonts w:ascii="宋体" w:hAnsi="宋体" w:cs="宋体"/>
          <w:color w:val="auto"/>
          <w:szCs w:val="21"/>
          <w:highlight w:val="none"/>
        </w:rPr>
      </w:pPr>
      <w:r>
        <w:rPr>
          <w:rFonts w:hint="eastAsia" w:ascii="宋体" w:hAnsi="宋体" w:cs="宋体"/>
          <w:color w:val="auto"/>
          <w:szCs w:val="21"/>
          <w:highlight w:val="none"/>
        </w:rPr>
        <w:t>注：</w:t>
      </w:r>
    </w:p>
    <w:p>
      <w:pPr>
        <w:snapToGrid w:val="0"/>
        <w:spacing w:before="50" w:afterLines="50" w:line="360" w:lineRule="auto"/>
        <w:jc w:val="left"/>
        <w:rPr>
          <w:rFonts w:ascii="宋体" w:hAnsi="宋体" w:cs="宋体"/>
          <w:color w:val="auto"/>
          <w:szCs w:val="21"/>
          <w:highlight w:val="none"/>
        </w:rPr>
      </w:pPr>
      <w:r>
        <w:rPr>
          <w:rFonts w:hint="eastAsia" w:ascii="宋体" w:hAnsi="宋体" w:cs="宋体"/>
          <w:color w:val="auto"/>
          <w:szCs w:val="21"/>
          <w:highlight w:val="none"/>
        </w:rPr>
        <w:t>1.法定代表人和委托代理人必须在授权委托书上签字，</w:t>
      </w:r>
      <w:r>
        <w:rPr>
          <w:rFonts w:hint="eastAsia" w:ascii="宋体" w:hAnsi="宋体" w:cs="宋体"/>
          <w:b/>
          <w:bCs/>
          <w:color w:val="auto"/>
          <w:szCs w:val="21"/>
          <w:highlight w:val="none"/>
        </w:rPr>
        <w:t>否则作无效投标处理</w:t>
      </w:r>
      <w:r>
        <w:rPr>
          <w:rFonts w:hint="eastAsia" w:ascii="宋体" w:hAnsi="宋体" w:cs="宋体"/>
          <w:color w:val="auto"/>
          <w:szCs w:val="21"/>
          <w:highlight w:val="none"/>
        </w:rPr>
        <w:t>；</w:t>
      </w:r>
    </w:p>
    <w:p>
      <w:pPr>
        <w:snapToGrid w:val="0"/>
        <w:spacing w:before="50" w:afterLines="50" w:line="360" w:lineRule="auto"/>
        <w:jc w:val="left"/>
        <w:rPr>
          <w:rFonts w:ascii="宋体" w:hAnsi="宋体" w:cs="宋体"/>
          <w:color w:val="auto"/>
          <w:szCs w:val="21"/>
          <w:highlight w:val="none"/>
        </w:rPr>
      </w:pPr>
      <w:r>
        <w:rPr>
          <w:rFonts w:hint="eastAsia" w:ascii="宋体" w:hAnsi="宋体" w:cs="宋体"/>
          <w:color w:val="auto"/>
          <w:szCs w:val="21"/>
          <w:highlight w:val="none"/>
        </w:rPr>
        <w:t>2.以联合体形式投标的，本授权委托书应由联合体牵头人的法定代表人按上述规定签署。</w:t>
      </w:r>
    </w:p>
    <w:p>
      <w:pPr>
        <w:snapToGrid w:val="0"/>
        <w:spacing w:before="50" w:afterLines="50" w:line="360" w:lineRule="auto"/>
        <w:jc w:val="left"/>
        <w:rPr>
          <w:rFonts w:ascii="宋体" w:hAnsi="宋体" w:cs="宋体"/>
          <w:color w:val="auto"/>
          <w:szCs w:val="21"/>
          <w:highlight w:val="none"/>
        </w:rPr>
      </w:pPr>
      <w:r>
        <w:rPr>
          <w:rFonts w:hint="eastAsia" w:ascii="宋体" w:hAnsi="宋体" w:cs="宋体"/>
          <w:color w:val="auto"/>
          <w:szCs w:val="21"/>
          <w:highlight w:val="none"/>
        </w:rPr>
        <w:t>3. 投标人为其他组织或者自然人时，本招标文件规定的法定代表人指负责人或者自然人。本招标文件所称负责人是指参加投标的其他组织营业执照上的负责人，本招标文件所称自然人指参与投标的自然人本人。</w:t>
      </w:r>
    </w:p>
    <w:p>
      <w:pPr>
        <w:snapToGrid w:val="0"/>
        <w:spacing w:before="50" w:afterLines="50" w:line="360" w:lineRule="auto"/>
        <w:jc w:val="left"/>
        <w:rPr>
          <w:rFonts w:ascii="宋体" w:hAnsi="宋体" w:cs="宋体"/>
          <w:color w:val="auto"/>
          <w:szCs w:val="21"/>
          <w:highlight w:val="none"/>
        </w:rPr>
      </w:pPr>
      <w:r>
        <w:rPr>
          <w:rFonts w:hint="eastAsia" w:ascii="宋体" w:hAnsi="宋体" w:cs="宋体"/>
          <w:color w:val="auto"/>
          <w:szCs w:val="21"/>
          <w:highlight w:val="none"/>
        </w:rPr>
        <w:t>4. 若为联合体投标须各方签字或盖章。</w:t>
      </w:r>
    </w:p>
    <w:p>
      <w:pPr>
        <w:spacing w:line="360" w:lineRule="auto"/>
        <w:rPr>
          <w:rFonts w:ascii="宋体" w:hAnsi="宋体" w:cs="宋体"/>
          <w:b/>
          <w:color w:val="auto"/>
          <w:sz w:val="24"/>
          <w:highlight w:val="none"/>
        </w:rPr>
      </w:pPr>
    </w:p>
    <w:p>
      <w:pPr>
        <w:spacing w:line="360" w:lineRule="auto"/>
        <w:rPr>
          <w:rFonts w:ascii="Times New Roman" w:hAnsi="Times New Roman" w:eastAsia="宋体" w:cs="Times New Roman"/>
          <w:b/>
          <w:color w:val="auto"/>
          <w:szCs w:val="21"/>
          <w:highlight w:val="none"/>
        </w:rPr>
      </w:pPr>
      <w:r>
        <w:rPr>
          <w:rFonts w:hint="eastAsia" w:ascii="宋体" w:hAnsi="宋体" w:cs="宋体"/>
          <w:b/>
          <w:color w:val="auto"/>
          <w:sz w:val="24"/>
          <w:highlight w:val="none"/>
        </w:rPr>
        <w:br w:type="page"/>
      </w:r>
      <w:r>
        <w:rPr>
          <w:rFonts w:hint="eastAsia" w:ascii="宋体" w:hAnsi="Times New Roman" w:eastAsia="宋体" w:cs="Times New Roman"/>
          <w:b/>
          <w:color w:val="auto"/>
          <w:szCs w:val="21"/>
          <w:highlight w:val="none"/>
        </w:rPr>
        <w:t>附件：</w:t>
      </w:r>
    </w:p>
    <w:tbl>
      <w:tblPr>
        <w:tblStyle w:val="32"/>
        <w:tblW w:w="87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7" w:hRule="atLeast"/>
          <w:jc w:val="center"/>
        </w:trPr>
        <w:tc>
          <w:tcPr>
            <w:tcW w:w="8751" w:type="dxa"/>
            <w:tcBorders>
              <w:top w:val="single" w:color="auto" w:sz="4" w:space="0"/>
              <w:left w:val="single" w:color="auto" w:sz="4" w:space="0"/>
              <w:bottom w:val="single" w:color="auto" w:sz="4" w:space="0"/>
              <w:right w:val="single" w:color="auto" w:sz="4" w:space="0"/>
            </w:tcBorders>
          </w:tcPr>
          <w:p>
            <w:pPr>
              <w:spacing w:line="360" w:lineRule="auto"/>
              <w:rPr>
                <w:rFonts w:ascii="宋体" w:hAnsi="Times New Roman" w:eastAsia="宋体" w:cs="Times New Roman"/>
                <w:b/>
                <w:color w:val="auto"/>
                <w:sz w:val="24"/>
                <w:highlight w:val="none"/>
              </w:rPr>
            </w:pPr>
            <w:r>
              <w:rPr>
                <w:rFonts w:hint="eastAsia" w:ascii="Times New Roman" w:hAnsi="Times New Roman" w:eastAsia="宋体" w:cs="Times New Roman"/>
                <w:b/>
                <w:bCs/>
                <w:color w:val="auto"/>
                <w:szCs w:val="21"/>
                <w:highlight w:val="none"/>
              </w:rPr>
              <w:t>委托代理人有效</w:t>
            </w:r>
            <w:r>
              <w:rPr>
                <w:rFonts w:hint="eastAsia" w:ascii="宋体" w:hAnsi="Times New Roman" w:eastAsia="宋体" w:cs="Times New Roman"/>
                <w:b/>
                <w:color w:val="auto"/>
                <w:szCs w:val="21"/>
                <w:highlight w:val="none"/>
              </w:rPr>
              <w:t>身份证复印件粘贴处（正、反面）</w:t>
            </w:r>
          </w:p>
        </w:tc>
      </w:tr>
    </w:tbl>
    <w:p>
      <w:pPr>
        <w:spacing w:line="360" w:lineRule="auto"/>
        <w:rPr>
          <w:rFonts w:ascii="宋体" w:hAnsi="宋体" w:cs="宋体"/>
          <w:b/>
          <w:color w:val="auto"/>
          <w:sz w:val="24"/>
          <w:highlight w:val="none"/>
        </w:rPr>
      </w:pPr>
    </w:p>
    <w:p>
      <w:pPr>
        <w:rPr>
          <w:rFonts w:ascii="宋体" w:hAnsi="宋体" w:cs="宋体"/>
          <w:b/>
          <w:color w:val="auto"/>
          <w:sz w:val="24"/>
          <w:szCs w:val="20"/>
          <w:highlight w:val="none"/>
        </w:rPr>
      </w:pPr>
      <w:r>
        <w:rPr>
          <w:rFonts w:hint="eastAsia" w:ascii="宋体" w:hAnsi="宋体" w:cs="宋体"/>
          <w:color w:val="auto"/>
          <w:sz w:val="24"/>
          <w:highlight w:val="none"/>
        </w:rPr>
        <w:br w:type="page"/>
      </w:r>
      <w:r>
        <w:rPr>
          <w:rFonts w:hint="eastAsia" w:ascii="宋体" w:hAnsi="宋体" w:cs="宋体"/>
          <w:b/>
          <w:color w:val="auto"/>
          <w:sz w:val="28"/>
          <w:szCs w:val="28"/>
          <w:highlight w:val="none"/>
        </w:rPr>
        <w:t>6.商务条款偏离表的格式：</w:t>
      </w:r>
    </w:p>
    <w:p>
      <w:pPr>
        <w:snapToGrid w:val="0"/>
        <w:spacing w:beforeLines="50" w:after="50"/>
        <w:rPr>
          <w:rFonts w:ascii="宋体" w:hAnsi="宋体" w:cs="宋体"/>
          <w:color w:val="auto"/>
          <w:highlight w:val="none"/>
        </w:rPr>
      </w:pPr>
    </w:p>
    <w:p>
      <w:pPr>
        <w:jc w:val="center"/>
        <w:rPr>
          <w:rFonts w:ascii="宋体" w:hAnsi="宋体" w:cs="宋体"/>
          <w:b/>
          <w:bCs/>
          <w:color w:val="auto"/>
          <w:sz w:val="30"/>
          <w:szCs w:val="30"/>
          <w:highlight w:val="none"/>
        </w:rPr>
      </w:pPr>
      <w:r>
        <w:rPr>
          <w:rFonts w:hint="eastAsia" w:ascii="宋体" w:hAnsi="宋体" w:cs="宋体"/>
          <w:b/>
          <w:bCs/>
          <w:color w:val="auto"/>
          <w:sz w:val="30"/>
          <w:szCs w:val="30"/>
          <w:highlight w:val="none"/>
        </w:rPr>
        <w:t>商务条款偏离表</w:t>
      </w:r>
    </w:p>
    <w:p>
      <w:pPr>
        <w:jc w:val="center"/>
        <w:rPr>
          <w:rFonts w:ascii="宋体" w:hAnsi="宋体" w:cs="宋体"/>
          <w:color w:val="auto"/>
          <w:sz w:val="30"/>
          <w:szCs w:val="20"/>
          <w:highlight w:val="none"/>
        </w:rPr>
      </w:pPr>
    </w:p>
    <w:p>
      <w:pPr>
        <w:spacing w:line="360" w:lineRule="auto"/>
        <w:contextualSpacing/>
        <w:rPr>
          <w:rFonts w:ascii="宋体" w:hAnsi="宋体" w:eastAsia="宋体" w:cs="宋体"/>
          <w:color w:val="auto"/>
          <w:szCs w:val="21"/>
          <w:highlight w:val="none"/>
          <w:u w:val="single"/>
        </w:rPr>
      </w:pPr>
      <w:r>
        <w:rPr>
          <w:rFonts w:hint="eastAsia" w:ascii="宋体" w:hAnsi="宋体" w:eastAsia="宋体" w:cs="宋体"/>
          <w:color w:val="auto"/>
          <w:szCs w:val="21"/>
          <w:highlight w:val="none"/>
        </w:rPr>
        <w:t>项目</w:t>
      </w:r>
      <w:r>
        <w:rPr>
          <w:rFonts w:hint="eastAsia" w:ascii="Times New Roman" w:hAnsi="宋体" w:eastAsia="宋体" w:cs="宋体"/>
          <w:color w:val="auto"/>
          <w:szCs w:val="21"/>
          <w:highlight w:val="none"/>
        </w:rPr>
        <w:t>名称</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p>
    <w:p>
      <w:pPr>
        <w:widowControl w:val="0"/>
        <w:spacing w:line="360" w:lineRule="auto"/>
        <w:jc w:val="both"/>
        <w:rPr>
          <w:rFonts w:ascii="宋体" w:hAnsi="宋体" w:eastAsia="宋体" w:cs="宋体"/>
          <w:color w:val="auto"/>
          <w:kern w:val="2"/>
          <w:sz w:val="21"/>
          <w:szCs w:val="21"/>
          <w:highlight w:val="none"/>
          <w:u w:val="single"/>
          <w:lang w:val="en-US" w:eastAsia="zh-CN" w:bidi="ar-SA"/>
        </w:rPr>
      </w:pPr>
      <w:r>
        <w:rPr>
          <w:rFonts w:hint="eastAsia" w:ascii="宋体" w:hAnsi="宋体" w:eastAsia="宋体" w:cs="宋体"/>
          <w:color w:val="auto"/>
          <w:kern w:val="2"/>
          <w:sz w:val="21"/>
          <w:szCs w:val="21"/>
          <w:highlight w:val="none"/>
          <w:lang w:val="en-US" w:eastAsia="zh-CN" w:bidi="ar-SA"/>
        </w:rPr>
        <w:t>项目编号：</w:t>
      </w:r>
      <w:r>
        <w:rPr>
          <w:rFonts w:hint="eastAsia" w:ascii="宋体" w:hAnsi="宋体" w:eastAsia="宋体" w:cs="宋体"/>
          <w:color w:val="auto"/>
          <w:kern w:val="2"/>
          <w:sz w:val="21"/>
          <w:szCs w:val="21"/>
          <w:highlight w:val="none"/>
          <w:u w:val="single"/>
          <w:lang w:val="en-US" w:eastAsia="zh-CN" w:bidi="ar-SA"/>
        </w:rPr>
        <w:t xml:space="preserve">                 </w:t>
      </w:r>
    </w:p>
    <w:p>
      <w:pPr>
        <w:widowControl w:val="0"/>
        <w:spacing w:line="360" w:lineRule="auto"/>
        <w:ind w:left="0"/>
        <w:jc w:val="both"/>
        <w:rPr>
          <w:rFonts w:ascii="宋体" w:hAnsi="宋体" w:eastAsia="宋体" w:cs="宋体"/>
          <w:color w:val="auto"/>
          <w:kern w:val="2"/>
          <w:sz w:val="21"/>
          <w:szCs w:val="21"/>
          <w:highlight w:val="none"/>
          <w:u w:val="single"/>
          <w:lang w:val="en-US" w:eastAsia="zh-CN" w:bidi="ar-SA"/>
        </w:rPr>
      </w:pPr>
      <w:r>
        <w:rPr>
          <w:rFonts w:hint="eastAsia" w:ascii="Times New Roman" w:hAnsi="宋体" w:eastAsia="宋体" w:cs="宋体"/>
          <w:color w:val="auto"/>
          <w:kern w:val="2"/>
          <w:sz w:val="21"/>
          <w:szCs w:val="21"/>
          <w:highlight w:val="none"/>
          <w:lang w:val="en-US" w:eastAsia="zh-CN" w:bidi="ar-SA"/>
        </w:rPr>
        <w:t>所投</w:t>
      </w:r>
      <w:r>
        <w:rPr>
          <w:rFonts w:hint="eastAsia" w:ascii="宋体" w:hAnsi="宋体" w:eastAsia="宋体" w:cs="宋体"/>
          <w:color w:val="auto"/>
          <w:kern w:val="2"/>
          <w:sz w:val="21"/>
          <w:szCs w:val="21"/>
          <w:highlight w:val="none"/>
          <w:lang w:val="en-US" w:eastAsia="zh-CN" w:bidi="ar-SA"/>
        </w:rPr>
        <w:t>分标（此处有分标时填写具体分标号，无分标时填写“无”）：</w:t>
      </w:r>
      <w:r>
        <w:rPr>
          <w:rFonts w:hint="eastAsia" w:ascii="宋体" w:hAnsi="宋体" w:eastAsia="宋体" w:cs="宋体"/>
          <w:color w:val="auto"/>
          <w:kern w:val="2"/>
          <w:sz w:val="21"/>
          <w:szCs w:val="21"/>
          <w:highlight w:val="none"/>
          <w:u w:val="single"/>
          <w:lang w:val="en-US" w:eastAsia="zh-CN" w:bidi="ar-SA"/>
        </w:rPr>
        <w:t xml:space="preserve">           </w:t>
      </w:r>
    </w:p>
    <w:tbl>
      <w:tblPr>
        <w:tblStyle w:val="32"/>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3731"/>
        <w:gridCol w:w="3731"/>
        <w:gridCol w:w="1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724"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宋体" w:hAnsi="宋体" w:cs="宋体"/>
                <w:color w:val="auto"/>
                <w:szCs w:val="21"/>
                <w:highlight w:val="none"/>
              </w:rPr>
            </w:pPr>
            <w:r>
              <w:rPr>
                <w:rFonts w:hint="eastAsia" w:ascii="宋体" w:hAnsi="宋体" w:cs="宋体"/>
                <w:color w:val="auto"/>
                <w:szCs w:val="21"/>
                <w:highlight w:val="none"/>
              </w:rPr>
              <w:t>项号</w:t>
            </w:r>
          </w:p>
        </w:tc>
        <w:tc>
          <w:tcPr>
            <w:tcW w:w="3731"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宋体" w:hAnsi="宋体" w:cs="宋体"/>
                <w:color w:val="auto"/>
                <w:szCs w:val="21"/>
                <w:highlight w:val="none"/>
              </w:rPr>
            </w:pPr>
            <w:r>
              <w:rPr>
                <w:rFonts w:hint="eastAsia" w:ascii="宋体" w:hAnsi="宋体" w:cs="宋体"/>
                <w:color w:val="auto"/>
                <w:szCs w:val="21"/>
                <w:highlight w:val="none"/>
              </w:rPr>
              <w:t>招标文件的商务条款</w:t>
            </w:r>
          </w:p>
        </w:tc>
        <w:tc>
          <w:tcPr>
            <w:tcW w:w="3731"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宋体" w:hAnsi="宋体" w:cs="宋体"/>
                <w:color w:val="auto"/>
                <w:szCs w:val="21"/>
                <w:highlight w:val="none"/>
              </w:rPr>
            </w:pPr>
            <w:r>
              <w:rPr>
                <w:rFonts w:hint="eastAsia" w:ascii="宋体" w:hAnsi="宋体" w:cs="宋体"/>
                <w:color w:val="auto"/>
                <w:szCs w:val="21"/>
                <w:highlight w:val="none"/>
              </w:rPr>
              <w:t>投标文件响应的商务条款</w:t>
            </w:r>
          </w:p>
        </w:tc>
        <w:tc>
          <w:tcPr>
            <w:tcW w:w="1561"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宋体" w:hAnsi="宋体" w:cs="宋体"/>
                <w:color w:val="auto"/>
                <w:szCs w:val="21"/>
                <w:highlight w:val="none"/>
              </w:rPr>
            </w:pPr>
            <w:r>
              <w:rPr>
                <w:rFonts w:hint="eastAsia" w:ascii="宋体" w:hAnsi="宋体" w:cs="宋体"/>
                <w:color w:val="auto"/>
                <w:szCs w:val="21"/>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724" w:type="dxa"/>
            <w:tcBorders>
              <w:top w:val="single" w:color="auto" w:sz="4" w:space="0"/>
              <w:left w:val="single" w:color="auto" w:sz="4" w:space="0"/>
              <w:bottom w:val="single" w:color="auto" w:sz="4" w:space="0"/>
              <w:right w:val="single" w:color="auto" w:sz="4" w:space="0"/>
            </w:tcBorders>
            <w:noWrap/>
          </w:tcPr>
          <w:p>
            <w:pPr>
              <w:spacing w:line="340" w:lineRule="exact"/>
              <w:rPr>
                <w:rFonts w:ascii="宋体" w:hAnsi="宋体" w:cs="宋体"/>
                <w:color w:val="auto"/>
                <w:szCs w:val="21"/>
                <w:highlight w:val="none"/>
              </w:rPr>
            </w:pPr>
            <w:r>
              <w:rPr>
                <w:rFonts w:hint="eastAsia" w:ascii="宋体" w:hAnsi="宋体" w:cs="宋体"/>
                <w:color w:val="auto"/>
                <w:szCs w:val="21"/>
                <w:highlight w:val="none"/>
              </w:rPr>
              <w:t>一</w:t>
            </w:r>
          </w:p>
        </w:tc>
        <w:tc>
          <w:tcPr>
            <w:tcW w:w="3731" w:type="dxa"/>
            <w:tcBorders>
              <w:top w:val="single" w:color="auto" w:sz="4" w:space="0"/>
              <w:left w:val="single" w:color="auto" w:sz="4" w:space="0"/>
              <w:bottom w:val="single" w:color="auto" w:sz="4" w:space="0"/>
              <w:right w:val="single" w:color="auto" w:sz="4" w:space="0"/>
            </w:tcBorders>
            <w:noWrap/>
          </w:tcPr>
          <w:p>
            <w:pPr>
              <w:spacing w:line="340" w:lineRule="exact"/>
              <w:rPr>
                <w:rFonts w:ascii="宋体" w:hAnsi="宋体" w:cs="宋体"/>
                <w:color w:val="auto"/>
                <w:szCs w:val="21"/>
                <w:highlight w:val="none"/>
              </w:rPr>
            </w:pPr>
          </w:p>
        </w:tc>
        <w:tc>
          <w:tcPr>
            <w:tcW w:w="3731" w:type="dxa"/>
            <w:tcBorders>
              <w:top w:val="single" w:color="auto" w:sz="4" w:space="0"/>
              <w:left w:val="single" w:color="auto" w:sz="4" w:space="0"/>
              <w:bottom w:val="single" w:color="auto" w:sz="4" w:space="0"/>
              <w:right w:val="single" w:color="auto" w:sz="4" w:space="0"/>
            </w:tcBorders>
            <w:noWrap/>
          </w:tcPr>
          <w:p>
            <w:pPr>
              <w:spacing w:line="340" w:lineRule="exact"/>
              <w:rPr>
                <w:rFonts w:ascii="宋体" w:hAnsi="宋体" w:cs="宋体"/>
                <w:color w:val="auto"/>
                <w:szCs w:val="21"/>
                <w:highlight w:val="none"/>
              </w:rPr>
            </w:pPr>
          </w:p>
        </w:tc>
        <w:tc>
          <w:tcPr>
            <w:tcW w:w="1561" w:type="dxa"/>
            <w:tcBorders>
              <w:top w:val="single" w:color="auto" w:sz="4" w:space="0"/>
              <w:left w:val="single" w:color="auto" w:sz="4" w:space="0"/>
              <w:bottom w:val="single" w:color="auto" w:sz="4" w:space="0"/>
              <w:right w:val="single" w:color="auto" w:sz="4" w:space="0"/>
            </w:tcBorders>
            <w:noWrap/>
          </w:tcPr>
          <w:p>
            <w:pPr>
              <w:spacing w:line="300" w:lineRule="exact"/>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724" w:type="dxa"/>
            <w:tcBorders>
              <w:top w:val="single" w:color="auto" w:sz="4" w:space="0"/>
              <w:left w:val="single" w:color="auto" w:sz="4" w:space="0"/>
              <w:bottom w:val="single" w:color="auto" w:sz="4" w:space="0"/>
              <w:right w:val="single" w:color="auto" w:sz="4" w:space="0"/>
            </w:tcBorders>
            <w:noWrap/>
          </w:tcPr>
          <w:p>
            <w:pPr>
              <w:spacing w:line="340" w:lineRule="exact"/>
              <w:rPr>
                <w:rFonts w:ascii="宋体" w:hAnsi="宋体" w:cs="宋体"/>
                <w:color w:val="auto"/>
                <w:szCs w:val="21"/>
                <w:highlight w:val="none"/>
              </w:rPr>
            </w:pPr>
            <w:r>
              <w:rPr>
                <w:rFonts w:hint="eastAsia" w:ascii="宋体" w:hAnsi="宋体" w:cs="宋体"/>
                <w:color w:val="auto"/>
                <w:szCs w:val="21"/>
                <w:highlight w:val="none"/>
              </w:rPr>
              <w:t>二</w:t>
            </w:r>
          </w:p>
        </w:tc>
        <w:tc>
          <w:tcPr>
            <w:tcW w:w="3731" w:type="dxa"/>
            <w:tcBorders>
              <w:top w:val="single" w:color="auto" w:sz="4" w:space="0"/>
              <w:left w:val="single" w:color="auto" w:sz="4" w:space="0"/>
              <w:bottom w:val="single" w:color="auto" w:sz="4" w:space="0"/>
              <w:right w:val="single" w:color="auto" w:sz="4" w:space="0"/>
            </w:tcBorders>
            <w:noWrap/>
          </w:tcPr>
          <w:p>
            <w:pPr>
              <w:spacing w:line="340" w:lineRule="exact"/>
              <w:rPr>
                <w:rFonts w:ascii="宋体" w:hAnsi="宋体" w:cs="宋体"/>
                <w:color w:val="auto"/>
                <w:szCs w:val="21"/>
                <w:highlight w:val="none"/>
              </w:rPr>
            </w:pPr>
          </w:p>
        </w:tc>
        <w:tc>
          <w:tcPr>
            <w:tcW w:w="3731" w:type="dxa"/>
            <w:tcBorders>
              <w:top w:val="single" w:color="auto" w:sz="4" w:space="0"/>
              <w:left w:val="single" w:color="auto" w:sz="4" w:space="0"/>
              <w:bottom w:val="single" w:color="auto" w:sz="4" w:space="0"/>
              <w:right w:val="single" w:color="auto" w:sz="4" w:space="0"/>
            </w:tcBorders>
            <w:noWrap/>
          </w:tcPr>
          <w:p>
            <w:pPr>
              <w:spacing w:line="340" w:lineRule="exact"/>
              <w:rPr>
                <w:rFonts w:ascii="宋体" w:hAnsi="宋体" w:cs="宋体"/>
                <w:color w:val="auto"/>
                <w:szCs w:val="21"/>
                <w:highlight w:val="none"/>
              </w:rPr>
            </w:pPr>
          </w:p>
        </w:tc>
        <w:tc>
          <w:tcPr>
            <w:tcW w:w="1561" w:type="dxa"/>
            <w:tcBorders>
              <w:top w:val="single" w:color="auto" w:sz="4" w:space="0"/>
              <w:left w:val="single" w:color="auto" w:sz="4" w:space="0"/>
              <w:bottom w:val="single" w:color="auto" w:sz="4" w:space="0"/>
              <w:right w:val="single" w:color="auto" w:sz="4" w:space="0"/>
            </w:tcBorders>
            <w:noWrap/>
          </w:tcPr>
          <w:p>
            <w:pPr>
              <w:spacing w:line="300" w:lineRule="exact"/>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9" w:hRule="atLeast"/>
        </w:trPr>
        <w:tc>
          <w:tcPr>
            <w:tcW w:w="724" w:type="dxa"/>
            <w:tcBorders>
              <w:top w:val="single" w:color="auto" w:sz="4" w:space="0"/>
              <w:left w:val="single" w:color="auto" w:sz="4" w:space="0"/>
              <w:bottom w:val="single" w:color="auto" w:sz="4" w:space="0"/>
              <w:right w:val="single" w:color="auto" w:sz="4" w:space="0"/>
            </w:tcBorders>
            <w:noWrap/>
          </w:tcPr>
          <w:p>
            <w:pPr>
              <w:spacing w:line="340" w:lineRule="exact"/>
              <w:rPr>
                <w:rFonts w:ascii="宋体" w:hAnsi="宋体" w:cs="宋体"/>
                <w:color w:val="auto"/>
                <w:szCs w:val="21"/>
                <w:highlight w:val="none"/>
              </w:rPr>
            </w:pPr>
            <w:r>
              <w:rPr>
                <w:rFonts w:hint="eastAsia" w:ascii="宋体" w:hAnsi="宋体" w:cs="宋体"/>
                <w:color w:val="auto"/>
                <w:szCs w:val="21"/>
                <w:highlight w:val="none"/>
              </w:rPr>
              <w:t>...</w:t>
            </w:r>
          </w:p>
        </w:tc>
        <w:tc>
          <w:tcPr>
            <w:tcW w:w="3731" w:type="dxa"/>
            <w:tcBorders>
              <w:top w:val="single" w:color="auto" w:sz="4" w:space="0"/>
              <w:left w:val="single" w:color="auto" w:sz="4" w:space="0"/>
              <w:bottom w:val="single" w:color="auto" w:sz="4" w:space="0"/>
              <w:right w:val="single" w:color="auto" w:sz="4" w:space="0"/>
            </w:tcBorders>
            <w:noWrap/>
          </w:tcPr>
          <w:p>
            <w:pPr>
              <w:spacing w:line="340" w:lineRule="exact"/>
              <w:rPr>
                <w:rFonts w:ascii="宋体" w:hAnsi="宋体" w:cs="宋体"/>
                <w:color w:val="auto"/>
                <w:szCs w:val="21"/>
                <w:highlight w:val="none"/>
              </w:rPr>
            </w:pPr>
          </w:p>
        </w:tc>
        <w:tc>
          <w:tcPr>
            <w:tcW w:w="3731" w:type="dxa"/>
            <w:tcBorders>
              <w:top w:val="single" w:color="auto" w:sz="4" w:space="0"/>
              <w:left w:val="single" w:color="auto" w:sz="4" w:space="0"/>
              <w:bottom w:val="single" w:color="auto" w:sz="4" w:space="0"/>
              <w:right w:val="single" w:color="auto" w:sz="4" w:space="0"/>
            </w:tcBorders>
            <w:noWrap/>
          </w:tcPr>
          <w:p>
            <w:pPr>
              <w:spacing w:line="340" w:lineRule="exact"/>
              <w:rPr>
                <w:rFonts w:ascii="宋体" w:hAnsi="宋体" w:cs="宋体"/>
                <w:color w:val="auto"/>
                <w:szCs w:val="21"/>
                <w:highlight w:val="none"/>
              </w:rPr>
            </w:pPr>
          </w:p>
        </w:tc>
        <w:tc>
          <w:tcPr>
            <w:tcW w:w="1561" w:type="dxa"/>
            <w:tcBorders>
              <w:top w:val="single" w:color="auto" w:sz="4" w:space="0"/>
              <w:left w:val="single" w:color="auto" w:sz="4" w:space="0"/>
              <w:bottom w:val="single" w:color="auto" w:sz="4" w:space="0"/>
              <w:right w:val="single" w:color="auto" w:sz="4" w:space="0"/>
            </w:tcBorders>
            <w:noWrap/>
          </w:tcPr>
          <w:p>
            <w:pPr>
              <w:spacing w:line="300" w:lineRule="exact"/>
              <w:rPr>
                <w:rFonts w:ascii="宋体" w:hAnsi="宋体" w:cs="宋体"/>
                <w:color w:val="auto"/>
                <w:szCs w:val="21"/>
                <w:highlight w:val="none"/>
              </w:rPr>
            </w:pPr>
          </w:p>
        </w:tc>
      </w:tr>
    </w:tbl>
    <w:p>
      <w:pPr>
        <w:spacing w:line="360" w:lineRule="auto"/>
        <w:ind w:left="-708" w:leftChars="-337"/>
        <w:rPr>
          <w:rFonts w:ascii="宋体" w:hAnsi="宋体" w:cs="宋体"/>
          <w:color w:val="auto"/>
          <w:szCs w:val="20"/>
          <w:highlight w:val="none"/>
        </w:rPr>
      </w:pPr>
    </w:p>
    <w:p>
      <w:pPr>
        <w:spacing w:line="360" w:lineRule="auto"/>
        <w:ind w:left="-8" w:firstLine="7"/>
        <w:rPr>
          <w:rFonts w:ascii="宋体" w:hAnsi="宋体" w:cs="宋体"/>
          <w:color w:val="auto"/>
          <w:szCs w:val="20"/>
          <w:highlight w:val="none"/>
        </w:rPr>
      </w:pPr>
      <w:r>
        <w:rPr>
          <w:rFonts w:hint="eastAsia" w:ascii="宋体" w:hAnsi="宋体" w:cs="宋体"/>
          <w:color w:val="auto"/>
          <w:szCs w:val="20"/>
          <w:highlight w:val="none"/>
        </w:rPr>
        <w:t>注：</w:t>
      </w:r>
    </w:p>
    <w:p>
      <w:pPr>
        <w:spacing w:line="360" w:lineRule="auto"/>
        <w:ind w:left="-8" w:firstLine="7"/>
        <w:rPr>
          <w:rFonts w:ascii="宋体" w:hAnsi="宋体" w:cs="宋体"/>
          <w:color w:val="auto"/>
          <w:szCs w:val="20"/>
          <w:highlight w:val="none"/>
        </w:rPr>
      </w:pPr>
      <w:r>
        <w:rPr>
          <w:rFonts w:hint="eastAsia" w:ascii="宋体" w:hAnsi="宋体" w:cs="宋体"/>
          <w:color w:val="auto"/>
          <w:szCs w:val="20"/>
          <w:highlight w:val="none"/>
        </w:rPr>
        <w:t>1.表格内容均需按要求填写并加盖投标人公章。</w:t>
      </w:r>
    </w:p>
    <w:p>
      <w:pPr>
        <w:spacing w:line="360" w:lineRule="auto"/>
        <w:ind w:left="-8" w:firstLine="7"/>
        <w:rPr>
          <w:rFonts w:ascii="宋体" w:hAnsi="宋体" w:cs="宋体"/>
          <w:color w:val="auto"/>
          <w:szCs w:val="20"/>
          <w:highlight w:val="none"/>
        </w:rPr>
      </w:pPr>
      <w:r>
        <w:rPr>
          <w:rFonts w:hint="eastAsia" w:ascii="宋体" w:hAnsi="宋体" w:cs="宋体"/>
          <w:color w:val="auto"/>
          <w:szCs w:val="20"/>
          <w:highlight w:val="none"/>
        </w:rPr>
        <w:t>2.请逐条对应本项目招标文件“第二章  采购需求”中“商务条款”的要求，详细填写相应的具体内容。“偏离说明”一栏应当选择“正偏离”或“负偏离”或“无偏离”进行填写。</w:t>
      </w:r>
    </w:p>
    <w:p>
      <w:pPr>
        <w:spacing w:line="360" w:lineRule="auto"/>
        <w:ind w:left="-8" w:firstLine="7"/>
        <w:rPr>
          <w:rFonts w:ascii="宋体" w:hAnsi="宋体" w:cs="宋体"/>
          <w:color w:val="auto"/>
          <w:szCs w:val="20"/>
          <w:highlight w:val="none"/>
        </w:rPr>
      </w:pPr>
      <w:r>
        <w:rPr>
          <w:rFonts w:hint="eastAsia" w:ascii="宋体" w:hAnsi="宋体" w:cs="宋体"/>
          <w:color w:val="auto"/>
          <w:szCs w:val="20"/>
          <w:highlight w:val="none"/>
        </w:rPr>
        <w:t>3.当投标文件的商务内容低于招标文件要求时，投标人应当如实写明“负偏离”。</w:t>
      </w:r>
    </w:p>
    <w:p>
      <w:pPr>
        <w:snapToGrid w:val="0"/>
        <w:spacing w:before="50" w:after="50"/>
        <w:rPr>
          <w:rFonts w:ascii="宋体" w:hAnsi="宋体" w:cs="宋体"/>
          <w:color w:val="auto"/>
          <w:sz w:val="24"/>
          <w:highlight w:val="none"/>
        </w:rPr>
      </w:pPr>
    </w:p>
    <w:p>
      <w:pPr>
        <w:snapToGrid w:val="0"/>
        <w:spacing w:line="360" w:lineRule="auto"/>
        <w:ind w:firstLine="5640" w:firstLineChars="2350"/>
        <w:rPr>
          <w:rFonts w:ascii="宋体" w:hAnsi="宋体" w:cs="宋体"/>
          <w:color w:val="auto"/>
          <w:kern w:val="0"/>
          <w:sz w:val="24"/>
          <w:highlight w:val="none"/>
        </w:rPr>
      </w:pPr>
      <w:r>
        <w:rPr>
          <w:rFonts w:hint="eastAsia" w:ascii="宋体" w:hAnsi="宋体" w:cs="宋体"/>
          <w:color w:val="auto"/>
          <w:kern w:val="0"/>
          <w:sz w:val="24"/>
          <w:highlight w:val="none"/>
          <w:lang w:val="zh-CN"/>
        </w:rPr>
        <w:t>投标人名称(盖公章)：</w:t>
      </w:r>
    </w:p>
    <w:p>
      <w:pPr>
        <w:snapToGrid w:val="0"/>
        <w:spacing w:line="360" w:lineRule="auto"/>
        <w:ind w:firstLine="5880" w:firstLineChars="245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日期</w:t>
      </w:r>
      <w:r>
        <w:rPr>
          <w:rFonts w:hint="eastAsia" w:ascii="宋体" w:hAnsi="宋体" w:cs="宋体"/>
          <w:color w:val="auto"/>
          <w:kern w:val="0"/>
          <w:sz w:val="24"/>
          <w:highlight w:val="none"/>
        </w:rPr>
        <w:t>：  年  月  日</w:t>
      </w:r>
    </w:p>
    <w:p>
      <w:pPr>
        <w:jc w:val="center"/>
        <w:outlineLvl w:val="1"/>
        <w:rPr>
          <w:rFonts w:ascii="宋体" w:hAnsi="宋体" w:cs="宋体"/>
          <w:b/>
          <w:bCs/>
          <w:color w:val="auto"/>
          <w:sz w:val="28"/>
          <w:szCs w:val="28"/>
          <w:highlight w:val="none"/>
        </w:rPr>
      </w:pPr>
      <w:bookmarkStart w:id="246" w:name="_Toc8712"/>
      <w:bookmarkStart w:id="247" w:name="_Toc18262"/>
      <w:bookmarkStart w:id="248" w:name="_Toc19686839"/>
      <w:bookmarkStart w:id="249" w:name="_Toc11965"/>
      <w:bookmarkStart w:id="250" w:name="_Toc352"/>
      <w:bookmarkStart w:id="251" w:name="_Toc5911"/>
      <w:r>
        <w:rPr>
          <w:rFonts w:hint="eastAsia" w:ascii="宋体" w:hAnsi="宋体" w:cs="宋体"/>
          <w:b/>
          <w:bCs/>
          <w:color w:val="auto"/>
          <w:sz w:val="28"/>
          <w:szCs w:val="28"/>
          <w:highlight w:val="none"/>
        </w:rPr>
        <w:br w:type="page"/>
      </w:r>
      <w:r>
        <w:rPr>
          <w:rFonts w:hint="eastAsia" w:ascii="宋体" w:hAnsi="宋体" w:cs="宋体"/>
          <w:b/>
          <w:bCs/>
          <w:color w:val="auto"/>
          <w:sz w:val="28"/>
          <w:szCs w:val="28"/>
          <w:highlight w:val="none"/>
        </w:rPr>
        <w:t>第四节 技术文件格式</w:t>
      </w:r>
      <w:bookmarkEnd w:id="246"/>
      <w:bookmarkEnd w:id="247"/>
      <w:bookmarkEnd w:id="248"/>
      <w:bookmarkEnd w:id="249"/>
      <w:bookmarkEnd w:id="250"/>
      <w:bookmarkEnd w:id="251"/>
    </w:p>
    <w:p>
      <w:pPr>
        <w:snapToGrid w:val="0"/>
        <w:spacing w:beforeLines="50" w:after="50"/>
        <w:rPr>
          <w:rFonts w:ascii="宋体" w:hAnsi="宋体" w:cs="宋体"/>
          <w:color w:val="auto"/>
          <w:sz w:val="24"/>
          <w:highlight w:val="none"/>
        </w:rPr>
      </w:pPr>
    </w:p>
    <w:p>
      <w:pPr>
        <w:snapToGrid w:val="0"/>
        <w:spacing w:beforeLines="50" w:after="50"/>
        <w:ind w:left="142"/>
        <w:jc w:val="left"/>
        <w:rPr>
          <w:rFonts w:ascii="宋体" w:hAnsi="宋体" w:cs="宋体"/>
          <w:b/>
          <w:color w:val="auto"/>
          <w:sz w:val="28"/>
          <w:szCs w:val="28"/>
          <w:highlight w:val="none"/>
        </w:rPr>
      </w:pPr>
      <w:r>
        <w:rPr>
          <w:rFonts w:hint="eastAsia" w:ascii="宋体" w:hAnsi="宋体" w:cs="宋体"/>
          <w:b/>
          <w:color w:val="auto"/>
          <w:sz w:val="28"/>
          <w:szCs w:val="28"/>
          <w:highlight w:val="none"/>
        </w:rPr>
        <w:t xml:space="preserve">1. 技术文件封面的格式： </w:t>
      </w:r>
    </w:p>
    <w:p>
      <w:pPr>
        <w:snapToGrid w:val="0"/>
        <w:spacing w:beforeLines="50" w:after="50"/>
        <w:rPr>
          <w:rFonts w:ascii="宋体" w:hAnsi="宋体" w:cs="宋体"/>
          <w:color w:val="auto"/>
          <w:sz w:val="24"/>
          <w:highlight w:val="none"/>
        </w:rPr>
      </w:pPr>
    </w:p>
    <w:p>
      <w:pPr>
        <w:snapToGrid w:val="0"/>
        <w:spacing w:beforeLines="50" w:after="50"/>
        <w:ind w:firstLine="6300" w:firstLineChars="3000"/>
        <w:rPr>
          <w:rFonts w:ascii="宋体" w:hAnsi="宋体" w:cs="宋体"/>
          <w:bCs/>
          <w:color w:val="auto"/>
          <w:sz w:val="32"/>
          <w:szCs w:val="20"/>
          <w:highlight w:val="none"/>
        </w:rPr>
      </w:pPr>
      <w:r>
        <w:rPr>
          <w:rFonts w:hint="eastAsia" w:ascii="宋体" w:hAnsi="宋体" w:cs="宋体"/>
          <w:bCs/>
          <w:color w:val="auto"/>
          <w:highlight w:val="none"/>
        </w:rPr>
        <w:t>电子投标文件</w:t>
      </w:r>
    </w:p>
    <w:p>
      <w:pPr>
        <w:snapToGrid w:val="0"/>
        <w:spacing w:beforeLines="50" w:after="50"/>
        <w:rPr>
          <w:rFonts w:ascii="宋体" w:hAnsi="宋体" w:cs="宋体"/>
          <w:color w:val="auto"/>
          <w:sz w:val="24"/>
          <w:szCs w:val="20"/>
          <w:highlight w:val="none"/>
        </w:rPr>
      </w:pPr>
    </w:p>
    <w:p>
      <w:pPr>
        <w:snapToGrid w:val="0"/>
        <w:spacing w:beforeLines="50" w:after="50"/>
        <w:jc w:val="center"/>
        <w:rPr>
          <w:rFonts w:ascii="宋体" w:hAnsi="宋体" w:cs="宋体"/>
          <w:b/>
          <w:bCs/>
          <w:color w:val="auto"/>
          <w:sz w:val="32"/>
          <w:szCs w:val="32"/>
          <w:highlight w:val="none"/>
        </w:rPr>
      </w:pPr>
    </w:p>
    <w:p>
      <w:pPr>
        <w:snapToGrid w:val="0"/>
        <w:spacing w:beforeLines="50" w:after="50"/>
        <w:jc w:val="center"/>
        <w:rPr>
          <w:rFonts w:ascii="宋体" w:hAnsi="宋体" w:cs="宋体"/>
          <w:b/>
          <w:bCs/>
          <w:color w:val="auto"/>
          <w:sz w:val="32"/>
          <w:szCs w:val="32"/>
          <w:highlight w:val="none"/>
        </w:rPr>
      </w:pPr>
      <w:r>
        <w:rPr>
          <w:rFonts w:hint="eastAsia" w:ascii="宋体" w:hAnsi="宋体" w:cs="宋体"/>
          <w:b/>
          <w:bCs/>
          <w:color w:val="auto"/>
          <w:sz w:val="32"/>
          <w:szCs w:val="32"/>
          <w:highlight w:val="none"/>
        </w:rPr>
        <w:t>技术文件</w:t>
      </w:r>
    </w:p>
    <w:p>
      <w:pPr>
        <w:snapToGrid w:val="0"/>
        <w:spacing w:beforeLines="50" w:after="50"/>
        <w:rPr>
          <w:rFonts w:ascii="宋体" w:hAnsi="宋体" w:cs="宋体"/>
          <w:bCs/>
          <w:color w:val="auto"/>
          <w:sz w:val="24"/>
          <w:szCs w:val="20"/>
          <w:highlight w:val="none"/>
        </w:rPr>
      </w:pPr>
    </w:p>
    <w:p>
      <w:pPr>
        <w:snapToGrid w:val="0"/>
        <w:spacing w:beforeLines="50" w:after="50" w:line="400" w:lineRule="exact"/>
        <w:ind w:firstLine="360" w:firstLineChars="150"/>
        <w:rPr>
          <w:rFonts w:ascii="宋体" w:hAnsi="宋体" w:cs="宋体"/>
          <w:bCs/>
          <w:color w:val="auto"/>
          <w:sz w:val="24"/>
          <w:highlight w:val="none"/>
        </w:rPr>
      </w:pPr>
    </w:p>
    <w:p>
      <w:pPr>
        <w:snapToGrid w:val="0"/>
        <w:spacing w:beforeLines="50" w:after="50" w:line="400" w:lineRule="exact"/>
        <w:ind w:firstLine="360" w:firstLineChars="150"/>
        <w:rPr>
          <w:rFonts w:ascii="宋体" w:hAnsi="宋体" w:cs="宋体"/>
          <w:bCs/>
          <w:color w:val="auto"/>
          <w:sz w:val="24"/>
          <w:szCs w:val="20"/>
          <w:highlight w:val="none"/>
        </w:rPr>
      </w:pPr>
      <w:r>
        <w:rPr>
          <w:rFonts w:hint="eastAsia" w:ascii="宋体" w:hAnsi="宋体" w:cs="宋体"/>
          <w:bCs/>
          <w:color w:val="auto"/>
          <w:sz w:val="24"/>
          <w:highlight w:val="none"/>
        </w:rPr>
        <w:t xml:space="preserve">项目名称：  </w:t>
      </w:r>
    </w:p>
    <w:p>
      <w:pPr>
        <w:snapToGrid w:val="0"/>
        <w:spacing w:beforeLines="50" w:after="50" w:line="400" w:lineRule="exact"/>
        <w:ind w:firstLine="360" w:firstLineChars="150"/>
        <w:rPr>
          <w:rFonts w:ascii="宋体" w:hAnsi="宋体" w:cs="宋体"/>
          <w:bCs/>
          <w:color w:val="auto"/>
          <w:sz w:val="24"/>
          <w:highlight w:val="none"/>
        </w:rPr>
      </w:pPr>
      <w:r>
        <w:rPr>
          <w:rFonts w:hint="eastAsia" w:ascii="宋体" w:hAnsi="宋体" w:cs="宋体"/>
          <w:bCs/>
          <w:color w:val="auto"/>
          <w:sz w:val="24"/>
          <w:highlight w:val="none"/>
        </w:rPr>
        <w:t xml:space="preserve">项目编号：  </w:t>
      </w:r>
    </w:p>
    <w:p>
      <w:pPr>
        <w:snapToGrid w:val="0"/>
        <w:spacing w:beforeLines="50" w:after="50" w:line="400" w:lineRule="exact"/>
        <w:ind w:firstLine="360" w:firstLineChars="150"/>
        <w:rPr>
          <w:rFonts w:ascii="宋体" w:hAnsi="宋体" w:cs="宋体"/>
          <w:bCs/>
          <w:color w:val="auto"/>
          <w:sz w:val="24"/>
          <w:highlight w:val="none"/>
        </w:rPr>
      </w:pPr>
      <w:r>
        <w:rPr>
          <w:rFonts w:hint="eastAsia" w:ascii="宋体" w:hAnsi="宋体" w:cs="宋体"/>
          <w:bCs/>
          <w:color w:val="auto"/>
          <w:sz w:val="24"/>
          <w:highlight w:val="none"/>
        </w:rPr>
        <w:t>所投分标（如有则填写，无分标时填写“无”或者留空）：</w:t>
      </w:r>
    </w:p>
    <w:p>
      <w:pPr>
        <w:snapToGrid w:val="0"/>
        <w:spacing w:beforeLines="50" w:after="50" w:line="400" w:lineRule="exact"/>
        <w:ind w:firstLine="360" w:firstLineChars="150"/>
        <w:rPr>
          <w:rFonts w:ascii="宋体" w:hAnsi="宋体" w:cs="宋体"/>
          <w:bCs/>
          <w:color w:val="auto"/>
          <w:sz w:val="24"/>
          <w:highlight w:val="none"/>
        </w:rPr>
      </w:pPr>
      <w:r>
        <w:rPr>
          <w:rFonts w:hint="eastAsia" w:ascii="宋体" w:hAnsi="宋体" w:cs="宋体"/>
          <w:bCs/>
          <w:color w:val="auto"/>
          <w:sz w:val="24"/>
          <w:highlight w:val="none"/>
        </w:rPr>
        <w:t>投标人名称：</w:t>
      </w:r>
    </w:p>
    <w:p>
      <w:pPr>
        <w:snapToGrid w:val="0"/>
        <w:spacing w:beforeLines="50" w:after="50" w:line="400" w:lineRule="exact"/>
        <w:ind w:firstLine="360" w:firstLineChars="150"/>
        <w:rPr>
          <w:rFonts w:ascii="宋体" w:hAnsi="宋体" w:cs="宋体"/>
          <w:bCs/>
          <w:color w:val="auto"/>
          <w:sz w:val="24"/>
          <w:highlight w:val="none"/>
        </w:rPr>
      </w:pPr>
      <w:r>
        <w:rPr>
          <w:rFonts w:hint="eastAsia" w:ascii="宋体" w:hAnsi="宋体" w:cs="宋体"/>
          <w:bCs/>
          <w:color w:val="auto"/>
          <w:sz w:val="24"/>
          <w:highlight w:val="none"/>
        </w:rPr>
        <w:t>投标人地址：</w:t>
      </w:r>
    </w:p>
    <w:p>
      <w:pPr>
        <w:snapToGrid w:val="0"/>
        <w:spacing w:beforeLines="50" w:after="50"/>
        <w:ind w:firstLine="645"/>
        <w:jc w:val="center"/>
        <w:rPr>
          <w:rFonts w:ascii="宋体" w:hAnsi="宋体" w:cs="宋体"/>
          <w:color w:val="auto"/>
          <w:sz w:val="24"/>
          <w:highlight w:val="none"/>
        </w:rPr>
      </w:pPr>
    </w:p>
    <w:p>
      <w:pPr>
        <w:snapToGrid w:val="0"/>
        <w:spacing w:beforeLines="50" w:after="50"/>
        <w:ind w:firstLine="645"/>
        <w:jc w:val="center"/>
        <w:rPr>
          <w:rFonts w:ascii="宋体" w:hAnsi="宋体" w:cs="宋体"/>
          <w:color w:val="auto"/>
          <w:sz w:val="24"/>
          <w:highlight w:val="none"/>
        </w:rPr>
      </w:pPr>
    </w:p>
    <w:p>
      <w:pPr>
        <w:snapToGrid w:val="0"/>
        <w:spacing w:beforeLines="50" w:after="50"/>
        <w:ind w:firstLine="645"/>
        <w:jc w:val="center"/>
        <w:rPr>
          <w:rFonts w:ascii="宋体" w:hAnsi="宋体" w:cs="宋体"/>
          <w:color w:val="auto"/>
          <w:sz w:val="24"/>
          <w:highlight w:val="none"/>
        </w:rPr>
      </w:pPr>
    </w:p>
    <w:p>
      <w:pPr>
        <w:snapToGrid w:val="0"/>
        <w:spacing w:beforeLines="50" w:after="50"/>
        <w:ind w:firstLine="645"/>
        <w:jc w:val="center"/>
        <w:rPr>
          <w:rFonts w:ascii="宋体" w:hAnsi="宋体" w:cs="宋体"/>
          <w:color w:val="auto"/>
          <w:sz w:val="24"/>
          <w:highlight w:val="none"/>
        </w:rPr>
      </w:pPr>
    </w:p>
    <w:p>
      <w:pPr>
        <w:snapToGrid w:val="0"/>
        <w:spacing w:beforeLines="50" w:after="50"/>
        <w:ind w:firstLine="3840" w:firstLineChars="1600"/>
        <w:rPr>
          <w:rFonts w:ascii="宋体" w:hAnsi="宋体" w:cs="宋体"/>
          <w:color w:val="auto"/>
          <w:sz w:val="24"/>
          <w:highlight w:val="none"/>
        </w:rPr>
      </w:pPr>
      <w:r>
        <w:rPr>
          <w:rFonts w:hint="eastAsia" w:ascii="宋体" w:hAnsi="宋体" w:cs="宋体"/>
          <w:color w:val="auto"/>
          <w:sz w:val="24"/>
          <w:highlight w:val="none"/>
        </w:rPr>
        <w:t xml:space="preserve">  年    月    日</w:t>
      </w:r>
    </w:p>
    <w:p>
      <w:pPr>
        <w:snapToGrid w:val="0"/>
        <w:spacing w:beforeLines="50" w:after="50"/>
        <w:ind w:firstLine="645"/>
        <w:jc w:val="center"/>
        <w:rPr>
          <w:rFonts w:ascii="宋体" w:hAnsi="宋体" w:cs="宋体"/>
          <w:color w:val="auto"/>
          <w:sz w:val="24"/>
          <w:szCs w:val="20"/>
          <w:highlight w:val="none"/>
        </w:rPr>
      </w:pPr>
    </w:p>
    <w:p>
      <w:pPr>
        <w:snapToGrid w:val="0"/>
        <w:spacing w:beforeLines="50" w:after="50"/>
        <w:ind w:left="142"/>
        <w:jc w:val="left"/>
        <w:rPr>
          <w:rFonts w:ascii="宋体" w:hAnsi="宋体" w:cs="宋体"/>
          <w:b/>
          <w:bCs/>
          <w:color w:val="auto"/>
          <w:sz w:val="24"/>
          <w:highlight w:val="none"/>
        </w:rPr>
      </w:pPr>
      <w:r>
        <w:rPr>
          <w:rFonts w:hint="eastAsia" w:ascii="宋体" w:hAnsi="宋体" w:cs="宋体"/>
          <w:b/>
          <w:bCs/>
          <w:color w:val="auto"/>
          <w:sz w:val="24"/>
          <w:highlight w:val="none"/>
        </w:rPr>
        <w:br w:type="page"/>
      </w:r>
      <w:r>
        <w:rPr>
          <w:rFonts w:hint="eastAsia" w:ascii="宋体" w:hAnsi="宋体" w:cs="宋体"/>
          <w:b/>
          <w:bCs/>
          <w:color w:val="auto"/>
          <w:sz w:val="28"/>
          <w:szCs w:val="28"/>
          <w:highlight w:val="none"/>
        </w:rPr>
        <w:t>2. 技术文件目录</w:t>
      </w:r>
    </w:p>
    <w:p>
      <w:pPr>
        <w:spacing w:line="360" w:lineRule="auto"/>
        <w:ind w:right="420"/>
        <w:rPr>
          <w:rFonts w:ascii="宋体" w:hAnsi="宋体" w:cs="宋体"/>
          <w:b/>
          <w:color w:val="auto"/>
          <w:kern w:val="0"/>
          <w:sz w:val="36"/>
          <w:szCs w:val="36"/>
          <w:highlight w:val="none"/>
        </w:rPr>
      </w:pPr>
      <w:r>
        <w:rPr>
          <w:rFonts w:hint="eastAsia" w:ascii="宋体" w:hAnsi="宋体" w:cs="宋体"/>
          <w:color w:val="auto"/>
          <w:kern w:val="0"/>
          <w:sz w:val="24"/>
          <w:highlight w:val="none"/>
        </w:rPr>
        <w:t>根据招标文件规定及投标人提供的材料自行编写目录（部分格式后附）。</w:t>
      </w:r>
    </w:p>
    <w:p>
      <w:pPr>
        <w:snapToGrid w:val="0"/>
        <w:spacing w:beforeLines="50" w:after="50"/>
        <w:jc w:val="left"/>
        <w:rPr>
          <w:rFonts w:ascii="宋体" w:hAnsi="宋体" w:cs="宋体"/>
          <w:b/>
          <w:color w:val="auto"/>
          <w:sz w:val="24"/>
          <w:highlight w:val="none"/>
        </w:rPr>
      </w:pPr>
    </w:p>
    <w:p>
      <w:pPr>
        <w:spacing w:line="500" w:lineRule="exact"/>
        <w:jc w:val="left"/>
        <w:rPr>
          <w:rFonts w:ascii="宋体" w:hAnsi="宋体" w:cs="宋体"/>
          <w:b/>
          <w:bCs/>
          <w:color w:val="auto"/>
          <w:sz w:val="30"/>
          <w:szCs w:val="30"/>
          <w:highlight w:val="none"/>
        </w:rPr>
      </w:pPr>
      <w:r>
        <w:rPr>
          <w:rFonts w:hint="eastAsia" w:ascii="宋体" w:hAnsi="宋体" w:cs="宋体"/>
          <w:b/>
          <w:bCs/>
          <w:color w:val="auto"/>
          <w:sz w:val="30"/>
          <w:szCs w:val="30"/>
          <w:highlight w:val="none"/>
        </w:rPr>
        <w:br w:type="page"/>
      </w:r>
      <w:r>
        <w:rPr>
          <w:rFonts w:hint="eastAsia" w:ascii="宋体" w:hAnsi="宋体" w:cs="宋体"/>
          <w:b/>
          <w:color w:val="auto"/>
          <w:sz w:val="28"/>
          <w:szCs w:val="28"/>
          <w:highlight w:val="none"/>
        </w:rPr>
        <w:t>3. 技术需求偏离表的格式：</w:t>
      </w:r>
    </w:p>
    <w:p>
      <w:pPr>
        <w:spacing w:line="500" w:lineRule="exact"/>
        <w:jc w:val="center"/>
        <w:rPr>
          <w:rFonts w:ascii="宋体" w:hAnsi="宋体" w:cs="宋体"/>
          <w:b/>
          <w:bCs/>
          <w:color w:val="auto"/>
          <w:sz w:val="30"/>
          <w:szCs w:val="30"/>
          <w:highlight w:val="none"/>
        </w:rPr>
      </w:pPr>
      <w:r>
        <w:rPr>
          <w:rFonts w:hint="eastAsia" w:ascii="宋体" w:hAnsi="宋体" w:cs="宋体"/>
          <w:b/>
          <w:bCs/>
          <w:color w:val="auto"/>
          <w:sz w:val="30"/>
          <w:szCs w:val="30"/>
          <w:highlight w:val="none"/>
        </w:rPr>
        <w:t>技术需求偏离表</w:t>
      </w:r>
    </w:p>
    <w:p>
      <w:pPr>
        <w:spacing w:line="440" w:lineRule="exact"/>
        <w:ind w:firstLine="420" w:firstLineChars="200"/>
        <w:rPr>
          <w:rFonts w:ascii="宋体" w:hAnsi="宋体" w:cs="宋体"/>
          <w:color w:val="auto"/>
          <w:szCs w:val="20"/>
          <w:highlight w:val="none"/>
        </w:rPr>
      </w:pPr>
    </w:p>
    <w:p>
      <w:pPr>
        <w:spacing w:line="360" w:lineRule="auto"/>
        <w:contextualSpacing/>
        <w:rPr>
          <w:rFonts w:ascii="宋体" w:hAnsi="宋体" w:eastAsia="宋体" w:cs="宋体"/>
          <w:color w:val="auto"/>
          <w:szCs w:val="21"/>
          <w:highlight w:val="none"/>
          <w:u w:val="single"/>
        </w:rPr>
      </w:pPr>
      <w:r>
        <w:rPr>
          <w:rFonts w:hint="eastAsia" w:ascii="宋体" w:hAnsi="宋体" w:eastAsia="宋体" w:cs="宋体"/>
          <w:color w:val="auto"/>
          <w:szCs w:val="21"/>
          <w:highlight w:val="none"/>
        </w:rPr>
        <w:t>项目</w:t>
      </w:r>
      <w:r>
        <w:rPr>
          <w:rFonts w:hint="eastAsia" w:ascii="Times New Roman" w:hAnsi="宋体" w:eastAsia="宋体" w:cs="宋体"/>
          <w:color w:val="auto"/>
          <w:szCs w:val="21"/>
          <w:highlight w:val="none"/>
        </w:rPr>
        <w:t>名称</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p>
    <w:p>
      <w:pPr>
        <w:widowControl w:val="0"/>
        <w:spacing w:line="360" w:lineRule="auto"/>
        <w:jc w:val="both"/>
        <w:rPr>
          <w:rFonts w:ascii="宋体" w:hAnsi="宋体" w:eastAsia="宋体" w:cs="宋体"/>
          <w:color w:val="auto"/>
          <w:kern w:val="2"/>
          <w:sz w:val="21"/>
          <w:szCs w:val="21"/>
          <w:highlight w:val="none"/>
          <w:u w:val="single"/>
          <w:lang w:val="en-US" w:eastAsia="zh-CN" w:bidi="ar-SA"/>
        </w:rPr>
      </w:pPr>
      <w:r>
        <w:rPr>
          <w:rFonts w:hint="eastAsia" w:ascii="宋体" w:hAnsi="宋体" w:eastAsia="宋体" w:cs="宋体"/>
          <w:color w:val="auto"/>
          <w:kern w:val="2"/>
          <w:sz w:val="21"/>
          <w:szCs w:val="21"/>
          <w:highlight w:val="none"/>
          <w:lang w:val="en-US" w:eastAsia="zh-CN" w:bidi="ar-SA"/>
        </w:rPr>
        <w:t>项目编号：</w:t>
      </w:r>
      <w:r>
        <w:rPr>
          <w:rFonts w:hint="eastAsia" w:ascii="宋体" w:hAnsi="宋体" w:eastAsia="宋体" w:cs="宋体"/>
          <w:color w:val="auto"/>
          <w:kern w:val="2"/>
          <w:sz w:val="21"/>
          <w:szCs w:val="21"/>
          <w:highlight w:val="none"/>
          <w:u w:val="single"/>
          <w:lang w:val="en-US" w:eastAsia="zh-CN" w:bidi="ar-SA"/>
        </w:rPr>
        <w:t xml:space="preserve">                 </w:t>
      </w:r>
    </w:p>
    <w:p>
      <w:pPr>
        <w:widowControl w:val="0"/>
        <w:spacing w:line="360" w:lineRule="auto"/>
        <w:ind w:left="0"/>
        <w:jc w:val="both"/>
        <w:rPr>
          <w:rFonts w:ascii="宋体" w:hAnsi="宋体" w:eastAsia="宋体" w:cs="宋体"/>
          <w:color w:val="auto"/>
          <w:kern w:val="2"/>
          <w:sz w:val="21"/>
          <w:szCs w:val="21"/>
          <w:highlight w:val="none"/>
          <w:u w:val="single"/>
          <w:lang w:val="en-US" w:eastAsia="zh-CN" w:bidi="ar-SA"/>
        </w:rPr>
      </w:pPr>
      <w:r>
        <w:rPr>
          <w:rFonts w:hint="eastAsia" w:ascii="Times New Roman" w:hAnsi="宋体" w:eastAsia="宋体" w:cs="宋体"/>
          <w:color w:val="auto"/>
          <w:kern w:val="2"/>
          <w:sz w:val="21"/>
          <w:szCs w:val="21"/>
          <w:highlight w:val="none"/>
          <w:lang w:val="en-US" w:eastAsia="zh-CN" w:bidi="ar-SA"/>
        </w:rPr>
        <w:t>所投</w:t>
      </w:r>
      <w:r>
        <w:rPr>
          <w:rFonts w:hint="eastAsia" w:ascii="宋体" w:hAnsi="宋体" w:eastAsia="宋体" w:cs="宋体"/>
          <w:color w:val="auto"/>
          <w:kern w:val="2"/>
          <w:sz w:val="21"/>
          <w:szCs w:val="21"/>
          <w:highlight w:val="none"/>
          <w:lang w:val="en-US" w:eastAsia="zh-CN" w:bidi="ar-SA"/>
        </w:rPr>
        <w:t>分标（此处有分标时填写具体分标号，无分标时填写“无”）：</w:t>
      </w:r>
      <w:r>
        <w:rPr>
          <w:rFonts w:hint="eastAsia" w:ascii="宋体" w:hAnsi="宋体" w:eastAsia="宋体" w:cs="宋体"/>
          <w:color w:val="auto"/>
          <w:kern w:val="2"/>
          <w:sz w:val="21"/>
          <w:szCs w:val="21"/>
          <w:highlight w:val="none"/>
          <w:u w:val="single"/>
          <w:lang w:val="en-US" w:eastAsia="zh-CN" w:bidi="ar-SA"/>
        </w:rPr>
        <w:t xml:space="preserve">           </w:t>
      </w:r>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1058"/>
        <w:gridCol w:w="3280"/>
        <w:gridCol w:w="3612"/>
        <w:gridCol w:w="1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jc w:val="center"/>
        </w:trPr>
        <w:tc>
          <w:tcPr>
            <w:tcW w:w="774"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szCs w:val="21"/>
                <w:highlight w:val="none"/>
              </w:rPr>
            </w:pPr>
            <w:r>
              <w:rPr>
                <w:rFonts w:hint="eastAsia" w:ascii="宋体" w:hAnsi="宋体" w:cs="宋体"/>
                <w:color w:val="auto"/>
                <w:szCs w:val="21"/>
                <w:highlight w:val="none"/>
              </w:rPr>
              <w:t>项号</w:t>
            </w:r>
          </w:p>
        </w:tc>
        <w:tc>
          <w:tcPr>
            <w:tcW w:w="10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标的名称</w:t>
            </w:r>
          </w:p>
        </w:tc>
        <w:tc>
          <w:tcPr>
            <w:tcW w:w="32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olor w:val="auto"/>
                <w:szCs w:val="21"/>
                <w:highlight w:val="none"/>
              </w:rPr>
              <w:t>招标文件采购需求中的</w:t>
            </w:r>
            <w:r>
              <w:rPr>
                <w:rFonts w:hint="eastAsia" w:ascii="宋体" w:hAnsi="宋体" w:cs="宋体"/>
                <w:color w:val="auto"/>
                <w:szCs w:val="21"/>
                <w:highlight w:val="none"/>
              </w:rPr>
              <w:t>技术参数及配置</w:t>
            </w:r>
          </w:p>
        </w:tc>
        <w:tc>
          <w:tcPr>
            <w:tcW w:w="36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olor w:val="auto"/>
                <w:szCs w:val="21"/>
                <w:highlight w:val="none"/>
              </w:rPr>
              <w:t>投标文件响应的</w:t>
            </w:r>
            <w:r>
              <w:rPr>
                <w:rFonts w:hint="eastAsia" w:ascii="宋体" w:hAnsi="宋体" w:cs="宋体"/>
                <w:color w:val="auto"/>
                <w:szCs w:val="21"/>
                <w:highlight w:val="none"/>
              </w:rPr>
              <w:t>技术参数及配置</w:t>
            </w:r>
          </w:p>
        </w:tc>
        <w:tc>
          <w:tcPr>
            <w:tcW w:w="113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auto"/>
                <w:szCs w:val="21"/>
                <w:highlight w:val="none"/>
              </w:rPr>
            </w:pPr>
            <w:r>
              <w:rPr>
                <w:rFonts w:hint="eastAsia" w:ascii="宋体" w:hAnsi="宋体"/>
                <w:color w:val="auto"/>
                <w:szCs w:val="21"/>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77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105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highlight w:val="none"/>
              </w:rPr>
            </w:pPr>
          </w:p>
        </w:tc>
        <w:tc>
          <w:tcPr>
            <w:tcW w:w="328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highlight w:val="none"/>
              </w:rPr>
            </w:pPr>
          </w:p>
        </w:tc>
        <w:tc>
          <w:tcPr>
            <w:tcW w:w="3612"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highlight w:val="none"/>
              </w:rPr>
            </w:pPr>
          </w:p>
        </w:tc>
        <w:tc>
          <w:tcPr>
            <w:tcW w:w="113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77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2</w:t>
            </w:r>
          </w:p>
        </w:tc>
        <w:tc>
          <w:tcPr>
            <w:tcW w:w="105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highlight w:val="none"/>
              </w:rPr>
            </w:pPr>
          </w:p>
        </w:tc>
        <w:tc>
          <w:tcPr>
            <w:tcW w:w="328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highlight w:val="none"/>
              </w:rPr>
            </w:pPr>
          </w:p>
        </w:tc>
        <w:tc>
          <w:tcPr>
            <w:tcW w:w="3612"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highlight w:val="none"/>
              </w:rPr>
            </w:pPr>
          </w:p>
        </w:tc>
        <w:tc>
          <w:tcPr>
            <w:tcW w:w="113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77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highlight w:val="none"/>
              </w:rPr>
            </w:pPr>
            <w:r>
              <w:rPr>
                <w:rFonts w:hint="eastAsia" w:ascii="宋体" w:hAnsi="宋体" w:cs="宋体"/>
                <w:color w:val="auto"/>
                <w:szCs w:val="21"/>
                <w:highlight w:val="none"/>
              </w:rPr>
              <w:t>...</w:t>
            </w:r>
          </w:p>
        </w:tc>
        <w:tc>
          <w:tcPr>
            <w:tcW w:w="105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highlight w:val="none"/>
              </w:rPr>
            </w:pPr>
          </w:p>
        </w:tc>
        <w:tc>
          <w:tcPr>
            <w:tcW w:w="328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highlight w:val="none"/>
              </w:rPr>
            </w:pPr>
          </w:p>
        </w:tc>
        <w:tc>
          <w:tcPr>
            <w:tcW w:w="3612"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highlight w:val="none"/>
              </w:rPr>
            </w:pPr>
          </w:p>
        </w:tc>
        <w:tc>
          <w:tcPr>
            <w:tcW w:w="113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9854" w:type="dxa"/>
            <w:gridSpan w:val="5"/>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highlight w:val="none"/>
              </w:rPr>
            </w:pPr>
            <w:r>
              <w:rPr>
                <w:rFonts w:hint="eastAsia" w:ascii="宋体" w:hAnsi="宋体" w:cs="宋体"/>
                <w:color w:val="auto"/>
                <w:szCs w:val="21"/>
                <w:highlight w:val="none"/>
              </w:rPr>
              <w:t>投标货物中，属于优先采购节能产品</w:t>
            </w:r>
            <w:r>
              <w:rPr>
                <w:rFonts w:hint="eastAsia" w:ascii="宋体" w:hAnsi="宋体" w:cs="宋体"/>
                <w:color w:val="auto"/>
                <w:highlight w:val="none"/>
              </w:rPr>
              <w:t>为</w:t>
            </w:r>
            <w:r>
              <w:rPr>
                <w:rFonts w:hint="eastAsia" w:ascii="宋体" w:hAnsi="宋体" w:cs="宋体"/>
                <w:color w:val="auto"/>
                <w:szCs w:val="21"/>
                <w:highlight w:val="none"/>
              </w:rPr>
              <w:t>本项目招标文件“第二章 采购需求”中</w:t>
            </w:r>
            <w:r>
              <w:rPr>
                <w:rFonts w:hint="eastAsia" w:ascii="宋体" w:hAnsi="宋体" w:cs="宋体"/>
                <w:color w:val="auto"/>
                <w:highlight w:val="none"/>
              </w:rPr>
              <w:t>“</w:t>
            </w:r>
            <w:r>
              <w:rPr>
                <w:rFonts w:hint="eastAsia" w:ascii="宋体" w:hAnsi="宋体" w:cs="宋体"/>
                <w:color w:val="auto"/>
                <w:szCs w:val="21"/>
                <w:highlight w:val="none"/>
              </w:rPr>
              <w:t>需求一览表</w:t>
            </w:r>
            <w:r>
              <w:rPr>
                <w:rFonts w:hint="eastAsia" w:ascii="宋体" w:hAnsi="宋体" w:cs="宋体"/>
                <w:color w:val="auto"/>
                <w:highlight w:val="none"/>
              </w:rPr>
              <w:t>”的第</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rPr>
              <w:t>项产品：</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rPr>
              <w:t>，合计</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rPr>
              <w:t>项</w:t>
            </w:r>
            <w:r>
              <w:rPr>
                <w:rFonts w:hint="eastAsia" w:ascii="宋体" w:hAnsi="宋体" w:cs="宋体"/>
                <w:color w:val="auto"/>
                <w:szCs w:val="21"/>
                <w:highlight w:val="none"/>
              </w:rPr>
              <w:t>；属于优先采购环境标志产品为本项目招标文件“第二章 采购需求”中</w:t>
            </w:r>
            <w:r>
              <w:rPr>
                <w:rFonts w:hint="eastAsia" w:ascii="宋体" w:hAnsi="宋体" w:cs="宋体"/>
                <w:color w:val="auto"/>
                <w:highlight w:val="none"/>
              </w:rPr>
              <w:t>“</w:t>
            </w:r>
            <w:r>
              <w:rPr>
                <w:rFonts w:hint="eastAsia" w:ascii="宋体" w:hAnsi="宋体" w:cs="宋体"/>
                <w:color w:val="auto"/>
                <w:szCs w:val="21"/>
                <w:highlight w:val="none"/>
              </w:rPr>
              <w:t>需求一览表</w:t>
            </w:r>
            <w:r>
              <w:rPr>
                <w:rFonts w:hint="eastAsia" w:ascii="宋体" w:hAnsi="宋体" w:cs="宋体"/>
                <w:color w:val="auto"/>
                <w:highlight w:val="none"/>
              </w:rPr>
              <w:t>”的第</w:t>
            </w:r>
            <w:r>
              <w:rPr>
                <w:rFonts w:hint="eastAsia" w:ascii="宋体" w:hAnsi="宋体" w:cs="宋体"/>
                <w:color w:val="auto"/>
                <w:highlight w:val="none"/>
                <w:u w:val="single"/>
              </w:rPr>
              <w:t xml:space="preserve">   </w:t>
            </w:r>
            <w:r>
              <w:rPr>
                <w:rFonts w:hint="eastAsia" w:ascii="宋体" w:hAnsi="宋体" w:cs="宋体"/>
                <w:color w:val="auto"/>
                <w:highlight w:val="none"/>
              </w:rPr>
              <w:t>项产品：</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rPr>
              <w:t>，合计</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rPr>
              <w:t>项</w:t>
            </w:r>
            <w:r>
              <w:rPr>
                <w:rFonts w:hint="eastAsia" w:ascii="宋体" w:hAnsi="宋体" w:cs="宋体"/>
                <w:color w:val="auto"/>
                <w:szCs w:val="21"/>
                <w:highlight w:val="none"/>
              </w:rPr>
              <w:t>。</w:t>
            </w:r>
            <w:r>
              <w:rPr>
                <w:rFonts w:hint="eastAsia" w:ascii="宋体" w:hAnsi="宋体" w:cs="宋体"/>
                <w:b/>
                <w:bCs/>
                <w:color w:val="auto"/>
                <w:szCs w:val="21"/>
                <w:highlight w:val="none"/>
              </w:rPr>
              <w:t>（注：如有，请逐项列出，如无填写“无”或者留空。）</w:t>
            </w:r>
          </w:p>
        </w:tc>
      </w:tr>
    </w:tbl>
    <w:p>
      <w:pPr>
        <w:spacing w:line="360" w:lineRule="auto"/>
        <w:rPr>
          <w:rFonts w:ascii="宋体" w:hAnsi="宋体" w:cs="宋体"/>
          <w:color w:val="auto"/>
          <w:szCs w:val="21"/>
          <w:highlight w:val="none"/>
        </w:rPr>
      </w:pPr>
    </w:p>
    <w:p>
      <w:pPr>
        <w:pStyle w:val="2"/>
        <w:rPr>
          <w:rFonts w:hAnsi="宋体"/>
          <w:color w:val="auto"/>
          <w:szCs w:val="21"/>
          <w:highlight w:val="none"/>
        </w:rPr>
      </w:pPr>
    </w:p>
    <w:p>
      <w:pPr>
        <w:spacing w:line="360" w:lineRule="auto"/>
        <w:rPr>
          <w:rFonts w:ascii="宋体" w:hAnsi="宋体" w:cs="宋体"/>
          <w:color w:val="auto"/>
          <w:szCs w:val="21"/>
          <w:highlight w:val="none"/>
        </w:rPr>
      </w:pPr>
      <w:r>
        <w:rPr>
          <w:rFonts w:hint="eastAsia" w:ascii="宋体" w:hAnsi="宋体" w:cs="宋体"/>
          <w:color w:val="auto"/>
          <w:szCs w:val="21"/>
          <w:highlight w:val="none"/>
        </w:rPr>
        <w:t>注：</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1.表格内容均需按要求填写并加盖投标人公章。</w:t>
      </w:r>
    </w:p>
    <w:p>
      <w:pPr>
        <w:spacing w:line="360" w:lineRule="auto"/>
        <w:ind w:firstLine="420" w:firstLineChars="200"/>
        <w:rPr>
          <w:rFonts w:ascii="宋体" w:hAnsi="宋体" w:cs="宋体"/>
          <w:color w:val="auto"/>
          <w:szCs w:val="21"/>
          <w:highlight w:val="none"/>
        </w:rPr>
      </w:pPr>
      <w:r>
        <w:rPr>
          <w:rFonts w:hint="eastAsia" w:ascii="宋体" w:hAnsi="宋体" w:cs="宋体"/>
          <w:bCs/>
          <w:color w:val="auto"/>
          <w:szCs w:val="21"/>
          <w:highlight w:val="none"/>
        </w:rPr>
        <w:t>2.</w:t>
      </w:r>
      <w:r>
        <w:rPr>
          <w:rFonts w:hint="eastAsia" w:ascii="宋体" w:hAnsi="宋体" w:cs="宋体"/>
          <w:color w:val="auto"/>
          <w:szCs w:val="21"/>
          <w:highlight w:val="none"/>
        </w:rPr>
        <w:t>请根据所投货物的实际技术参数，逐条对应本项目招标文件“第二章 采购需求”中“需求一览表”的技术参数及配置条款</w:t>
      </w:r>
      <w:r>
        <w:rPr>
          <w:rFonts w:hint="eastAsia" w:ascii="宋体" w:hAnsi="宋体" w:cs="宋体"/>
          <w:color w:val="auto"/>
          <w:kern w:val="0"/>
          <w:szCs w:val="21"/>
          <w:highlight w:val="none"/>
          <w:lang w:val="zh-CN"/>
        </w:rPr>
        <w:t>作出明确响应，并作出偏离说明</w:t>
      </w:r>
      <w:r>
        <w:rPr>
          <w:rFonts w:hint="eastAsia" w:ascii="宋体" w:hAnsi="宋体" w:cs="宋体"/>
          <w:color w:val="auto"/>
          <w:szCs w:val="21"/>
          <w:highlight w:val="none"/>
        </w:rPr>
        <w:t>。“偏离说明”一栏应当选择“正偏离”或“负偏离”或“无偏离”进行填写。</w:t>
      </w:r>
    </w:p>
    <w:p>
      <w:pPr>
        <w:spacing w:line="360" w:lineRule="auto"/>
        <w:ind w:firstLine="420" w:firstLineChars="200"/>
        <w:rPr>
          <w:rFonts w:ascii="宋体" w:hAnsi="宋体" w:cs="宋体"/>
          <w:color w:val="auto"/>
          <w:szCs w:val="21"/>
          <w:highlight w:val="none"/>
        </w:rPr>
      </w:pPr>
      <w:r>
        <w:rPr>
          <w:rFonts w:hint="eastAsia" w:ascii="宋体" w:hAnsi="宋体" w:cs="宋体"/>
          <w:bCs/>
          <w:color w:val="auto"/>
          <w:szCs w:val="21"/>
          <w:highlight w:val="none"/>
        </w:rPr>
        <w:t>3.当投标文件的</w:t>
      </w:r>
      <w:r>
        <w:rPr>
          <w:rFonts w:hint="eastAsia" w:ascii="宋体" w:hAnsi="宋体" w:cs="宋体"/>
          <w:color w:val="auto"/>
          <w:szCs w:val="21"/>
          <w:highlight w:val="none"/>
        </w:rPr>
        <w:t>技术参数及配置</w:t>
      </w:r>
      <w:r>
        <w:rPr>
          <w:rFonts w:hint="eastAsia" w:ascii="宋体" w:hAnsi="宋体" w:cs="宋体"/>
          <w:bCs/>
          <w:color w:val="auto"/>
          <w:szCs w:val="21"/>
          <w:highlight w:val="none"/>
        </w:rPr>
        <w:t>内容低于招标文件要求时，投标人应当如实写明“负偏离”。</w:t>
      </w:r>
    </w:p>
    <w:p>
      <w:pPr>
        <w:spacing w:line="360" w:lineRule="auto"/>
        <w:rPr>
          <w:rFonts w:ascii="宋体" w:hAnsi="宋体" w:cs="宋体"/>
          <w:color w:val="auto"/>
          <w:szCs w:val="21"/>
          <w:highlight w:val="none"/>
        </w:rPr>
      </w:pPr>
    </w:p>
    <w:p>
      <w:pPr>
        <w:snapToGrid w:val="0"/>
        <w:spacing w:line="360" w:lineRule="auto"/>
        <w:ind w:firstLine="5640" w:firstLineChars="2350"/>
        <w:rPr>
          <w:rFonts w:ascii="宋体" w:hAnsi="宋体" w:cs="宋体"/>
          <w:color w:val="auto"/>
          <w:kern w:val="0"/>
          <w:sz w:val="24"/>
          <w:highlight w:val="none"/>
          <w:lang w:val="zh-CN"/>
        </w:rPr>
      </w:pPr>
    </w:p>
    <w:p>
      <w:pPr>
        <w:snapToGrid w:val="0"/>
        <w:jc w:val="left"/>
        <w:rPr>
          <w:color w:val="auto"/>
          <w:sz w:val="18"/>
          <w:szCs w:val="18"/>
          <w:highlight w:val="none"/>
          <w:lang w:val="zh-CN"/>
        </w:rPr>
      </w:pPr>
    </w:p>
    <w:p>
      <w:pPr>
        <w:snapToGrid w:val="0"/>
        <w:spacing w:line="360" w:lineRule="auto"/>
        <w:ind w:firstLine="5880" w:firstLineChars="2450"/>
        <w:rPr>
          <w:rFonts w:ascii="宋体" w:hAnsi="宋体" w:cs="宋体"/>
          <w:color w:val="auto"/>
          <w:kern w:val="0"/>
          <w:sz w:val="24"/>
          <w:highlight w:val="none"/>
        </w:rPr>
      </w:pPr>
      <w:r>
        <w:rPr>
          <w:rFonts w:hint="eastAsia" w:ascii="宋体" w:hAnsi="宋体" w:cs="宋体"/>
          <w:color w:val="auto"/>
          <w:kern w:val="0"/>
          <w:sz w:val="24"/>
          <w:highlight w:val="none"/>
          <w:lang w:val="zh-CN"/>
        </w:rPr>
        <w:t>投标人名称(盖公章)：</w:t>
      </w:r>
    </w:p>
    <w:p>
      <w:pPr>
        <w:snapToGrid w:val="0"/>
        <w:spacing w:line="360" w:lineRule="auto"/>
        <w:ind w:firstLine="5880" w:firstLineChars="245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日期</w:t>
      </w:r>
      <w:r>
        <w:rPr>
          <w:rFonts w:hint="eastAsia" w:ascii="宋体" w:hAnsi="宋体" w:cs="宋体"/>
          <w:color w:val="auto"/>
          <w:kern w:val="0"/>
          <w:sz w:val="24"/>
          <w:highlight w:val="none"/>
        </w:rPr>
        <w:t>：  年  月  日</w:t>
      </w:r>
    </w:p>
    <w:p>
      <w:pPr>
        <w:rPr>
          <w:color w:val="auto"/>
          <w:highlight w:val="none"/>
        </w:rPr>
      </w:pPr>
    </w:p>
    <w:p>
      <w:pPr>
        <w:jc w:val="center"/>
        <w:outlineLvl w:val="1"/>
        <w:rPr>
          <w:rFonts w:ascii="宋体" w:hAnsi="宋体" w:cs="宋体"/>
          <w:b/>
          <w:bCs/>
          <w:color w:val="auto"/>
          <w:sz w:val="28"/>
          <w:szCs w:val="28"/>
          <w:highlight w:val="none"/>
        </w:rPr>
      </w:pPr>
      <w:r>
        <w:rPr>
          <w:rFonts w:hint="eastAsia" w:ascii="宋体" w:hAnsi="宋体" w:cs="宋体"/>
          <w:b/>
          <w:bCs/>
          <w:color w:val="auto"/>
          <w:sz w:val="24"/>
          <w:highlight w:val="none"/>
        </w:rPr>
        <w:br w:type="page"/>
      </w:r>
      <w:bookmarkStart w:id="252" w:name="_Toc10710"/>
      <w:bookmarkStart w:id="253" w:name="_Toc21638"/>
      <w:bookmarkStart w:id="254" w:name="_Toc31296"/>
      <w:bookmarkStart w:id="255" w:name="_Toc17482"/>
      <w:bookmarkStart w:id="256" w:name="_Toc27076"/>
      <w:r>
        <w:rPr>
          <w:rFonts w:hint="eastAsia" w:ascii="宋体" w:hAnsi="宋体" w:cs="宋体"/>
          <w:b/>
          <w:bCs/>
          <w:color w:val="auto"/>
          <w:sz w:val="28"/>
          <w:szCs w:val="28"/>
          <w:highlight w:val="none"/>
        </w:rPr>
        <w:t>第五节 报价文件格式</w:t>
      </w:r>
      <w:bookmarkEnd w:id="252"/>
      <w:bookmarkEnd w:id="253"/>
      <w:bookmarkEnd w:id="254"/>
      <w:bookmarkEnd w:id="255"/>
      <w:bookmarkEnd w:id="256"/>
    </w:p>
    <w:p>
      <w:pPr>
        <w:snapToGrid w:val="0"/>
        <w:spacing w:beforeLines="50" w:after="50" w:line="400" w:lineRule="exact"/>
        <w:jc w:val="left"/>
        <w:rPr>
          <w:rFonts w:ascii="宋体" w:hAnsi="宋体" w:cs="宋体"/>
          <w:color w:val="auto"/>
          <w:sz w:val="24"/>
          <w:highlight w:val="none"/>
        </w:rPr>
      </w:pPr>
    </w:p>
    <w:p>
      <w:pPr>
        <w:snapToGrid w:val="0"/>
        <w:spacing w:beforeLines="50" w:after="50" w:line="400" w:lineRule="exact"/>
        <w:jc w:val="left"/>
        <w:rPr>
          <w:rFonts w:ascii="宋体" w:hAnsi="宋体" w:cs="宋体"/>
          <w:b/>
          <w:bCs/>
          <w:color w:val="auto"/>
          <w:sz w:val="28"/>
          <w:szCs w:val="28"/>
          <w:highlight w:val="none"/>
        </w:rPr>
      </w:pPr>
      <w:r>
        <w:rPr>
          <w:rFonts w:hint="eastAsia" w:ascii="宋体" w:hAnsi="宋体" w:cs="宋体"/>
          <w:b/>
          <w:bCs/>
          <w:color w:val="auto"/>
          <w:sz w:val="28"/>
          <w:szCs w:val="28"/>
          <w:highlight w:val="none"/>
        </w:rPr>
        <w:t xml:space="preserve">1.报价文件封面的格式： </w:t>
      </w:r>
    </w:p>
    <w:p>
      <w:pPr>
        <w:snapToGrid w:val="0"/>
        <w:spacing w:beforeLines="50" w:after="50" w:line="400" w:lineRule="exact"/>
        <w:jc w:val="left"/>
        <w:rPr>
          <w:rFonts w:ascii="宋体" w:hAnsi="宋体" w:cs="宋体"/>
          <w:b/>
          <w:bCs/>
          <w:color w:val="auto"/>
          <w:sz w:val="28"/>
          <w:szCs w:val="28"/>
          <w:highlight w:val="none"/>
        </w:rPr>
      </w:pPr>
    </w:p>
    <w:p>
      <w:pPr>
        <w:snapToGrid w:val="0"/>
        <w:spacing w:beforeLines="50" w:after="50" w:line="400" w:lineRule="exact"/>
        <w:jc w:val="left"/>
        <w:rPr>
          <w:rFonts w:ascii="宋体" w:hAnsi="宋体" w:cs="宋体"/>
          <w:color w:val="auto"/>
          <w:sz w:val="24"/>
          <w:highlight w:val="none"/>
        </w:rPr>
      </w:pPr>
    </w:p>
    <w:p>
      <w:pPr>
        <w:snapToGrid w:val="0"/>
        <w:spacing w:beforeLines="50" w:after="50" w:line="400" w:lineRule="exact"/>
        <w:ind w:firstLine="5040" w:firstLineChars="2400"/>
        <w:jc w:val="right"/>
        <w:rPr>
          <w:rFonts w:ascii="宋体" w:hAnsi="宋体" w:cs="宋体"/>
          <w:bCs/>
          <w:color w:val="auto"/>
          <w:sz w:val="32"/>
          <w:szCs w:val="20"/>
          <w:highlight w:val="none"/>
        </w:rPr>
      </w:pPr>
      <w:r>
        <w:rPr>
          <w:rFonts w:hint="eastAsia" w:ascii="宋体" w:hAnsi="宋体" w:cs="宋体"/>
          <w:bCs/>
          <w:color w:val="auto"/>
          <w:highlight w:val="none"/>
        </w:rPr>
        <w:t>电子投标文件</w:t>
      </w:r>
    </w:p>
    <w:p>
      <w:pPr>
        <w:snapToGrid w:val="0"/>
        <w:spacing w:beforeLines="50" w:after="50" w:line="400" w:lineRule="exact"/>
        <w:jc w:val="center"/>
        <w:rPr>
          <w:rFonts w:ascii="宋体" w:hAnsi="宋体" w:cs="宋体"/>
          <w:bCs/>
          <w:color w:val="auto"/>
          <w:sz w:val="24"/>
          <w:szCs w:val="20"/>
          <w:highlight w:val="none"/>
        </w:rPr>
      </w:pPr>
    </w:p>
    <w:p>
      <w:pPr>
        <w:snapToGrid w:val="0"/>
        <w:spacing w:beforeLines="50" w:after="50" w:line="400" w:lineRule="exact"/>
        <w:jc w:val="center"/>
        <w:rPr>
          <w:rFonts w:ascii="宋体" w:hAnsi="宋体" w:cs="宋体"/>
          <w:b/>
          <w:bCs/>
          <w:color w:val="auto"/>
          <w:sz w:val="32"/>
          <w:szCs w:val="32"/>
          <w:highlight w:val="none"/>
        </w:rPr>
      </w:pPr>
    </w:p>
    <w:p>
      <w:pPr>
        <w:snapToGrid w:val="0"/>
        <w:spacing w:beforeLines="50" w:after="50" w:line="400" w:lineRule="exact"/>
        <w:jc w:val="center"/>
        <w:rPr>
          <w:rFonts w:ascii="宋体" w:hAnsi="宋体" w:cs="宋体"/>
          <w:b/>
          <w:bCs/>
          <w:color w:val="auto"/>
          <w:sz w:val="32"/>
          <w:szCs w:val="32"/>
          <w:highlight w:val="none"/>
        </w:rPr>
      </w:pPr>
      <w:r>
        <w:rPr>
          <w:rFonts w:hint="eastAsia" w:ascii="宋体" w:hAnsi="宋体" w:cs="宋体"/>
          <w:b/>
          <w:bCs/>
          <w:color w:val="auto"/>
          <w:sz w:val="32"/>
          <w:szCs w:val="32"/>
          <w:highlight w:val="none"/>
        </w:rPr>
        <w:t>报价文件</w:t>
      </w:r>
    </w:p>
    <w:p>
      <w:pPr>
        <w:snapToGrid w:val="0"/>
        <w:spacing w:beforeLines="50" w:after="50" w:line="400" w:lineRule="exact"/>
        <w:rPr>
          <w:rFonts w:ascii="宋体" w:hAnsi="宋体" w:cs="宋体"/>
          <w:bCs/>
          <w:color w:val="auto"/>
          <w:sz w:val="24"/>
          <w:szCs w:val="20"/>
          <w:highlight w:val="none"/>
        </w:rPr>
      </w:pPr>
    </w:p>
    <w:p>
      <w:pPr>
        <w:snapToGrid w:val="0"/>
        <w:spacing w:beforeLines="50" w:after="50" w:line="400" w:lineRule="exact"/>
        <w:rPr>
          <w:rFonts w:ascii="宋体" w:hAnsi="宋体" w:cs="宋体"/>
          <w:bCs/>
          <w:color w:val="auto"/>
          <w:sz w:val="24"/>
          <w:szCs w:val="20"/>
          <w:highlight w:val="none"/>
        </w:rPr>
      </w:pPr>
    </w:p>
    <w:p>
      <w:pPr>
        <w:snapToGrid w:val="0"/>
        <w:spacing w:beforeLines="50" w:after="50" w:line="400" w:lineRule="exact"/>
        <w:rPr>
          <w:rFonts w:ascii="宋体" w:hAnsi="宋体" w:cs="宋体"/>
          <w:bCs/>
          <w:color w:val="auto"/>
          <w:sz w:val="24"/>
          <w:szCs w:val="20"/>
          <w:highlight w:val="none"/>
        </w:rPr>
      </w:pPr>
    </w:p>
    <w:p>
      <w:pPr>
        <w:snapToGrid w:val="0"/>
        <w:spacing w:beforeLines="50" w:after="50" w:line="400" w:lineRule="exact"/>
        <w:rPr>
          <w:rFonts w:ascii="宋体" w:hAnsi="宋体" w:cs="宋体"/>
          <w:bCs/>
          <w:color w:val="auto"/>
          <w:sz w:val="24"/>
          <w:szCs w:val="20"/>
          <w:highlight w:val="none"/>
        </w:rPr>
      </w:pPr>
    </w:p>
    <w:p>
      <w:pPr>
        <w:snapToGrid w:val="0"/>
        <w:spacing w:beforeLines="50" w:after="50" w:line="400" w:lineRule="exact"/>
        <w:ind w:firstLine="360" w:firstLineChars="150"/>
        <w:rPr>
          <w:rFonts w:ascii="宋体" w:hAnsi="宋体" w:cs="宋体"/>
          <w:bCs/>
          <w:color w:val="auto"/>
          <w:sz w:val="24"/>
          <w:highlight w:val="none"/>
        </w:rPr>
      </w:pPr>
      <w:r>
        <w:rPr>
          <w:rFonts w:hint="eastAsia" w:ascii="宋体" w:hAnsi="宋体" w:cs="宋体"/>
          <w:bCs/>
          <w:color w:val="auto"/>
          <w:sz w:val="24"/>
          <w:highlight w:val="none"/>
        </w:rPr>
        <w:t xml:space="preserve">项目名称： </w:t>
      </w:r>
    </w:p>
    <w:p>
      <w:pPr>
        <w:snapToGrid w:val="0"/>
        <w:spacing w:beforeLines="50" w:after="50" w:line="400" w:lineRule="exact"/>
        <w:ind w:firstLine="360" w:firstLineChars="150"/>
        <w:rPr>
          <w:rFonts w:ascii="宋体" w:hAnsi="宋体" w:cs="宋体"/>
          <w:bCs/>
          <w:color w:val="auto"/>
          <w:sz w:val="24"/>
          <w:highlight w:val="none"/>
        </w:rPr>
      </w:pPr>
    </w:p>
    <w:p>
      <w:pPr>
        <w:snapToGrid w:val="0"/>
        <w:spacing w:beforeLines="50" w:after="50" w:line="400" w:lineRule="exact"/>
        <w:ind w:firstLine="360" w:firstLineChars="150"/>
        <w:rPr>
          <w:rFonts w:ascii="宋体" w:hAnsi="宋体" w:cs="宋体"/>
          <w:bCs/>
          <w:color w:val="auto"/>
          <w:sz w:val="24"/>
          <w:highlight w:val="none"/>
        </w:rPr>
      </w:pPr>
      <w:r>
        <w:rPr>
          <w:rFonts w:hint="eastAsia" w:ascii="宋体" w:hAnsi="宋体" w:cs="宋体"/>
          <w:bCs/>
          <w:color w:val="auto"/>
          <w:sz w:val="24"/>
          <w:highlight w:val="none"/>
        </w:rPr>
        <w:t xml:space="preserve">项目编号： </w:t>
      </w:r>
    </w:p>
    <w:p>
      <w:pPr>
        <w:snapToGrid w:val="0"/>
        <w:spacing w:beforeLines="50" w:after="50" w:line="400" w:lineRule="exact"/>
        <w:ind w:firstLine="360" w:firstLineChars="150"/>
        <w:rPr>
          <w:rFonts w:ascii="宋体" w:hAnsi="宋体" w:cs="宋体"/>
          <w:bCs/>
          <w:color w:val="auto"/>
          <w:sz w:val="24"/>
          <w:highlight w:val="none"/>
        </w:rPr>
      </w:pPr>
    </w:p>
    <w:p>
      <w:pPr>
        <w:snapToGrid w:val="0"/>
        <w:spacing w:beforeLines="50" w:after="50" w:line="400" w:lineRule="exact"/>
        <w:ind w:firstLine="360" w:firstLineChars="150"/>
        <w:rPr>
          <w:rFonts w:ascii="宋体" w:hAnsi="宋体" w:cs="宋体"/>
          <w:bCs/>
          <w:color w:val="auto"/>
          <w:sz w:val="24"/>
          <w:highlight w:val="none"/>
        </w:rPr>
      </w:pPr>
      <w:r>
        <w:rPr>
          <w:rFonts w:hint="eastAsia" w:ascii="宋体" w:hAnsi="宋体" w:cs="宋体"/>
          <w:bCs/>
          <w:color w:val="auto"/>
          <w:sz w:val="24"/>
          <w:highlight w:val="none"/>
        </w:rPr>
        <w:t>所投分标（如有则填写，无分标时填写“无”或者留空）：</w:t>
      </w:r>
    </w:p>
    <w:p>
      <w:pPr>
        <w:snapToGrid w:val="0"/>
        <w:spacing w:beforeLines="50" w:after="50" w:line="400" w:lineRule="exact"/>
        <w:ind w:firstLine="360" w:firstLineChars="150"/>
        <w:rPr>
          <w:rFonts w:ascii="宋体" w:hAnsi="宋体" w:cs="宋体"/>
          <w:bCs/>
          <w:color w:val="auto"/>
          <w:sz w:val="24"/>
          <w:highlight w:val="none"/>
        </w:rPr>
      </w:pPr>
    </w:p>
    <w:p>
      <w:pPr>
        <w:snapToGrid w:val="0"/>
        <w:spacing w:beforeLines="50" w:after="50" w:line="400" w:lineRule="exact"/>
        <w:ind w:firstLine="360" w:firstLineChars="150"/>
        <w:rPr>
          <w:rFonts w:ascii="宋体" w:hAnsi="宋体" w:cs="宋体"/>
          <w:bCs/>
          <w:color w:val="auto"/>
          <w:sz w:val="24"/>
          <w:highlight w:val="none"/>
        </w:rPr>
      </w:pPr>
      <w:r>
        <w:rPr>
          <w:rFonts w:hint="eastAsia" w:ascii="宋体" w:hAnsi="宋体" w:cs="宋体"/>
          <w:bCs/>
          <w:color w:val="auto"/>
          <w:sz w:val="24"/>
          <w:highlight w:val="none"/>
        </w:rPr>
        <w:t>投标人名称：</w:t>
      </w:r>
    </w:p>
    <w:p>
      <w:pPr>
        <w:snapToGrid w:val="0"/>
        <w:spacing w:beforeLines="50" w:after="50" w:line="400" w:lineRule="exact"/>
        <w:ind w:firstLine="360" w:firstLineChars="150"/>
        <w:rPr>
          <w:rFonts w:ascii="宋体" w:hAnsi="宋体" w:cs="宋体"/>
          <w:bCs/>
          <w:color w:val="auto"/>
          <w:sz w:val="24"/>
          <w:highlight w:val="none"/>
        </w:rPr>
      </w:pPr>
    </w:p>
    <w:p>
      <w:pPr>
        <w:snapToGrid w:val="0"/>
        <w:spacing w:beforeLines="50" w:after="50" w:line="400" w:lineRule="exact"/>
        <w:ind w:firstLine="360" w:firstLineChars="150"/>
        <w:rPr>
          <w:rFonts w:ascii="宋体" w:hAnsi="宋体" w:cs="宋体"/>
          <w:bCs/>
          <w:color w:val="auto"/>
          <w:sz w:val="24"/>
          <w:highlight w:val="none"/>
        </w:rPr>
      </w:pPr>
      <w:r>
        <w:rPr>
          <w:rFonts w:hint="eastAsia" w:ascii="宋体" w:hAnsi="宋体" w:cs="宋体"/>
          <w:bCs/>
          <w:color w:val="auto"/>
          <w:sz w:val="24"/>
          <w:highlight w:val="none"/>
        </w:rPr>
        <w:t>投标人地址：</w:t>
      </w:r>
    </w:p>
    <w:p>
      <w:pPr>
        <w:snapToGrid w:val="0"/>
        <w:spacing w:before="50" w:after="50" w:line="400" w:lineRule="exact"/>
        <w:ind w:firstLine="960" w:firstLineChars="400"/>
        <w:rPr>
          <w:rFonts w:ascii="宋体" w:hAnsi="宋体" w:cs="宋体"/>
          <w:bCs/>
          <w:color w:val="auto"/>
          <w:sz w:val="24"/>
          <w:highlight w:val="none"/>
        </w:rPr>
      </w:pPr>
    </w:p>
    <w:p>
      <w:pPr>
        <w:snapToGrid w:val="0"/>
        <w:spacing w:beforeLines="50" w:after="50" w:line="400" w:lineRule="exact"/>
        <w:rPr>
          <w:rFonts w:ascii="宋体" w:hAnsi="宋体" w:cs="宋体"/>
          <w:color w:val="auto"/>
          <w:sz w:val="24"/>
          <w:highlight w:val="none"/>
        </w:rPr>
      </w:pPr>
      <w:r>
        <w:rPr>
          <w:rFonts w:hint="eastAsia" w:ascii="宋体" w:hAnsi="宋体" w:cs="宋体"/>
          <w:color w:val="auto"/>
          <w:sz w:val="24"/>
          <w:highlight w:val="none"/>
        </w:rPr>
        <w:t xml:space="preserve">                                      年   月   日</w:t>
      </w:r>
    </w:p>
    <w:p>
      <w:pPr>
        <w:snapToGrid w:val="0"/>
        <w:spacing w:beforeLines="50" w:after="50" w:line="360" w:lineRule="auto"/>
        <w:jc w:val="left"/>
        <w:rPr>
          <w:rFonts w:ascii="宋体" w:hAnsi="宋体" w:cs="宋体"/>
          <w:color w:val="auto"/>
          <w:sz w:val="28"/>
          <w:szCs w:val="28"/>
          <w:highlight w:val="none"/>
        </w:rPr>
      </w:pPr>
      <w:r>
        <w:rPr>
          <w:rFonts w:hint="eastAsia" w:ascii="宋体" w:hAnsi="宋体" w:cs="宋体"/>
          <w:b/>
          <w:color w:val="auto"/>
          <w:sz w:val="28"/>
          <w:szCs w:val="28"/>
          <w:highlight w:val="none"/>
        </w:rPr>
        <w:br w:type="page"/>
      </w:r>
      <w:r>
        <w:rPr>
          <w:rFonts w:hint="eastAsia" w:ascii="宋体" w:hAnsi="宋体" w:cs="宋体"/>
          <w:b/>
          <w:color w:val="auto"/>
          <w:sz w:val="28"/>
          <w:szCs w:val="28"/>
          <w:highlight w:val="none"/>
        </w:rPr>
        <w:t>2.</w:t>
      </w:r>
      <w:r>
        <w:rPr>
          <w:rFonts w:hint="eastAsia" w:ascii="宋体" w:hAnsi="宋体" w:cs="宋体"/>
          <w:b/>
          <w:bCs/>
          <w:color w:val="auto"/>
          <w:sz w:val="28"/>
          <w:szCs w:val="28"/>
          <w:highlight w:val="none"/>
        </w:rPr>
        <w:t>报价文件目录</w:t>
      </w:r>
    </w:p>
    <w:p>
      <w:pPr>
        <w:snapToGrid w:val="0"/>
        <w:spacing w:before="50" w:afterLines="50" w:line="360" w:lineRule="auto"/>
        <w:jc w:val="left"/>
        <w:rPr>
          <w:rFonts w:ascii="宋体" w:hAnsi="宋体" w:cs="宋体"/>
          <w:b/>
          <w:color w:val="auto"/>
          <w:sz w:val="28"/>
          <w:szCs w:val="28"/>
          <w:highlight w:val="none"/>
        </w:rPr>
      </w:pPr>
      <w:r>
        <w:rPr>
          <w:rFonts w:hint="eastAsia" w:ascii="宋体" w:hAnsi="宋体" w:cs="宋体"/>
          <w:color w:val="auto"/>
          <w:sz w:val="28"/>
          <w:szCs w:val="28"/>
          <w:highlight w:val="none"/>
        </w:rPr>
        <w:t>根据招标文件规定及投标人提供的材料自行编写目录</w:t>
      </w:r>
      <w:r>
        <w:rPr>
          <w:rFonts w:hint="eastAsia" w:ascii="宋体" w:hAnsi="宋体" w:cs="宋体"/>
          <w:color w:val="auto"/>
          <w:kern w:val="0"/>
          <w:sz w:val="28"/>
          <w:szCs w:val="28"/>
          <w:highlight w:val="none"/>
        </w:rPr>
        <w:t>（部分格式后附）</w:t>
      </w:r>
      <w:r>
        <w:rPr>
          <w:rFonts w:hint="eastAsia" w:ascii="宋体" w:hAnsi="宋体" w:cs="宋体"/>
          <w:color w:val="auto"/>
          <w:sz w:val="28"/>
          <w:szCs w:val="28"/>
          <w:highlight w:val="none"/>
        </w:rPr>
        <w:t>。</w:t>
      </w:r>
    </w:p>
    <w:p>
      <w:pPr>
        <w:spacing w:line="360" w:lineRule="auto"/>
        <w:rPr>
          <w:rFonts w:ascii="宋体" w:hAnsi="宋体" w:cs="宋体"/>
          <w:color w:val="auto"/>
          <w:sz w:val="24"/>
          <w:highlight w:val="none"/>
        </w:rPr>
      </w:pPr>
      <w:r>
        <w:rPr>
          <w:rFonts w:hint="eastAsia" w:ascii="宋体" w:hAnsi="宋体" w:cs="宋体"/>
          <w:color w:val="auto"/>
          <w:sz w:val="24"/>
          <w:highlight w:val="none"/>
        </w:rPr>
        <w:br w:type="page"/>
      </w:r>
      <w:r>
        <w:rPr>
          <w:rFonts w:hint="eastAsia" w:ascii="宋体" w:hAnsi="宋体" w:cs="宋体"/>
          <w:b/>
          <w:bCs/>
          <w:color w:val="auto"/>
          <w:sz w:val="28"/>
          <w:szCs w:val="28"/>
          <w:highlight w:val="none"/>
        </w:rPr>
        <w:t>3.投标函的格式：</w:t>
      </w:r>
    </w:p>
    <w:p>
      <w:pPr>
        <w:spacing w:line="500" w:lineRule="exact"/>
        <w:jc w:val="center"/>
        <w:rPr>
          <w:rFonts w:ascii="宋体" w:hAnsi="宋体" w:cs="宋体"/>
          <w:b/>
          <w:bCs/>
          <w:color w:val="auto"/>
          <w:sz w:val="30"/>
          <w:szCs w:val="30"/>
          <w:highlight w:val="none"/>
        </w:rPr>
      </w:pPr>
      <w:r>
        <w:rPr>
          <w:rFonts w:hint="eastAsia" w:ascii="宋体" w:hAnsi="宋体" w:cs="宋体"/>
          <w:b/>
          <w:bCs/>
          <w:color w:val="auto"/>
          <w:sz w:val="30"/>
          <w:szCs w:val="30"/>
          <w:highlight w:val="none"/>
        </w:rPr>
        <w:t>投标函</w:t>
      </w:r>
    </w:p>
    <w:p>
      <w:pPr>
        <w:spacing w:line="440" w:lineRule="exact"/>
        <w:ind w:firstLine="420" w:firstLineChars="200"/>
        <w:rPr>
          <w:rFonts w:ascii="宋体" w:hAnsi="宋体" w:cs="宋体"/>
          <w:color w:val="auto"/>
          <w:szCs w:val="20"/>
          <w:highlight w:val="none"/>
        </w:rPr>
      </w:pPr>
    </w:p>
    <w:p>
      <w:pPr>
        <w:spacing w:line="440" w:lineRule="exact"/>
        <w:ind w:firstLine="420" w:firstLineChars="200"/>
        <w:rPr>
          <w:rFonts w:ascii="宋体" w:hAnsi="宋体" w:cs="宋体"/>
          <w:color w:val="auto"/>
          <w:szCs w:val="20"/>
          <w:highlight w:val="none"/>
        </w:rPr>
      </w:pPr>
      <w:r>
        <w:rPr>
          <w:rFonts w:hint="eastAsia" w:ascii="宋体" w:hAnsi="宋体" w:cs="宋体"/>
          <w:color w:val="auto"/>
          <w:szCs w:val="20"/>
          <w:highlight w:val="none"/>
        </w:rPr>
        <w:t>致：</w:t>
      </w:r>
      <w:bookmarkStart w:id="257" w:name="PO_3000001867_PM031_4"/>
      <w:r>
        <w:rPr>
          <w:rFonts w:hint="eastAsia" w:ascii="宋体" w:hAnsi="宋体" w:cs="宋体"/>
          <w:color w:val="auto"/>
          <w:szCs w:val="20"/>
          <w:highlight w:val="none"/>
          <w:u w:val="single"/>
        </w:rPr>
        <w:t>广西科联招标中心有限公司</w:t>
      </w:r>
      <w:bookmarkEnd w:id="257"/>
    </w:p>
    <w:p>
      <w:pPr>
        <w:spacing w:line="440" w:lineRule="exact"/>
        <w:ind w:firstLine="420" w:firstLineChars="200"/>
        <w:rPr>
          <w:rFonts w:ascii="宋体" w:hAnsi="宋体" w:cs="宋体"/>
          <w:color w:val="auto"/>
          <w:szCs w:val="20"/>
          <w:highlight w:val="none"/>
        </w:rPr>
      </w:pPr>
      <w:r>
        <w:rPr>
          <w:rFonts w:hint="eastAsia" w:ascii="宋体" w:hAnsi="宋体" w:cs="宋体"/>
          <w:color w:val="auto"/>
          <w:szCs w:val="20"/>
          <w:highlight w:val="none"/>
        </w:rPr>
        <w:t>我方已仔细阅读了贵方组织的</w:t>
      </w:r>
      <w:r>
        <w:rPr>
          <w:rFonts w:hint="eastAsia" w:ascii="宋体" w:hAnsi="宋体" w:cs="宋体"/>
          <w:i/>
          <w:iCs/>
          <w:color w:val="auto"/>
          <w:szCs w:val="20"/>
          <w:highlight w:val="none"/>
          <w:u w:val="single"/>
        </w:rPr>
        <w:t>（项目名称）</w:t>
      </w:r>
      <w:r>
        <w:rPr>
          <w:rFonts w:hint="eastAsia" w:ascii="宋体" w:hAnsi="宋体" w:cs="宋体"/>
          <w:color w:val="auto"/>
          <w:szCs w:val="20"/>
          <w:highlight w:val="none"/>
        </w:rPr>
        <w:t>项目（项目编号：</w:t>
      </w:r>
      <w:r>
        <w:rPr>
          <w:rFonts w:hint="eastAsia" w:ascii="宋体" w:hAnsi="宋体" w:cs="宋体"/>
          <w:color w:val="auto"/>
          <w:szCs w:val="20"/>
          <w:highlight w:val="none"/>
          <w:u w:val="single"/>
          <w:lang w:val="en-US" w:eastAsia="zh-CN"/>
        </w:rPr>
        <w:t xml:space="preserve">      </w:t>
      </w:r>
      <w:r>
        <w:rPr>
          <w:rFonts w:hint="eastAsia" w:ascii="宋体" w:hAnsi="宋体" w:cs="宋体"/>
          <w:color w:val="auto"/>
          <w:szCs w:val="20"/>
          <w:highlight w:val="none"/>
        </w:rPr>
        <w:t>）的招标文件的全部内容，授权</w:t>
      </w:r>
      <w:r>
        <w:rPr>
          <w:rFonts w:hint="eastAsia" w:ascii="宋体" w:hAnsi="宋体" w:cs="宋体"/>
          <w:color w:val="auto"/>
          <w:szCs w:val="20"/>
          <w:highlight w:val="none"/>
          <w:u w:val="single"/>
        </w:rPr>
        <w:t>(全权代表姓名) (职务、职称)</w:t>
      </w:r>
      <w:r>
        <w:rPr>
          <w:rFonts w:hint="eastAsia" w:ascii="宋体" w:hAnsi="宋体" w:cs="宋体"/>
          <w:color w:val="auto"/>
          <w:szCs w:val="20"/>
          <w:highlight w:val="none"/>
        </w:rPr>
        <w:t xml:space="preserve">为全权代表，现正式递交下述文件参加贵方组织的本次政府采购活动： </w:t>
      </w:r>
    </w:p>
    <w:p>
      <w:pPr>
        <w:spacing w:line="440" w:lineRule="exact"/>
        <w:ind w:firstLine="420" w:firstLineChars="200"/>
        <w:rPr>
          <w:rFonts w:ascii="宋体" w:hAnsi="宋体" w:cs="宋体"/>
          <w:color w:val="auto"/>
          <w:szCs w:val="20"/>
          <w:highlight w:val="none"/>
        </w:rPr>
      </w:pPr>
      <w:r>
        <w:rPr>
          <w:rFonts w:hint="eastAsia" w:ascii="宋体" w:hAnsi="宋体" w:cs="宋体"/>
          <w:color w:val="auto"/>
          <w:szCs w:val="20"/>
          <w:highlight w:val="none"/>
        </w:rPr>
        <w:t>一、报价文件电子版（包含按投标人须知前附表要求提交的全部文件）；</w:t>
      </w:r>
    </w:p>
    <w:p>
      <w:pPr>
        <w:spacing w:line="440" w:lineRule="exact"/>
        <w:ind w:firstLine="482"/>
        <w:rPr>
          <w:rFonts w:ascii="宋体" w:hAnsi="宋体" w:cs="宋体"/>
          <w:color w:val="auto"/>
          <w:szCs w:val="20"/>
          <w:highlight w:val="none"/>
        </w:rPr>
      </w:pPr>
      <w:r>
        <w:rPr>
          <w:rFonts w:hint="eastAsia" w:ascii="宋体" w:hAnsi="宋体" w:cs="宋体"/>
          <w:color w:val="auto"/>
          <w:szCs w:val="20"/>
          <w:highlight w:val="none"/>
        </w:rPr>
        <w:t>二、资格文件电子版（包含按投标人须知前附表要求提交的全部文件）；</w:t>
      </w:r>
    </w:p>
    <w:p>
      <w:pPr>
        <w:spacing w:line="440" w:lineRule="exact"/>
        <w:ind w:firstLine="482"/>
        <w:rPr>
          <w:rFonts w:ascii="宋体" w:hAnsi="宋体" w:cs="宋体"/>
          <w:color w:val="auto"/>
          <w:szCs w:val="20"/>
          <w:highlight w:val="none"/>
        </w:rPr>
      </w:pPr>
      <w:r>
        <w:rPr>
          <w:rFonts w:hint="eastAsia" w:ascii="宋体" w:hAnsi="宋体" w:cs="宋体"/>
          <w:color w:val="auto"/>
          <w:szCs w:val="20"/>
          <w:highlight w:val="none"/>
        </w:rPr>
        <w:t>三、技术文件电子版（包含按投标人须知前附表要求提交的全部文件）；</w:t>
      </w:r>
    </w:p>
    <w:p>
      <w:pPr>
        <w:spacing w:line="440" w:lineRule="exact"/>
        <w:ind w:firstLine="482"/>
        <w:rPr>
          <w:rFonts w:ascii="宋体" w:hAnsi="宋体" w:cs="宋体"/>
          <w:color w:val="auto"/>
          <w:szCs w:val="20"/>
          <w:highlight w:val="none"/>
        </w:rPr>
      </w:pPr>
      <w:r>
        <w:rPr>
          <w:rFonts w:hint="eastAsia" w:ascii="宋体" w:hAnsi="宋体" w:cs="宋体"/>
          <w:color w:val="auto"/>
          <w:szCs w:val="20"/>
          <w:highlight w:val="none"/>
        </w:rPr>
        <w:t>四、商务文件电子版（包含按投标人须知前附表要求提交的全部文件）；</w:t>
      </w:r>
    </w:p>
    <w:p>
      <w:pPr>
        <w:spacing w:line="440" w:lineRule="exact"/>
        <w:ind w:firstLine="482"/>
        <w:rPr>
          <w:rFonts w:ascii="宋体" w:hAnsi="宋体" w:cs="宋体"/>
          <w:color w:val="auto"/>
          <w:szCs w:val="20"/>
          <w:highlight w:val="none"/>
        </w:rPr>
      </w:pPr>
      <w:r>
        <w:rPr>
          <w:rFonts w:hint="eastAsia" w:ascii="宋体" w:hAnsi="宋体" w:cs="宋体"/>
          <w:color w:val="auto"/>
          <w:szCs w:val="20"/>
          <w:highlight w:val="none"/>
        </w:rPr>
        <w:t>据此函，我方兹宣布：</w:t>
      </w:r>
    </w:p>
    <w:p>
      <w:pPr>
        <w:spacing w:line="360" w:lineRule="exact"/>
        <w:ind w:firstLine="420" w:firstLineChars="200"/>
        <w:rPr>
          <w:rFonts w:ascii="宋体" w:hAnsi="宋体" w:cs="宋体"/>
          <w:color w:val="auto"/>
          <w:szCs w:val="20"/>
          <w:highlight w:val="none"/>
          <w:u w:val="single"/>
        </w:rPr>
      </w:pPr>
      <w:r>
        <w:rPr>
          <w:rFonts w:hint="eastAsia" w:ascii="宋体" w:hAnsi="宋体" w:cs="宋体"/>
          <w:color w:val="auto"/>
          <w:szCs w:val="20"/>
          <w:highlight w:val="none"/>
        </w:rPr>
        <w:t>1、我方愿意以投标时提供的开标一览表中的投标总</w:t>
      </w:r>
      <w:r>
        <w:rPr>
          <w:rFonts w:hint="eastAsia" w:ascii="宋体" w:hAnsi="宋体" w:cs="宋体"/>
          <w:color w:val="auto"/>
          <w:szCs w:val="22"/>
          <w:highlight w:val="none"/>
        </w:rPr>
        <w:t>报价，在承诺的</w:t>
      </w:r>
      <w:r>
        <w:rPr>
          <w:rFonts w:hint="eastAsia" w:ascii="宋体" w:hAnsi="宋体" w:cs="宋体"/>
          <w:color w:val="auto"/>
          <w:szCs w:val="22"/>
          <w:highlight w:val="none"/>
          <w:lang w:eastAsia="zh-CN"/>
        </w:rPr>
        <w:t>交货时间</w:t>
      </w:r>
      <w:r>
        <w:rPr>
          <w:rFonts w:hint="eastAsia" w:ascii="宋体" w:hAnsi="宋体" w:cs="宋体"/>
          <w:color w:val="auto"/>
          <w:szCs w:val="22"/>
          <w:highlight w:val="none"/>
        </w:rPr>
        <w:t>内</w:t>
      </w:r>
      <w:r>
        <w:rPr>
          <w:rFonts w:hint="eastAsia" w:ascii="宋体" w:hAnsi="宋体" w:cs="宋体"/>
          <w:color w:val="auto"/>
          <w:szCs w:val="20"/>
          <w:highlight w:val="none"/>
        </w:rPr>
        <w:t>提供本项目招标文件“第二章  采购需求”的“</w:t>
      </w:r>
      <w:r>
        <w:rPr>
          <w:rFonts w:hint="eastAsia" w:ascii="宋体" w:hAnsi="宋体" w:cs="宋体"/>
          <w:color w:val="auto"/>
          <w:szCs w:val="21"/>
          <w:highlight w:val="none"/>
        </w:rPr>
        <w:t>需求一览表</w:t>
      </w:r>
      <w:r>
        <w:rPr>
          <w:rFonts w:hint="eastAsia" w:ascii="宋体" w:hAnsi="宋体" w:cs="宋体"/>
          <w:color w:val="auto"/>
          <w:szCs w:val="20"/>
          <w:highlight w:val="none"/>
        </w:rPr>
        <w:t>”中的相应的采购内容，具体详见开标一览表。</w:t>
      </w:r>
    </w:p>
    <w:p>
      <w:pPr>
        <w:spacing w:line="360" w:lineRule="exact"/>
        <w:ind w:firstLine="420" w:firstLineChars="200"/>
        <w:rPr>
          <w:rFonts w:ascii="宋体" w:hAnsi="宋体" w:cs="宋体"/>
          <w:color w:val="auto"/>
          <w:szCs w:val="20"/>
          <w:highlight w:val="none"/>
          <w:u w:val="single"/>
        </w:rPr>
      </w:pPr>
      <w:r>
        <w:rPr>
          <w:rFonts w:hint="eastAsia" w:ascii="宋体" w:hAnsi="宋体" w:cs="宋体"/>
          <w:color w:val="auto"/>
          <w:szCs w:val="20"/>
          <w:highlight w:val="none"/>
        </w:rPr>
        <w:t>2、我方同意自本项目招标文件“第三章 投标人须知”第一节 投标人须知前附表 第21.1项规定的投标截止时间（开标时间）起遵循本投标函，并承诺在“投标人须知前附表”第17.2项规定的投标有效期内不修改、撤销投标文件。</w:t>
      </w:r>
    </w:p>
    <w:p>
      <w:pPr>
        <w:spacing w:line="360" w:lineRule="exact"/>
        <w:ind w:firstLine="420" w:firstLineChars="200"/>
        <w:rPr>
          <w:rFonts w:ascii="宋体" w:hAnsi="宋体" w:cs="宋体"/>
          <w:color w:val="auto"/>
          <w:szCs w:val="20"/>
          <w:highlight w:val="none"/>
          <w:u w:val="single"/>
        </w:rPr>
      </w:pPr>
      <w:r>
        <w:rPr>
          <w:rFonts w:hint="eastAsia" w:ascii="宋体" w:hAnsi="宋体" w:cs="宋体"/>
          <w:color w:val="auto"/>
          <w:szCs w:val="20"/>
          <w:highlight w:val="none"/>
        </w:rPr>
        <w:t>3、我方所递交的投标文件及有关资料都是内容完整、真实和准确的。</w:t>
      </w:r>
    </w:p>
    <w:p>
      <w:pPr>
        <w:spacing w:line="440" w:lineRule="exact"/>
        <w:ind w:firstLine="482"/>
        <w:rPr>
          <w:rFonts w:ascii="宋体" w:hAnsi="宋体" w:cs="宋体"/>
          <w:color w:val="auto"/>
          <w:szCs w:val="20"/>
          <w:highlight w:val="none"/>
        </w:rPr>
      </w:pPr>
      <w:r>
        <w:rPr>
          <w:rFonts w:hint="eastAsia" w:ascii="宋体" w:hAnsi="宋体" w:cs="宋体"/>
          <w:color w:val="auto"/>
          <w:szCs w:val="20"/>
          <w:highlight w:val="none"/>
        </w:rPr>
        <w:t>4、</w:t>
      </w:r>
      <w:r>
        <w:rPr>
          <w:rFonts w:hint="eastAsia" w:ascii="宋体" w:hAnsi="宋体" w:cs="宋体"/>
          <w:color w:val="auto"/>
          <w:szCs w:val="21"/>
          <w:highlight w:val="none"/>
        </w:rPr>
        <w:t>如本项目采购内容涉及须符合国家强制规定的，我方承诺我方本次投标（包括资格条件和所投产品）均符合国家有关强制规定。</w:t>
      </w:r>
    </w:p>
    <w:p>
      <w:pPr>
        <w:spacing w:line="440" w:lineRule="exact"/>
        <w:ind w:firstLine="420" w:firstLineChars="200"/>
        <w:rPr>
          <w:rFonts w:ascii="宋体" w:hAnsi="宋体" w:cs="宋体"/>
          <w:color w:val="auto"/>
          <w:szCs w:val="20"/>
          <w:highlight w:val="none"/>
        </w:rPr>
      </w:pPr>
      <w:r>
        <w:rPr>
          <w:rFonts w:hint="eastAsia" w:ascii="宋体" w:hAnsi="宋体" w:cs="宋体"/>
          <w:color w:val="auto"/>
          <w:szCs w:val="20"/>
          <w:highlight w:val="none"/>
        </w:rPr>
        <w:t>5、如我方中标，我方承诺在收到中标通知书后，在中标通知书规定的期限内，根据招标文件、我方的投标文件及有关澄清承诺书的要求按第五章“拟签订的合同文本”与采购人订立书面合同，并按照合同约定承担完成合同的责任和义务。</w:t>
      </w:r>
    </w:p>
    <w:p>
      <w:pPr>
        <w:spacing w:line="440" w:lineRule="exact"/>
        <w:ind w:firstLine="420" w:firstLineChars="200"/>
        <w:rPr>
          <w:rFonts w:ascii="宋体" w:hAnsi="宋体" w:cs="宋体"/>
          <w:color w:val="auto"/>
          <w:szCs w:val="20"/>
          <w:highlight w:val="none"/>
        </w:rPr>
      </w:pPr>
      <w:r>
        <w:rPr>
          <w:rFonts w:hint="eastAsia" w:ascii="宋体" w:hAnsi="宋体" w:cs="宋体"/>
          <w:color w:val="auto"/>
          <w:szCs w:val="20"/>
          <w:highlight w:val="none"/>
        </w:rPr>
        <w:t>6、我方已详细审核招标文件，我方知道必须放弃提出含糊不清或误解问题的权利。</w:t>
      </w:r>
    </w:p>
    <w:p>
      <w:pPr>
        <w:spacing w:line="440" w:lineRule="exact"/>
        <w:ind w:firstLine="420" w:firstLineChars="200"/>
        <w:rPr>
          <w:rFonts w:ascii="宋体" w:hAnsi="宋体" w:cs="宋体"/>
          <w:color w:val="auto"/>
          <w:szCs w:val="20"/>
          <w:highlight w:val="none"/>
        </w:rPr>
      </w:pPr>
      <w:r>
        <w:rPr>
          <w:rFonts w:hint="eastAsia" w:ascii="宋体" w:hAnsi="宋体" w:cs="宋体"/>
          <w:color w:val="auto"/>
          <w:szCs w:val="20"/>
          <w:highlight w:val="none"/>
        </w:rPr>
        <w:t>7、我方同意应贵方要求提供与本投标有关的任何数据或资料。若贵方需要，我方愿意提供我方作出的一切承诺的证明材料。</w:t>
      </w:r>
    </w:p>
    <w:p>
      <w:pPr>
        <w:spacing w:line="440" w:lineRule="exact"/>
        <w:ind w:firstLine="420" w:firstLineChars="200"/>
        <w:rPr>
          <w:rFonts w:ascii="宋体" w:hAnsi="宋体" w:cs="宋体"/>
          <w:color w:val="auto"/>
          <w:szCs w:val="20"/>
          <w:highlight w:val="none"/>
        </w:rPr>
      </w:pPr>
      <w:r>
        <w:rPr>
          <w:rFonts w:hint="eastAsia" w:ascii="宋体" w:hAnsi="宋体" w:cs="宋体"/>
          <w:color w:val="auto"/>
          <w:szCs w:val="20"/>
          <w:highlight w:val="none"/>
        </w:rPr>
        <w:t>8、我方完全理解贵方不一定接受投标报价最低的投标人为中标人的行为。</w:t>
      </w:r>
    </w:p>
    <w:p>
      <w:pPr>
        <w:spacing w:line="440" w:lineRule="exact"/>
        <w:ind w:firstLine="420" w:firstLineChars="200"/>
        <w:rPr>
          <w:rFonts w:ascii="宋体" w:hAnsi="宋体" w:cs="宋体"/>
          <w:color w:val="auto"/>
          <w:szCs w:val="20"/>
          <w:highlight w:val="none"/>
        </w:rPr>
      </w:pPr>
      <w:r>
        <w:rPr>
          <w:rFonts w:hint="eastAsia" w:ascii="宋体" w:hAnsi="宋体" w:cs="宋体"/>
          <w:color w:val="auto"/>
          <w:szCs w:val="20"/>
          <w:highlight w:val="none"/>
        </w:rPr>
        <w:t>9、我方将严格遵守《中华人民共和国政府采购法》第七十七条的规定，即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numPr>
          <w:ilvl w:val="0"/>
          <w:numId w:val="1"/>
        </w:numPr>
        <w:spacing w:line="440" w:lineRule="exact"/>
        <w:rPr>
          <w:rFonts w:ascii="宋体" w:hAnsi="宋体" w:cs="宋体"/>
          <w:color w:val="auto"/>
          <w:szCs w:val="20"/>
          <w:highlight w:val="none"/>
        </w:rPr>
      </w:pPr>
      <w:r>
        <w:rPr>
          <w:rFonts w:hint="eastAsia" w:ascii="宋体" w:hAnsi="宋体" w:cs="宋体"/>
          <w:color w:val="auto"/>
          <w:szCs w:val="20"/>
          <w:highlight w:val="none"/>
        </w:rPr>
        <w:t>提供虚假材料谋取中标、成交的；</w:t>
      </w:r>
    </w:p>
    <w:p>
      <w:pPr>
        <w:numPr>
          <w:ilvl w:val="0"/>
          <w:numId w:val="1"/>
        </w:numPr>
        <w:spacing w:line="440" w:lineRule="exact"/>
        <w:rPr>
          <w:rFonts w:ascii="宋体" w:hAnsi="宋体" w:cs="宋体"/>
          <w:color w:val="auto"/>
          <w:szCs w:val="20"/>
          <w:highlight w:val="none"/>
        </w:rPr>
      </w:pPr>
      <w:r>
        <w:rPr>
          <w:rFonts w:hint="eastAsia" w:ascii="宋体" w:hAnsi="宋体" w:cs="宋体"/>
          <w:color w:val="auto"/>
          <w:szCs w:val="20"/>
          <w:highlight w:val="none"/>
        </w:rPr>
        <w:t>采取不正当手段诋毁、排挤其他供应商的；</w:t>
      </w:r>
    </w:p>
    <w:p>
      <w:pPr>
        <w:numPr>
          <w:ilvl w:val="0"/>
          <w:numId w:val="1"/>
        </w:numPr>
        <w:spacing w:line="440" w:lineRule="exact"/>
        <w:rPr>
          <w:rFonts w:ascii="宋体" w:hAnsi="宋体" w:cs="宋体"/>
          <w:color w:val="auto"/>
          <w:szCs w:val="20"/>
          <w:highlight w:val="none"/>
        </w:rPr>
      </w:pPr>
      <w:r>
        <w:rPr>
          <w:rFonts w:hint="eastAsia" w:ascii="宋体" w:hAnsi="宋体" w:cs="宋体"/>
          <w:color w:val="auto"/>
          <w:szCs w:val="20"/>
          <w:highlight w:val="none"/>
        </w:rPr>
        <w:t>与采购人、其他供应商或者采购代理机构恶意串通的；</w:t>
      </w:r>
    </w:p>
    <w:p>
      <w:pPr>
        <w:numPr>
          <w:ilvl w:val="0"/>
          <w:numId w:val="1"/>
        </w:numPr>
        <w:spacing w:line="440" w:lineRule="exact"/>
        <w:rPr>
          <w:rFonts w:ascii="宋体" w:hAnsi="宋体" w:cs="宋体"/>
          <w:color w:val="auto"/>
          <w:szCs w:val="20"/>
          <w:highlight w:val="none"/>
        </w:rPr>
      </w:pPr>
      <w:r>
        <w:rPr>
          <w:rFonts w:hint="eastAsia" w:ascii="宋体" w:hAnsi="宋体" w:cs="宋体"/>
          <w:color w:val="auto"/>
          <w:szCs w:val="20"/>
          <w:highlight w:val="none"/>
        </w:rPr>
        <w:t>向采购人、采购代理机构行贿或者提供其他不正当利益的；</w:t>
      </w:r>
    </w:p>
    <w:p>
      <w:pPr>
        <w:numPr>
          <w:ilvl w:val="0"/>
          <w:numId w:val="1"/>
        </w:numPr>
        <w:spacing w:line="440" w:lineRule="exact"/>
        <w:rPr>
          <w:rFonts w:ascii="宋体" w:hAnsi="宋体" w:cs="宋体"/>
          <w:color w:val="auto"/>
          <w:szCs w:val="20"/>
          <w:highlight w:val="none"/>
        </w:rPr>
      </w:pPr>
      <w:r>
        <w:rPr>
          <w:rFonts w:hint="eastAsia" w:ascii="宋体" w:hAnsi="宋体" w:cs="宋体"/>
          <w:color w:val="auto"/>
          <w:szCs w:val="20"/>
          <w:highlight w:val="none"/>
        </w:rPr>
        <w:t>在招标采购过程中与采购人进行协商谈判的；</w:t>
      </w:r>
    </w:p>
    <w:p>
      <w:pPr>
        <w:numPr>
          <w:ilvl w:val="0"/>
          <w:numId w:val="1"/>
        </w:numPr>
        <w:spacing w:line="440" w:lineRule="exact"/>
        <w:rPr>
          <w:rFonts w:ascii="宋体" w:hAnsi="宋体" w:cs="宋体"/>
          <w:color w:val="auto"/>
          <w:szCs w:val="20"/>
          <w:highlight w:val="none"/>
        </w:rPr>
      </w:pPr>
      <w:r>
        <w:rPr>
          <w:rFonts w:hint="eastAsia" w:ascii="宋体" w:hAnsi="宋体" w:cs="宋体"/>
          <w:color w:val="auto"/>
          <w:szCs w:val="20"/>
          <w:highlight w:val="none"/>
        </w:rPr>
        <w:t>拒绝有关部门监督检查或提供虚假情况的。</w:t>
      </w:r>
    </w:p>
    <w:p>
      <w:pPr>
        <w:spacing w:line="360" w:lineRule="auto"/>
        <w:ind w:firstLine="420"/>
        <w:rPr>
          <w:rFonts w:ascii="宋体" w:hAnsi="宋体" w:cs="宋体"/>
          <w:color w:val="auto"/>
          <w:szCs w:val="20"/>
          <w:highlight w:val="none"/>
        </w:rPr>
      </w:pPr>
      <w:r>
        <w:rPr>
          <w:rFonts w:hint="eastAsia" w:ascii="宋体" w:hAnsi="宋体" w:cs="宋体"/>
          <w:color w:val="auto"/>
          <w:szCs w:val="20"/>
          <w:highlight w:val="none"/>
        </w:rPr>
        <w:t>10、以上事项如有虚假或者隐瞒，我方愿意承担一切后果，并不再寻求任何旨在减轻或者免除法律责任的辩解。</w:t>
      </w:r>
    </w:p>
    <w:p>
      <w:pPr>
        <w:spacing w:line="360" w:lineRule="auto"/>
        <w:ind w:firstLine="420"/>
        <w:rPr>
          <w:rFonts w:ascii="宋体" w:hAnsi="宋体" w:cs="宋体"/>
          <w:color w:val="auto"/>
          <w:szCs w:val="20"/>
          <w:highlight w:val="none"/>
        </w:rPr>
      </w:pPr>
      <w:r>
        <w:rPr>
          <w:rFonts w:hint="eastAsia" w:ascii="宋体" w:hAnsi="宋体" w:cs="宋体"/>
          <w:color w:val="auto"/>
          <w:szCs w:val="20"/>
          <w:highlight w:val="none"/>
        </w:rPr>
        <w:t>11、与本投标有关的一切正式往来信函请寄：</w:t>
      </w:r>
    </w:p>
    <w:p>
      <w:pPr>
        <w:widowControl w:val="0"/>
        <w:spacing w:line="360" w:lineRule="auto"/>
        <w:ind w:firstLine="420"/>
        <w:jc w:val="both"/>
        <w:rPr>
          <w:rFonts w:ascii="宋体" w:hAnsi="Courier New" w:eastAsia="宋体" w:cs="Times New Roman"/>
          <w:color w:val="auto"/>
          <w:kern w:val="2"/>
          <w:sz w:val="21"/>
          <w:szCs w:val="21"/>
          <w:highlight w:val="none"/>
          <w:lang w:val="en-US" w:eastAsia="zh-CN" w:bidi="ar-SA"/>
        </w:rPr>
      </w:pPr>
      <w:r>
        <w:rPr>
          <w:rFonts w:hint="eastAsia" w:ascii="宋体" w:hAnsi="Courier New" w:eastAsia="宋体" w:cs="Times New Roman"/>
          <w:color w:val="auto"/>
          <w:kern w:val="2"/>
          <w:sz w:val="21"/>
          <w:szCs w:val="21"/>
          <w:highlight w:val="none"/>
          <w:lang w:val="en-US" w:eastAsia="zh-CN" w:bidi="ar-SA"/>
        </w:rPr>
        <w:t>地址：</w:t>
      </w:r>
      <w:r>
        <w:rPr>
          <w:rFonts w:hint="eastAsia" w:ascii="宋体" w:hAnsi="Courier New" w:eastAsia="宋体" w:cs="Times New Roman"/>
          <w:color w:val="auto"/>
          <w:kern w:val="2"/>
          <w:sz w:val="21"/>
          <w:szCs w:val="21"/>
          <w:highlight w:val="none"/>
          <w:u w:val="single"/>
          <w:lang w:val="en-US" w:eastAsia="zh-CN" w:bidi="ar-SA"/>
        </w:rPr>
        <w:t xml:space="preserve">                                                        </w:t>
      </w:r>
    </w:p>
    <w:p>
      <w:pPr>
        <w:widowControl w:val="0"/>
        <w:spacing w:line="360" w:lineRule="auto"/>
        <w:ind w:firstLine="420"/>
        <w:jc w:val="both"/>
        <w:rPr>
          <w:rFonts w:ascii="宋体" w:hAnsi="Courier New" w:eastAsia="宋体" w:cs="Times New Roman"/>
          <w:color w:val="auto"/>
          <w:kern w:val="2"/>
          <w:sz w:val="21"/>
          <w:szCs w:val="21"/>
          <w:highlight w:val="none"/>
          <w:u w:val="single"/>
          <w:lang w:val="en-US" w:eastAsia="zh-CN" w:bidi="ar-SA"/>
        </w:rPr>
      </w:pPr>
      <w:r>
        <w:rPr>
          <w:rFonts w:hint="eastAsia" w:ascii="宋体" w:hAnsi="Courier New" w:eastAsia="宋体" w:cs="Times New Roman"/>
          <w:color w:val="auto"/>
          <w:kern w:val="2"/>
          <w:sz w:val="21"/>
          <w:szCs w:val="21"/>
          <w:highlight w:val="none"/>
          <w:lang w:val="en-US" w:eastAsia="zh-CN" w:bidi="ar-SA"/>
        </w:rPr>
        <w:t>电话：</w:t>
      </w:r>
      <w:r>
        <w:rPr>
          <w:rFonts w:hint="eastAsia" w:ascii="宋体" w:hAnsi="Courier New" w:eastAsia="宋体" w:cs="Times New Roman"/>
          <w:color w:val="auto"/>
          <w:kern w:val="2"/>
          <w:sz w:val="21"/>
          <w:szCs w:val="21"/>
          <w:highlight w:val="none"/>
          <w:u w:val="single"/>
          <w:lang w:val="en-US" w:eastAsia="zh-CN" w:bidi="ar-SA"/>
        </w:rPr>
        <w:t xml:space="preserve">                                      　　　　　　　　　</w:t>
      </w:r>
    </w:p>
    <w:p>
      <w:pPr>
        <w:widowControl w:val="0"/>
        <w:spacing w:line="360" w:lineRule="auto"/>
        <w:ind w:firstLine="420"/>
        <w:jc w:val="both"/>
        <w:rPr>
          <w:rFonts w:ascii="宋体" w:hAnsi="Courier New" w:eastAsia="宋体" w:cs="Times New Roman"/>
          <w:color w:val="auto"/>
          <w:kern w:val="2"/>
          <w:sz w:val="21"/>
          <w:szCs w:val="21"/>
          <w:highlight w:val="none"/>
          <w:u w:val="single"/>
          <w:lang w:val="en-US" w:eastAsia="zh-CN" w:bidi="ar-SA"/>
        </w:rPr>
      </w:pPr>
      <w:r>
        <w:rPr>
          <w:rFonts w:hint="eastAsia" w:ascii="宋体" w:hAnsi="Courier New" w:eastAsia="宋体" w:cs="Times New Roman"/>
          <w:color w:val="auto"/>
          <w:kern w:val="2"/>
          <w:sz w:val="21"/>
          <w:szCs w:val="21"/>
          <w:highlight w:val="none"/>
          <w:lang w:val="en-US" w:eastAsia="zh-CN" w:bidi="ar-SA"/>
        </w:rPr>
        <w:t>传真：</w:t>
      </w:r>
      <w:r>
        <w:rPr>
          <w:rFonts w:hint="eastAsia" w:ascii="宋体" w:hAnsi="Courier New" w:eastAsia="宋体" w:cs="Times New Roman"/>
          <w:color w:val="auto"/>
          <w:kern w:val="2"/>
          <w:sz w:val="21"/>
          <w:szCs w:val="21"/>
          <w:highlight w:val="none"/>
          <w:u w:val="single"/>
          <w:lang w:val="en-US" w:eastAsia="zh-CN" w:bidi="ar-SA"/>
        </w:rPr>
        <w:t>　　　　　　　　　　　　　　　　　　　　　　　　　　　　</w:t>
      </w:r>
    </w:p>
    <w:p>
      <w:pPr>
        <w:widowControl w:val="0"/>
        <w:spacing w:line="360" w:lineRule="auto"/>
        <w:ind w:left="0" w:firstLine="420" w:firstLineChars="200"/>
        <w:jc w:val="both"/>
        <w:rPr>
          <w:rFonts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电子邮箱：</w:t>
      </w:r>
      <w:r>
        <w:rPr>
          <w:rFonts w:hint="eastAsia" w:ascii="Times New Roman" w:hAnsi="Times New Roman" w:eastAsia="宋体" w:cs="Times New Roman"/>
          <w:color w:val="auto"/>
          <w:kern w:val="2"/>
          <w:sz w:val="21"/>
          <w:szCs w:val="21"/>
          <w:highlight w:val="none"/>
          <w:u w:val="single"/>
          <w:lang w:val="en-US" w:eastAsia="zh-CN" w:bidi="ar-SA"/>
        </w:rPr>
        <w:t>　　　　　　　　　　　　　　　　　　　　　　　　　　</w:t>
      </w:r>
    </w:p>
    <w:p>
      <w:pPr>
        <w:widowControl w:val="0"/>
        <w:spacing w:line="360" w:lineRule="auto"/>
        <w:ind w:firstLine="420"/>
        <w:jc w:val="both"/>
        <w:rPr>
          <w:rFonts w:ascii="宋体" w:hAnsi="Courier New" w:eastAsia="宋体" w:cs="Times New Roman"/>
          <w:color w:val="auto"/>
          <w:kern w:val="2"/>
          <w:sz w:val="21"/>
          <w:szCs w:val="21"/>
          <w:highlight w:val="none"/>
          <w:u w:val="single"/>
          <w:lang w:val="en-US" w:eastAsia="zh-CN" w:bidi="ar-SA"/>
        </w:rPr>
      </w:pPr>
      <w:r>
        <w:rPr>
          <w:rFonts w:hint="eastAsia" w:ascii="宋体" w:hAnsi="Courier New" w:eastAsia="宋体" w:cs="Times New Roman"/>
          <w:color w:val="auto"/>
          <w:kern w:val="2"/>
          <w:sz w:val="21"/>
          <w:szCs w:val="21"/>
          <w:highlight w:val="none"/>
          <w:lang w:val="en-US" w:eastAsia="zh-CN" w:bidi="ar-SA"/>
        </w:rPr>
        <w:t>邮政编码：</w:t>
      </w:r>
      <w:r>
        <w:rPr>
          <w:rFonts w:hint="eastAsia" w:ascii="宋体" w:hAnsi="Courier New" w:eastAsia="宋体" w:cs="Times New Roman"/>
          <w:color w:val="auto"/>
          <w:kern w:val="2"/>
          <w:sz w:val="21"/>
          <w:szCs w:val="21"/>
          <w:highlight w:val="none"/>
          <w:u w:val="single"/>
          <w:lang w:val="en-US" w:eastAsia="zh-CN" w:bidi="ar-SA"/>
        </w:rPr>
        <w:t xml:space="preserve">                                                    </w:t>
      </w:r>
    </w:p>
    <w:p>
      <w:pPr>
        <w:widowControl w:val="0"/>
        <w:spacing w:line="360" w:lineRule="auto"/>
        <w:ind w:firstLine="420"/>
        <w:jc w:val="both"/>
        <w:rPr>
          <w:rFonts w:ascii="宋体" w:hAnsi="Courier New" w:eastAsia="宋体" w:cs="Times New Roman"/>
          <w:color w:val="auto"/>
          <w:kern w:val="2"/>
          <w:sz w:val="21"/>
          <w:szCs w:val="21"/>
          <w:highlight w:val="none"/>
          <w:u w:val="single"/>
          <w:lang w:val="en-US" w:eastAsia="zh-CN" w:bidi="ar-SA"/>
        </w:rPr>
      </w:pPr>
      <w:r>
        <w:rPr>
          <w:rFonts w:hint="eastAsia" w:ascii="宋体" w:hAnsi="Courier New" w:eastAsia="宋体" w:cs="Times New Roman"/>
          <w:color w:val="auto"/>
          <w:kern w:val="2"/>
          <w:sz w:val="21"/>
          <w:szCs w:val="21"/>
          <w:highlight w:val="none"/>
          <w:lang w:val="en-US" w:eastAsia="zh-CN" w:bidi="ar-SA"/>
        </w:rPr>
        <w:t>开户名称：</w:t>
      </w:r>
      <w:r>
        <w:rPr>
          <w:rFonts w:hint="eastAsia" w:ascii="宋体" w:hAnsi="Courier New" w:eastAsia="宋体" w:cs="Times New Roman"/>
          <w:color w:val="auto"/>
          <w:kern w:val="2"/>
          <w:sz w:val="21"/>
          <w:szCs w:val="21"/>
          <w:highlight w:val="none"/>
          <w:u w:val="single"/>
          <w:lang w:val="en-US" w:eastAsia="zh-CN" w:bidi="ar-SA"/>
        </w:rPr>
        <w:t xml:space="preserve">                                                    </w:t>
      </w:r>
    </w:p>
    <w:p>
      <w:pPr>
        <w:widowControl w:val="0"/>
        <w:spacing w:line="360" w:lineRule="auto"/>
        <w:ind w:firstLine="420"/>
        <w:jc w:val="both"/>
        <w:rPr>
          <w:rFonts w:ascii="宋体" w:hAnsi="Courier New" w:eastAsia="宋体" w:cs="Times New Roman"/>
          <w:color w:val="auto"/>
          <w:kern w:val="2"/>
          <w:sz w:val="21"/>
          <w:szCs w:val="21"/>
          <w:highlight w:val="none"/>
          <w:u w:val="single"/>
          <w:lang w:val="en-US" w:eastAsia="zh-CN" w:bidi="ar-SA"/>
        </w:rPr>
      </w:pPr>
      <w:r>
        <w:rPr>
          <w:rFonts w:hint="eastAsia" w:ascii="宋体" w:hAnsi="Courier New" w:eastAsia="宋体" w:cs="Times New Roman"/>
          <w:color w:val="auto"/>
          <w:kern w:val="2"/>
          <w:sz w:val="21"/>
          <w:szCs w:val="21"/>
          <w:highlight w:val="none"/>
          <w:lang w:val="en-US" w:eastAsia="zh-CN" w:bidi="ar-SA"/>
        </w:rPr>
        <w:t>开户银行：</w:t>
      </w:r>
      <w:r>
        <w:rPr>
          <w:rFonts w:hint="eastAsia" w:ascii="宋体" w:hAnsi="Courier New" w:eastAsia="宋体" w:cs="Times New Roman"/>
          <w:color w:val="auto"/>
          <w:kern w:val="2"/>
          <w:sz w:val="21"/>
          <w:szCs w:val="21"/>
          <w:highlight w:val="none"/>
          <w:u w:val="single"/>
          <w:lang w:val="en-US" w:eastAsia="zh-CN" w:bidi="ar-SA"/>
        </w:rPr>
        <w:t xml:space="preserve">                                                    </w:t>
      </w:r>
    </w:p>
    <w:p>
      <w:pPr>
        <w:widowControl w:val="0"/>
        <w:spacing w:line="360" w:lineRule="auto"/>
        <w:ind w:firstLine="420"/>
        <w:jc w:val="both"/>
        <w:rPr>
          <w:rFonts w:ascii="宋体" w:hAnsi="Courier New" w:eastAsia="宋体" w:cs="Times New Roman"/>
          <w:color w:val="auto"/>
          <w:kern w:val="2"/>
          <w:sz w:val="21"/>
          <w:szCs w:val="21"/>
          <w:highlight w:val="none"/>
          <w:u w:val="single"/>
          <w:lang w:val="en-US" w:eastAsia="zh-CN" w:bidi="ar-SA"/>
        </w:rPr>
      </w:pPr>
      <w:r>
        <w:rPr>
          <w:rFonts w:hint="eastAsia" w:ascii="宋体" w:hAnsi="Courier New" w:eastAsia="宋体" w:cs="Times New Roman"/>
          <w:color w:val="auto"/>
          <w:kern w:val="2"/>
          <w:sz w:val="21"/>
          <w:szCs w:val="21"/>
          <w:highlight w:val="none"/>
          <w:lang w:val="en-US" w:eastAsia="zh-CN" w:bidi="ar-SA"/>
        </w:rPr>
        <w:t>银行账号：</w:t>
      </w:r>
      <w:r>
        <w:rPr>
          <w:rFonts w:hint="eastAsia" w:ascii="宋体" w:hAnsi="Courier New" w:eastAsia="宋体" w:cs="Times New Roman"/>
          <w:color w:val="auto"/>
          <w:kern w:val="2"/>
          <w:sz w:val="21"/>
          <w:szCs w:val="21"/>
          <w:highlight w:val="none"/>
          <w:u w:val="single"/>
          <w:lang w:val="en-US" w:eastAsia="zh-CN" w:bidi="ar-SA"/>
        </w:rPr>
        <w:t xml:space="preserve">                                                    </w:t>
      </w:r>
    </w:p>
    <w:p>
      <w:pPr>
        <w:snapToGrid w:val="0"/>
        <w:spacing w:line="360" w:lineRule="auto"/>
        <w:ind w:firstLine="5040" w:firstLineChars="2100"/>
        <w:rPr>
          <w:rFonts w:ascii="宋体" w:hAnsi="宋体" w:cs="宋体"/>
          <w:color w:val="auto"/>
          <w:kern w:val="0"/>
          <w:sz w:val="24"/>
          <w:highlight w:val="none"/>
          <w:lang w:val="zh-CN"/>
        </w:rPr>
      </w:pPr>
    </w:p>
    <w:p>
      <w:pPr>
        <w:snapToGrid w:val="0"/>
        <w:spacing w:line="360" w:lineRule="auto"/>
        <w:ind w:firstLine="5040" w:firstLineChars="2100"/>
        <w:rPr>
          <w:rFonts w:ascii="宋体" w:hAnsi="宋体" w:cs="宋体"/>
          <w:color w:val="auto"/>
          <w:kern w:val="0"/>
          <w:sz w:val="24"/>
          <w:highlight w:val="none"/>
          <w:lang w:val="zh-CN"/>
        </w:rPr>
      </w:pPr>
    </w:p>
    <w:p>
      <w:pPr>
        <w:snapToGrid w:val="0"/>
        <w:spacing w:line="360" w:lineRule="auto"/>
        <w:ind w:firstLine="4410" w:firstLineChars="2100"/>
        <w:rPr>
          <w:rFonts w:ascii="宋体" w:hAnsi="宋体" w:cs="宋体"/>
          <w:color w:val="auto"/>
          <w:kern w:val="0"/>
          <w:szCs w:val="21"/>
          <w:highlight w:val="none"/>
        </w:rPr>
      </w:pPr>
      <w:r>
        <w:rPr>
          <w:rFonts w:hint="eastAsia" w:ascii="宋体" w:hAnsi="宋体" w:cs="宋体"/>
          <w:color w:val="auto"/>
          <w:kern w:val="0"/>
          <w:szCs w:val="21"/>
          <w:highlight w:val="none"/>
          <w:lang w:val="zh-CN"/>
        </w:rPr>
        <w:t>投标人名称(盖公章)：</w:t>
      </w:r>
    </w:p>
    <w:p>
      <w:pPr>
        <w:snapToGrid w:val="0"/>
        <w:spacing w:line="360" w:lineRule="auto"/>
        <w:ind w:firstLine="4515" w:firstLineChars="2150"/>
        <w:rPr>
          <w:rFonts w:ascii="宋体" w:hAnsi="宋体" w:cs="宋体"/>
          <w:color w:val="auto"/>
          <w:kern w:val="0"/>
          <w:sz w:val="24"/>
          <w:highlight w:val="none"/>
          <w:lang w:val="zh-CN"/>
        </w:rPr>
      </w:pPr>
      <w:r>
        <w:rPr>
          <w:rFonts w:hint="eastAsia" w:ascii="宋体" w:hAnsi="宋体" w:cs="宋体"/>
          <w:color w:val="auto"/>
          <w:kern w:val="0"/>
          <w:szCs w:val="21"/>
          <w:highlight w:val="none"/>
          <w:lang w:val="zh-CN"/>
        </w:rPr>
        <w:t>日期</w:t>
      </w:r>
      <w:r>
        <w:rPr>
          <w:rFonts w:hint="eastAsia" w:ascii="宋体" w:hAnsi="宋体" w:cs="宋体"/>
          <w:color w:val="auto"/>
          <w:kern w:val="0"/>
          <w:szCs w:val="21"/>
          <w:highlight w:val="none"/>
        </w:rPr>
        <w:t>：  年  月  日</w:t>
      </w:r>
    </w:p>
    <w:p>
      <w:pPr>
        <w:spacing w:line="360" w:lineRule="auto"/>
        <w:jc w:val="left"/>
        <w:rPr>
          <w:rFonts w:ascii="宋体" w:hAnsi="宋体" w:cs="宋体"/>
          <w:b/>
          <w:color w:val="auto"/>
          <w:sz w:val="28"/>
          <w:szCs w:val="28"/>
          <w:highlight w:val="none"/>
        </w:rPr>
      </w:pPr>
      <w:r>
        <w:rPr>
          <w:rFonts w:hint="eastAsia" w:ascii="宋体" w:hAnsi="宋体" w:cs="宋体"/>
          <w:b/>
          <w:color w:val="auto"/>
          <w:sz w:val="28"/>
          <w:szCs w:val="28"/>
          <w:highlight w:val="none"/>
        </w:rPr>
        <w:br w:type="page"/>
      </w:r>
      <w:r>
        <w:rPr>
          <w:rFonts w:hint="eastAsia" w:ascii="宋体" w:hAnsi="宋体" w:cs="宋体"/>
          <w:b/>
          <w:color w:val="auto"/>
          <w:sz w:val="28"/>
          <w:szCs w:val="28"/>
          <w:highlight w:val="none"/>
        </w:rPr>
        <w:t>4. 开标一览表的格式：</w:t>
      </w:r>
    </w:p>
    <w:p>
      <w:pPr>
        <w:spacing w:line="360" w:lineRule="auto"/>
        <w:rPr>
          <w:rFonts w:ascii="宋体" w:hAnsi="宋体" w:cs="宋体"/>
          <w:b/>
          <w:color w:val="auto"/>
          <w:sz w:val="30"/>
          <w:szCs w:val="30"/>
          <w:highlight w:val="none"/>
        </w:rPr>
      </w:pPr>
    </w:p>
    <w:p>
      <w:pPr>
        <w:spacing w:line="360" w:lineRule="auto"/>
        <w:jc w:val="center"/>
        <w:rPr>
          <w:rFonts w:ascii="宋体" w:hAnsi="宋体" w:cs="宋体"/>
          <w:b/>
          <w:color w:val="auto"/>
          <w:sz w:val="30"/>
          <w:szCs w:val="30"/>
          <w:highlight w:val="none"/>
        </w:rPr>
      </w:pPr>
      <w:r>
        <w:rPr>
          <w:rFonts w:hint="eastAsia" w:ascii="宋体" w:hAnsi="宋体" w:cs="宋体"/>
          <w:b/>
          <w:color w:val="auto"/>
          <w:sz w:val="30"/>
          <w:szCs w:val="30"/>
          <w:highlight w:val="none"/>
        </w:rPr>
        <w:t>开标一览表</w:t>
      </w:r>
    </w:p>
    <w:p>
      <w:pPr>
        <w:spacing w:line="360" w:lineRule="auto"/>
        <w:contextualSpacing/>
        <w:rPr>
          <w:rFonts w:ascii="宋体" w:hAnsi="宋体" w:eastAsia="宋体" w:cs="宋体"/>
          <w:color w:val="auto"/>
          <w:szCs w:val="21"/>
          <w:highlight w:val="none"/>
          <w:u w:val="single"/>
        </w:rPr>
      </w:pPr>
      <w:r>
        <w:rPr>
          <w:rFonts w:hint="eastAsia" w:ascii="宋体" w:hAnsi="宋体" w:eastAsia="宋体" w:cs="宋体"/>
          <w:color w:val="auto"/>
          <w:szCs w:val="21"/>
          <w:highlight w:val="none"/>
        </w:rPr>
        <w:t>项目</w:t>
      </w:r>
      <w:r>
        <w:rPr>
          <w:rFonts w:hint="eastAsia" w:ascii="Times New Roman" w:hAnsi="宋体" w:eastAsia="宋体" w:cs="宋体"/>
          <w:color w:val="auto"/>
          <w:szCs w:val="21"/>
          <w:highlight w:val="none"/>
        </w:rPr>
        <w:t>名称</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p>
    <w:p>
      <w:pPr>
        <w:widowControl w:val="0"/>
        <w:spacing w:line="360" w:lineRule="auto"/>
        <w:jc w:val="both"/>
        <w:rPr>
          <w:rFonts w:ascii="宋体" w:hAnsi="宋体" w:eastAsia="宋体" w:cs="宋体"/>
          <w:color w:val="auto"/>
          <w:kern w:val="2"/>
          <w:sz w:val="21"/>
          <w:szCs w:val="21"/>
          <w:highlight w:val="none"/>
          <w:u w:val="single"/>
          <w:lang w:val="en-US" w:eastAsia="zh-CN" w:bidi="ar-SA"/>
        </w:rPr>
      </w:pPr>
      <w:r>
        <w:rPr>
          <w:rFonts w:hint="eastAsia" w:ascii="宋体" w:hAnsi="宋体" w:eastAsia="宋体" w:cs="宋体"/>
          <w:color w:val="auto"/>
          <w:kern w:val="2"/>
          <w:sz w:val="21"/>
          <w:szCs w:val="21"/>
          <w:highlight w:val="none"/>
          <w:lang w:val="en-US" w:eastAsia="zh-CN" w:bidi="ar-SA"/>
        </w:rPr>
        <w:t>项目编号：</w:t>
      </w:r>
      <w:r>
        <w:rPr>
          <w:rFonts w:hint="eastAsia" w:ascii="宋体" w:hAnsi="宋体" w:eastAsia="宋体" w:cs="宋体"/>
          <w:color w:val="auto"/>
          <w:kern w:val="2"/>
          <w:sz w:val="21"/>
          <w:szCs w:val="21"/>
          <w:highlight w:val="none"/>
          <w:u w:val="single"/>
          <w:lang w:val="en-US" w:eastAsia="zh-CN" w:bidi="ar-SA"/>
        </w:rPr>
        <w:t xml:space="preserve">                 </w:t>
      </w:r>
    </w:p>
    <w:p>
      <w:pPr>
        <w:widowControl w:val="0"/>
        <w:spacing w:line="360" w:lineRule="auto"/>
        <w:ind w:left="0"/>
        <w:jc w:val="both"/>
        <w:rPr>
          <w:rFonts w:ascii="宋体" w:hAnsi="宋体" w:eastAsia="宋体" w:cs="宋体"/>
          <w:color w:val="auto"/>
          <w:kern w:val="2"/>
          <w:sz w:val="21"/>
          <w:szCs w:val="21"/>
          <w:highlight w:val="none"/>
          <w:u w:val="single"/>
          <w:lang w:val="en-US" w:eastAsia="zh-CN" w:bidi="ar-SA"/>
        </w:rPr>
      </w:pPr>
      <w:r>
        <w:rPr>
          <w:rFonts w:hint="eastAsia" w:ascii="Times New Roman" w:hAnsi="宋体" w:eastAsia="宋体" w:cs="宋体"/>
          <w:color w:val="auto"/>
          <w:kern w:val="2"/>
          <w:sz w:val="21"/>
          <w:szCs w:val="21"/>
          <w:highlight w:val="none"/>
          <w:lang w:val="en-US" w:eastAsia="zh-CN" w:bidi="ar-SA"/>
        </w:rPr>
        <w:t>所投</w:t>
      </w:r>
      <w:r>
        <w:rPr>
          <w:rFonts w:hint="eastAsia" w:ascii="宋体" w:hAnsi="宋体" w:eastAsia="宋体" w:cs="宋体"/>
          <w:color w:val="auto"/>
          <w:kern w:val="2"/>
          <w:sz w:val="21"/>
          <w:szCs w:val="21"/>
          <w:highlight w:val="none"/>
          <w:lang w:val="en-US" w:eastAsia="zh-CN" w:bidi="ar-SA"/>
        </w:rPr>
        <w:t>分标（此处有分标时填写具体分标号，无分标时填写“无”）：</w:t>
      </w:r>
      <w:r>
        <w:rPr>
          <w:rFonts w:hint="eastAsia" w:ascii="宋体" w:hAnsi="宋体" w:eastAsia="宋体" w:cs="宋体"/>
          <w:color w:val="auto"/>
          <w:kern w:val="2"/>
          <w:sz w:val="21"/>
          <w:szCs w:val="21"/>
          <w:highlight w:val="none"/>
          <w:u w:val="single"/>
          <w:lang w:val="en-US" w:eastAsia="zh-CN" w:bidi="ar-SA"/>
        </w:rPr>
        <w:t xml:space="preserve">           </w:t>
      </w:r>
    </w:p>
    <w:tbl>
      <w:tblPr>
        <w:tblStyle w:val="32"/>
        <w:tblW w:w="9813"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1260"/>
        <w:gridCol w:w="1183"/>
        <w:gridCol w:w="1494"/>
        <w:gridCol w:w="1041"/>
        <w:gridCol w:w="1146"/>
        <w:gridCol w:w="2012"/>
        <w:gridCol w:w="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3" w:hRule="atLeast"/>
        </w:trPr>
        <w:tc>
          <w:tcPr>
            <w:tcW w:w="71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2"/>
                <w:highlight w:val="none"/>
              </w:rPr>
            </w:pPr>
            <w:r>
              <w:rPr>
                <w:rFonts w:hint="eastAsia" w:ascii="宋体" w:hAnsi="宋体" w:cs="宋体"/>
                <w:color w:val="auto"/>
                <w:szCs w:val="22"/>
                <w:highlight w:val="none"/>
              </w:rPr>
              <w:t>序号</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2"/>
                <w:highlight w:val="none"/>
              </w:rPr>
            </w:pPr>
            <w:r>
              <w:rPr>
                <w:rFonts w:hint="eastAsia" w:ascii="宋体" w:hAnsi="宋体" w:cs="宋体"/>
                <w:color w:val="auto"/>
                <w:szCs w:val="22"/>
                <w:highlight w:val="none"/>
              </w:rPr>
              <w:t>标的名称</w:t>
            </w:r>
          </w:p>
        </w:tc>
        <w:tc>
          <w:tcPr>
            <w:tcW w:w="118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2"/>
                <w:highlight w:val="none"/>
              </w:rPr>
            </w:pPr>
            <w:r>
              <w:rPr>
                <w:rFonts w:hint="eastAsia" w:ascii="宋体" w:hAnsi="宋体" w:cs="宋体"/>
                <w:color w:val="auto"/>
                <w:szCs w:val="22"/>
                <w:highlight w:val="none"/>
              </w:rPr>
              <w:t>规格型号</w:t>
            </w:r>
          </w:p>
        </w:tc>
        <w:tc>
          <w:tcPr>
            <w:tcW w:w="14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2"/>
                <w:highlight w:val="none"/>
              </w:rPr>
            </w:pPr>
            <w:r>
              <w:rPr>
                <w:rFonts w:hint="eastAsia" w:ascii="宋体" w:hAnsi="宋体" w:cs="宋体"/>
                <w:color w:val="auto"/>
                <w:szCs w:val="22"/>
                <w:highlight w:val="none"/>
              </w:rPr>
              <w:t>品牌（如有）、国别及制造商</w:t>
            </w:r>
          </w:p>
        </w:tc>
        <w:tc>
          <w:tcPr>
            <w:tcW w:w="104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2"/>
                <w:highlight w:val="none"/>
              </w:rPr>
            </w:pPr>
            <w:r>
              <w:rPr>
                <w:rFonts w:hint="eastAsia" w:ascii="宋体" w:hAnsi="宋体" w:cs="宋体"/>
                <w:color w:val="auto"/>
                <w:szCs w:val="22"/>
                <w:highlight w:val="none"/>
              </w:rPr>
              <w:t>数量及单位①</w:t>
            </w:r>
          </w:p>
        </w:tc>
        <w:tc>
          <w:tcPr>
            <w:tcW w:w="114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2"/>
                <w:highlight w:val="none"/>
              </w:rPr>
            </w:pPr>
            <w:r>
              <w:rPr>
                <w:rFonts w:hint="eastAsia" w:ascii="宋体" w:hAnsi="宋体" w:cs="宋体"/>
                <w:color w:val="auto"/>
                <w:szCs w:val="22"/>
                <w:highlight w:val="none"/>
              </w:rPr>
              <w:t>单价(元)</w:t>
            </w:r>
          </w:p>
          <w:p>
            <w:pPr>
              <w:jc w:val="center"/>
              <w:rPr>
                <w:rFonts w:ascii="宋体" w:hAnsi="宋体" w:cs="宋体"/>
                <w:color w:val="auto"/>
                <w:szCs w:val="22"/>
                <w:highlight w:val="none"/>
              </w:rPr>
            </w:pPr>
            <w:r>
              <w:rPr>
                <w:rFonts w:hint="eastAsia" w:ascii="宋体" w:hAnsi="宋体" w:cs="宋体"/>
                <w:color w:val="auto"/>
                <w:szCs w:val="22"/>
                <w:highlight w:val="none"/>
              </w:rPr>
              <w:t>②</w:t>
            </w:r>
          </w:p>
        </w:tc>
        <w:tc>
          <w:tcPr>
            <w:tcW w:w="201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2"/>
                <w:highlight w:val="none"/>
              </w:rPr>
            </w:pPr>
            <w:r>
              <w:rPr>
                <w:rFonts w:hint="eastAsia" w:ascii="宋体" w:hAnsi="宋体" w:cs="宋体"/>
                <w:color w:val="auto"/>
                <w:szCs w:val="22"/>
                <w:highlight w:val="none"/>
              </w:rPr>
              <w:t>单项合计（元）</w:t>
            </w:r>
          </w:p>
          <w:p>
            <w:pPr>
              <w:jc w:val="center"/>
              <w:rPr>
                <w:rFonts w:ascii="宋体" w:hAnsi="宋体" w:cs="宋体"/>
                <w:color w:val="auto"/>
                <w:szCs w:val="22"/>
                <w:highlight w:val="none"/>
              </w:rPr>
            </w:pPr>
            <w:r>
              <w:rPr>
                <w:rFonts w:hint="eastAsia" w:ascii="宋体" w:hAnsi="宋体" w:cs="宋体"/>
                <w:color w:val="auto"/>
                <w:szCs w:val="22"/>
                <w:highlight w:val="none"/>
              </w:rPr>
              <w:t>③＝①×②</w:t>
            </w:r>
          </w:p>
        </w:tc>
        <w:tc>
          <w:tcPr>
            <w:tcW w:w="958" w:type="dxa"/>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1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2"/>
                <w:highlight w:val="none"/>
              </w:rPr>
            </w:pPr>
            <w:r>
              <w:rPr>
                <w:rFonts w:hint="eastAsia" w:ascii="宋体" w:hAnsi="宋体" w:cs="宋体"/>
                <w:color w:val="auto"/>
                <w:szCs w:val="22"/>
                <w:highlight w:val="none"/>
              </w:rPr>
              <w:t>1</w:t>
            </w: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2"/>
                <w:highlight w:val="none"/>
              </w:rPr>
            </w:pPr>
          </w:p>
        </w:tc>
        <w:tc>
          <w:tcPr>
            <w:tcW w:w="118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2"/>
                <w:highlight w:val="none"/>
              </w:rPr>
            </w:pPr>
          </w:p>
        </w:tc>
        <w:tc>
          <w:tcPr>
            <w:tcW w:w="149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2"/>
                <w:highlight w:val="none"/>
              </w:rPr>
            </w:pPr>
          </w:p>
        </w:tc>
        <w:tc>
          <w:tcPr>
            <w:tcW w:w="104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2"/>
                <w:highlight w:val="none"/>
              </w:rPr>
            </w:pPr>
          </w:p>
        </w:tc>
        <w:tc>
          <w:tcPr>
            <w:tcW w:w="114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2"/>
                <w:highlight w:val="none"/>
              </w:rPr>
            </w:pPr>
          </w:p>
        </w:tc>
        <w:tc>
          <w:tcPr>
            <w:tcW w:w="2012"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2"/>
                <w:highlight w:val="none"/>
              </w:rPr>
            </w:pPr>
          </w:p>
        </w:tc>
        <w:tc>
          <w:tcPr>
            <w:tcW w:w="958" w:type="dxa"/>
            <w:tcBorders>
              <w:top w:val="single" w:color="auto" w:sz="4" w:space="0"/>
              <w:left w:val="single" w:color="auto" w:sz="4" w:space="0"/>
              <w:bottom w:val="single" w:color="auto" w:sz="4" w:space="0"/>
              <w:right w:val="single" w:color="auto" w:sz="4" w:space="0"/>
            </w:tcBorders>
          </w:tcPr>
          <w:p>
            <w:pPr>
              <w:rPr>
                <w:rFonts w:ascii="宋体" w:hAnsi="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trPr>
        <w:tc>
          <w:tcPr>
            <w:tcW w:w="71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2"/>
                <w:highlight w:val="none"/>
              </w:rPr>
            </w:pPr>
            <w:r>
              <w:rPr>
                <w:rFonts w:hint="eastAsia" w:ascii="宋体" w:hAnsi="宋体" w:cs="宋体"/>
                <w:color w:val="auto"/>
                <w:szCs w:val="22"/>
                <w:highlight w:val="none"/>
              </w:rPr>
              <w:t>2</w:t>
            </w: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2"/>
                <w:highlight w:val="none"/>
              </w:rPr>
            </w:pPr>
          </w:p>
        </w:tc>
        <w:tc>
          <w:tcPr>
            <w:tcW w:w="118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2"/>
                <w:highlight w:val="none"/>
              </w:rPr>
            </w:pPr>
          </w:p>
        </w:tc>
        <w:tc>
          <w:tcPr>
            <w:tcW w:w="149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2"/>
                <w:highlight w:val="none"/>
              </w:rPr>
            </w:pPr>
          </w:p>
        </w:tc>
        <w:tc>
          <w:tcPr>
            <w:tcW w:w="104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2"/>
                <w:highlight w:val="none"/>
              </w:rPr>
            </w:pPr>
          </w:p>
        </w:tc>
        <w:tc>
          <w:tcPr>
            <w:tcW w:w="114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2"/>
                <w:highlight w:val="none"/>
              </w:rPr>
            </w:pPr>
          </w:p>
        </w:tc>
        <w:tc>
          <w:tcPr>
            <w:tcW w:w="2012"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2"/>
                <w:highlight w:val="none"/>
              </w:rPr>
            </w:pPr>
          </w:p>
        </w:tc>
        <w:tc>
          <w:tcPr>
            <w:tcW w:w="958" w:type="dxa"/>
            <w:tcBorders>
              <w:top w:val="single" w:color="auto" w:sz="4" w:space="0"/>
              <w:left w:val="single" w:color="auto" w:sz="4" w:space="0"/>
              <w:bottom w:val="single" w:color="auto" w:sz="4" w:space="0"/>
              <w:right w:val="single" w:color="auto" w:sz="4" w:space="0"/>
            </w:tcBorders>
          </w:tcPr>
          <w:p>
            <w:pPr>
              <w:rPr>
                <w:rFonts w:ascii="宋体" w:hAnsi="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trPr>
        <w:tc>
          <w:tcPr>
            <w:tcW w:w="71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2"/>
                <w:highlight w:val="none"/>
              </w:rPr>
            </w:pPr>
            <w:r>
              <w:rPr>
                <w:rFonts w:hint="eastAsia" w:ascii="宋体" w:hAnsi="宋体" w:cs="宋体"/>
                <w:color w:val="auto"/>
                <w:szCs w:val="22"/>
                <w:highlight w:val="none"/>
              </w:rPr>
              <w:t>...</w:t>
            </w:r>
          </w:p>
        </w:tc>
        <w:tc>
          <w:tcPr>
            <w:tcW w:w="126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2"/>
                <w:highlight w:val="none"/>
              </w:rPr>
            </w:pPr>
          </w:p>
        </w:tc>
        <w:tc>
          <w:tcPr>
            <w:tcW w:w="118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2"/>
                <w:highlight w:val="none"/>
              </w:rPr>
            </w:pPr>
          </w:p>
        </w:tc>
        <w:tc>
          <w:tcPr>
            <w:tcW w:w="149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2"/>
                <w:highlight w:val="none"/>
              </w:rPr>
            </w:pPr>
          </w:p>
        </w:tc>
        <w:tc>
          <w:tcPr>
            <w:tcW w:w="104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2"/>
                <w:highlight w:val="none"/>
              </w:rPr>
            </w:pPr>
          </w:p>
        </w:tc>
        <w:tc>
          <w:tcPr>
            <w:tcW w:w="114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2"/>
                <w:highlight w:val="none"/>
              </w:rPr>
            </w:pPr>
          </w:p>
        </w:tc>
        <w:tc>
          <w:tcPr>
            <w:tcW w:w="2012"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2"/>
                <w:highlight w:val="none"/>
              </w:rPr>
            </w:pPr>
          </w:p>
        </w:tc>
        <w:tc>
          <w:tcPr>
            <w:tcW w:w="958" w:type="dxa"/>
            <w:tcBorders>
              <w:top w:val="single" w:color="auto" w:sz="4" w:space="0"/>
              <w:left w:val="single" w:color="auto" w:sz="4" w:space="0"/>
              <w:bottom w:val="single" w:color="auto" w:sz="4" w:space="0"/>
              <w:right w:val="single" w:color="auto" w:sz="4" w:space="0"/>
            </w:tcBorders>
          </w:tcPr>
          <w:p>
            <w:pPr>
              <w:rPr>
                <w:rFonts w:ascii="宋体" w:hAnsi="宋体" w:cs="宋体"/>
                <w:color w:val="auto"/>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9813" w:type="dxa"/>
            <w:gridSpan w:val="8"/>
            <w:tcBorders>
              <w:top w:val="single" w:color="auto" w:sz="4" w:space="0"/>
              <w:left w:val="single" w:color="auto" w:sz="4" w:space="0"/>
              <w:bottom w:val="single" w:color="auto" w:sz="4" w:space="0"/>
              <w:right w:val="single" w:color="auto" w:sz="4" w:space="0"/>
            </w:tcBorders>
            <w:vAlign w:val="center"/>
          </w:tcPr>
          <w:p>
            <w:pPr>
              <w:jc w:val="both"/>
              <w:rPr>
                <w:rFonts w:ascii="宋体" w:hAnsi="宋体" w:cs="宋体"/>
                <w:color w:val="auto"/>
                <w:szCs w:val="22"/>
                <w:highlight w:val="none"/>
              </w:rPr>
            </w:pPr>
            <w:r>
              <w:rPr>
                <w:rFonts w:hint="eastAsia" w:ascii="宋体" w:hAnsi="宋体" w:cs="宋体"/>
                <w:color w:val="auto"/>
                <w:szCs w:val="22"/>
                <w:highlight w:val="none"/>
              </w:rPr>
              <w:t>单价汇总金额（即所有货物的单价②相加总和）</w:t>
            </w:r>
            <w:r>
              <w:rPr>
                <w:rFonts w:hint="eastAsia" w:ascii="宋体" w:hAnsi="宋体" w:cs="宋体"/>
                <w:color w:val="auto"/>
                <w:szCs w:val="22"/>
                <w:highlight w:val="none"/>
                <w:lang w:eastAsia="zh-CN"/>
              </w:rPr>
              <w:t>：</w:t>
            </w:r>
            <w:r>
              <w:rPr>
                <w:rFonts w:hint="eastAsia" w:ascii="宋体" w:hAnsi="宋体" w:cs="宋体"/>
                <w:color w:val="auto"/>
                <w:szCs w:val="22"/>
                <w:highlight w:val="none"/>
              </w:rPr>
              <w:t>（大写）人民币</w:t>
            </w:r>
            <w:r>
              <w:rPr>
                <w:rFonts w:hint="eastAsia" w:ascii="宋体" w:hAnsi="宋体" w:cs="宋体"/>
                <w:color w:val="auto"/>
                <w:szCs w:val="22"/>
                <w:highlight w:val="none"/>
                <w:u w:val="single"/>
              </w:rPr>
              <w:t xml:space="preserve"> </w:t>
            </w:r>
            <w:r>
              <w:rPr>
                <w:rFonts w:hint="eastAsia" w:ascii="宋体" w:hAnsi="宋体" w:cs="宋体"/>
                <w:color w:val="auto"/>
                <w:szCs w:val="22"/>
                <w:highlight w:val="none"/>
                <w:u w:val="single"/>
                <w:lang w:val="en-US" w:eastAsia="zh-CN"/>
              </w:rPr>
              <w:t xml:space="preserve">          </w:t>
            </w:r>
            <w:r>
              <w:rPr>
                <w:rFonts w:hint="eastAsia" w:ascii="宋体" w:hAnsi="宋体" w:cs="宋体"/>
                <w:color w:val="auto"/>
                <w:szCs w:val="22"/>
                <w:highlight w:val="none"/>
                <w:lang w:val="en-US" w:eastAsia="zh-CN"/>
              </w:rPr>
              <w:t xml:space="preserve"> </w:t>
            </w:r>
            <w:r>
              <w:rPr>
                <w:rFonts w:hint="eastAsia" w:ascii="宋体" w:hAnsi="宋体" w:cs="宋体"/>
                <w:color w:val="auto"/>
                <w:szCs w:val="22"/>
                <w:highlight w:val="none"/>
              </w:rPr>
              <w:t xml:space="preserve">（小写）¥ </w:t>
            </w:r>
            <w:r>
              <w:rPr>
                <w:rFonts w:hint="eastAsia" w:ascii="宋体" w:hAnsi="宋体" w:cs="宋体"/>
                <w:color w:val="auto"/>
                <w:szCs w:val="22"/>
                <w:highlight w:val="none"/>
                <w:u w:val="single"/>
              </w:rPr>
              <w:t xml:space="preserve"> </w:t>
            </w:r>
            <w:r>
              <w:rPr>
                <w:rFonts w:hint="eastAsia" w:ascii="宋体" w:hAnsi="宋体" w:cs="宋体"/>
                <w:color w:val="auto"/>
                <w:szCs w:val="22"/>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9813" w:type="dxa"/>
            <w:gridSpan w:val="8"/>
            <w:tcBorders>
              <w:top w:val="single" w:color="auto" w:sz="4" w:space="0"/>
              <w:left w:val="single" w:color="auto" w:sz="4" w:space="0"/>
              <w:bottom w:val="single" w:color="auto" w:sz="4" w:space="0"/>
              <w:right w:val="single" w:color="auto" w:sz="4" w:space="0"/>
            </w:tcBorders>
            <w:vAlign w:val="center"/>
          </w:tcPr>
          <w:p>
            <w:pPr>
              <w:jc w:val="both"/>
              <w:rPr>
                <w:rFonts w:hint="eastAsia" w:hAnsi="宋体" w:cs="宋体"/>
                <w:color w:val="auto"/>
                <w:highlight w:val="none"/>
              </w:rPr>
            </w:pPr>
            <w:r>
              <w:rPr>
                <w:rFonts w:hint="eastAsia" w:hAnsi="宋体" w:cs="宋体"/>
                <w:color w:val="auto"/>
                <w:highlight w:val="none"/>
              </w:rPr>
              <w:t>投标总</w:t>
            </w:r>
            <w:r>
              <w:rPr>
                <w:rFonts w:hint="eastAsia" w:ascii="宋体" w:hAnsi="宋体" w:cs="宋体"/>
                <w:color w:val="auto"/>
                <w:szCs w:val="22"/>
                <w:highlight w:val="none"/>
              </w:rPr>
              <w:t>报价（包含税费等所有费用）：（大写）人民币</w:t>
            </w:r>
            <w:r>
              <w:rPr>
                <w:rFonts w:hint="eastAsia" w:ascii="宋体" w:hAnsi="宋体" w:cs="宋体"/>
                <w:color w:val="auto"/>
                <w:szCs w:val="22"/>
                <w:highlight w:val="none"/>
                <w:u w:val="single"/>
              </w:rPr>
              <w:t xml:space="preserve"> </w:t>
            </w:r>
            <w:r>
              <w:rPr>
                <w:rFonts w:hint="eastAsia" w:ascii="宋体" w:hAnsi="宋体" w:cs="宋体"/>
                <w:color w:val="auto"/>
                <w:szCs w:val="22"/>
                <w:highlight w:val="none"/>
                <w:u w:val="single"/>
                <w:lang w:val="en-US" w:eastAsia="zh-CN"/>
              </w:rPr>
              <w:t xml:space="preserve">          </w:t>
            </w:r>
            <w:r>
              <w:rPr>
                <w:rFonts w:hint="eastAsia" w:ascii="宋体" w:hAnsi="宋体" w:cs="宋体"/>
                <w:color w:val="auto"/>
                <w:szCs w:val="22"/>
                <w:highlight w:val="none"/>
                <w:lang w:val="en-US" w:eastAsia="zh-CN"/>
              </w:rPr>
              <w:t xml:space="preserve"> </w:t>
            </w:r>
            <w:r>
              <w:rPr>
                <w:rFonts w:hint="eastAsia" w:ascii="宋体" w:hAnsi="宋体" w:cs="宋体"/>
                <w:color w:val="auto"/>
                <w:szCs w:val="22"/>
                <w:highlight w:val="none"/>
              </w:rPr>
              <w:t xml:space="preserve">（小写）¥ </w:t>
            </w:r>
            <w:r>
              <w:rPr>
                <w:rFonts w:hint="eastAsia" w:ascii="宋体" w:hAnsi="宋体" w:cs="宋体"/>
                <w:color w:val="auto"/>
                <w:szCs w:val="22"/>
                <w:highlight w:val="none"/>
                <w:u w:val="single"/>
              </w:rPr>
              <w:t xml:space="preserve"> </w:t>
            </w:r>
            <w:r>
              <w:rPr>
                <w:rFonts w:hint="eastAsia" w:ascii="宋体" w:hAnsi="宋体" w:cs="宋体"/>
                <w:color w:val="auto"/>
                <w:szCs w:val="22"/>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9813" w:type="dxa"/>
            <w:gridSpan w:val="8"/>
            <w:tcBorders>
              <w:top w:val="single" w:color="auto" w:sz="4" w:space="0"/>
              <w:left w:val="single" w:color="auto" w:sz="4" w:space="0"/>
              <w:bottom w:val="single" w:color="auto" w:sz="4" w:space="0"/>
              <w:right w:val="single" w:color="auto" w:sz="4" w:space="0"/>
            </w:tcBorders>
          </w:tcPr>
          <w:p>
            <w:pPr>
              <w:rPr>
                <w:rFonts w:ascii="宋体" w:hAnsi="宋体" w:cs="宋体"/>
                <w:color w:val="auto"/>
                <w:szCs w:val="22"/>
                <w:highlight w:val="none"/>
              </w:rPr>
            </w:pPr>
            <w:r>
              <w:rPr>
                <w:rFonts w:hint="eastAsia" w:ascii="宋体" w:hAnsi="宋体" w:cs="宋体"/>
                <w:color w:val="auto"/>
                <w:szCs w:val="22"/>
                <w:highlight w:val="none"/>
                <w:lang w:eastAsia="zh-CN"/>
              </w:rPr>
              <w:t>交货时间</w:t>
            </w:r>
            <w:r>
              <w:rPr>
                <w:rFonts w:hint="eastAsia" w:ascii="宋体" w:hAnsi="宋体" w:cs="宋体"/>
                <w:color w:val="auto"/>
                <w:szCs w:val="22"/>
                <w:highlight w:val="none"/>
              </w:rPr>
              <w:t>：</w:t>
            </w:r>
          </w:p>
        </w:tc>
      </w:tr>
    </w:tbl>
    <w:p>
      <w:pPr>
        <w:snapToGrid w:val="0"/>
        <w:spacing w:before="50" w:after="50" w:line="360" w:lineRule="auto"/>
        <w:ind w:firstLine="420" w:firstLineChars="200"/>
        <w:jc w:val="left"/>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 xml:space="preserve">注： </w:t>
      </w:r>
    </w:p>
    <w:p>
      <w:pPr>
        <w:snapToGrid w:val="0"/>
        <w:spacing w:before="50" w:after="50" w:line="360" w:lineRule="auto"/>
        <w:ind w:firstLine="420" w:firstLineChars="200"/>
        <w:jc w:val="left"/>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1、 投标人需按本表格式填写，不得自行更改，也不得留空（备注除外），如有多分标，按分标分别提供开标一览表，必须加盖投标人有效公章，</w:t>
      </w:r>
      <w:r>
        <w:rPr>
          <w:rFonts w:hint="eastAsia" w:ascii="宋体" w:hAnsi="宋体" w:cs="宋体"/>
          <w:b/>
          <w:color w:val="auto"/>
          <w:kern w:val="0"/>
          <w:szCs w:val="21"/>
          <w:highlight w:val="none"/>
          <w:lang w:val="zh-CN"/>
        </w:rPr>
        <w:t>否则其投标作无效标处理。</w:t>
      </w:r>
    </w:p>
    <w:p>
      <w:pPr>
        <w:snapToGrid w:val="0"/>
        <w:spacing w:before="50" w:after="50" w:line="360" w:lineRule="auto"/>
        <w:ind w:firstLine="420" w:firstLineChars="200"/>
        <w:jc w:val="left"/>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2、本表内容均不能涂改，</w:t>
      </w:r>
      <w:r>
        <w:rPr>
          <w:rFonts w:hint="eastAsia" w:ascii="宋体" w:hAnsi="宋体" w:cs="宋体"/>
          <w:b/>
          <w:color w:val="auto"/>
          <w:kern w:val="0"/>
          <w:szCs w:val="21"/>
          <w:highlight w:val="none"/>
          <w:lang w:val="zh-CN"/>
        </w:rPr>
        <w:t>否则其投标作无效标处理。</w:t>
      </w:r>
    </w:p>
    <w:p>
      <w:pPr>
        <w:snapToGrid w:val="0"/>
        <w:spacing w:before="50" w:after="50" w:line="360" w:lineRule="auto"/>
        <w:ind w:firstLine="420" w:firstLineChars="200"/>
        <w:jc w:val="left"/>
        <w:rPr>
          <w:rFonts w:ascii="宋体" w:hAnsi="宋体" w:cs="宋体"/>
          <w:b/>
          <w:color w:val="auto"/>
          <w:kern w:val="0"/>
          <w:szCs w:val="21"/>
          <w:highlight w:val="none"/>
          <w:lang w:val="zh-CN"/>
        </w:rPr>
      </w:pPr>
      <w:r>
        <w:rPr>
          <w:rFonts w:hint="eastAsia" w:ascii="宋体" w:hAnsi="宋体" w:cs="宋体"/>
          <w:color w:val="auto"/>
          <w:kern w:val="0"/>
          <w:szCs w:val="21"/>
          <w:highlight w:val="none"/>
          <w:lang w:val="zh-CN"/>
        </w:rPr>
        <w:t>3、如为联合体投标，“投标人名称”处必须列明联合体各方名称，并标注联合体牵头人名称，且盖章处须加盖联合体各方公章，</w:t>
      </w:r>
      <w:r>
        <w:rPr>
          <w:rFonts w:hint="eastAsia" w:ascii="宋体" w:hAnsi="宋体" w:cs="宋体"/>
          <w:b/>
          <w:color w:val="auto"/>
          <w:kern w:val="0"/>
          <w:szCs w:val="21"/>
          <w:highlight w:val="none"/>
          <w:lang w:val="zh-CN"/>
        </w:rPr>
        <w:t>否则其投标作无效标处理。</w:t>
      </w:r>
    </w:p>
    <w:p>
      <w:pPr>
        <w:snapToGrid w:val="0"/>
        <w:spacing w:line="360" w:lineRule="auto"/>
        <w:ind w:firstLine="420" w:firstLineChars="200"/>
        <w:jc w:val="left"/>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4、以上表格要求细分项目及报价，在“标的名称”一栏中，填写具体货物，在“规格型号”一栏中，填写具体货物规格和型号，</w:t>
      </w:r>
      <w:r>
        <w:rPr>
          <w:rFonts w:hint="eastAsia" w:ascii="宋体" w:hAnsi="宋体" w:cs="宋体"/>
          <w:b/>
          <w:color w:val="auto"/>
          <w:kern w:val="0"/>
          <w:szCs w:val="21"/>
          <w:highlight w:val="none"/>
          <w:lang w:val="zh-CN"/>
        </w:rPr>
        <w:t>否则其投标作无效标处理。</w:t>
      </w:r>
    </w:p>
    <w:p>
      <w:pPr>
        <w:snapToGrid w:val="0"/>
        <w:spacing w:line="360" w:lineRule="auto"/>
        <w:ind w:firstLine="420" w:firstLineChars="200"/>
        <w:jc w:val="left"/>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5、特别提示：采购代理机构将对项目名称和项目编号，中标人名称、地址和中标金额，主要中标标的的名称、规格型号、数量、单价等予以公示。</w:t>
      </w:r>
    </w:p>
    <w:p>
      <w:pPr>
        <w:snapToGrid w:val="0"/>
        <w:spacing w:line="360" w:lineRule="auto"/>
        <w:ind w:firstLine="420" w:firstLineChars="200"/>
        <w:jc w:val="left"/>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6、符合招标文件中列明的可享受中小企业扶持政策的投标人，请填写中小企业声明函。注：投标人提供的中小企业声明函内容不实的，属于提供虚假材料谋取中标、成交，依照《中华人民共和国政府采购法》等国家有关规定追究相应责任。</w:t>
      </w:r>
    </w:p>
    <w:p>
      <w:pPr>
        <w:snapToGrid w:val="0"/>
        <w:spacing w:line="360" w:lineRule="auto"/>
        <w:ind w:firstLine="420" w:firstLineChars="200"/>
        <w:jc w:val="left"/>
        <w:rPr>
          <w:rFonts w:ascii="宋体" w:hAnsi="宋体" w:cs="宋体"/>
          <w:color w:val="auto"/>
          <w:kern w:val="0"/>
          <w:szCs w:val="21"/>
          <w:highlight w:val="none"/>
          <w:lang w:val="zh-CN"/>
        </w:rPr>
      </w:pPr>
    </w:p>
    <w:p>
      <w:pPr>
        <w:snapToGrid w:val="0"/>
        <w:spacing w:line="360" w:lineRule="auto"/>
        <w:ind w:firstLine="5760" w:firstLineChars="2400"/>
        <w:rPr>
          <w:rFonts w:ascii="宋体" w:hAnsi="宋体" w:cs="宋体"/>
          <w:color w:val="auto"/>
          <w:kern w:val="0"/>
          <w:sz w:val="24"/>
          <w:highlight w:val="none"/>
        </w:rPr>
      </w:pPr>
      <w:r>
        <w:rPr>
          <w:rFonts w:hint="eastAsia" w:ascii="宋体" w:hAnsi="宋体" w:cs="宋体"/>
          <w:color w:val="auto"/>
          <w:kern w:val="0"/>
          <w:sz w:val="24"/>
          <w:highlight w:val="none"/>
          <w:lang w:val="zh-CN"/>
        </w:rPr>
        <w:t>投标人名称(盖公章)：</w:t>
      </w:r>
    </w:p>
    <w:p>
      <w:pPr>
        <w:spacing w:line="360" w:lineRule="auto"/>
        <w:jc w:val="right"/>
        <w:rPr>
          <w:rFonts w:ascii="宋体" w:hAnsi="宋体" w:cs="宋体"/>
          <w:color w:val="auto"/>
          <w:kern w:val="0"/>
          <w:sz w:val="24"/>
          <w:highlight w:val="none"/>
        </w:rPr>
      </w:pPr>
      <w:r>
        <w:rPr>
          <w:rFonts w:hint="eastAsia" w:ascii="宋体" w:hAnsi="宋体" w:cs="宋体"/>
          <w:color w:val="auto"/>
          <w:kern w:val="0"/>
          <w:sz w:val="24"/>
          <w:highlight w:val="none"/>
          <w:lang w:val="zh-CN"/>
        </w:rPr>
        <w:t>日期</w:t>
      </w:r>
      <w:r>
        <w:rPr>
          <w:rFonts w:hint="eastAsia" w:ascii="宋体" w:hAnsi="宋体" w:cs="宋体"/>
          <w:color w:val="auto"/>
          <w:kern w:val="0"/>
          <w:sz w:val="24"/>
          <w:highlight w:val="none"/>
        </w:rPr>
        <w:t>：  年  月  日</w:t>
      </w:r>
    </w:p>
    <w:p>
      <w:pPr>
        <w:rPr>
          <w:rFonts w:ascii="宋体" w:hAnsi="宋体" w:cs="宋体"/>
          <w:b/>
          <w:bCs/>
          <w:color w:val="auto"/>
          <w:sz w:val="28"/>
          <w:szCs w:val="28"/>
          <w:highlight w:val="none"/>
        </w:rPr>
      </w:pPr>
      <w:bookmarkStart w:id="258" w:name="_Toc12749"/>
      <w:bookmarkStart w:id="259" w:name="_Toc19036"/>
      <w:bookmarkStart w:id="260" w:name="_Toc19686840"/>
      <w:bookmarkStart w:id="261" w:name="_Toc26722"/>
      <w:bookmarkStart w:id="262" w:name="_Toc24690"/>
      <w:bookmarkStart w:id="263" w:name="_Toc8131"/>
      <w:r>
        <w:rPr>
          <w:rFonts w:hint="eastAsia" w:ascii="宋体" w:hAnsi="宋体" w:cs="宋体"/>
          <w:b/>
          <w:bCs/>
          <w:color w:val="auto"/>
          <w:sz w:val="28"/>
          <w:szCs w:val="28"/>
          <w:highlight w:val="none"/>
        </w:rPr>
        <w:br w:type="page"/>
      </w:r>
      <w:r>
        <w:rPr>
          <w:rFonts w:hint="eastAsia" w:ascii="宋体" w:hAnsi="宋体" w:cs="宋体"/>
          <w:b/>
          <w:bCs/>
          <w:color w:val="auto"/>
          <w:sz w:val="28"/>
          <w:szCs w:val="28"/>
          <w:highlight w:val="none"/>
        </w:rPr>
        <w:t>第六节 其他文书、文件格式</w:t>
      </w:r>
      <w:bookmarkEnd w:id="258"/>
      <w:bookmarkEnd w:id="259"/>
      <w:bookmarkEnd w:id="260"/>
      <w:bookmarkEnd w:id="261"/>
      <w:bookmarkEnd w:id="262"/>
      <w:bookmarkEnd w:id="263"/>
    </w:p>
    <w:p>
      <w:pPr>
        <w:jc w:val="left"/>
        <w:rPr>
          <w:rFonts w:ascii="宋体" w:hAnsi="宋体" w:cs="宋体"/>
          <w:b/>
          <w:color w:val="auto"/>
          <w:sz w:val="28"/>
          <w:szCs w:val="28"/>
          <w:highlight w:val="none"/>
        </w:rPr>
      </w:pPr>
    </w:p>
    <w:p>
      <w:pPr>
        <w:jc w:val="left"/>
        <w:rPr>
          <w:rFonts w:ascii="宋体" w:hAnsi="宋体" w:cs="宋体"/>
          <w:b/>
          <w:color w:val="auto"/>
          <w:sz w:val="28"/>
          <w:szCs w:val="28"/>
          <w:highlight w:val="none"/>
        </w:rPr>
      </w:pPr>
      <w:r>
        <w:rPr>
          <w:rFonts w:hint="eastAsia" w:ascii="宋体" w:hAnsi="宋体" w:cs="宋体"/>
          <w:b/>
          <w:color w:val="auto"/>
          <w:sz w:val="28"/>
          <w:szCs w:val="28"/>
          <w:highlight w:val="none"/>
        </w:rPr>
        <w:t>1.中小企业声明函的格式：</w:t>
      </w:r>
    </w:p>
    <w:p>
      <w:pPr>
        <w:rPr>
          <w:rFonts w:ascii="宋体" w:hAnsi="宋体" w:cs="宋体"/>
          <w:b/>
          <w:color w:val="auto"/>
          <w:sz w:val="30"/>
          <w:szCs w:val="30"/>
          <w:highlight w:val="none"/>
        </w:rPr>
      </w:pPr>
    </w:p>
    <w:p>
      <w:pPr>
        <w:jc w:val="center"/>
        <w:rPr>
          <w:b/>
          <w:color w:val="auto"/>
          <w:sz w:val="30"/>
          <w:szCs w:val="30"/>
          <w:highlight w:val="none"/>
        </w:rPr>
      </w:pPr>
      <w:r>
        <w:rPr>
          <w:rFonts w:hint="eastAsia"/>
          <w:b/>
          <w:color w:val="auto"/>
          <w:sz w:val="30"/>
          <w:szCs w:val="30"/>
          <w:highlight w:val="none"/>
        </w:rPr>
        <w:t>中小企业声明函</w:t>
      </w:r>
    </w:p>
    <w:p>
      <w:pPr>
        <w:ind w:firstLine="404" w:firstLineChars="200"/>
        <w:rPr>
          <w:rFonts w:hAnsi="宋体"/>
          <w:color w:val="auto"/>
          <w:spacing w:val="-4"/>
          <w:szCs w:val="21"/>
          <w:highlight w:val="none"/>
        </w:rPr>
      </w:pPr>
    </w:p>
    <w:p>
      <w:pPr>
        <w:spacing w:line="360" w:lineRule="exact"/>
        <w:ind w:firstLine="404" w:firstLineChars="200"/>
        <w:rPr>
          <w:rFonts w:ascii="宋体" w:hAnsi="宋体" w:cs="宋体"/>
          <w:color w:val="auto"/>
          <w:spacing w:val="-4"/>
          <w:szCs w:val="21"/>
          <w:highlight w:val="none"/>
        </w:rPr>
      </w:pPr>
    </w:p>
    <w:p>
      <w:pPr>
        <w:spacing w:after="120" w:line="360" w:lineRule="exact"/>
        <w:ind w:left="-426" w:leftChars="-203" w:right="142" w:firstLine="480" w:firstLineChars="200"/>
        <w:contextualSpacing/>
        <w:rPr>
          <w:rFonts w:ascii="宋体" w:hAnsi="宋体" w:cs="宋体"/>
          <w:color w:val="auto"/>
          <w:kern w:val="24"/>
          <w:sz w:val="24"/>
          <w:highlight w:val="none"/>
        </w:rPr>
      </w:pPr>
      <w:r>
        <w:rPr>
          <w:rFonts w:hint="eastAsia" w:ascii="宋体" w:hAnsi="宋体" w:cs="宋体"/>
          <w:color w:val="auto"/>
          <w:kern w:val="24"/>
          <w:sz w:val="24"/>
          <w:highlight w:val="none"/>
        </w:rPr>
        <w:t>本公司（联合体）郑重声明，根据《政府采购促进中小企业发展管理办法》（财库﹝2020﹞46号）的规定，本公司（联合体）参加</w:t>
      </w:r>
      <w:r>
        <w:rPr>
          <w:rFonts w:hint="eastAsia" w:ascii="宋体" w:hAnsi="宋体" w:cs="宋体"/>
          <w:i/>
          <w:iCs/>
          <w:color w:val="auto"/>
          <w:kern w:val="24"/>
          <w:sz w:val="24"/>
          <w:highlight w:val="none"/>
          <w:u w:val="single"/>
        </w:rPr>
        <w:t>（单位名称）</w:t>
      </w:r>
      <w:r>
        <w:rPr>
          <w:rFonts w:hint="eastAsia" w:ascii="宋体" w:hAnsi="宋体" w:cs="宋体"/>
          <w:color w:val="auto"/>
          <w:kern w:val="24"/>
          <w:sz w:val="24"/>
          <w:highlight w:val="none"/>
        </w:rPr>
        <w:t>的</w:t>
      </w:r>
      <w:r>
        <w:rPr>
          <w:rFonts w:hint="eastAsia" w:ascii="宋体" w:hAnsi="宋体" w:cs="宋体"/>
          <w:i/>
          <w:iCs/>
          <w:color w:val="auto"/>
          <w:kern w:val="24"/>
          <w:sz w:val="24"/>
          <w:highlight w:val="none"/>
          <w:u w:val="single"/>
        </w:rPr>
        <w:t>（项目名称）</w:t>
      </w:r>
      <w:r>
        <w:rPr>
          <w:rFonts w:hint="eastAsia" w:ascii="宋体" w:hAnsi="宋体" w:cs="宋体"/>
          <w:color w:val="auto"/>
          <w:kern w:val="24"/>
          <w:sz w:val="24"/>
          <w:highlight w:val="none"/>
        </w:rPr>
        <w:t>采购活动，提供的货物全部由符合政策要求的中小企业制造。相关企业（含联合体中的中小企业、签订分包意向协议的中小企业）的具体情况如下：</w:t>
      </w:r>
    </w:p>
    <w:p>
      <w:pPr>
        <w:tabs>
          <w:tab w:val="left" w:pos="1384"/>
          <w:tab w:val="left" w:pos="4562"/>
          <w:tab w:val="left" w:pos="6803"/>
        </w:tabs>
        <w:spacing w:line="360" w:lineRule="exact"/>
        <w:ind w:left="-426" w:right="-58" w:firstLine="655"/>
        <w:contextualSpacing/>
        <w:rPr>
          <w:rFonts w:ascii="宋体" w:hAnsi="宋体" w:cs="宋体"/>
          <w:color w:val="auto"/>
          <w:kern w:val="24"/>
          <w:sz w:val="24"/>
          <w:highlight w:val="none"/>
        </w:rPr>
      </w:pPr>
      <w:r>
        <w:rPr>
          <w:rFonts w:hint="eastAsia" w:ascii="宋体" w:hAnsi="宋体" w:cs="宋体"/>
          <w:color w:val="auto"/>
          <w:kern w:val="24"/>
          <w:sz w:val="24"/>
          <w:highlight w:val="none"/>
        </w:rPr>
        <w:t>1.</w:t>
      </w:r>
      <w:r>
        <w:rPr>
          <w:rFonts w:hint="eastAsia" w:ascii="宋体" w:hAnsi="宋体" w:cs="宋体"/>
          <w:i/>
          <w:iCs/>
          <w:color w:val="auto"/>
          <w:kern w:val="24"/>
          <w:sz w:val="24"/>
          <w:highlight w:val="none"/>
          <w:u w:val="single"/>
        </w:rPr>
        <w:t>（标的名称）</w:t>
      </w:r>
      <w:r>
        <w:rPr>
          <w:rFonts w:hint="eastAsia" w:ascii="宋体" w:hAnsi="宋体" w:cs="宋体"/>
          <w:color w:val="auto"/>
          <w:kern w:val="24"/>
          <w:sz w:val="24"/>
          <w:highlight w:val="none"/>
        </w:rPr>
        <w:t>，属于</w:t>
      </w:r>
      <w:r>
        <w:rPr>
          <w:rFonts w:hint="eastAsia" w:ascii="宋体" w:hAnsi="宋体" w:cs="宋体"/>
          <w:i/>
          <w:iCs/>
          <w:color w:val="auto"/>
          <w:kern w:val="24"/>
          <w:sz w:val="24"/>
          <w:highlight w:val="none"/>
          <w:u w:val="single"/>
        </w:rPr>
        <w:t>（采购文件中明确的所属行业）行业</w:t>
      </w:r>
      <w:r>
        <w:rPr>
          <w:rFonts w:hint="eastAsia" w:ascii="宋体" w:hAnsi="宋体" w:cs="宋体"/>
          <w:color w:val="auto"/>
          <w:kern w:val="24"/>
          <w:sz w:val="24"/>
          <w:highlight w:val="none"/>
        </w:rPr>
        <w:t>；制造商为</w:t>
      </w:r>
      <w:r>
        <w:rPr>
          <w:rFonts w:hint="eastAsia" w:ascii="宋体" w:hAnsi="宋体" w:cs="宋体"/>
          <w:i/>
          <w:iCs/>
          <w:color w:val="auto"/>
          <w:kern w:val="24"/>
          <w:sz w:val="24"/>
          <w:highlight w:val="none"/>
          <w:u w:val="single"/>
        </w:rPr>
        <w:t>（企业名称）</w:t>
      </w:r>
      <w:r>
        <w:rPr>
          <w:rFonts w:hint="eastAsia" w:ascii="宋体" w:hAnsi="宋体" w:cs="宋体"/>
          <w:color w:val="auto"/>
          <w:kern w:val="24"/>
          <w:sz w:val="24"/>
          <w:highlight w:val="none"/>
        </w:rPr>
        <w:t>，从业人员人，营业收入为万元，资产总额为万元，属于</w:t>
      </w:r>
      <w:r>
        <w:rPr>
          <w:rFonts w:hint="eastAsia" w:ascii="宋体" w:hAnsi="宋体" w:cs="宋体"/>
          <w:i/>
          <w:iCs/>
          <w:color w:val="auto"/>
          <w:kern w:val="24"/>
          <w:sz w:val="24"/>
          <w:highlight w:val="none"/>
          <w:u w:val="single"/>
        </w:rPr>
        <w:t>（中型企业、小型企业、微型企业）</w:t>
      </w:r>
      <w:r>
        <w:rPr>
          <w:rFonts w:hint="eastAsia" w:ascii="宋体" w:hAnsi="宋体" w:cs="宋体"/>
          <w:color w:val="auto"/>
          <w:kern w:val="24"/>
          <w:sz w:val="24"/>
          <w:highlight w:val="none"/>
        </w:rPr>
        <w:t>；</w:t>
      </w:r>
    </w:p>
    <w:p>
      <w:pPr>
        <w:tabs>
          <w:tab w:val="left" w:pos="1065"/>
          <w:tab w:val="left" w:pos="6477"/>
        </w:tabs>
        <w:spacing w:line="360" w:lineRule="exact"/>
        <w:ind w:left="-426" w:right="-58" w:firstLine="655"/>
        <w:contextualSpacing/>
        <w:rPr>
          <w:rFonts w:ascii="宋体" w:hAnsi="宋体" w:cs="宋体"/>
          <w:color w:val="auto"/>
          <w:kern w:val="24"/>
          <w:sz w:val="24"/>
          <w:highlight w:val="none"/>
        </w:rPr>
      </w:pPr>
      <w:r>
        <w:rPr>
          <w:rFonts w:hint="eastAsia" w:ascii="宋体" w:hAnsi="宋体" w:cs="宋体"/>
          <w:color w:val="auto"/>
          <w:kern w:val="24"/>
          <w:sz w:val="24"/>
          <w:highlight w:val="none"/>
        </w:rPr>
        <w:t>2.</w:t>
      </w:r>
      <w:r>
        <w:rPr>
          <w:rFonts w:hint="eastAsia" w:ascii="宋体" w:hAnsi="宋体" w:cs="宋体"/>
          <w:i/>
          <w:iCs/>
          <w:color w:val="auto"/>
          <w:kern w:val="24"/>
          <w:sz w:val="24"/>
          <w:highlight w:val="none"/>
          <w:u w:val="single"/>
        </w:rPr>
        <w:t>（标的名称）</w:t>
      </w:r>
      <w:r>
        <w:rPr>
          <w:rFonts w:hint="eastAsia" w:ascii="宋体" w:hAnsi="宋体" w:cs="宋体"/>
          <w:color w:val="auto"/>
          <w:kern w:val="24"/>
          <w:sz w:val="24"/>
          <w:highlight w:val="none"/>
        </w:rPr>
        <w:t>，属于</w:t>
      </w:r>
      <w:r>
        <w:rPr>
          <w:rFonts w:hint="eastAsia" w:ascii="宋体" w:hAnsi="宋体" w:cs="宋体"/>
          <w:i/>
          <w:iCs/>
          <w:color w:val="auto"/>
          <w:kern w:val="24"/>
          <w:sz w:val="24"/>
          <w:highlight w:val="none"/>
          <w:u w:val="single"/>
        </w:rPr>
        <w:t>（采购文件中明确的所属行业）行业</w:t>
      </w:r>
      <w:r>
        <w:rPr>
          <w:rFonts w:hint="eastAsia" w:ascii="宋体" w:hAnsi="宋体" w:cs="宋体"/>
          <w:color w:val="auto"/>
          <w:kern w:val="24"/>
          <w:sz w:val="24"/>
          <w:highlight w:val="none"/>
        </w:rPr>
        <w:t>；制造商为</w:t>
      </w:r>
      <w:r>
        <w:rPr>
          <w:rFonts w:hint="eastAsia" w:ascii="宋体" w:hAnsi="宋体" w:cs="宋体"/>
          <w:i/>
          <w:iCs/>
          <w:color w:val="auto"/>
          <w:kern w:val="24"/>
          <w:sz w:val="24"/>
          <w:highlight w:val="none"/>
          <w:u w:val="single"/>
        </w:rPr>
        <w:t>（企业名称）</w:t>
      </w:r>
      <w:r>
        <w:rPr>
          <w:rFonts w:hint="eastAsia" w:ascii="宋体" w:hAnsi="宋体" w:cs="宋体"/>
          <w:color w:val="auto"/>
          <w:kern w:val="24"/>
          <w:sz w:val="24"/>
          <w:highlight w:val="none"/>
        </w:rPr>
        <w:t>，从业人员人，营业收入为万元，资产总额为万元，属于</w:t>
      </w:r>
      <w:r>
        <w:rPr>
          <w:rFonts w:hint="eastAsia" w:ascii="宋体" w:hAnsi="宋体" w:cs="宋体"/>
          <w:i/>
          <w:iCs/>
          <w:color w:val="auto"/>
          <w:kern w:val="24"/>
          <w:sz w:val="24"/>
          <w:highlight w:val="none"/>
          <w:u w:val="single"/>
        </w:rPr>
        <w:t>（中型企业、小型企业、微型企业）</w:t>
      </w:r>
      <w:r>
        <w:rPr>
          <w:rFonts w:hint="eastAsia" w:ascii="宋体" w:hAnsi="宋体" w:cs="宋体"/>
          <w:color w:val="auto"/>
          <w:kern w:val="24"/>
          <w:sz w:val="24"/>
          <w:highlight w:val="none"/>
        </w:rPr>
        <w:t>；</w:t>
      </w:r>
    </w:p>
    <w:p>
      <w:pPr>
        <w:spacing w:after="120" w:line="360" w:lineRule="exact"/>
        <w:ind w:left="142" w:right="142"/>
        <w:contextualSpacing/>
        <w:rPr>
          <w:rFonts w:ascii="宋体" w:hAnsi="宋体" w:cs="宋体"/>
          <w:color w:val="auto"/>
          <w:kern w:val="24"/>
          <w:highlight w:val="none"/>
        </w:rPr>
      </w:pPr>
      <w:r>
        <w:rPr>
          <w:rFonts w:hint="eastAsia" w:ascii="宋体" w:hAnsi="宋体" w:cs="宋体"/>
          <w:color w:val="auto"/>
          <w:kern w:val="24"/>
          <w:highlight w:val="none"/>
        </w:rPr>
        <w:t xml:space="preserve">…… </w:t>
      </w:r>
    </w:p>
    <w:p>
      <w:pPr>
        <w:spacing w:after="120" w:line="360" w:lineRule="exact"/>
        <w:ind w:left="-405" w:leftChars="-193" w:right="142" w:firstLine="453" w:firstLineChars="189"/>
        <w:contextualSpacing/>
        <w:rPr>
          <w:rFonts w:ascii="宋体" w:hAnsi="宋体" w:cs="宋体"/>
          <w:color w:val="auto"/>
          <w:kern w:val="24"/>
          <w:sz w:val="24"/>
          <w:highlight w:val="none"/>
        </w:rPr>
      </w:pPr>
      <w:r>
        <w:rPr>
          <w:rFonts w:hint="eastAsia" w:ascii="宋体" w:hAnsi="宋体" w:cs="宋体"/>
          <w:color w:val="auto"/>
          <w:kern w:val="24"/>
          <w:sz w:val="24"/>
          <w:highlight w:val="none"/>
        </w:rPr>
        <w:t>以上企业，不属于大企业的分支机构，不存在控股股东为大企业的情形，也不存在与大企业的负责人为同一人的情形。</w:t>
      </w:r>
    </w:p>
    <w:p>
      <w:pPr>
        <w:spacing w:after="120" w:line="360" w:lineRule="exact"/>
        <w:ind w:left="-426" w:right="142" w:firstLine="420"/>
        <w:contextualSpacing/>
        <w:rPr>
          <w:rFonts w:ascii="宋体" w:hAnsi="宋体" w:cs="宋体"/>
          <w:color w:val="auto"/>
          <w:kern w:val="24"/>
          <w:sz w:val="24"/>
          <w:highlight w:val="none"/>
        </w:rPr>
      </w:pPr>
      <w:r>
        <w:rPr>
          <w:rFonts w:hint="eastAsia" w:ascii="宋体" w:hAnsi="宋体" w:cs="宋体"/>
          <w:color w:val="auto"/>
          <w:kern w:val="24"/>
          <w:sz w:val="24"/>
          <w:highlight w:val="none"/>
        </w:rPr>
        <w:t>本企业对上述声明内容的真实性负责。如有虚假，将依法承担相应责任。</w:t>
      </w:r>
    </w:p>
    <w:p>
      <w:pPr>
        <w:spacing w:line="360" w:lineRule="auto"/>
        <w:ind w:firstLine="480" w:firstLineChars="200"/>
        <w:rPr>
          <w:rFonts w:ascii="宋体" w:hAnsi="宋体" w:cs="宋体"/>
          <w:color w:val="auto"/>
          <w:sz w:val="24"/>
          <w:highlight w:val="none"/>
        </w:rPr>
      </w:pPr>
    </w:p>
    <w:p>
      <w:pPr>
        <w:spacing w:line="360" w:lineRule="auto"/>
        <w:ind w:firstLine="480" w:firstLineChars="200"/>
        <w:rPr>
          <w:rFonts w:ascii="宋体" w:hAnsi="宋体" w:cs="宋体"/>
          <w:color w:val="auto"/>
          <w:sz w:val="24"/>
          <w:highlight w:val="none"/>
        </w:rPr>
      </w:pPr>
    </w:p>
    <w:p>
      <w:pPr>
        <w:snapToGrid w:val="0"/>
        <w:spacing w:line="360" w:lineRule="auto"/>
        <w:ind w:firstLine="5040" w:firstLineChars="2100"/>
        <w:rPr>
          <w:rFonts w:ascii="宋体" w:hAnsi="宋体" w:cs="宋体"/>
          <w:color w:val="auto"/>
          <w:kern w:val="0"/>
          <w:sz w:val="24"/>
          <w:highlight w:val="none"/>
        </w:rPr>
      </w:pPr>
      <w:r>
        <w:rPr>
          <w:rFonts w:hint="eastAsia" w:ascii="宋体" w:hAnsi="宋体" w:cs="宋体"/>
          <w:color w:val="auto"/>
          <w:kern w:val="0"/>
          <w:sz w:val="24"/>
          <w:highlight w:val="none"/>
          <w:lang w:val="zh-CN"/>
        </w:rPr>
        <w:t>投标人名称(盖公章)：</w:t>
      </w:r>
    </w:p>
    <w:p>
      <w:pPr>
        <w:snapToGrid w:val="0"/>
        <w:spacing w:line="360" w:lineRule="auto"/>
        <w:ind w:firstLine="5160" w:firstLineChars="215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日期</w:t>
      </w:r>
      <w:r>
        <w:rPr>
          <w:rFonts w:hint="eastAsia" w:ascii="宋体" w:hAnsi="宋体" w:cs="宋体"/>
          <w:color w:val="auto"/>
          <w:kern w:val="0"/>
          <w:sz w:val="24"/>
          <w:highlight w:val="none"/>
        </w:rPr>
        <w:t xml:space="preserve">：  年  </w:t>
      </w:r>
      <w:r>
        <w:rPr>
          <w:rFonts w:hint="eastAsia" w:ascii="宋体" w:hAnsi="宋体" w:cs="宋体"/>
          <w:color w:val="auto"/>
          <w:kern w:val="0"/>
          <w:sz w:val="24"/>
          <w:highlight w:val="none"/>
          <w:lang w:val="zh-CN"/>
        </w:rPr>
        <w:t>月日</w:t>
      </w:r>
    </w:p>
    <w:p>
      <w:pPr>
        <w:spacing w:line="360" w:lineRule="auto"/>
        <w:ind w:firstLine="420" w:firstLineChars="200"/>
        <w:rPr>
          <w:rFonts w:ascii="宋体" w:hAnsi="宋体" w:cs="宋体"/>
          <w:color w:val="auto"/>
          <w:szCs w:val="21"/>
          <w:highlight w:val="none"/>
        </w:rPr>
      </w:pPr>
    </w:p>
    <w:p>
      <w:pPr>
        <w:spacing w:before="50" w:afterLines="50" w:line="360" w:lineRule="auto"/>
        <w:ind w:firstLine="404" w:firstLineChars="200"/>
        <w:rPr>
          <w:rFonts w:ascii="宋体" w:hAnsi="宋体" w:cs="宋体"/>
          <w:color w:val="auto"/>
          <w:spacing w:val="-4"/>
          <w:szCs w:val="21"/>
          <w:highlight w:val="none"/>
        </w:rPr>
      </w:pPr>
      <w:r>
        <w:rPr>
          <w:rFonts w:hint="eastAsia" w:ascii="宋体" w:hAnsi="宋体" w:cs="宋体"/>
          <w:color w:val="auto"/>
          <w:spacing w:val="-4"/>
          <w:szCs w:val="21"/>
          <w:highlight w:val="none"/>
        </w:rPr>
        <w:t>注：</w:t>
      </w:r>
    </w:p>
    <w:p>
      <w:pPr>
        <w:spacing w:before="50" w:afterLines="50" w:line="360" w:lineRule="auto"/>
        <w:ind w:firstLine="404" w:firstLineChars="200"/>
        <w:rPr>
          <w:rFonts w:ascii="宋体" w:hAnsi="宋体" w:cs="宋体"/>
          <w:color w:val="auto"/>
          <w:spacing w:val="-4"/>
          <w:szCs w:val="21"/>
          <w:highlight w:val="none"/>
        </w:rPr>
      </w:pPr>
      <w:r>
        <w:rPr>
          <w:rFonts w:hint="eastAsia" w:ascii="宋体" w:hAnsi="宋体" w:cs="宋体"/>
          <w:color w:val="auto"/>
          <w:spacing w:val="-4"/>
          <w:szCs w:val="21"/>
          <w:highlight w:val="none"/>
        </w:rPr>
        <w:t>1、从业人员、营业收入、资产总额填报上一年度数据，无上一年度数据的新成立企业可不填报。</w:t>
      </w:r>
    </w:p>
    <w:p>
      <w:pPr>
        <w:spacing w:line="360" w:lineRule="auto"/>
        <w:ind w:firstLine="404" w:firstLineChars="200"/>
        <w:rPr>
          <w:rFonts w:ascii="宋体" w:hAnsi="宋体" w:cs="宋体"/>
          <w:color w:val="auto"/>
          <w:spacing w:val="-4"/>
          <w:szCs w:val="21"/>
          <w:highlight w:val="none"/>
        </w:rPr>
      </w:pPr>
      <w:r>
        <w:rPr>
          <w:rFonts w:hint="eastAsia" w:ascii="宋体" w:hAnsi="宋体" w:cs="宋体"/>
          <w:color w:val="auto"/>
          <w:spacing w:val="-4"/>
          <w:szCs w:val="21"/>
          <w:highlight w:val="none"/>
        </w:rPr>
        <w:t>2、请根据自己的真实情况出具《中小企业声明函》。依法享受中小企业扶持政策的，采购人或者采购代理机构在公告中标结果时，同时公告其《中小企业声明函》，接受社会监督。</w:t>
      </w:r>
    </w:p>
    <w:p>
      <w:pPr>
        <w:spacing w:line="360" w:lineRule="auto"/>
        <w:ind w:firstLine="406" w:firstLineChars="200"/>
        <w:rPr>
          <w:rFonts w:ascii="宋体" w:hAnsi="宋体" w:cs="宋体"/>
          <w:b/>
          <w:bCs/>
          <w:color w:val="auto"/>
          <w:spacing w:val="-4"/>
          <w:szCs w:val="21"/>
          <w:highlight w:val="none"/>
        </w:rPr>
      </w:pPr>
      <w:r>
        <w:rPr>
          <w:rFonts w:hint="eastAsia" w:ascii="宋体" w:hAnsi="宋体" w:cs="宋体"/>
          <w:b/>
          <w:bCs/>
          <w:color w:val="auto"/>
          <w:spacing w:val="-4"/>
          <w:szCs w:val="21"/>
          <w:highlight w:val="none"/>
        </w:rPr>
        <w:t>3、本声明函主要供参加政府采购活动的中小企业填写，非中小企业无需填写。</w:t>
      </w:r>
    </w:p>
    <w:p>
      <w:pPr>
        <w:spacing w:line="360" w:lineRule="auto"/>
        <w:ind w:firstLine="406" w:firstLineChars="200"/>
        <w:rPr>
          <w:rFonts w:ascii="宋体" w:hAnsi="宋体" w:cs="宋体"/>
          <w:b/>
          <w:bCs/>
          <w:color w:val="auto"/>
          <w:spacing w:val="-4"/>
          <w:szCs w:val="21"/>
          <w:highlight w:val="none"/>
        </w:rPr>
      </w:pPr>
      <w:r>
        <w:rPr>
          <w:rFonts w:hint="eastAsia" w:ascii="宋体" w:hAnsi="宋体" w:cs="宋体"/>
          <w:b/>
          <w:bCs/>
          <w:color w:val="auto"/>
          <w:spacing w:val="-4"/>
          <w:szCs w:val="21"/>
          <w:highlight w:val="none"/>
        </w:rPr>
        <w:t>4、小型、微型企业提供中型企业提供的货物的，视同为中型企业。</w:t>
      </w:r>
    </w:p>
    <w:p>
      <w:pPr>
        <w:rPr>
          <w:rFonts w:ascii="宋体" w:hAnsi="宋体" w:cs="宋体"/>
          <w:b/>
          <w:color w:val="auto"/>
          <w:sz w:val="30"/>
          <w:szCs w:val="30"/>
          <w:highlight w:val="none"/>
        </w:rPr>
      </w:pPr>
      <w:r>
        <w:rPr>
          <w:rFonts w:hint="eastAsia" w:ascii="宋体" w:hAnsi="宋体" w:cs="宋体"/>
          <w:b/>
          <w:color w:val="auto"/>
          <w:sz w:val="30"/>
          <w:szCs w:val="30"/>
          <w:highlight w:val="none"/>
        </w:rPr>
        <w:br w:type="page"/>
      </w:r>
    </w:p>
    <w:p>
      <w:pPr>
        <w:rPr>
          <w:rFonts w:ascii="宋体" w:hAnsi="宋体" w:cs="宋体"/>
          <w:b/>
          <w:color w:val="auto"/>
          <w:sz w:val="28"/>
          <w:szCs w:val="28"/>
          <w:highlight w:val="none"/>
        </w:rPr>
      </w:pPr>
      <w:r>
        <w:rPr>
          <w:rFonts w:hint="eastAsia" w:ascii="宋体" w:hAnsi="宋体" w:cs="宋体"/>
          <w:b/>
          <w:color w:val="auto"/>
          <w:sz w:val="28"/>
          <w:szCs w:val="28"/>
          <w:highlight w:val="none"/>
        </w:rPr>
        <w:t>2.残疾人福利性单位声明函的格式：</w:t>
      </w:r>
    </w:p>
    <w:p>
      <w:pPr>
        <w:spacing w:line="360" w:lineRule="auto"/>
        <w:jc w:val="center"/>
        <w:rPr>
          <w:rFonts w:ascii="宋体" w:hAnsi="宋体" w:cs="宋体"/>
          <w:b/>
          <w:color w:val="auto"/>
          <w:sz w:val="30"/>
          <w:szCs w:val="30"/>
          <w:highlight w:val="none"/>
        </w:rPr>
      </w:pPr>
    </w:p>
    <w:p>
      <w:pPr>
        <w:spacing w:line="360" w:lineRule="auto"/>
        <w:jc w:val="center"/>
        <w:rPr>
          <w:rFonts w:ascii="宋体" w:hAnsi="宋体" w:cs="宋体"/>
          <w:b/>
          <w:color w:val="auto"/>
          <w:sz w:val="30"/>
          <w:szCs w:val="30"/>
          <w:highlight w:val="none"/>
        </w:rPr>
      </w:pPr>
      <w:r>
        <w:rPr>
          <w:rFonts w:hint="eastAsia" w:ascii="宋体" w:hAnsi="宋体" w:cs="宋体"/>
          <w:b/>
          <w:color w:val="auto"/>
          <w:sz w:val="30"/>
          <w:szCs w:val="30"/>
          <w:highlight w:val="none"/>
        </w:rPr>
        <w:t>残疾人福利性单位声明函</w:t>
      </w:r>
    </w:p>
    <w:p>
      <w:pPr>
        <w:spacing w:line="360" w:lineRule="auto"/>
        <w:jc w:val="center"/>
        <w:rPr>
          <w:rFonts w:ascii="宋体" w:hAnsi="宋体" w:cs="宋体"/>
          <w:b/>
          <w:color w:val="auto"/>
          <w:sz w:val="30"/>
          <w:szCs w:val="30"/>
          <w:highlight w:val="none"/>
        </w:rPr>
      </w:pPr>
    </w:p>
    <w:p>
      <w:pPr>
        <w:spacing w:line="360" w:lineRule="auto"/>
        <w:ind w:firstLine="480" w:firstLineChars="200"/>
        <w:contextualSpacing/>
        <w:rPr>
          <w:rFonts w:ascii="宋体" w:hAnsi="宋体" w:cs="宋体"/>
          <w:color w:val="auto"/>
          <w:sz w:val="24"/>
          <w:szCs w:val="24"/>
          <w:highlight w:val="none"/>
        </w:rPr>
      </w:pPr>
      <w:r>
        <w:rPr>
          <w:rFonts w:hint="eastAsia" w:hAnsi="宋体" w:cs="宋体"/>
          <w:color w:val="auto"/>
          <w:sz w:val="24"/>
          <w:szCs w:val="24"/>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hAnsi="宋体" w:cs="宋体"/>
          <w:color w:val="auto"/>
          <w:sz w:val="24"/>
          <w:szCs w:val="24"/>
          <w:highlight w:val="none"/>
          <w:u w:val="single"/>
        </w:rPr>
        <w:t xml:space="preserve"> </w:t>
      </w:r>
      <w:r>
        <w:rPr>
          <w:rFonts w:hint="eastAsia" w:hAnsi="宋体" w:cs="宋体"/>
          <w:i/>
          <w:iCs/>
          <w:color w:val="auto"/>
          <w:sz w:val="24"/>
          <w:szCs w:val="24"/>
          <w:highlight w:val="none"/>
          <w:u w:val="single"/>
        </w:rPr>
        <w:t>（采购人名称）</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单位的</w:t>
      </w:r>
      <w:r>
        <w:rPr>
          <w:rFonts w:hint="eastAsia" w:hAnsi="宋体" w:cs="宋体"/>
          <w:color w:val="auto"/>
          <w:sz w:val="24"/>
          <w:szCs w:val="24"/>
          <w:highlight w:val="none"/>
          <w:u w:val="single"/>
        </w:rPr>
        <w:t xml:space="preserve"> </w:t>
      </w:r>
      <w:r>
        <w:rPr>
          <w:rFonts w:hint="eastAsia" w:hAnsi="宋体" w:cs="宋体"/>
          <w:i/>
          <w:iCs/>
          <w:color w:val="auto"/>
          <w:sz w:val="24"/>
          <w:szCs w:val="24"/>
          <w:highlight w:val="none"/>
          <w:u w:val="single"/>
        </w:rPr>
        <w:t>（项目名称）</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jc w:val="left"/>
        <w:rPr>
          <w:rFonts w:ascii="宋体" w:hAnsi="宋体" w:cs="宋体"/>
          <w:color w:val="auto"/>
          <w:sz w:val="30"/>
          <w:szCs w:val="30"/>
          <w:highlight w:val="none"/>
        </w:rPr>
      </w:pPr>
      <w:r>
        <w:rPr>
          <w:rFonts w:hint="eastAsia" w:ascii="宋体" w:hAnsi="宋体" w:cs="宋体"/>
          <w:color w:val="auto"/>
          <w:sz w:val="24"/>
          <w:highlight w:val="none"/>
        </w:rPr>
        <w:t>本单位对上述声明的真实性负责。如有虚假，将依法承担相应责任。</w:t>
      </w:r>
    </w:p>
    <w:p>
      <w:pPr>
        <w:spacing w:line="360" w:lineRule="auto"/>
        <w:jc w:val="left"/>
        <w:rPr>
          <w:rFonts w:ascii="宋体" w:hAnsi="宋体" w:cs="宋体"/>
          <w:b/>
          <w:color w:val="auto"/>
          <w:szCs w:val="21"/>
          <w:highlight w:val="none"/>
        </w:rPr>
      </w:pPr>
    </w:p>
    <w:p>
      <w:pPr>
        <w:spacing w:line="360" w:lineRule="auto"/>
        <w:jc w:val="left"/>
        <w:rPr>
          <w:rFonts w:ascii="宋体" w:hAnsi="宋体" w:cs="宋体"/>
          <w:b/>
          <w:color w:val="auto"/>
          <w:szCs w:val="21"/>
          <w:highlight w:val="none"/>
        </w:rPr>
      </w:pPr>
    </w:p>
    <w:p>
      <w:pPr>
        <w:snapToGrid w:val="0"/>
        <w:spacing w:line="360" w:lineRule="auto"/>
        <w:ind w:left="5626" w:leftChars="1736" w:hanging="1980" w:hangingChars="825"/>
        <w:rPr>
          <w:rFonts w:ascii="宋体" w:hAnsi="宋体" w:cs="宋体"/>
          <w:color w:val="auto"/>
          <w:kern w:val="0"/>
          <w:sz w:val="24"/>
          <w:highlight w:val="none"/>
        </w:rPr>
      </w:pPr>
      <w:r>
        <w:rPr>
          <w:rFonts w:hint="eastAsia" w:ascii="宋体" w:hAnsi="宋体" w:cs="宋体"/>
          <w:color w:val="auto"/>
          <w:kern w:val="0"/>
          <w:sz w:val="24"/>
          <w:highlight w:val="none"/>
          <w:lang w:val="zh-CN"/>
        </w:rPr>
        <w:t>投标人名称(盖公章)：</w:t>
      </w:r>
    </w:p>
    <w:p>
      <w:pPr>
        <w:snapToGrid w:val="0"/>
        <w:spacing w:line="360" w:lineRule="auto"/>
        <w:ind w:firstLine="5160" w:firstLineChars="215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日期</w:t>
      </w:r>
      <w:r>
        <w:rPr>
          <w:rFonts w:hint="eastAsia" w:ascii="宋体" w:hAnsi="宋体" w:cs="宋体"/>
          <w:color w:val="auto"/>
          <w:kern w:val="0"/>
          <w:sz w:val="24"/>
          <w:highlight w:val="none"/>
        </w:rPr>
        <w:t>：  年  月  日</w:t>
      </w:r>
    </w:p>
    <w:p>
      <w:pPr>
        <w:spacing w:line="360" w:lineRule="auto"/>
        <w:ind w:left="5132" w:leftChars="1979" w:hanging="976" w:hangingChars="488"/>
        <w:rPr>
          <w:rFonts w:ascii="宋体" w:hAnsi="宋体" w:cs="宋体"/>
          <w:color w:val="auto"/>
          <w:sz w:val="20"/>
          <w:szCs w:val="20"/>
          <w:highlight w:val="none"/>
        </w:rPr>
      </w:pPr>
    </w:p>
    <w:p>
      <w:pPr>
        <w:spacing w:line="360" w:lineRule="auto"/>
        <w:ind w:right="420" w:firstLine="420" w:firstLineChars="200"/>
        <w:rPr>
          <w:rFonts w:ascii="宋体" w:hAnsi="宋体" w:cs="宋体"/>
          <w:color w:val="auto"/>
          <w:szCs w:val="21"/>
          <w:highlight w:val="none"/>
        </w:rPr>
      </w:pPr>
      <w:r>
        <w:rPr>
          <w:rFonts w:hint="eastAsia" w:ascii="宋体" w:hAnsi="宋体" w:cs="宋体"/>
          <w:color w:val="auto"/>
          <w:szCs w:val="21"/>
          <w:highlight w:val="none"/>
        </w:rPr>
        <w:t>注：请根据自己的真实情况出具《残疾人福利性单位声明函》。依法享受中小企业扶持政策的，采购人或者采购代理机构在公告中标结果时，同时公告其《残疾人福利性单位声明函》，接受社会监督。根据《关于政府采购支持监狱企业发展有关问题的通知》（财库[2014]68号）的规定，投标人提供由省级以上监狱管理局、戒毒管理局（含新疆生产建设兵团）出具的属于监狱企业证明文件的，视同为小型和微型企业。</w:t>
      </w:r>
    </w:p>
    <w:p>
      <w:pPr>
        <w:shd w:val="clear" w:color="auto" w:fill="FFFFFF"/>
        <w:spacing w:line="480" w:lineRule="atLeast"/>
        <w:jc w:val="left"/>
        <w:rPr>
          <w:color w:val="auto"/>
          <w:highlight w:val="none"/>
        </w:rPr>
      </w:pPr>
      <w:r>
        <w:rPr>
          <w:rFonts w:hint="eastAsia" w:ascii="宋体" w:hAnsi="宋体" w:cs="宋体"/>
          <w:color w:val="auto"/>
          <w:szCs w:val="21"/>
          <w:highlight w:val="none"/>
        </w:rPr>
        <w:br w:type="page"/>
      </w:r>
      <w:r>
        <w:rPr>
          <w:rFonts w:hint="eastAsia" w:ascii="宋体" w:hAnsi="宋体" w:cs="宋体"/>
          <w:b/>
          <w:color w:val="auto"/>
          <w:sz w:val="28"/>
          <w:szCs w:val="28"/>
          <w:highlight w:val="none"/>
        </w:rPr>
        <w:t>3.广西壮族自治区政府采购项目合同验收书的格式：</w:t>
      </w:r>
    </w:p>
    <w:p>
      <w:pPr>
        <w:shd w:val="clear" w:color="auto" w:fill="FFFFFF"/>
        <w:spacing w:line="480" w:lineRule="atLeast"/>
        <w:jc w:val="center"/>
        <w:rPr>
          <w:rFonts w:ascii="宋体" w:hAnsi="宋体" w:cs="宋体"/>
          <w:color w:val="auto"/>
          <w:kern w:val="0"/>
          <w:sz w:val="32"/>
          <w:szCs w:val="32"/>
          <w:highlight w:val="none"/>
        </w:rPr>
      </w:pPr>
    </w:p>
    <w:p>
      <w:pPr>
        <w:shd w:val="clear" w:color="auto" w:fill="FFFFFF"/>
        <w:spacing w:line="480" w:lineRule="atLeast"/>
        <w:jc w:val="center"/>
        <w:rPr>
          <w:rFonts w:ascii="宋体" w:hAnsi="宋体" w:cs="宋体"/>
          <w:color w:val="auto"/>
          <w:kern w:val="0"/>
          <w:sz w:val="32"/>
          <w:szCs w:val="32"/>
          <w:highlight w:val="none"/>
        </w:rPr>
      </w:pPr>
      <w:r>
        <w:rPr>
          <w:rFonts w:hint="eastAsia" w:ascii="宋体" w:hAnsi="宋体" w:cs="宋体"/>
          <w:color w:val="auto"/>
          <w:kern w:val="0"/>
          <w:sz w:val="32"/>
          <w:szCs w:val="32"/>
          <w:highlight w:val="none"/>
        </w:rPr>
        <w:t>广西壮族自治区政府采购项目合同验收书</w:t>
      </w:r>
    </w:p>
    <w:p>
      <w:pPr>
        <w:shd w:val="clear" w:color="auto" w:fill="FFFFFF"/>
        <w:spacing w:line="480" w:lineRule="atLeast"/>
        <w:jc w:val="center"/>
        <w:rPr>
          <w:rFonts w:ascii="宋体" w:hAnsi="宋体" w:cs="宋体"/>
          <w:color w:val="auto"/>
          <w:kern w:val="0"/>
          <w:sz w:val="32"/>
          <w:szCs w:val="32"/>
          <w:highlight w:val="none"/>
        </w:rPr>
      </w:pPr>
    </w:p>
    <w:p>
      <w:pPr>
        <w:shd w:val="clear" w:color="auto" w:fill="FFFFFF"/>
        <w:snapToGrid w:val="0"/>
        <w:spacing w:line="320" w:lineRule="atLeast"/>
        <w:ind w:firstLine="480"/>
        <w:jc w:val="left"/>
        <w:rPr>
          <w:rFonts w:ascii="宋体" w:hAnsi="宋体" w:cs="宋体"/>
          <w:color w:val="auto"/>
          <w:kern w:val="0"/>
          <w:szCs w:val="21"/>
          <w:highlight w:val="none"/>
        </w:rPr>
      </w:pPr>
      <w:r>
        <w:rPr>
          <w:rFonts w:hint="eastAsia" w:ascii="宋体" w:hAnsi="宋体" w:cs="宋体"/>
          <w:color w:val="auto"/>
          <w:kern w:val="0"/>
          <w:szCs w:val="21"/>
          <w:highlight w:val="none"/>
        </w:rPr>
        <w:t>根据政府采购项目（</w:t>
      </w:r>
      <w:r>
        <w:rPr>
          <w:rFonts w:hint="eastAsia" w:ascii="宋体" w:hAnsi="宋体" w:cs="宋体"/>
          <w:color w:val="auto"/>
          <w:kern w:val="0"/>
          <w:szCs w:val="21"/>
          <w:highlight w:val="none"/>
          <w:u w:val="single"/>
        </w:rPr>
        <w:t>采购合同编号：</w:t>
      </w:r>
      <w:r>
        <w:rPr>
          <w:rFonts w:hint="eastAsia" w:ascii="宋体" w:hAnsi="宋体" w:cs="宋体"/>
          <w:color w:val="auto"/>
          <w:kern w:val="0"/>
          <w:szCs w:val="21"/>
          <w:highlight w:val="none"/>
          <w:u w:val="single"/>
        </w:rPr>
        <w:softHyphen/>
      </w:r>
      <w:r>
        <w:rPr>
          <w:rFonts w:hint="eastAsia" w:ascii="宋体" w:hAnsi="宋体" w:cs="宋体"/>
          <w:color w:val="auto"/>
          <w:kern w:val="0"/>
          <w:szCs w:val="21"/>
          <w:highlight w:val="none"/>
        </w:rPr>
        <w:t>）的约定，我单位对（</w:t>
      </w:r>
      <w:r>
        <w:rPr>
          <w:rFonts w:hint="eastAsia" w:ascii="宋体" w:hAnsi="宋体" w:cs="宋体"/>
          <w:color w:val="auto"/>
          <w:kern w:val="0"/>
          <w:szCs w:val="21"/>
          <w:highlight w:val="none"/>
          <w:u w:val="single"/>
        </w:rPr>
        <w:t xml:space="preserve"> 项目名称 </w:t>
      </w:r>
      <w:r>
        <w:rPr>
          <w:rFonts w:hint="eastAsia" w:ascii="宋体" w:hAnsi="宋体" w:cs="宋体"/>
          <w:color w:val="auto"/>
          <w:kern w:val="0"/>
          <w:szCs w:val="21"/>
          <w:highlight w:val="none"/>
        </w:rPr>
        <w:t>） 政府采购项目中标（或者成交）投标人（</w:t>
      </w:r>
      <w:r>
        <w:rPr>
          <w:rFonts w:hint="eastAsia" w:ascii="宋体" w:hAnsi="宋体" w:cs="宋体"/>
          <w:color w:val="auto"/>
          <w:kern w:val="0"/>
          <w:szCs w:val="21"/>
          <w:highlight w:val="none"/>
          <w:u w:val="single"/>
        </w:rPr>
        <w:t xml:space="preserve"> 公司名称 </w:t>
      </w:r>
      <w:r>
        <w:rPr>
          <w:rFonts w:hint="eastAsia" w:ascii="宋体" w:hAnsi="宋体" w:cs="宋体"/>
          <w:color w:val="auto"/>
          <w:kern w:val="0"/>
          <w:szCs w:val="21"/>
          <w:highlight w:val="none"/>
        </w:rPr>
        <w:t>） 提供的货物（或者工程、服务）进行了验收，验收情况如下：</w:t>
      </w:r>
    </w:p>
    <w:tbl>
      <w:tblPr>
        <w:tblStyle w:val="32"/>
        <w:tblW w:w="9371" w:type="dxa"/>
        <w:jc w:val="center"/>
        <w:tblLayout w:type="fixed"/>
        <w:tblCellMar>
          <w:top w:w="0" w:type="dxa"/>
          <w:left w:w="0" w:type="dxa"/>
          <w:bottom w:w="0" w:type="dxa"/>
          <w:right w:w="0" w:type="dxa"/>
        </w:tblCellMar>
      </w:tblPr>
      <w:tblGrid>
        <w:gridCol w:w="1331"/>
        <w:gridCol w:w="1921"/>
        <w:gridCol w:w="798"/>
        <w:gridCol w:w="102"/>
        <w:gridCol w:w="2002"/>
        <w:gridCol w:w="178"/>
        <w:gridCol w:w="685"/>
        <w:gridCol w:w="2354"/>
      </w:tblGrid>
      <w:tr>
        <w:tblPrEx>
          <w:tblCellMar>
            <w:top w:w="0" w:type="dxa"/>
            <w:left w:w="0" w:type="dxa"/>
            <w:bottom w:w="0" w:type="dxa"/>
            <w:right w:w="0" w:type="dxa"/>
          </w:tblCellMar>
        </w:tblPrEx>
        <w:trPr>
          <w:trHeight w:val="497" w:hRule="atLeast"/>
          <w:jc w:val="center"/>
        </w:trPr>
        <w:tc>
          <w:tcPr>
            <w:tcW w:w="3252" w:type="dxa"/>
            <w:gridSpan w:val="2"/>
            <w:tcBorders>
              <w:top w:val="single" w:color="auto" w:sz="8" w:space="0"/>
              <w:left w:val="single" w:color="auto" w:sz="8" w:space="0"/>
              <w:bottom w:val="single" w:color="auto" w:sz="8" w:space="0"/>
              <w:right w:val="single" w:color="auto" w:sz="8" w:space="0"/>
            </w:tcBorders>
            <w:noWrap/>
            <w:vAlign w:val="center"/>
          </w:tcPr>
          <w:p>
            <w:pPr>
              <w:snapToGrid w:val="0"/>
              <w:spacing w:before="100" w:beforeAutospacing="1" w:after="100" w:afterAutospacing="1" w:line="320" w:lineRule="atLeast"/>
              <w:ind w:firstLine="5"/>
              <w:jc w:val="center"/>
              <w:rPr>
                <w:rFonts w:ascii="宋体" w:hAnsi="宋体" w:cs="宋体"/>
                <w:color w:val="auto"/>
                <w:kern w:val="0"/>
                <w:szCs w:val="21"/>
                <w:highlight w:val="none"/>
              </w:rPr>
            </w:pPr>
            <w:r>
              <w:rPr>
                <w:rFonts w:hint="eastAsia" w:ascii="宋体" w:hAnsi="宋体" w:cs="宋体"/>
                <w:color w:val="auto"/>
                <w:kern w:val="0"/>
                <w:szCs w:val="21"/>
                <w:highlight w:val="none"/>
              </w:rPr>
              <w:t>验收方式：</w:t>
            </w:r>
          </w:p>
        </w:tc>
        <w:tc>
          <w:tcPr>
            <w:tcW w:w="6119" w:type="dxa"/>
            <w:gridSpan w:val="6"/>
            <w:tcBorders>
              <w:top w:val="single" w:color="auto" w:sz="8" w:space="0"/>
              <w:left w:val="nil"/>
              <w:bottom w:val="single" w:color="auto" w:sz="8" w:space="0"/>
              <w:right w:val="single" w:color="auto" w:sz="8" w:space="0"/>
            </w:tcBorders>
            <w:noWrap/>
            <w:vAlign w:val="center"/>
          </w:tcPr>
          <w:p>
            <w:pPr>
              <w:snapToGrid w:val="0"/>
              <w:spacing w:before="100" w:beforeAutospacing="1" w:after="100" w:afterAutospacing="1" w:line="320" w:lineRule="atLeast"/>
              <w:ind w:firstLine="480"/>
              <w:jc w:val="center"/>
              <w:rPr>
                <w:rFonts w:ascii="宋体" w:hAnsi="宋体" w:cs="宋体"/>
                <w:color w:val="auto"/>
                <w:kern w:val="0"/>
                <w:szCs w:val="21"/>
                <w:highlight w:val="none"/>
              </w:rPr>
            </w:pPr>
            <w:r>
              <w:rPr>
                <w:rFonts w:hint="eastAsia" w:ascii="宋体" w:hAnsi="宋体" w:cs="宋体"/>
                <w:color w:val="auto"/>
                <w:kern w:val="0"/>
                <w:szCs w:val="21"/>
                <w:highlight w:val="none"/>
              </w:rPr>
              <w:t>□自行验收 □委托验收</w:t>
            </w:r>
          </w:p>
        </w:tc>
      </w:tr>
      <w:tr>
        <w:tblPrEx>
          <w:tblCellMar>
            <w:top w:w="0" w:type="dxa"/>
            <w:left w:w="0" w:type="dxa"/>
            <w:bottom w:w="0" w:type="dxa"/>
            <w:right w:w="0" w:type="dxa"/>
          </w:tblCellMar>
        </w:tblPrEx>
        <w:trPr>
          <w:trHeight w:val="622" w:hRule="atLeast"/>
          <w:jc w:val="center"/>
        </w:trPr>
        <w:tc>
          <w:tcPr>
            <w:tcW w:w="1331" w:type="dxa"/>
            <w:tcBorders>
              <w:top w:val="nil"/>
              <w:left w:val="single" w:color="auto" w:sz="8" w:space="0"/>
              <w:bottom w:val="single" w:color="auto" w:sz="8" w:space="0"/>
              <w:right w:val="single" w:color="auto" w:sz="8" w:space="0"/>
            </w:tcBorders>
            <w:noWrap/>
            <w:vAlign w:val="center"/>
          </w:tcPr>
          <w:p>
            <w:pPr>
              <w:snapToGrid w:val="0"/>
              <w:spacing w:before="100" w:beforeAutospacing="1" w:after="100" w:afterAutospacing="1" w:line="320" w:lineRule="atLeast"/>
              <w:ind w:firstLine="2"/>
              <w:jc w:val="center"/>
              <w:rPr>
                <w:rFonts w:ascii="宋体" w:hAnsi="宋体" w:cs="宋体"/>
                <w:color w:val="auto"/>
                <w:kern w:val="0"/>
                <w:szCs w:val="21"/>
                <w:highlight w:val="none"/>
              </w:rPr>
            </w:pPr>
            <w:r>
              <w:rPr>
                <w:rFonts w:hint="eastAsia" w:ascii="宋体" w:hAnsi="宋体" w:cs="宋体"/>
                <w:color w:val="auto"/>
                <w:kern w:val="0"/>
                <w:szCs w:val="21"/>
                <w:highlight w:val="none"/>
              </w:rPr>
              <w:t>序号</w:t>
            </w:r>
          </w:p>
        </w:tc>
        <w:tc>
          <w:tcPr>
            <w:tcW w:w="1921" w:type="dxa"/>
            <w:tcBorders>
              <w:top w:val="nil"/>
              <w:left w:val="nil"/>
              <w:bottom w:val="single" w:color="auto" w:sz="8" w:space="0"/>
              <w:right w:val="single" w:color="auto" w:sz="8" w:space="0"/>
            </w:tcBorders>
            <w:noWrap/>
            <w:vAlign w:val="center"/>
          </w:tcPr>
          <w:p>
            <w:pPr>
              <w:snapToGrid w:val="0"/>
              <w:spacing w:before="100" w:beforeAutospacing="1" w:after="100" w:afterAutospacing="1" w:line="320" w:lineRule="atLeast"/>
              <w:ind w:firstLine="2"/>
              <w:jc w:val="center"/>
              <w:rPr>
                <w:rFonts w:ascii="宋体" w:hAnsi="宋体" w:cs="宋体"/>
                <w:color w:val="auto"/>
                <w:kern w:val="0"/>
                <w:szCs w:val="21"/>
                <w:highlight w:val="none"/>
              </w:rPr>
            </w:pPr>
            <w:r>
              <w:rPr>
                <w:rFonts w:hint="eastAsia" w:ascii="宋体" w:hAnsi="宋体" w:cs="宋体"/>
                <w:color w:val="auto"/>
                <w:kern w:val="0"/>
                <w:szCs w:val="21"/>
                <w:highlight w:val="none"/>
              </w:rPr>
              <w:t>名 称</w:t>
            </w:r>
          </w:p>
        </w:tc>
        <w:tc>
          <w:tcPr>
            <w:tcW w:w="2902" w:type="dxa"/>
            <w:gridSpan w:val="3"/>
            <w:tcBorders>
              <w:top w:val="nil"/>
              <w:left w:val="nil"/>
              <w:bottom w:val="single" w:color="auto" w:sz="8" w:space="0"/>
              <w:right w:val="single" w:color="auto" w:sz="8" w:space="0"/>
            </w:tcBorders>
            <w:noWrap/>
            <w:vAlign w:val="center"/>
          </w:tcPr>
          <w:p>
            <w:pPr>
              <w:snapToGrid w:val="0"/>
              <w:spacing w:before="100" w:beforeAutospacing="1" w:after="100" w:afterAutospacing="1" w:line="320" w:lineRule="atLeast"/>
              <w:ind w:firstLine="2"/>
              <w:jc w:val="center"/>
              <w:rPr>
                <w:rFonts w:ascii="宋体" w:hAnsi="宋体" w:cs="宋体"/>
                <w:color w:val="auto"/>
                <w:kern w:val="0"/>
                <w:szCs w:val="21"/>
                <w:highlight w:val="none"/>
              </w:rPr>
            </w:pPr>
            <w:r>
              <w:rPr>
                <w:rFonts w:hint="eastAsia" w:ascii="宋体" w:hAnsi="宋体" w:cs="宋体"/>
                <w:color w:val="auto"/>
                <w:kern w:val="0"/>
                <w:szCs w:val="21"/>
                <w:highlight w:val="none"/>
              </w:rPr>
              <w:t>货物型号规格、标准及配置等（或者服务内容、标准）</w:t>
            </w:r>
          </w:p>
        </w:tc>
        <w:tc>
          <w:tcPr>
            <w:tcW w:w="863" w:type="dxa"/>
            <w:gridSpan w:val="2"/>
            <w:tcBorders>
              <w:top w:val="nil"/>
              <w:left w:val="nil"/>
              <w:bottom w:val="single" w:color="auto" w:sz="8" w:space="0"/>
              <w:right w:val="single" w:color="auto" w:sz="8" w:space="0"/>
            </w:tcBorders>
            <w:noWrap/>
            <w:vAlign w:val="center"/>
          </w:tcPr>
          <w:p>
            <w:pPr>
              <w:snapToGrid w:val="0"/>
              <w:spacing w:before="100" w:beforeAutospacing="1" w:after="100" w:afterAutospacing="1" w:line="320" w:lineRule="atLeast"/>
              <w:jc w:val="center"/>
              <w:rPr>
                <w:rFonts w:ascii="宋体" w:hAnsi="宋体" w:cs="宋体"/>
                <w:color w:val="auto"/>
                <w:kern w:val="0"/>
                <w:szCs w:val="21"/>
                <w:highlight w:val="none"/>
              </w:rPr>
            </w:pPr>
            <w:r>
              <w:rPr>
                <w:rFonts w:hint="eastAsia" w:ascii="宋体" w:hAnsi="宋体" w:cs="宋体"/>
                <w:color w:val="auto"/>
                <w:kern w:val="0"/>
                <w:szCs w:val="21"/>
                <w:highlight w:val="none"/>
              </w:rPr>
              <w:t>数量</w:t>
            </w:r>
          </w:p>
        </w:tc>
        <w:tc>
          <w:tcPr>
            <w:tcW w:w="2354" w:type="dxa"/>
            <w:tcBorders>
              <w:top w:val="nil"/>
              <w:left w:val="nil"/>
              <w:bottom w:val="single" w:color="auto" w:sz="8" w:space="0"/>
              <w:right w:val="single" w:color="auto" w:sz="8" w:space="0"/>
            </w:tcBorders>
            <w:noWrap/>
            <w:vAlign w:val="center"/>
          </w:tcPr>
          <w:p>
            <w:pPr>
              <w:snapToGrid w:val="0"/>
              <w:spacing w:before="100" w:beforeAutospacing="1" w:after="100" w:afterAutospacing="1" w:line="320" w:lineRule="atLeast"/>
              <w:ind w:firstLine="2"/>
              <w:jc w:val="center"/>
              <w:rPr>
                <w:rFonts w:ascii="宋体" w:hAnsi="宋体" w:cs="宋体"/>
                <w:color w:val="auto"/>
                <w:kern w:val="0"/>
                <w:szCs w:val="21"/>
                <w:highlight w:val="none"/>
              </w:rPr>
            </w:pPr>
            <w:r>
              <w:rPr>
                <w:rFonts w:hint="eastAsia" w:ascii="宋体" w:hAnsi="宋体" w:cs="宋体"/>
                <w:color w:val="auto"/>
                <w:kern w:val="0"/>
                <w:szCs w:val="21"/>
                <w:highlight w:val="none"/>
              </w:rPr>
              <w:t>金 额</w:t>
            </w:r>
          </w:p>
        </w:tc>
      </w:tr>
      <w:tr>
        <w:tblPrEx>
          <w:tblCellMar>
            <w:top w:w="0" w:type="dxa"/>
            <w:left w:w="0" w:type="dxa"/>
            <w:bottom w:w="0" w:type="dxa"/>
            <w:right w:w="0" w:type="dxa"/>
          </w:tblCellMar>
        </w:tblPrEx>
        <w:trPr>
          <w:trHeight w:val="487" w:hRule="atLeast"/>
          <w:jc w:val="center"/>
        </w:trPr>
        <w:tc>
          <w:tcPr>
            <w:tcW w:w="1331" w:type="dxa"/>
            <w:tcBorders>
              <w:top w:val="nil"/>
              <w:left w:val="single" w:color="auto" w:sz="8" w:space="0"/>
              <w:bottom w:val="single" w:color="auto" w:sz="8" w:space="0"/>
              <w:right w:val="single" w:color="auto" w:sz="8" w:space="0"/>
            </w:tcBorders>
            <w:noWrap/>
            <w:vAlign w:val="center"/>
          </w:tcPr>
          <w:p>
            <w:pPr>
              <w:spacing w:before="100" w:beforeAutospacing="1" w:after="100" w:afterAutospacing="1" w:line="240" w:lineRule="atLeast"/>
              <w:jc w:val="center"/>
              <w:rPr>
                <w:rFonts w:ascii="宋体" w:hAnsi="宋体" w:cs="宋体"/>
                <w:color w:val="auto"/>
                <w:kern w:val="0"/>
                <w:szCs w:val="21"/>
                <w:highlight w:val="none"/>
              </w:rPr>
            </w:pPr>
          </w:p>
        </w:tc>
        <w:tc>
          <w:tcPr>
            <w:tcW w:w="1921" w:type="dxa"/>
            <w:tcBorders>
              <w:top w:val="nil"/>
              <w:left w:val="nil"/>
              <w:bottom w:val="single" w:color="auto" w:sz="8" w:space="0"/>
              <w:right w:val="single" w:color="auto" w:sz="8" w:space="0"/>
            </w:tcBorders>
            <w:noWrap/>
            <w:vAlign w:val="center"/>
          </w:tcPr>
          <w:p>
            <w:pPr>
              <w:spacing w:before="100" w:beforeAutospacing="1" w:after="100" w:afterAutospacing="1" w:line="240" w:lineRule="atLeast"/>
              <w:jc w:val="center"/>
              <w:rPr>
                <w:rFonts w:ascii="宋体" w:hAnsi="宋体" w:cs="宋体"/>
                <w:color w:val="auto"/>
                <w:kern w:val="0"/>
                <w:szCs w:val="21"/>
                <w:highlight w:val="none"/>
              </w:rPr>
            </w:pPr>
          </w:p>
        </w:tc>
        <w:tc>
          <w:tcPr>
            <w:tcW w:w="2902" w:type="dxa"/>
            <w:gridSpan w:val="3"/>
            <w:tcBorders>
              <w:top w:val="nil"/>
              <w:left w:val="nil"/>
              <w:bottom w:val="single" w:color="auto" w:sz="8" w:space="0"/>
              <w:right w:val="single" w:color="auto" w:sz="8" w:space="0"/>
            </w:tcBorders>
            <w:noWrap/>
            <w:vAlign w:val="center"/>
          </w:tcPr>
          <w:p>
            <w:pPr>
              <w:spacing w:before="100" w:beforeAutospacing="1" w:after="100" w:afterAutospacing="1" w:line="240" w:lineRule="atLeast"/>
              <w:jc w:val="center"/>
              <w:rPr>
                <w:rFonts w:ascii="宋体" w:hAnsi="宋体" w:cs="宋体"/>
                <w:color w:val="auto"/>
                <w:kern w:val="0"/>
                <w:szCs w:val="21"/>
                <w:highlight w:val="none"/>
              </w:rPr>
            </w:pPr>
          </w:p>
        </w:tc>
        <w:tc>
          <w:tcPr>
            <w:tcW w:w="863" w:type="dxa"/>
            <w:gridSpan w:val="2"/>
            <w:tcBorders>
              <w:top w:val="nil"/>
              <w:left w:val="nil"/>
              <w:bottom w:val="single" w:color="auto" w:sz="8" w:space="0"/>
              <w:right w:val="single" w:color="auto" w:sz="8" w:space="0"/>
            </w:tcBorders>
            <w:noWrap/>
            <w:vAlign w:val="center"/>
          </w:tcPr>
          <w:p>
            <w:pPr>
              <w:spacing w:before="100" w:beforeAutospacing="1" w:after="100" w:afterAutospacing="1" w:line="240" w:lineRule="atLeast"/>
              <w:jc w:val="center"/>
              <w:rPr>
                <w:rFonts w:ascii="宋体" w:hAnsi="宋体" w:cs="宋体"/>
                <w:color w:val="auto"/>
                <w:kern w:val="0"/>
                <w:szCs w:val="21"/>
                <w:highlight w:val="none"/>
              </w:rPr>
            </w:pPr>
          </w:p>
        </w:tc>
        <w:tc>
          <w:tcPr>
            <w:tcW w:w="2354" w:type="dxa"/>
            <w:tcBorders>
              <w:top w:val="nil"/>
              <w:left w:val="nil"/>
              <w:bottom w:val="single" w:color="auto" w:sz="8" w:space="0"/>
              <w:right w:val="single" w:color="auto" w:sz="8" w:space="0"/>
            </w:tcBorders>
            <w:noWrap/>
            <w:vAlign w:val="center"/>
          </w:tcPr>
          <w:p>
            <w:pPr>
              <w:spacing w:before="100" w:beforeAutospacing="1" w:after="100" w:afterAutospacing="1" w:line="240" w:lineRule="atLeast"/>
              <w:jc w:val="center"/>
              <w:rPr>
                <w:rFonts w:ascii="宋体" w:hAnsi="宋体" w:cs="宋体"/>
                <w:color w:val="auto"/>
                <w:kern w:val="0"/>
                <w:szCs w:val="21"/>
                <w:highlight w:val="none"/>
              </w:rPr>
            </w:pPr>
          </w:p>
        </w:tc>
      </w:tr>
      <w:tr>
        <w:tblPrEx>
          <w:tblCellMar>
            <w:top w:w="0" w:type="dxa"/>
            <w:left w:w="0" w:type="dxa"/>
            <w:bottom w:w="0" w:type="dxa"/>
            <w:right w:w="0" w:type="dxa"/>
          </w:tblCellMar>
        </w:tblPrEx>
        <w:trPr>
          <w:trHeight w:val="487" w:hRule="atLeast"/>
          <w:jc w:val="center"/>
        </w:trPr>
        <w:tc>
          <w:tcPr>
            <w:tcW w:w="1331" w:type="dxa"/>
            <w:tcBorders>
              <w:top w:val="nil"/>
              <w:left w:val="single" w:color="auto" w:sz="8" w:space="0"/>
              <w:bottom w:val="single" w:color="auto" w:sz="8" w:space="0"/>
              <w:right w:val="single" w:color="auto" w:sz="8" w:space="0"/>
            </w:tcBorders>
            <w:noWrap/>
            <w:vAlign w:val="center"/>
          </w:tcPr>
          <w:p>
            <w:pPr>
              <w:spacing w:before="100" w:beforeAutospacing="1" w:after="100" w:afterAutospacing="1" w:line="240" w:lineRule="atLeast"/>
              <w:jc w:val="center"/>
              <w:rPr>
                <w:rFonts w:ascii="宋体" w:hAnsi="宋体" w:cs="宋体"/>
                <w:color w:val="auto"/>
                <w:kern w:val="0"/>
                <w:szCs w:val="21"/>
                <w:highlight w:val="none"/>
              </w:rPr>
            </w:pPr>
          </w:p>
        </w:tc>
        <w:tc>
          <w:tcPr>
            <w:tcW w:w="1921" w:type="dxa"/>
            <w:tcBorders>
              <w:top w:val="nil"/>
              <w:left w:val="nil"/>
              <w:bottom w:val="single" w:color="auto" w:sz="8" w:space="0"/>
              <w:right w:val="single" w:color="auto" w:sz="8" w:space="0"/>
            </w:tcBorders>
            <w:noWrap/>
            <w:vAlign w:val="center"/>
          </w:tcPr>
          <w:p>
            <w:pPr>
              <w:spacing w:before="100" w:beforeAutospacing="1" w:after="100" w:afterAutospacing="1" w:line="240" w:lineRule="atLeast"/>
              <w:jc w:val="center"/>
              <w:rPr>
                <w:rFonts w:ascii="宋体" w:hAnsi="宋体" w:cs="宋体"/>
                <w:color w:val="auto"/>
                <w:kern w:val="0"/>
                <w:szCs w:val="21"/>
                <w:highlight w:val="none"/>
              </w:rPr>
            </w:pPr>
          </w:p>
        </w:tc>
        <w:tc>
          <w:tcPr>
            <w:tcW w:w="2902" w:type="dxa"/>
            <w:gridSpan w:val="3"/>
            <w:tcBorders>
              <w:top w:val="nil"/>
              <w:left w:val="nil"/>
              <w:bottom w:val="single" w:color="auto" w:sz="8" w:space="0"/>
              <w:right w:val="single" w:color="auto" w:sz="8" w:space="0"/>
            </w:tcBorders>
            <w:noWrap/>
            <w:vAlign w:val="center"/>
          </w:tcPr>
          <w:p>
            <w:pPr>
              <w:spacing w:before="100" w:beforeAutospacing="1" w:after="100" w:afterAutospacing="1" w:line="240" w:lineRule="atLeast"/>
              <w:jc w:val="center"/>
              <w:rPr>
                <w:rFonts w:ascii="宋体" w:hAnsi="宋体" w:cs="宋体"/>
                <w:color w:val="auto"/>
                <w:kern w:val="0"/>
                <w:szCs w:val="21"/>
                <w:highlight w:val="none"/>
              </w:rPr>
            </w:pPr>
          </w:p>
        </w:tc>
        <w:tc>
          <w:tcPr>
            <w:tcW w:w="863" w:type="dxa"/>
            <w:gridSpan w:val="2"/>
            <w:tcBorders>
              <w:top w:val="nil"/>
              <w:left w:val="nil"/>
              <w:bottom w:val="single" w:color="auto" w:sz="8" w:space="0"/>
              <w:right w:val="single" w:color="auto" w:sz="8" w:space="0"/>
            </w:tcBorders>
            <w:noWrap/>
            <w:vAlign w:val="center"/>
          </w:tcPr>
          <w:p>
            <w:pPr>
              <w:spacing w:before="100" w:beforeAutospacing="1" w:after="100" w:afterAutospacing="1" w:line="240" w:lineRule="atLeast"/>
              <w:jc w:val="center"/>
              <w:rPr>
                <w:rFonts w:ascii="宋体" w:hAnsi="宋体" w:cs="宋体"/>
                <w:color w:val="auto"/>
                <w:kern w:val="0"/>
                <w:szCs w:val="21"/>
                <w:highlight w:val="none"/>
              </w:rPr>
            </w:pPr>
          </w:p>
        </w:tc>
        <w:tc>
          <w:tcPr>
            <w:tcW w:w="2354" w:type="dxa"/>
            <w:tcBorders>
              <w:top w:val="nil"/>
              <w:left w:val="nil"/>
              <w:bottom w:val="single" w:color="auto" w:sz="8" w:space="0"/>
              <w:right w:val="single" w:color="auto" w:sz="8" w:space="0"/>
            </w:tcBorders>
            <w:noWrap/>
            <w:vAlign w:val="center"/>
          </w:tcPr>
          <w:p>
            <w:pPr>
              <w:spacing w:before="100" w:beforeAutospacing="1" w:after="100" w:afterAutospacing="1" w:line="240" w:lineRule="atLeast"/>
              <w:jc w:val="center"/>
              <w:rPr>
                <w:rFonts w:ascii="宋体" w:hAnsi="宋体" w:cs="宋体"/>
                <w:color w:val="auto"/>
                <w:kern w:val="0"/>
                <w:szCs w:val="21"/>
                <w:highlight w:val="none"/>
              </w:rPr>
            </w:pPr>
          </w:p>
        </w:tc>
      </w:tr>
      <w:tr>
        <w:tblPrEx>
          <w:tblCellMar>
            <w:top w:w="0" w:type="dxa"/>
            <w:left w:w="0" w:type="dxa"/>
            <w:bottom w:w="0" w:type="dxa"/>
            <w:right w:w="0" w:type="dxa"/>
          </w:tblCellMar>
        </w:tblPrEx>
        <w:trPr>
          <w:trHeight w:val="487" w:hRule="atLeast"/>
          <w:jc w:val="center"/>
        </w:trPr>
        <w:tc>
          <w:tcPr>
            <w:tcW w:w="1331" w:type="dxa"/>
            <w:tcBorders>
              <w:top w:val="nil"/>
              <w:left w:val="single" w:color="auto" w:sz="8" w:space="0"/>
              <w:bottom w:val="single" w:color="auto" w:sz="8" w:space="0"/>
              <w:right w:val="single" w:color="auto" w:sz="8" w:space="0"/>
            </w:tcBorders>
            <w:noWrap/>
            <w:vAlign w:val="center"/>
          </w:tcPr>
          <w:p>
            <w:pPr>
              <w:spacing w:before="100" w:beforeAutospacing="1" w:after="100" w:afterAutospacing="1" w:line="240" w:lineRule="atLeast"/>
              <w:jc w:val="center"/>
              <w:rPr>
                <w:rFonts w:ascii="宋体" w:hAnsi="宋体" w:cs="宋体"/>
                <w:color w:val="auto"/>
                <w:kern w:val="0"/>
                <w:szCs w:val="21"/>
                <w:highlight w:val="none"/>
              </w:rPr>
            </w:pPr>
          </w:p>
        </w:tc>
        <w:tc>
          <w:tcPr>
            <w:tcW w:w="1921" w:type="dxa"/>
            <w:tcBorders>
              <w:top w:val="nil"/>
              <w:left w:val="nil"/>
              <w:bottom w:val="single" w:color="auto" w:sz="8" w:space="0"/>
              <w:right w:val="single" w:color="auto" w:sz="8" w:space="0"/>
            </w:tcBorders>
            <w:noWrap/>
            <w:vAlign w:val="center"/>
          </w:tcPr>
          <w:p>
            <w:pPr>
              <w:spacing w:before="100" w:beforeAutospacing="1" w:after="100" w:afterAutospacing="1" w:line="240" w:lineRule="atLeast"/>
              <w:jc w:val="center"/>
              <w:rPr>
                <w:rFonts w:ascii="宋体" w:hAnsi="宋体" w:cs="宋体"/>
                <w:color w:val="auto"/>
                <w:kern w:val="0"/>
                <w:szCs w:val="21"/>
                <w:highlight w:val="none"/>
              </w:rPr>
            </w:pPr>
          </w:p>
        </w:tc>
        <w:tc>
          <w:tcPr>
            <w:tcW w:w="2902" w:type="dxa"/>
            <w:gridSpan w:val="3"/>
            <w:tcBorders>
              <w:top w:val="nil"/>
              <w:left w:val="nil"/>
              <w:bottom w:val="single" w:color="auto" w:sz="8" w:space="0"/>
              <w:right w:val="single" w:color="auto" w:sz="8" w:space="0"/>
            </w:tcBorders>
            <w:noWrap/>
            <w:vAlign w:val="center"/>
          </w:tcPr>
          <w:p>
            <w:pPr>
              <w:spacing w:before="100" w:beforeAutospacing="1" w:after="100" w:afterAutospacing="1" w:line="240" w:lineRule="atLeast"/>
              <w:jc w:val="center"/>
              <w:rPr>
                <w:rFonts w:ascii="宋体" w:hAnsi="宋体" w:cs="宋体"/>
                <w:color w:val="auto"/>
                <w:kern w:val="0"/>
                <w:szCs w:val="21"/>
                <w:highlight w:val="none"/>
              </w:rPr>
            </w:pPr>
          </w:p>
        </w:tc>
        <w:tc>
          <w:tcPr>
            <w:tcW w:w="863" w:type="dxa"/>
            <w:gridSpan w:val="2"/>
            <w:tcBorders>
              <w:top w:val="nil"/>
              <w:left w:val="nil"/>
              <w:bottom w:val="single" w:color="auto" w:sz="8" w:space="0"/>
              <w:right w:val="single" w:color="auto" w:sz="8" w:space="0"/>
            </w:tcBorders>
            <w:noWrap/>
            <w:vAlign w:val="center"/>
          </w:tcPr>
          <w:p>
            <w:pPr>
              <w:spacing w:before="100" w:beforeAutospacing="1" w:after="100" w:afterAutospacing="1" w:line="240" w:lineRule="atLeast"/>
              <w:jc w:val="center"/>
              <w:rPr>
                <w:rFonts w:ascii="宋体" w:hAnsi="宋体" w:cs="宋体"/>
                <w:color w:val="auto"/>
                <w:kern w:val="0"/>
                <w:szCs w:val="21"/>
                <w:highlight w:val="none"/>
              </w:rPr>
            </w:pPr>
          </w:p>
        </w:tc>
        <w:tc>
          <w:tcPr>
            <w:tcW w:w="2354" w:type="dxa"/>
            <w:tcBorders>
              <w:top w:val="nil"/>
              <w:left w:val="nil"/>
              <w:bottom w:val="single" w:color="auto" w:sz="8" w:space="0"/>
              <w:right w:val="single" w:color="auto" w:sz="8" w:space="0"/>
            </w:tcBorders>
            <w:noWrap/>
            <w:vAlign w:val="center"/>
          </w:tcPr>
          <w:p>
            <w:pPr>
              <w:spacing w:before="100" w:beforeAutospacing="1" w:after="100" w:afterAutospacing="1" w:line="240" w:lineRule="atLeast"/>
              <w:jc w:val="center"/>
              <w:rPr>
                <w:rFonts w:ascii="宋体" w:hAnsi="宋体" w:cs="宋体"/>
                <w:color w:val="auto"/>
                <w:kern w:val="0"/>
                <w:szCs w:val="21"/>
                <w:highlight w:val="none"/>
              </w:rPr>
            </w:pPr>
          </w:p>
        </w:tc>
      </w:tr>
      <w:tr>
        <w:tblPrEx>
          <w:tblCellMar>
            <w:top w:w="0" w:type="dxa"/>
            <w:left w:w="0" w:type="dxa"/>
            <w:bottom w:w="0" w:type="dxa"/>
            <w:right w:w="0" w:type="dxa"/>
          </w:tblCellMar>
        </w:tblPrEx>
        <w:trPr>
          <w:trHeight w:val="487" w:hRule="atLeast"/>
          <w:jc w:val="center"/>
        </w:trPr>
        <w:tc>
          <w:tcPr>
            <w:tcW w:w="6154" w:type="dxa"/>
            <w:gridSpan w:val="5"/>
            <w:tcBorders>
              <w:top w:val="nil"/>
              <w:left w:val="single" w:color="auto" w:sz="8" w:space="0"/>
              <w:bottom w:val="single" w:color="auto" w:sz="8" w:space="0"/>
              <w:right w:val="single" w:color="auto" w:sz="8" w:space="0"/>
            </w:tcBorders>
            <w:noWrap/>
            <w:vAlign w:val="center"/>
          </w:tcPr>
          <w:p>
            <w:pPr>
              <w:snapToGrid w:val="0"/>
              <w:spacing w:before="100" w:beforeAutospacing="1" w:after="100" w:afterAutospacing="1" w:line="320" w:lineRule="atLeast"/>
              <w:ind w:firstLine="5"/>
              <w:jc w:val="center"/>
              <w:rPr>
                <w:rFonts w:ascii="宋体" w:hAnsi="宋体" w:cs="宋体"/>
                <w:color w:val="auto"/>
                <w:kern w:val="0"/>
                <w:szCs w:val="21"/>
                <w:highlight w:val="none"/>
              </w:rPr>
            </w:pPr>
            <w:r>
              <w:rPr>
                <w:rFonts w:hint="eastAsia" w:ascii="宋体" w:hAnsi="宋体" w:cs="宋体"/>
                <w:color w:val="auto"/>
                <w:kern w:val="0"/>
                <w:szCs w:val="21"/>
                <w:highlight w:val="none"/>
              </w:rPr>
              <w:t>合 计</w:t>
            </w:r>
          </w:p>
        </w:tc>
        <w:tc>
          <w:tcPr>
            <w:tcW w:w="863" w:type="dxa"/>
            <w:gridSpan w:val="2"/>
            <w:tcBorders>
              <w:top w:val="nil"/>
              <w:left w:val="nil"/>
              <w:bottom w:val="single" w:color="auto" w:sz="8" w:space="0"/>
              <w:right w:val="single" w:color="auto" w:sz="8" w:space="0"/>
            </w:tcBorders>
            <w:noWrap/>
            <w:vAlign w:val="center"/>
          </w:tcPr>
          <w:p>
            <w:pPr>
              <w:spacing w:before="100" w:beforeAutospacing="1" w:after="100" w:afterAutospacing="1" w:line="240" w:lineRule="atLeast"/>
              <w:jc w:val="center"/>
              <w:rPr>
                <w:rFonts w:ascii="宋体" w:hAnsi="宋体" w:cs="宋体"/>
                <w:color w:val="auto"/>
                <w:kern w:val="0"/>
                <w:szCs w:val="21"/>
                <w:highlight w:val="none"/>
              </w:rPr>
            </w:pPr>
          </w:p>
        </w:tc>
        <w:tc>
          <w:tcPr>
            <w:tcW w:w="2354" w:type="dxa"/>
            <w:tcBorders>
              <w:top w:val="nil"/>
              <w:left w:val="nil"/>
              <w:bottom w:val="single" w:color="auto" w:sz="8" w:space="0"/>
              <w:right w:val="single" w:color="auto" w:sz="8" w:space="0"/>
            </w:tcBorders>
            <w:noWrap/>
            <w:vAlign w:val="center"/>
          </w:tcPr>
          <w:p>
            <w:pPr>
              <w:spacing w:before="100" w:beforeAutospacing="1" w:after="100" w:afterAutospacing="1" w:line="240" w:lineRule="atLeast"/>
              <w:jc w:val="center"/>
              <w:rPr>
                <w:rFonts w:ascii="宋体" w:hAnsi="宋体" w:cs="宋体"/>
                <w:color w:val="auto"/>
                <w:kern w:val="0"/>
                <w:szCs w:val="21"/>
                <w:highlight w:val="none"/>
              </w:rPr>
            </w:pPr>
          </w:p>
        </w:tc>
      </w:tr>
      <w:tr>
        <w:tblPrEx>
          <w:tblCellMar>
            <w:top w:w="0" w:type="dxa"/>
            <w:left w:w="0" w:type="dxa"/>
            <w:bottom w:w="0" w:type="dxa"/>
            <w:right w:w="0" w:type="dxa"/>
          </w:tblCellMar>
        </w:tblPrEx>
        <w:trPr>
          <w:trHeight w:val="641" w:hRule="atLeast"/>
          <w:jc w:val="center"/>
        </w:trPr>
        <w:tc>
          <w:tcPr>
            <w:tcW w:w="9371" w:type="dxa"/>
            <w:gridSpan w:val="8"/>
            <w:tcBorders>
              <w:top w:val="nil"/>
              <w:left w:val="single" w:color="auto" w:sz="8" w:space="0"/>
              <w:bottom w:val="single" w:color="auto" w:sz="8" w:space="0"/>
              <w:right w:val="single" w:color="auto" w:sz="8" w:space="0"/>
            </w:tcBorders>
            <w:noWrap/>
            <w:vAlign w:val="center"/>
          </w:tcPr>
          <w:p>
            <w:pPr>
              <w:snapToGrid w:val="0"/>
              <w:spacing w:before="100" w:beforeAutospacing="1" w:after="100" w:afterAutospacing="1" w:line="320" w:lineRule="atLeast"/>
              <w:ind w:firstLine="2"/>
              <w:jc w:val="left"/>
              <w:rPr>
                <w:rFonts w:ascii="宋体" w:hAnsi="宋体" w:cs="宋体"/>
                <w:color w:val="auto"/>
                <w:kern w:val="0"/>
                <w:szCs w:val="21"/>
                <w:highlight w:val="none"/>
              </w:rPr>
            </w:pPr>
            <w:r>
              <w:rPr>
                <w:rFonts w:hint="eastAsia" w:ascii="宋体" w:hAnsi="宋体" w:cs="宋体"/>
                <w:color w:val="auto"/>
                <w:kern w:val="0"/>
                <w:szCs w:val="21"/>
                <w:highlight w:val="none"/>
              </w:rPr>
              <w:t>合计大写金额： 亿 仟 佰 拾 万 仟 佰 拾 元</w:t>
            </w:r>
          </w:p>
        </w:tc>
      </w:tr>
      <w:tr>
        <w:tblPrEx>
          <w:tblCellMar>
            <w:top w:w="0" w:type="dxa"/>
            <w:left w:w="0" w:type="dxa"/>
            <w:bottom w:w="0" w:type="dxa"/>
            <w:right w:w="0" w:type="dxa"/>
          </w:tblCellMar>
        </w:tblPrEx>
        <w:trPr>
          <w:trHeight w:val="641" w:hRule="atLeast"/>
          <w:jc w:val="center"/>
        </w:trPr>
        <w:tc>
          <w:tcPr>
            <w:tcW w:w="1331" w:type="dxa"/>
            <w:tcBorders>
              <w:top w:val="nil"/>
              <w:left w:val="single" w:color="auto" w:sz="8" w:space="0"/>
              <w:bottom w:val="single" w:color="auto" w:sz="8" w:space="0"/>
              <w:right w:val="single" w:color="auto" w:sz="8" w:space="0"/>
            </w:tcBorders>
            <w:noWrap/>
            <w:vAlign w:val="center"/>
          </w:tcPr>
          <w:p>
            <w:pPr>
              <w:snapToGrid w:val="0"/>
              <w:spacing w:before="100" w:beforeAutospacing="1" w:after="100" w:afterAutospacing="1" w:line="320" w:lineRule="atLeast"/>
              <w:ind w:firstLine="2"/>
              <w:jc w:val="center"/>
              <w:rPr>
                <w:rFonts w:ascii="宋体" w:hAnsi="宋体" w:cs="宋体"/>
                <w:color w:val="auto"/>
                <w:kern w:val="0"/>
                <w:szCs w:val="21"/>
                <w:highlight w:val="none"/>
              </w:rPr>
            </w:pPr>
            <w:r>
              <w:rPr>
                <w:rFonts w:hint="eastAsia" w:ascii="宋体" w:hAnsi="宋体" w:cs="宋体"/>
                <w:color w:val="auto"/>
                <w:kern w:val="0"/>
                <w:szCs w:val="21"/>
                <w:highlight w:val="none"/>
              </w:rPr>
              <w:t>实际供货日期</w:t>
            </w:r>
          </w:p>
        </w:tc>
        <w:tc>
          <w:tcPr>
            <w:tcW w:w="2719" w:type="dxa"/>
            <w:gridSpan w:val="2"/>
            <w:tcBorders>
              <w:top w:val="nil"/>
              <w:left w:val="nil"/>
              <w:bottom w:val="single" w:color="auto" w:sz="8" w:space="0"/>
              <w:right w:val="single" w:color="auto" w:sz="8" w:space="0"/>
            </w:tcBorders>
            <w:noWrap/>
            <w:vAlign w:val="center"/>
          </w:tcPr>
          <w:p>
            <w:pPr>
              <w:spacing w:before="100" w:beforeAutospacing="1" w:after="100" w:afterAutospacing="1" w:line="240" w:lineRule="atLeast"/>
              <w:jc w:val="center"/>
              <w:rPr>
                <w:rFonts w:ascii="宋体" w:hAnsi="宋体" w:cs="宋体"/>
                <w:color w:val="auto"/>
                <w:kern w:val="0"/>
                <w:szCs w:val="21"/>
                <w:highlight w:val="none"/>
              </w:rPr>
            </w:pPr>
          </w:p>
        </w:tc>
        <w:tc>
          <w:tcPr>
            <w:tcW w:w="2282" w:type="dxa"/>
            <w:gridSpan w:val="3"/>
            <w:tcBorders>
              <w:top w:val="nil"/>
              <w:left w:val="nil"/>
              <w:bottom w:val="single" w:color="auto" w:sz="8" w:space="0"/>
              <w:right w:val="single" w:color="auto" w:sz="8" w:space="0"/>
            </w:tcBorders>
            <w:noWrap/>
            <w:vAlign w:val="center"/>
          </w:tcPr>
          <w:p>
            <w:pPr>
              <w:snapToGrid w:val="0"/>
              <w:spacing w:before="100" w:beforeAutospacing="1" w:after="100" w:afterAutospacing="1" w:line="320" w:lineRule="atLeast"/>
              <w:ind w:firstLine="46"/>
              <w:jc w:val="center"/>
              <w:rPr>
                <w:rFonts w:ascii="宋体" w:hAnsi="宋体" w:cs="宋体"/>
                <w:color w:val="auto"/>
                <w:kern w:val="0"/>
                <w:szCs w:val="21"/>
                <w:highlight w:val="none"/>
              </w:rPr>
            </w:pPr>
            <w:r>
              <w:rPr>
                <w:rFonts w:hint="eastAsia" w:ascii="宋体" w:hAnsi="宋体" w:cs="宋体"/>
                <w:color w:val="auto"/>
                <w:kern w:val="0"/>
                <w:szCs w:val="21"/>
                <w:highlight w:val="none"/>
              </w:rPr>
              <w:t>合同交货验收日期</w:t>
            </w:r>
          </w:p>
        </w:tc>
        <w:tc>
          <w:tcPr>
            <w:tcW w:w="3039" w:type="dxa"/>
            <w:gridSpan w:val="2"/>
            <w:tcBorders>
              <w:top w:val="nil"/>
              <w:left w:val="nil"/>
              <w:bottom w:val="single" w:color="auto" w:sz="8" w:space="0"/>
              <w:right w:val="single" w:color="auto" w:sz="8" w:space="0"/>
            </w:tcBorders>
            <w:noWrap/>
            <w:vAlign w:val="center"/>
          </w:tcPr>
          <w:p>
            <w:pPr>
              <w:spacing w:before="100" w:beforeAutospacing="1" w:after="100" w:afterAutospacing="1" w:line="240" w:lineRule="atLeast"/>
              <w:jc w:val="center"/>
              <w:rPr>
                <w:rFonts w:ascii="宋体" w:hAnsi="宋体" w:cs="宋体"/>
                <w:color w:val="auto"/>
                <w:kern w:val="0"/>
                <w:szCs w:val="21"/>
                <w:highlight w:val="none"/>
              </w:rPr>
            </w:pPr>
          </w:p>
        </w:tc>
      </w:tr>
      <w:tr>
        <w:tblPrEx>
          <w:tblCellMar>
            <w:top w:w="0" w:type="dxa"/>
            <w:left w:w="0" w:type="dxa"/>
            <w:bottom w:w="0" w:type="dxa"/>
            <w:right w:w="0" w:type="dxa"/>
          </w:tblCellMar>
        </w:tblPrEx>
        <w:trPr>
          <w:trHeight w:val="394" w:hRule="atLeast"/>
          <w:jc w:val="center"/>
        </w:trPr>
        <w:tc>
          <w:tcPr>
            <w:tcW w:w="1331" w:type="dxa"/>
            <w:tcBorders>
              <w:top w:val="nil"/>
              <w:left w:val="single" w:color="auto" w:sz="8" w:space="0"/>
              <w:bottom w:val="single" w:color="auto" w:sz="8" w:space="0"/>
              <w:right w:val="single" w:color="auto" w:sz="8" w:space="0"/>
            </w:tcBorders>
            <w:noWrap/>
            <w:vAlign w:val="center"/>
          </w:tcPr>
          <w:p>
            <w:pPr>
              <w:spacing w:before="100" w:beforeAutospacing="1" w:after="100" w:afterAutospacing="1" w:line="240" w:lineRule="atLeast"/>
              <w:jc w:val="center"/>
              <w:rPr>
                <w:rFonts w:ascii="宋体" w:hAnsi="宋体" w:cs="宋体"/>
                <w:color w:val="auto"/>
                <w:kern w:val="0"/>
                <w:szCs w:val="21"/>
                <w:highlight w:val="none"/>
              </w:rPr>
            </w:pPr>
          </w:p>
        </w:tc>
        <w:tc>
          <w:tcPr>
            <w:tcW w:w="2719" w:type="dxa"/>
            <w:gridSpan w:val="2"/>
            <w:tcBorders>
              <w:top w:val="nil"/>
              <w:left w:val="nil"/>
              <w:bottom w:val="single" w:color="auto" w:sz="8" w:space="0"/>
              <w:right w:val="single" w:color="auto" w:sz="8" w:space="0"/>
            </w:tcBorders>
            <w:noWrap/>
            <w:vAlign w:val="center"/>
          </w:tcPr>
          <w:p>
            <w:pPr>
              <w:spacing w:before="100" w:beforeAutospacing="1" w:after="100" w:afterAutospacing="1" w:line="240" w:lineRule="atLeast"/>
              <w:jc w:val="center"/>
              <w:rPr>
                <w:rFonts w:ascii="宋体" w:hAnsi="宋体" w:cs="宋体"/>
                <w:color w:val="auto"/>
                <w:kern w:val="0"/>
                <w:szCs w:val="21"/>
                <w:highlight w:val="none"/>
              </w:rPr>
            </w:pPr>
          </w:p>
        </w:tc>
        <w:tc>
          <w:tcPr>
            <w:tcW w:w="2282" w:type="dxa"/>
            <w:gridSpan w:val="3"/>
            <w:tcBorders>
              <w:top w:val="nil"/>
              <w:left w:val="nil"/>
              <w:bottom w:val="single" w:color="auto" w:sz="8" w:space="0"/>
              <w:right w:val="single" w:color="auto" w:sz="8" w:space="0"/>
            </w:tcBorders>
            <w:noWrap/>
            <w:vAlign w:val="center"/>
          </w:tcPr>
          <w:p>
            <w:pPr>
              <w:spacing w:before="100" w:beforeAutospacing="1" w:after="100" w:afterAutospacing="1" w:line="240" w:lineRule="atLeast"/>
              <w:jc w:val="center"/>
              <w:rPr>
                <w:rFonts w:ascii="宋体" w:hAnsi="宋体" w:cs="宋体"/>
                <w:color w:val="auto"/>
                <w:kern w:val="0"/>
                <w:szCs w:val="21"/>
                <w:highlight w:val="none"/>
              </w:rPr>
            </w:pPr>
          </w:p>
        </w:tc>
        <w:tc>
          <w:tcPr>
            <w:tcW w:w="3039" w:type="dxa"/>
            <w:gridSpan w:val="2"/>
            <w:tcBorders>
              <w:top w:val="nil"/>
              <w:left w:val="nil"/>
              <w:bottom w:val="single" w:color="auto" w:sz="8" w:space="0"/>
              <w:right w:val="single" w:color="auto" w:sz="8" w:space="0"/>
            </w:tcBorders>
            <w:noWrap/>
            <w:vAlign w:val="center"/>
          </w:tcPr>
          <w:p>
            <w:pPr>
              <w:spacing w:before="100" w:beforeAutospacing="1" w:after="100" w:afterAutospacing="1" w:line="240" w:lineRule="atLeast"/>
              <w:jc w:val="center"/>
              <w:rPr>
                <w:rFonts w:ascii="宋体" w:hAnsi="宋体" w:cs="宋体"/>
                <w:color w:val="auto"/>
                <w:kern w:val="0"/>
                <w:szCs w:val="21"/>
                <w:highlight w:val="none"/>
              </w:rPr>
            </w:pPr>
          </w:p>
        </w:tc>
      </w:tr>
      <w:tr>
        <w:tblPrEx>
          <w:tblCellMar>
            <w:top w:w="0" w:type="dxa"/>
            <w:left w:w="0" w:type="dxa"/>
            <w:bottom w:w="0" w:type="dxa"/>
            <w:right w:w="0" w:type="dxa"/>
          </w:tblCellMar>
        </w:tblPrEx>
        <w:trPr>
          <w:trHeight w:val="693" w:hRule="atLeast"/>
          <w:jc w:val="center"/>
        </w:trPr>
        <w:tc>
          <w:tcPr>
            <w:tcW w:w="1331" w:type="dxa"/>
            <w:tcBorders>
              <w:top w:val="nil"/>
              <w:left w:val="single" w:color="auto" w:sz="8" w:space="0"/>
              <w:bottom w:val="single" w:color="auto" w:sz="8" w:space="0"/>
              <w:right w:val="single" w:color="auto" w:sz="8" w:space="0"/>
            </w:tcBorders>
            <w:noWrap/>
            <w:tcMar>
              <w:top w:w="0" w:type="dxa"/>
              <w:left w:w="108" w:type="dxa"/>
              <w:bottom w:w="0" w:type="dxa"/>
              <w:right w:w="108" w:type="dxa"/>
            </w:tcMar>
            <w:vAlign w:val="center"/>
          </w:tcPr>
          <w:p>
            <w:pPr>
              <w:snapToGrid w:val="0"/>
              <w:spacing w:before="100" w:beforeAutospacing="1" w:after="100" w:afterAutospacing="1" w:line="320" w:lineRule="atLeast"/>
              <w:jc w:val="left"/>
              <w:rPr>
                <w:rFonts w:ascii="宋体" w:hAnsi="宋体" w:cs="宋体"/>
                <w:color w:val="auto"/>
                <w:kern w:val="0"/>
                <w:szCs w:val="21"/>
                <w:highlight w:val="none"/>
              </w:rPr>
            </w:pPr>
            <w:r>
              <w:rPr>
                <w:rFonts w:hint="eastAsia" w:ascii="宋体" w:hAnsi="宋体" w:cs="宋体"/>
                <w:color w:val="auto"/>
                <w:kern w:val="0"/>
                <w:szCs w:val="21"/>
                <w:highlight w:val="none"/>
              </w:rPr>
              <w:t>验收具体内容</w:t>
            </w:r>
          </w:p>
        </w:tc>
        <w:tc>
          <w:tcPr>
            <w:tcW w:w="8040" w:type="dxa"/>
            <w:gridSpan w:val="7"/>
            <w:tcBorders>
              <w:top w:val="nil"/>
              <w:left w:val="nil"/>
              <w:bottom w:val="single" w:color="auto" w:sz="8" w:space="0"/>
              <w:right w:val="single" w:color="auto" w:sz="8" w:space="0"/>
            </w:tcBorders>
            <w:noWrap/>
            <w:tcMar>
              <w:top w:w="0" w:type="dxa"/>
              <w:left w:w="108" w:type="dxa"/>
              <w:bottom w:w="0" w:type="dxa"/>
              <w:right w:w="108" w:type="dxa"/>
            </w:tcMar>
            <w:vAlign w:val="center"/>
          </w:tcPr>
          <w:p>
            <w:pPr>
              <w:snapToGrid w:val="0"/>
              <w:spacing w:before="100" w:beforeAutospacing="1" w:after="100" w:afterAutospacing="1" w:line="320" w:lineRule="atLeast"/>
              <w:jc w:val="left"/>
              <w:rPr>
                <w:rFonts w:ascii="宋体" w:hAnsi="宋体" w:cs="宋体"/>
                <w:color w:val="auto"/>
                <w:kern w:val="0"/>
                <w:szCs w:val="21"/>
                <w:highlight w:val="none"/>
              </w:rPr>
            </w:pPr>
            <w:r>
              <w:rPr>
                <w:rFonts w:hint="eastAsia" w:ascii="宋体" w:hAnsi="宋体" w:cs="宋体"/>
                <w:color w:val="auto"/>
                <w:kern w:val="0"/>
                <w:szCs w:val="21"/>
                <w:highlight w:val="none"/>
              </w:rPr>
              <w:t>（应按采购合同、采购文件、投标文件及验收方案等进行验收。并核对中标或者成交投标人在安装调试等方面是否违反合同约定或者服务规范要求、提供的质量保证证明材料是否齐全、应有的配件及附件是否达到合同约定等。可附件)</w:t>
            </w:r>
          </w:p>
        </w:tc>
      </w:tr>
      <w:tr>
        <w:tblPrEx>
          <w:tblCellMar>
            <w:top w:w="0" w:type="dxa"/>
            <w:left w:w="0" w:type="dxa"/>
            <w:bottom w:w="0" w:type="dxa"/>
            <w:right w:w="0" w:type="dxa"/>
          </w:tblCellMar>
        </w:tblPrEx>
        <w:trPr>
          <w:trHeight w:val="1281" w:hRule="atLeast"/>
          <w:jc w:val="center"/>
        </w:trPr>
        <w:tc>
          <w:tcPr>
            <w:tcW w:w="1331" w:type="dxa"/>
            <w:vMerge w:val="restart"/>
            <w:tcBorders>
              <w:top w:val="nil"/>
              <w:left w:val="single" w:color="auto" w:sz="8" w:space="0"/>
              <w:bottom w:val="single" w:color="auto" w:sz="8" w:space="0"/>
              <w:right w:val="single" w:color="auto" w:sz="8" w:space="0"/>
            </w:tcBorders>
            <w:noWrap/>
            <w:tcMar>
              <w:top w:w="0" w:type="dxa"/>
              <w:left w:w="108" w:type="dxa"/>
              <w:bottom w:w="0" w:type="dxa"/>
              <w:right w:w="108" w:type="dxa"/>
            </w:tcMar>
            <w:vAlign w:val="center"/>
          </w:tcPr>
          <w:p>
            <w:pPr>
              <w:spacing w:before="100" w:beforeAutospacing="1" w:after="100" w:afterAutospacing="1" w:line="320" w:lineRule="atLeast"/>
              <w:jc w:val="left"/>
              <w:rPr>
                <w:rFonts w:ascii="宋体" w:hAnsi="宋体" w:cs="宋体"/>
                <w:color w:val="auto"/>
                <w:kern w:val="0"/>
                <w:szCs w:val="21"/>
                <w:highlight w:val="none"/>
              </w:rPr>
            </w:pPr>
            <w:r>
              <w:rPr>
                <w:rFonts w:hint="eastAsia" w:ascii="宋体" w:hAnsi="宋体" w:cs="宋体"/>
                <w:color w:val="auto"/>
                <w:kern w:val="0"/>
                <w:szCs w:val="21"/>
                <w:highlight w:val="none"/>
              </w:rPr>
              <w:t>验收小组意见</w:t>
            </w:r>
          </w:p>
        </w:tc>
        <w:tc>
          <w:tcPr>
            <w:tcW w:w="8040" w:type="dxa"/>
            <w:gridSpan w:val="7"/>
            <w:tcBorders>
              <w:top w:val="nil"/>
              <w:left w:val="nil"/>
              <w:bottom w:val="single" w:color="auto" w:sz="8" w:space="0"/>
              <w:right w:val="single" w:color="auto" w:sz="8" w:space="0"/>
            </w:tcBorders>
            <w:noWrap/>
            <w:vAlign w:val="center"/>
          </w:tcPr>
          <w:p>
            <w:pPr>
              <w:spacing w:before="100" w:beforeAutospacing="1" w:after="100" w:afterAutospacing="1" w:line="320" w:lineRule="atLeast"/>
              <w:jc w:val="left"/>
              <w:rPr>
                <w:rFonts w:ascii="宋体" w:hAnsi="宋体" w:cs="宋体"/>
                <w:color w:val="auto"/>
                <w:kern w:val="0"/>
                <w:szCs w:val="21"/>
                <w:highlight w:val="none"/>
              </w:rPr>
            </w:pPr>
            <w:r>
              <w:rPr>
                <w:rFonts w:hint="eastAsia" w:ascii="宋体" w:hAnsi="宋体" w:cs="宋体"/>
                <w:color w:val="auto"/>
                <w:kern w:val="0"/>
                <w:szCs w:val="21"/>
                <w:highlight w:val="none"/>
              </w:rPr>
              <w:t>验收结论性意见：</w:t>
            </w:r>
          </w:p>
        </w:tc>
      </w:tr>
      <w:tr>
        <w:tblPrEx>
          <w:tblCellMar>
            <w:top w:w="0" w:type="dxa"/>
            <w:left w:w="0" w:type="dxa"/>
            <w:bottom w:w="0" w:type="dxa"/>
            <w:right w:w="0" w:type="dxa"/>
          </w:tblCellMar>
        </w:tblPrEx>
        <w:trPr>
          <w:trHeight w:val="607" w:hRule="atLeast"/>
          <w:jc w:val="center"/>
        </w:trPr>
        <w:tc>
          <w:tcPr>
            <w:tcW w:w="1331" w:type="dxa"/>
            <w:vMerge w:val="continue"/>
            <w:tcBorders>
              <w:top w:val="nil"/>
              <w:left w:val="single" w:color="auto" w:sz="8" w:space="0"/>
              <w:bottom w:val="single" w:color="auto" w:sz="8" w:space="0"/>
              <w:right w:val="single" w:color="auto" w:sz="8" w:space="0"/>
            </w:tcBorders>
            <w:noWrap/>
            <w:vAlign w:val="center"/>
          </w:tcPr>
          <w:p>
            <w:pPr>
              <w:jc w:val="left"/>
              <w:rPr>
                <w:rFonts w:ascii="宋体" w:hAnsi="宋体" w:cs="宋体"/>
                <w:color w:val="auto"/>
                <w:kern w:val="0"/>
                <w:szCs w:val="21"/>
                <w:highlight w:val="none"/>
              </w:rPr>
            </w:pPr>
          </w:p>
        </w:tc>
        <w:tc>
          <w:tcPr>
            <w:tcW w:w="8040" w:type="dxa"/>
            <w:gridSpan w:val="7"/>
            <w:tcBorders>
              <w:top w:val="nil"/>
              <w:left w:val="nil"/>
              <w:bottom w:val="single" w:color="auto" w:sz="8" w:space="0"/>
              <w:right w:val="single" w:color="auto" w:sz="8" w:space="0"/>
            </w:tcBorders>
            <w:noWrap/>
            <w:vAlign w:val="center"/>
          </w:tcPr>
          <w:p>
            <w:pPr>
              <w:spacing w:before="100" w:beforeAutospacing="1" w:after="100" w:afterAutospacing="1" w:line="320" w:lineRule="atLeast"/>
              <w:ind w:firstLine="96"/>
              <w:jc w:val="left"/>
              <w:rPr>
                <w:rFonts w:ascii="宋体" w:hAnsi="宋体" w:cs="宋体"/>
                <w:color w:val="auto"/>
                <w:kern w:val="0"/>
                <w:szCs w:val="21"/>
                <w:highlight w:val="none"/>
              </w:rPr>
            </w:pPr>
            <w:r>
              <w:rPr>
                <w:rFonts w:hint="eastAsia" w:ascii="宋体" w:hAnsi="宋体" w:cs="宋体"/>
                <w:color w:val="auto"/>
                <w:kern w:val="0"/>
                <w:szCs w:val="21"/>
                <w:highlight w:val="none"/>
              </w:rPr>
              <w:t>有异议的意见和说明理由：</w:t>
            </w:r>
          </w:p>
          <w:p>
            <w:pPr>
              <w:spacing w:before="100" w:beforeAutospacing="1" w:after="100" w:afterAutospacing="1" w:line="320" w:lineRule="atLeast"/>
              <w:jc w:val="left"/>
              <w:rPr>
                <w:rFonts w:ascii="宋体" w:hAnsi="宋体" w:cs="宋体"/>
                <w:color w:val="auto"/>
                <w:kern w:val="0"/>
                <w:szCs w:val="21"/>
                <w:highlight w:val="none"/>
              </w:rPr>
            </w:pPr>
            <w:r>
              <w:rPr>
                <w:rFonts w:hint="eastAsia" w:ascii="宋体" w:hAnsi="宋体" w:cs="宋体"/>
                <w:color w:val="auto"/>
                <w:kern w:val="0"/>
                <w:szCs w:val="21"/>
                <w:highlight w:val="none"/>
              </w:rPr>
              <w:t>签字：</w:t>
            </w:r>
          </w:p>
        </w:tc>
      </w:tr>
      <w:tr>
        <w:tblPrEx>
          <w:tblCellMar>
            <w:top w:w="0" w:type="dxa"/>
            <w:left w:w="0" w:type="dxa"/>
            <w:bottom w:w="0" w:type="dxa"/>
            <w:right w:w="0" w:type="dxa"/>
          </w:tblCellMar>
        </w:tblPrEx>
        <w:trPr>
          <w:trHeight w:val="507" w:hRule="atLeast"/>
          <w:jc w:val="center"/>
        </w:trPr>
        <w:tc>
          <w:tcPr>
            <w:tcW w:w="9371" w:type="dxa"/>
            <w:gridSpan w:val="8"/>
            <w:tcBorders>
              <w:top w:val="nil"/>
              <w:left w:val="single" w:color="auto" w:sz="8" w:space="0"/>
              <w:bottom w:val="single" w:color="auto" w:sz="8" w:space="0"/>
              <w:right w:val="single" w:color="auto" w:sz="8" w:space="0"/>
            </w:tcBorders>
            <w:noWrap/>
            <w:tcMar>
              <w:top w:w="0" w:type="dxa"/>
              <w:left w:w="108" w:type="dxa"/>
              <w:bottom w:w="0" w:type="dxa"/>
              <w:right w:w="108" w:type="dxa"/>
            </w:tcMar>
            <w:vAlign w:val="center"/>
          </w:tcPr>
          <w:p>
            <w:pPr>
              <w:spacing w:before="100" w:beforeAutospacing="1" w:after="100" w:afterAutospacing="1" w:line="320" w:lineRule="atLeast"/>
              <w:jc w:val="left"/>
              <w:rPr>
                <w:rFonts w:ascii="宋体" w:hAnsi="宋体" w:cs="宋体"/>
                <w:color w:val="auto"/>
                <w:kern w:val="0"/>
                <w:szCs w:val="21"/>
                <w:highlight w:val="none"/>
              </w:rPr>
            </w:pPr>
            <w:r>
              <w:rPr>
                <w:rFonts w:hint="eastAsia" w:ascii="宋体" w:hAnsi="宋体" w:cs="宋体"/>
                <w:color w:val="auto"/>
                <w:kern w:val="0"/>
                <w:szCs w:val="21"/>
                <w:highlight w:val="none"/>
              </w:rPr>
              <w:t>验收小组成员签字：</w:t>
            </w:r>
          </w:p>
        </w:tc>
      </w:tr>
      <w:tr>
        <w:tblPrEx>
          <w:tblCellMar>
            <w:top w:w="0" w:type="dxa"/>
            <w:left w:w="0" w:type="dxa"/>
            <w:bottom w:w="0" w:type="dxa"/>
            <w:right w:w="0" w:type="dxa"/>
          </w:tblCellMar>
        </w:tblPrEx>
        <w:trPr>
          <w:trHeight w:val="736" w:hRule="atLeast"/>
          <w:jc w:val="center"/>
        </w:trPr>
        <w:tc>
          <w:tcPr>
            <w:tcW w:w="9371" w:type="dxa"/>
            <w:gridSpan w:val="8"/>
            <w:tcBorders>
              <w:top w:val="nil"/>
              <w:left w:val="single" w:color="auto" w:sz="8" w:space="0"/>
              <w:bottom w:val="single" w:color="auto" w:sz="8" w:space="0"/>
              <w:right w:val="single" w:color="auto" w:sz="8" w:space="0"/>
            </w:tcBorders>
            <w:noWrap/>
            <w:tcMar>
              <w:top w:w="0" w:type="dxa"/>
              <w:left w:w="108" w:type="dxa"/>
              <w:bottom w:w="0" w:type="dxa"/>
              <w:right w:w="108" w:type="dxa"/>
            </w:tcMar>
            <w:vAlign w:val="center"/>
          </w:tcPr>
          <w:p>
            <w:pPr>
              <w:spacing w:before="100" w:beforeAutospacing="1" w:after="100" w:afterAutospacing="1" w:line="320" w:lineRule="atLeast"/>
              <w:jc w:val="left"/>
              <w:rPr>
                <w:rFonts w:ascii="宋体" w:hAnsi="宋体" w:cs="宋体"/>
                <w:color w:val="auto"/>
                <w:kern w:val="0"/>
                <w:szCs w:val="21"/>
                <w:highlight w:val="none"/>
              </w:rPr>
            </w:pPr>
            <w:r>
              <w:rPr>
                <w:rFonts w:hint="eastAsia" w:ascii="宋体" w:hAnsi="宋体" w:cs="宋体"/>
                <w:color w:val="auto"/>
                <w:kern w:val="0"/>
                <w:szCs w:val="21"/>
                <w:highlight w:val="none"/>
              </w:rPr>
              <w:t>监督人员或者其他相关人员签字：</w:t>
            </w:r>
          </w:p>
          <w:p>
            <w:pPr>
              <w:spacing w:before="100" w:beforeAutospacing="1" w:after="100" w:afterAutospacing="1" w:line="320" w:lineRule="atLeast"/>
              <w:ind w:firstLine="74"/>
              <w:jc w:val="left"/>
              <w:rPr>
                <w:rFonts w:ascii="宋体" w:hAnsi="宋体" w:cs="宋体"/>
                <w:color w:val="auto"/>
                <w:kern w:val="0"/>
                <w:szCs w:val="21"/>
                <w:highlight w:val="none"/>
              </w:rPr>
            </w:pPr>
            <w:r>
              <w:rPr>
                <w:rFonts w:hint="eastAsia" w:ascii="宋体" w:hAnsi="宋体" w:cs="宋体"/>
                <w:color w:val="auto"/>
                <w:kern w:val="0"/>
                <w:szCs w:val="21"/>
                <w:highlight w:val="none"/>
              </w:rPr>
              <w:t>或者受邀机构的意见（盖章）：</w:t>
            </w:r>
          </w:p>
        </w:tc>
      </w:tr>
      <w:tr>
        <w:tblPrEx>
          <w:tblCellMar>
            <w:top w:w="0" w:type="dxa"/>
            <w:left w:w="0" w:type="dxa"/>
            <w:bottom w:w="0" w:type="dxa"/>
            <w:right w:w="0" w:type="dxa"/>
          </w:tblCellMar>
        </w:tblPrEx>
        <w:trPr>
          <w:trHeight w:val="758" w:hRule="atLeast"/>
          <w:jc w:val="center"/>
        </w:trPr>
        <w:tc>
          <w:tcPr>
            <w:tcW w:w="4152" w:type="dxa"/>
            <w:gridSpan w:val="4"/>
            <w:tcBorders>
              <w:top w:val="nil"/>
              <w:left w:val="single" w:color="auto" w:sz="8" w:space="0"/>
              <w:bottom w:val="single" w:color="auto" w:sz="8" w:space="0"/>
              <w:right w:val="nil"/>
            </w:tcBorders>
            <w:noWrap/>
            <w:tcMar>
              <w:top w:w="0" w:type="dxa"/>
              <w:left w:w="108" w:type="dxa"/>
              <w:bottom w:w="0" w:type="dxa"/>
              <w:right w:w="108" w:type="dxa"/>
            </w:tcMar>
            <w:vAlign w:val="center"/>
          </w:tcPr>
          <w:p>
            <w:pPr>
              <w:spacing w:before="100" w:beforeAutospacing="1" w:after="100" w:afterAutospacing="1" w:line="320" w:lineRule="atLeast"/>
              <w:ind w:firstLine="74"/>
              <w:jc w:val="left"/>
              <w:rPr>
                <w:rFonts w:ascii="宋体" w:hAnsi="宋体" w:cs="宋体"/>
                <w:color w:val="auto"/>
                <w:kern w:val="0"/>
                <w:szCs w:val="21"/>
                <w:highlight w:val="none"/>
              </w:rPr>
            </w:pPr>
            <w:r>
              <w:rPr>
                <w:rFonts w:hint="eastAsia" w:ascii="宋体" w:hAnsi="宋体" w:cs="宋体"/>
                <w:color w:val="auto"/>
                <w:kern w:val="0"/>
                <w:szCs w:val="21"/>
                <w:highlight w:val="none"/>
              </w:rPr>
              <w:t>中标或者中标人负责人签字或者盖章：</w:t>
            </w:r>
          </w:p>
          <w:p>
            <w:pPr>
              <w:spacing w:before="100" w:beforeAutospacing="1" w:after="100" w:afterAutospacing="1" w:line="320" w:lineRule="atLeast"/>
              <w:jc w:val="left"/>
              <w:rPr>
                <w:rFonts w:ascii="宋体" w:hAnsi="宋体" w:cs="宋体"/>
                <w:color w:val="auto"/>
                <w:kern w:val="0"/>
                <w:szCs w:val="21"/>
                <w:highlight w:val="none"/>
              </w:rPr>
            </w:pPr>
            <w:r>
              <w:rPr>
                <w:rFonts w:hint="eastAsia" w:ascii="宋体" w:hAnsi="宋体" w:cs="宋体"/>
                <w:color w:val="auto"/>
                <w:kern w:val="0"/>
                <w:szCs w:val="21"/>
                <w:highlight w:val="none"/>
              </w:rPr>
              <w:t>联系电话： 年 月 日</w:t>
            </w:r>
          </w:p>
        </w:tc>
        <w:tc>
          <w:tcPr>
            <w:tcW w:w="5219" w:type="dxa"/>
            <w:gridSpan w:val="4"/>
            <w:tcBorders>
              <w:top w:val="nil"/>
              <w:left w:val="nil"/>
              <w:bottom w:val="single" w:color="auto" w:sz="8" w:space="0"/>
              <w:right w:val="single" w:color="auto" w:sz="8" w:space="0"/>
            </w:tcBorders>
            <w:noWrap/>
            <w:vAlign w:val="center"/>
          </w:tcPr>
          <w:p>
            <w:pPr>
              <w:spacing w:before="100" w:beforeAutospacing="1" w:after="100" w:afterAutospacing="1" w:line="320" w:lineRule="atLeast"/>
              <w:jc w:val="left"/>
              <w:rPr>
                <w:rFonts w:ascii="宋体" w:hAnsi="宋体" w:cs="宋体"/>
                <w:color w:val="auto"/>
                <w:kern w:val="0"/>
                <w:szCs w:val="21"/>
                <w:highlight w:val="none"/>
              </w:rPr>
            </w:pPr>
            <w:r>
              <w:rPr>
                <w:rFonts w:hint="eastAsia" w:ascii="宋体" w:hAnsi="宋体" w:cs="宋体"/>
                <w:color w:val="auto"/>
                <w:kern w:val="0"/>
                <w:szCs w:val="21"/>
                <w:highlight w:val="none"/>
              </w:rPr>
              <w:t>采购人或者受托机构的意见（盖章）：</w:t>
            </w:r>
          </w:p>
          <w:p>
            <w:pPr>
              <w:spacing w:before="100" w:beforeAutospacing="1" w:after="100" w:afterAutospacing="1" w:line="320" w:lineRule="atLeast"/>
              <w:jc w:val="left"/>
              <w:rPr>
                <w:rFonts w:ascii="宋体" w:hAnsi="宋体" w:cs="宋体"/>
                <w:color w:val="auto"/>
                <w:kern w:val="0"/>
                <w:szCs w:val="21"/>
                <w:highlight w:val="none"/>
              </w:rPr>
            </w:pPr>
            <w:r>
              <w:rPr>
                <w:rFonts w:hint="eastAsia" w:ascii="宋体" w:hAnsi="宋体" w:cs="宋体"/>
                <w:color w:val="auto"/>
                <w:kern w:val="0"/>
                <w:szCs w:val="21"/>
                <w:highlight w:val="none"/>
              </w:rPr>
              <w:t>联系电话： 年 月 日</w:t>
            </w:r>
          </w:p>
        </w:tc>
      </w:tr>
    </w:tbl>
    <w:p>
      <w:pPr>
        <w:jc w:val="left"/>
        <w:rPr>
          <w:rFonts w:ascii="宋体" w:hAnsi="宋体" w:cs="宋体"/>
          <w:color w:val="auto"/>
          <w:highlight w:val="none"/>
        </w:rPr>
      </w:pPr>
      <w:r>
        <w:rPr>
          <w:rFonts w:hint="eastAsia" w:ascii="宋体" w:hAnsi="宋体" w:cs="宋体"/>
          <w:color w:val="auto"/>
          <w:highlight w:val="none"/>
        </w:rPr>
        <w:br w:type="page"/>
      </w:r>
      <w:r>
        <w:rPr>
          <w:rFonts w:hint="eastAsia" w:ascii="宋体" w:hAnsi="宋体" w:cs="宋体"/>
          <w:b/>
          <w:bCs/>
          <w:color w:val="auto"/>
          <w:sz w:val="28"/>
          <w:szCs w:val="28"/>
          <w:highlight w:val="none"/>
        </w:rPr>
        <w:t>4.政府采购项目履约保证金退付意见书的格式：</w:t>
      </w:r>
    </w:p>
    <w:p>
      <w:pPr>
        <w:jc w:val="center"/>
        <w:rPr>
          <w:rFonts w:ascii="宋体" w:hAnsi="宋体" w:cs="宋体"/>
          <w:color w:val="auto"/>
          <w:sz w:val="32"/>
          <w:szCs w:val="32"/>
          <w:highlight w:val="none"/>
        </w:rPr>
      </w:pPr>
    </w:p>
    <w:p>
      <w:pPr>
        <w:jc w:val="center"/>
        <w:rPr>
          <w:rFonts w:ascii="宋体" w:hAnsi="宋体" w:cs="宋体"/>
          <w:color w:val="auto"/>
          <w:sz w:val="32"/>
          <w:szCs w:val="32"/>
          <w:highlight w:val="none"/>
        </w:rPr>
      </w:pPr>
      <w:r>
        <w:rPr>
          <w:rFonts w:hint="eastAsia" w:ascii="宋体" w:hAnsi="宋体" w:cs="宋体"/>
          <w:color w:val="auto"/>
          <w:sz w:val="32"/>
          <w:szCs w:val="32"/>
          <w:highlight w:val="none"/>
        </w:rPr>
        <w:t>政府采购项目履约保证金退付意见书（参考）</w:t>
      </w:r>
    </w:p>
    <w:p>
      <w:pPr>
        <w:jc w:val="center"/>
        <w:rPr>
          <w:rFonts w:ascii="宋体" w:hAnsi="宋体" w:cs="宋体"/>
          <w:color w:val="auto"/>
          <w:sz w:val="36"/>
          <w:szCs w:val="36"/>
          <w:highlight w:val="none"/>
        </w:rPr>
      </w:pPr>
    </w:p>
    <w:tbl>
      <w:tblPr>
        <w:tblStyle w:val="32"/>
        <w:tblW w:w="94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8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1008" w:type="dxa"/>
            <w:vMerge w:val="restart"/>
            <w:noWrap/>
            <w:vAlign w:val="center"/>
          </w:tcPr>
          <w:p>
            <w:pPr>
              <w:jc w:val="center"/>
              <w:rPr>
                <w:rFonts w:ascii="宋体" w:hAnsi="宋体" w:cs="宋体"/>
                <w:color w:val="auto"/>
                <w:sz w:val="24"/>
                <w:highlight w:val="none"/>
              </w:rPr>
            </w:pPr>
            <w:r>
              <w:rPr>
                <w:rFonts w:hint="eastAsia" w:ascii="宋体" w:hAnsi="宋体" w:cs="宋体"/>
                <w:color w:val="auto"/>
                <w:sz w:val="24"/>
                <w:highlight w:val="none"/>
              </w:rPr>
              <w:t>供</w:t>
            </w:r>
          </w:p>
          <w:p>
            <w:pPr>
              <w:jc w:val="center"/>
              <w:rPr>
                <w:rFonts w:ascii="宋体" w:hAnsi="宋体" w:cs="宋体"/>
                <w:color w:val="auto"/>
                <w:sz w:val="24"/>
                <w:highlight w:val="none"/>
              </w:rPr>
            </w:pPr>
            <w:r>
              <w:rPr>
                <w:rFonts w:hint="eastAsia" w:ascii="宋体" w:hAnsi="宋体" w:cs="宋体"/>
                <w:color w:val="auto"/>
                <w:sz w:val="24"/>
                <w:highlight w:val="none"/>
              </w:rPr>
              <w:t>应</w:t>
            </w:r>
          </w:p>
          <w:p>
            <w:pPr>
              <w:jc w:val="center"/>
              <w:rPr>
                <w:rFonts w:ascii="宋体" w:hAnsi="宋体" w:cs="宋体"/>
                <w:color w:val="auto"/>
                <w:sz w:val="24"/>
                <w:highlight w:val="none"/>
              </w:rPr>
            </w:pPr>
            <w:r>
              <w:rPr>
                <w:rFonts w:hint="eastAsia" w:ascii="宋体" w:hAnsi="宋体" w:cs="宋体"/>
                <w:color w:val="auto"/>
                <w:sz w:val="24"/>
                <w:highlight w:val="none"/>
              </w:rPr>
              <w:t>商</w:t>
            </w:r>
          </w:p>
          <w:p>
            <w:pPr>
              <w:jc w:val="center"/>
              <w:rPr>
                <w:rFonts w:ascii="宋体" w:hAnsi="宋体" w:cs="宋体"/>
                <w:color w:val="auto"/>
                <w:sz w:val="24"/>
                <w:highlight w:val="none"/>
              </w:rPr>
            </w:pPr>
            <w:r>
              <w:rPr>
                <w:rFonts w:hint="eastAsia" w:ascii="宋体" w:hAnsi="宋体" w:cs="宋体"/>
                <w:color w:val="auto"/>
                <w:sz w:val="24"/>
                <w:highlight w:val="none"/>
              </w:rPr>
              <w:t>申</w:t>
            </w:r>
          </w:p>
          <w:p>
            <w:pPr>
              <w:jc w:val="center"/>
              <w:rPr>
                <w:rFonts w:ascii="宋体" w:hAnsi="宋体" w:cs="宋体"/>
                <w:color w:val="auto"/>
                <w:sz w:val="24"/>
                <w:highlight w:val="none"/>
              </w:rPr>
            </w:pPr>
            <w:r>
              <w:rPr>
                <w:rFonts w:hint="eastAsia" w:ascii="宋体" w:hAnsi="宋体" w:cs="宋体"/>
                <w:color w:val="auto"/>
                <w:sz w:val="24"/>
                <w:highlight w:val="none"/>
              </w:rPr>
              <w:t>请</w:t>
            </w:r>
          </w:p>
        </w:tc>
        <w:tc>
          <w:tcPr>
            <w:tcW w:w="8456" w:type="dxa"/>
            <w:noWrap/>
            <w:vAlign w:val="center"/>
          </w:tcPr>
          <w:p>
            <w:pPr>
              <w:rPr>
                <w:rFonts w:ascii="宋体" w:hAnsi="宋体" w:cs="宋体"/>
                <w:color w:val="auto"/>
                <w:sz w:val="24"/>
                <w:highlight w:val="none"/>
              </w:rPr>
            </w:pPr>
            <w:r>
              <w:rPr>
                <w:rFonts w:hint="eastAsia" w:ascii="宋体" w:hAnsi="宋体" w:cs="宋体"/>
                <w:color w:val="auto"/>
                <w:sz w:val="24"/>
                <w:highlight w:val="none"/>
              </w:rPr>
              <w:t>项目编号：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trPr>
        <w:tc>
          <w:tcPr>
            <w:tcW w:w="1008" w:type="dxa"/>
            <w:vMerge w:val="continue"/>
            <w:noWrap/>
            <w:vAlign w:val="center"/>
          </w:tcPr>
          <w:p>
            <w:pPr>
              <w:rPr>
                <w:rFonts w:ascii="宋体" w:hAnsi="宋体" w:cs="宋体"/>
                <w:color w:val="auto"/>
                <w:sz w:val="24"/>
                <w:highlight w:val="none"/>
              </w:rPr>
            </w:pPr>
          </w:p>
        </w:tc>
        <w:tc>
          <w:tcPr>
            <w:tcW w:w="8456" w:type="dxa"/>
            <w:noWrap/>
            <w:vAlign w:val="center"/>
          </w:tcPr>
          <w:p>
            <w:pPr>
              <w:rPr>
                <w:rFonts w:ascii="宋体" w:hAnsi="宋体" w:cs="宋体"/>
                <w:color w:val="auto"/>
                <w:sz w:val="24"/>
                <w:highlight w:val="none"/>
              </w:rPr>
            </w:pPr>
            <w:r>
              <w:rPr>
                <w:rFonts w:hint="eastAsia" w:ascii="宋体" w:hAnsi="宋体" w:cs="宋体"/>
                <w:color w:val="auto"/>
                <w:sz w:val="24"/>
                <w:highlight w:val="none"/>
              </w:rPr>
              <w:t>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008" w:type="dxa"/>
            <w:vMerge w:val="continue"/>
            <w:noWrap/>
          </w:tcPr>
          <w:p>
            <w:pPr>
              <w:rPr>
                <w:rFonts w:ascii="宋体" w:hAnsi="宋体" w:cs="宋体"/>
                <w:color w:val="auto"/>
                <w:sz w:val="24"/>
                <w:highlight w:val="none"/>
              </w:rPr>
            </w:pPr>
          </w:p>
        </w:tc>
        <w:tc>
          <w:tcPr>
            <w:tcW w:w="8456" w:type="dxa"/>
            <w:noWrap/>
          </w:tcPr>
          <w:p>
            <w:pPr>
              <w:rPr>
                <w:rFonts w:ascii="宋体" w:hAnsi="宋体" w:cs="宋体"/>
                <w:color w:val="auto"/>
                <w:sz w:val="24"/>
                <w:highlight w:val="none"/>
              </w:rPr>
            </w:pPr>
          </w:p>
          <w:p>
            <w:pPr>
              <w:spacing w:line="40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该项目已于年月日验收并交付使用。根据合同规定，该项目的履约保证金期限于年月日已满，请将履约保证金（大写）人民币                              （小写）¥退付到达以下账户。</w:t>
            </w:r>
          </w:p>
          <w:p>
            <w:pPr>
              <w:spacing w:line="400" w:lineRule="exact"/>
              <w:rPr>
                <w:rFonts w:ascii="宋体" w:hAnsi="宋体" w:cs="宋体"/>
                <w:color w:val="auto"/>
                <w:sz w:val="24"/>
                <w:highlight w:val="none"/>
              </w:rPr>
            </w:pPr>
          </w:p>
          <w:p>
            <w:pPr>
              <w:spacing w:line="40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单位名称：</w:t>
            </w:r>
          </w:p>
          <w:p>
            <w:pPr>
              <w:spacing w:line="40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开户银行：</w:t>
            </w:r>
          </w:p>
          <w:p>
            <w:pPr>
              <w:spacing w:line="40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账   号：</w:t>
            </w:r>
          </w:p>
          <w:p>
            <w:pPr>
              <w:spacing w:line="40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联系人及电话：</w:t>
            </w:r>
          </w:p>
          <w:p>
            <w:pPr>
              <w:spacing w:line="400" w:lineRule="exact"/>
              <w:rPr>
                <w:rFonts w:ascii="宋体" w:hAnsi="宋体" w:cs="宋体"/>
                <w:color w:val="auto"/>
                <w:sz w:val="24"/>
                <w:highlight w:val="none"/>
              </w:rPr>
            </w:pPr>
          </w:p>
          <w:p>
            <w:pPr>
              <w:spacing w:line="520" w:lineRule="exact"/>
              <w:jc w:val="center"/>
              <w:rPr>
                <w:rFonts w:ascii="宋体" w:hAnsi="宋体" w:cs="宋体"/>
                <w:color w:val="auto"/>
                <w:sz w:val="24"/>
                <w:highlight w:val="none"/>
              </w:rPr>
            </w:pPr>
            <w:r>
              <w:rPr>
                <w:rFonts w:hint="eastAsia" w:ascii="宋体" w:hAnsi="宋体" w:cs="宋体"/>
                <w:color w:val="auto"/>
                <w:sz w:val="24"/>
                <w:highlight w:val="none"/>
              </w:rPr>
              <w:t xml:space="preserve">         投标人签章：</w:t>
            </w:r>
          </w:p>
          <w:p>
            <w:pPr>
              <w:spacing w:line="520" w:lineRule="exact"/>
              <w:jc w:val="center"/>
              <w:rPr>
                <w:rFonts w:ascii="宋体" w:hAnsi="宋体" w:cs="宋体"/>
                <w:color w:val="auto"/>
                <w:sz w:val="24"/>
                <w:highlight w:val="none"/>
              </w:rPr>
            </w:pPr>
            <w:r>
              <w:rPr>
                <w:rFonts w:hint="eastAsia" w:ascii="宋体" w:hAnsi="宋体" w:cs="宋体"/>
                <w:color w:val="auto"/>
                <w:sz w:val="24"/>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6" w:hRule="atLeast"/>
        </w:trPr>
        <w:tc>
          <w:tcPr>
            <w:tcW w:w="1008" w:type="dxa"/>
            <w:noWrap/>
            <w:vAlign w:val="center"/>
          </w:tcPr>
          <w:p>
            <w:pPr>
              <w:jc w:val="center"/>
              <w:rPr>
                <w:rFonts w:ascii="宋体" w:hAnsi="宋体" w:cs="宋体"/>
                <w:color w:val="auto"/>
                <w:sz w:val="24"/>
                <w:highlight w:val="none"/>
              </w:rPr>
            </w:pPr>
            <w:r>
              <w:rPr>
                <w:rFonts w:hint="eastAsia" w:ascii="宋体" w:hAnsi="宋体" w:cs="宋体"/>
                <w:color w:val="auto"/>
                <w:sz w:val="24"/>
                <w:highlight w:val="none"/>
              </w:rPr>
              <w:t>采</w:t>
            </w:r>
          </w:p>
          <w:p>
            <w:pPr>
              <w:jc w:val="center"/>
              <w:rPr>
                <w:rFonts w:ascii="宋体" w:hAnsi="宋体" w:cs="宋体"/>
                <w:color w:val="auto"/>
                <w:sz w:val="24"/>
                <w:highlight w:val="none"/>
              </w:rPr>
            </w:pPr>
            <w:r>
              <w:rPr>
                <w:rFonts w:hint="eastAsia" w:ascii="宋体" w:hAnsi="宋体" w:cs="宋体"/>
                <w:color w:val="auto"/>
                <w:sz w:val="24"/>
                <w:highlight w:val="none"/>
              </w:rPr>
              <w:t>购</w:t>
            </w:r>
          </w:p>
          <w:p>
            <w:pPr>
              <w:jc w:val="center"/>
              <w:rPr>
                <w:rFonts w:ascii="宋体" w:hAnsi="宋体" w:cs="宋体"/>
                <w:color w:val="auto"/>
                <w:sz w:val="24"/>
                <w:highlight w:val="none"/>
              </w:rPr>
            </w:pPr>
            <w:r>
              <w:rPr>
                <w:rFonts w:hint="eastAsia" w:ascii="宋体" w:hAnsi="宋体" w:cs="宋体"/>
                <w:color w:val="auto"/>
                <w:sz w:val="24"/>
                <w:highlight w:val="none"/>
              </w:rPr>
              <w:t>人</w:t>
            </w:r>
          </w:p>
          <w:p>
            <w:pPr>
              <w:jc w:val="center"/>
              <w:rPr>
                <w:rFonts w:ascii="宋体" w:hAnsi="宋体" w:cs="宋体"/>
                <w:color w:val="auto"/>
                <w:sz w:val="24"/>
                <w:highlight w:val="none"/>
              </w:rPr>
            </w:pPr>
            <w:r>
              <w:rPr>
                <w:rFonts w:hint="eastAsia" w:ascii="宋体" w:hAnsi="宋体" w:cs="宋体"/>
                <w:color w:val="auto"/>
                <w:sz w:val="24"/>
                <w:highlight w:val="none"/>
              </w:rPr>
              <w:t>意</w:t>
            </w:r>
          </w:p>
          <w:p>
            <w:pPr>
              <w:jc w:val="center"/>
              <w:rPr>
                <w:rFonts w:ascii="宋体" w:hAnsi="宋体" w:cs="宋体"/>
                <w:color w:val="auto"/>
                <w:sz w:val="24"/>
                <w:highlight w:val="none"/>
              </w:rPr>
            </w:pPr>
            <w:r>
              <w:rPr>
                <w:rFonts w:hint="eastAsia" w:ascii="宋体" w:hAnsi="宋体" w:cs="宋体"/>
                <w:color w:val="auto"/>
                <w:sz w:val="24"/>
                <w:highlight w:val="none"/>
              </w:rPr>
              <w:t>见</w:t>
            </w:r>
          </w:p>
        </w:tc>
        <w:tc>
          <w:tcPr>
            <w:tcW w:w="8456" w:type="dxa"/>
            <w:noWrap/>
          </w:tcPr>
          <w:p>
            <w:pPr>
              <w:rPr>
                <w:rFonts w:ascii="宋体" w:hAnsi="宋体" w:cs="宋体"/>
                <w:color w:val="auto"/>
                <w:sz w:val="24"/>
                <w:highlight w:val="none"/>
              </w:rPr>
            </w:pPr>
          </w:p>
          <w:p>
            <w:pPr>
              <w:rPr>
                <w:rFonts w:ascii="宋体" w:hAnsi="宋体" w:cs="宋体"/>
                <w:color w:val="auto"/>
                <w:sz w:val="24"/>
                <w:highlight w:val="none"/>
              </w:rPr>
            </w:pPr>
            <w:r>
              <w:rPr>
                <w:rFonts w:hint="eastAsia" w:ascii="宋体" w:hAnsi="宋体" w:cs="宋体"/>
                <w:color w:val="auto"/>
                <w:sz w:val="24"/>
                <w:highlight w:val="none"/>
              </w:rPr>
              <w:t>退付意见：（是否同意退付履约保证金及退付金额）</w:t>
            </w:r>
          </w:p>
          <w:p>
            <w:pPr>
              <w:rPr>
                <w:rFonts w:ascii="宋体" w:hAnsi="宋体" w:cs="宋体"/>
                <w:color w:val="auto"/>
                <w:sz w:val="24"/>
                <w:highlight w:val="none"/>
              </w:rPr>
            </w:pPr>
          </w:p>
          <w:p>
            <w:pPr>
              <w:rPr>
                <w:rFonts w:ascii="宋体" w:hAnsi="宋体" w:cs="宋体"/>
                <w:color w:val="auto"/>
                <w:sz w:val="24"/>
                <w:highlight w:val="none"/>
              </w:rPr>
            </w:pPr>
          </w:p>
          <w:p>
            <w:pPr>
              <w:rPr>
                <w:rFonts w:ascii="宋体" w:hAnsi="宋体" w:cs="宋体"/>
                <w:color w:val="auto"/>
                <w:sz w:val="24"/>
                <w:highlight w:val="none"/>
              </w:rPr>
            </w:pPr>
          </w:p>
          <w:p>
            <w:pPr>
              <w:rPr>
                <w:rFonts w:ascii="宋体" w:hAnsi="宋体" w:cs="宋体"/>
                <w:color w:val="auto"/>
                <w:sz w:val="24"/>
                <w:highlight w:val="none"/>
              </w:rPr>
            </w:pPr>
          </w:p>
          <w:p>
            <w:pPr>
              <w:spacing w:line="520" w:lineRule="exact"/>
              <w:rPr>
                <w:rFonts w:ascii="宋体" w:hAnsi="宋体" w:cs="宋体"/>
                <w:color w:val="auto"/>
                <w:sz w:val="24"/>
                <w:highlight w:val="none"/>
              </w:rPr>
            </w:pPr>
            <w:r>
              <w:rPr>
                <w:rFonts w:hint="eastAsia" w:ascii="宋体" w:hAnsi="宋体" w:cs="宋体"/>
                <w:color w:val="auto"/>
                <w:sz w:val="24"/>
                <w:highlight w:val="none"/>
              </w:rPr>
              <w:t>联系人及电话：                         采购人签章</w:t>
            </w:r>
          </w:p>
          <w:p>
            <w:pPr>
              <w:spacing w:line="520" w:lineRule="exact"/>
              <w:jc w:val="center"/>
              <w:rPr>
                <w:rFonts w:ascii="宋体" w:hAnsi="宋体" w:cs="宋体"/>
                <w:color w:val="auto"/>
                <w:sz w:val="24"/>
                <w:highlight w:val="none"/>
              </w:rPr>
            </w:pPr>
            <w:r>
              <w:rPr>
                <w:rFonts w:hint="eastAsia" w:ascii="宋体" w:hAnsi="宋体" w:cs="宋体"/>
                <w:color w:val="auto"/>
                <w:sz w:val="24"/>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1008" w:type="dxa"/>
            <w:noWrap/>
            <w:vAlign w:val="center"/>
          </w:tcPr>
          <w:p>
            <w:pPr>
              <w:jc w:val="center"/>
              <w:rPr>
                <w:rFonts w:ascii="宋体" w:hAnsi="宋体" w:cs="宋体"/>
                <w:color w:val="auto"/>
                <w:sz w:val="24"/>
                <w:highlight w:val="none"/>
              </w:rPr>
            </w:pPr>
            <w:r>
              <w:rPr>
                <w:rFonts w:hint="eastAsia" w:ascii="宋体" w:hAnsi="宋体" w:cs="宋体"/>
                <w:color w:val="auto"/>
                <w:sz w:val="24"/>
                <w:highlight w:val="none"/>
              </w:rPr>
              <w:t>备注</w:t>
            </w:r>
          </w:p>
        </w:tc>
        <w:tc>
          <w:tcPr>
            <w:tcW w:w="8456" w:type="dxa"/>
            <w:noWrap/>
          </w:tcPr>
          <w:p>
            <w:pPr>
              <w:rPr>
                <w:rFonts w:ascii="宋体" w:hAnsi="宋体" w:cs="宋体"/>
                <w:color w:val="auto"/>
                <w:sz w:val="24"/>
                <w:highlight w:val="none"/>
              </w:rPr>
            </w:pPr>
          </w:p>
        </w:tc>
      </w:tr>
    </w:tbl>
    <w:p>
      <w:pPr>
        <w:spacing w:after="120"/>
        <w:ind w:left="420" w:leftChars="114" w:hanging="181" w:hangingChars="100"/>
        <w:rPr>
          <w:rFonts w:ascii="宋体" w:hAnsi="宋体" w:cs="宋体"/>
          <w:b/>
          <w:bCs/>
          <w:color w:val="auto"/>
          <w:sz w:val="18"/>
          <w:highlight w:val="none"/>
        </w:rPr>
      </w:pPr>
      <w:r>
        <w:rPr>
          <w:rFonts w:hint="eastAsia" w:ascii="宋体" w:hAnsi="宋体" w:cs="宋体"/>
          <w:b/>
          <w:bCs/>
          <w:color w:val="auto"/>
          <w:sz w:val="18"/>
          <w:highlight w:val="none"/>
        </w:rPr>
        <w:t>注：投标人凭经采购人审批的退付意见书到履约保证金收取单位办理履约保证金退付事宜。</w:t>
      </w:r>
    </w:p>
    <w:p>
      <w:pPr>
        <w:rPr>
          <w:rFonts w:ascii="宋体" w:hAnsi="宋体" w:cs="宋体"/>
          <w:color w:val="auto"/>
          <w:sz w:val="20"/>
          <w:highlight w:val="none"/>
        </w:rPr>
      </w:pPr>
      <w:r>
        <w:rPr>
          <w:rFonts w:hint="eastAsia" w:ascii="宋体" w:hAnsi="宋体" w:cs="宋体"/>
          <w:color w:val="auto"/>
          <w:szCs w:val="21"/>
          <w:highlight w:val="none"/>
        </w:rPr>
        <w:br w:type="page"/>
      </w:r>
    </w:p>
    <w:p>
      <w:pPr>
        <w:pStyle w:val="17"/>
        <w:tabs>
          <w:tab w:val="left" w:pos="2472"/>
        </w:tabs>
        <w:spacing w:line="460" w:lineRule="exact"/>
        <w:jc w:val="center"/>
        <w:rPr>
          <w:rFonts w:hAnsi="宋体" w:cs="宋体"/>
          <w:b/>
          <w:color w:val="auto"/>
          <w:sz w:val="36"/>
          <w:highlight w:val="none"/>
        </w:rPr>
      </w:pPr>
    </w:p>
    <w:p>
      <w:pPr>
        <w:pStyle w:val="17"/>
        <w:tabs>
          <w:tab w:val="left" w:pos="2472"/>
        </w:tabs>
        <w:spacing w:line="460" w:lineRule="exact"/>
        <w:jc w:val="center"/>
        <w:rPr>
          <w:rFonts w:hAnsi="宋体" w:cs="宋体"/>
          <w:b/>
          <w:color w:val="auto"/>
          <w:sz w:val="36"/>
          <w:highlight w:val="none"/>
        </w:rPr>
      </w:pPr>
    </w:p>
    <w:p>
      <w:pPr>
        <w:pStyle w:val="17"/>
        <w:tabs>
          <w:tab w:val="left" w:pos="2472"/>
        </w:tabs>
        <w:spacing w:line="460" w:lineRule="exact"/>
        <w:jc w:val="center"/>
        <w:rPr>
          <w:rFonts w:hAnsi="宋体" w:cs="宋体"/>
          <w:b/>
          <w:color w:val="auto"/>
          <w:sz w:val="36"/>
          <w:highlight w:val="none"/>
        </w:rPr>
      </w:pPr>
    </w:p>
    <w:p>
      <w:pPr>
        <w:pStyle w:val="17"/>
        <w:tabs>
          <w:tab w:val="left" w:pos="2472"/>
        </w:tabs>
        <w:spacing w:line="460" w:lineRule="exact"/>
        <w:jc w:val="center"/>
        <w:rPr>
          <w:rFonts w:hAnsi="宋体" w:cs="宋体"/>
          <w:b/>
          <w:color w:val="auto"/>
          <w:sz w:val="36"/>
          <w:highlight w:val="none"/>
        </w:rPr>
      </w:pPr>
    </w:p>
    <w:p>
      <w:pPr>
        <w:pStyle w:val="17"/>
        <w:tabs>
          <w:tab w:val="left" w:pos="2472"/>
        </w:tabs>
        <w:spacing w:line="460" w:lineRule="exact"/>
        <w:jc w:val="center"/>
        <w:rPr>
          <w:rFonts w:hAnsi="宋体" w:cs="宋体"/>
          <w:b/>
          <w:color w:val="auto"/>
          <w:sz w:val="36"/>
          <w:highlight w:val="none"/>
        </w:rPr>
      </w:pPr>
    </w:p>
    <w:p>
      <w:pPr>
        <w:pStyle w:val="17"/>
        <w:tabs>
          <w:tab w:val="left" w:pos="2472"/>
        </w:tabs>
        <w:spacing w:line="460" w:lineRule="exact"/>
        <w:jc w:val="center"/>
        <w:rPr>
          <w:rFonts w:hAnsi="宋体" w:cs="宋体"/>
          <w:b/>
          <w:color w:val="auto"/>
          <w:sz w:val="36"/>
          <w:highlight w:val="none"/>
        </w:rPr>
      </w:pPr>
    </w:p>
    <w:p>
      <w:pPr>
        <w:tabs>
          <w:tab w:val="left" w:pos="2472"/>
        </w:tabs>
        <w:spacing w:line="460" w:lineRule="exact"/>
        <w:jc w:val="center"/>
        <w:rPr>
          <w:rFonts w:ascii="宋体" w:hAnsi="宋体" w:cs="宋体"/>
          <w:b/>
          <w:color w:val="auto"/>
          <w:sz w:val="36"/>
          <w:szCs w:val="20"/>
          <w:highlight w:val="none"/>
        </w:rPr>
      </w:pPr>
    </w:p>
    <w:p>
      <w:pPr>
        <w:tabs>
          <w:tab w:val="left" w:pos="2472"/>
        </w:tabs>
        <w:spacing w:line="460" w:lineRule="exact"/>
        <w:jc w:val="center"/>
        <w:rPr>
          <w:rFonts w:ascii="宋体" w:hAnsi="宋体" w:cs="宋体"/>
          <w:b/>
          <w:color w:val="auto"/>
          <w:sz w:val="36"/>
          <w:szCs w:val="20"/>
          <w:highlight w:val="none"/>
        </w:rPr>
      </w:pPr>
    </w:p>
    <w:p>
      <w:pPr>
        <w:tabs>
          <w:tab w:val="left" w:pos="2472"/>
        </w:tabs>
        <w:spacing w:line="460" w:lineRule="exact"/>
        <w:jc w:val="center"/>
        <w:rPr>
          <w:rFonts w:ascii="宋体" w:hAnsi="宋体" w:cs="宋体"/>
          <w:b/>
          <w:color w:val="auto"/>
          <w:sz w:val="36"/>
          <w:szCs w:val="20"/>
          <w:highlight w:val="none"/>
        </w:rPr>
      </w:pPr>
    </w:p>
    <w:p>
      <w:pPr>
        <w:tabs>
          <w:tab w:val="left" w:pos="2472"/>
        </w:tabs>
        <w:spacing w:line="460" w:lineRule="exact"/>
        <w:jc w:val="center"/>
        <w:rPr>
          <w:rFonts w:ascii="宋体" w:hAnsi="宋体" w:cs="宋体"/>
          <w:b/>
          <w:color w:val="auto"/>
          <w:sz w:val="36"/>
          <w:szCs w:val="20"/>
          <w:highlight w:val="none"/>
        </w:rPr>
      </w:pPr>
    </w:p>
    <w:p>
      <w:pPr>
        <w:tabs>
          <w:tab w:val="left" w:pos="2472"/>
        </w:tabs>
        <w:spacing w:line="460" w:lineRule="exact"/>
        <w:jc w:val="center"/>
        <w:rPr>
          <w:rFonts w:ascii="宋体" w:hAnsi="宋体" w:cs="宋体"/>
          <w:b/>
          <w:color w:val="auto"/>
          <w:sz w:val="36"/>
          <w:szCs w:val="20"/>
          <w:highlight w:val="none"/>
        </w:rPr>
      </w:pPr>
    </w:p>
    <w:p>
      <w:pPr>
        <w:pStyle w:val="17"/>
        <w:tabs>
          <w:tab w:val="left" w:pos="2472"/>
        </w:tabs>
        <w:spacing w:line="460" w:lineRule="exact"/>
        <w:jc w:val="center"/>
        <w:rPr>
          <w:rFonts w:hAnsi="宋体" w:cs="宋体"/>
          <w:b/>
          <w:color w:val="auto"/>
          <w:sz w:val="36"/>
          <w:highlight w:val="none"/>
        </w:rPr>
      </w:pPr>
    </w:p>
    <w:p>
      <w:pPr>
        <w:pStyle w:val="17"/>
        <w:tabs>
          <w:tab w:val="left" w:pos="2472"/>
        </w:tabs>
        <w:spacing w:line="460" w:lineRule="exact"/>
        <w:jc w:val="center"/>
        <w:outlineLvl w:val="0"/>
        <w:rPr>
          <w:rFonts w:hAnsi="宋体" w:cs="宋体"/>
          <w:color w:val="auto"/>
          <w:highlight w:val="none"/>
        </w:rPr>
      </w:pPr>
      <w:bookmarkStart w:id="264" w:name="_Toc19823"/>
      <w:bookmarkStart w:id="265" w:name="_Toc30176"/>
      <w:bookmarkStart w:id="266" w:name="_Toc8663"/>
      <w:bookmarkStart w:id="267" w:name="_Toc15281"/>
      <w:r>
        <w:rPr>
          <w:rFonts w:hint="eastAsia" w:hAnsi="宋体" w:cs="宋体"/>
          <w:b/>
          <w:color w:val="auto"/>
          <w:sz w:val="36"/>
          <w:highlight w:val="none"/>
        </w:rPr>
        <w:t>第七章 质疑、投诉材料格</w:t>
      </w:r>
      <w:bookmarkEnd w:id="264"/>
      <w:bookmarkEnd w:id="265"/>
      <w:bookmarkEnd w:id="266"/>
      <w:r>
        <w:rPr>
          <w:rFonts w:hint="eastAsia" w:hAnsi="宋体" w:cs="宋体"/>
          <w:b/>
          <w:color w:val="auto"/>
          <w:sz w:val="36"/>
          <w:highlight w:val="none"/>
        </w:rPr>
        <w:t>式</w:t>
      </w:r>
      <w:bookmarkEnd w:id="267"/>
      <w:bookmarkStart w:id="268" w:name="_Toc19413"/>
      <w:bookmarkStart w:id="269" w:name="_Toc5790"/>
      <w:bookmarkStart w:id="270" w:name="_Toc12534"/>
      <w:bookmarkStart w:id="271" w:name="_Toc18910"/>
      <w:r>
        <w:rPr>
          <w:rFonts w:hint="eastAsia" w:hAnsi="宋体" w:cs="宋体"/>
          <w:color w:val="auto"/>
          <w:sz w:val="20"/>
          <w:highlight w:val="none"/>
        </w:rPr>
        <w:br w:type="page"/>
      </w:r>
      <w:r>
        <w:rPr>
          <w:rFonts w:hint="eastAsia" w:hAnsi="宋体" w:cs="宋体"/>
          <w:color w:val="auto"/>
          <w:sz w:val="32"/>
          <w:szCs w:val="32"/>
          <w:highlight w:val="none"/>
        </w:rPr>
        <w:t>第一节 质疑函（格式）</w:t>
      </w:r>
      <w:bookmarkEnd w:id="268"/>
      <w:bookmarkEnd w:id="269"/>
      <w:bookmarkEnd w:id="270"/>
      <w:bookmarkEnd w:id="271"/>
    </w:p>
    <w:p>
      <w:pPr>
        <w:jc w:val="center"/>
        <w:rPr>
          <w:rFonts w:hint="eastAsia" w:ascii="宋体" w:hAnsi="宋体" w:cs="宋体"/>
          <w:b/>
          <w:bCs/>
          <w:color w:val="auto"/>
          <w:sz w:val="30"/>
          <w:szCs w:val="30"/>
          <w:highlight w:val="none"/>
        </w:rPr>
      </w:pPr>
    </w:p>
    <w:p>
      <w:pPr>
        <w:jc w:val="center"/>
        <w:rPr>
          <w:rFonts w:ascii="黑体" w:hAnsi="黑体" w:eastAsia="黑体" w:cs="仿宋"/>
          <w:bCs/>
          <w:color w:val="auto"/>
          <w:sz w:val="32"/>
          <w:szCs w:val="32"/>
          <w:highlight w:val="none"/>
        </w:rPr>
      </w:pPr>
      <w:bookmarkStart w:id="272" w:name="_Toc31115"/>
      <w:bookmarkStart w:id="273" w:name="_Toc11085"/>
      <w:r>
        <w:rPr>
          <w:rFonts w:hint="eastAsia" w:ascii="仿宋" w:hAnsi="仿宋" w:eastAsia="仿宋" w:cs="仿宋"/>
          <w:b/>
          <w:bCs/>
          <w:color w:val="auto"/>
          <w:sz w:val="32"/>
          <w:szCs w:val="32"/>
          <w:highlight w:val="none"/>
        </w:rPr>
        <w:t>质疑函</w:t>
      </w:r>
    </w:p>
    <w:p>
      <w:pPr>
        <w:adjustRightInd w:val="0"/>
        <w:snapToGrid w:val="0"/>
        <w:spacing w:before="240" w:beforeLines="100" w:line="360" w:lineRule="auto"/>
        <w:rPr>
          <w:rFonts w:ascii="宋体" w:hAnsi="宋体" w:eastAsia="宋体" w:cs="宋体"/>
          <w:bCs/>
          <w:color w:val="auto"/>
          <w:sz w:val="24"/>
          <w:highlight w:val="none"/>
        </w:rPr>
      </w:pPr>
      <w:r>
        <w:rPr>
          <w:rFonts w:hint="eastAsia" w:ascii="宋体" w:hAnsi="宋体" w:eastAsia="宋体" w:cs="宋体"/>
          <w:bCs/>
          <w:color w:val="auto"/>
          <w:sz w:val="24"/>
          <w:highlight w:val="none"/>
        </w:rPr>
        <w:t>一、质疑供应商基本信息</w:t>
      </w:r>
    </w:p>
    <w:p>
      <w:pPr>
        <w:adjustRightInd w:val="0"/>
        <w:snapToGrid w:val="0"/>
        <w:spacing w:line="360" w:lineRule="auto"/>
        <w:rPr>
          <w:rFonts w:ascii="宋体" w:hAnsi="宋体" w:eastAsia="宋体" w:cs="宋体"/>
          <w:color w:val="auto"/>
          <w:sz w:val="24"/>
          <w:highlight w:val="none"/>
          <w:u w:val="dotted"/>
        </w:rPr>
      </w:pPr>
      <w:r>
        <w:rPr>
          <w:rFonts w:hint="eastAsia" w:ascii="宋体" w:hAnsi="宋体" w:eastAsia="宋体" w:cs="宋体"/>
          <w:color w:val="auto"/>
          <w:sz w:val="24"/>
          <w:highlight w:val="none"/>
        </w:rPr>
        <w:t>质疑供应商：</w:t>
      </w:r>
      <w:r>
        <w:rPr>
          <w:rFonts w:hint="eastAsia" w:ascii="宋体" w:hAnsi="宋体" w:eastAsia="宋体" w:cs="宋体"/>
          <w:color w:val="auto"/>
          <w:sz w:val="24"/>
          <w:highlight w:val="none"/>
          <w:u w:val="single"/>
        </w:rPr>
        <w:t xml:space="preserve">                                                </w:t>
      </w:r>
    </w:p>
    <w:p>
      <w:pPr>
        <w:adjustRightInd w:val="0"/>
        <w:snapToGrid w:val="0"/>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地址：</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邮编：</w:t>
      </w:r>
      <w:r>
        <w:rPr>
          <w:rFonts w:hint="eastAsia" w:ascii="宋体" w:hAnsi="宋体" w:eastAsia="宋体" w:cs="宋体"/>
          <w:color w:val="auto"/>
          <w:sz w:val="24"/>
          <w:highlight w:val="none"/>
          <w:u w:val="single"/>
        </w:rPr>
        <w:t xml:space="preserve">                      </w:t>
      </w:r>
    </w:p>
    <w:p>
      <w:pPr>
        <w:adjustRightInd w:val="0"/>
        <w:snapToGrid w:val="0"/>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联系人：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联系电话：</w:t>
      </w:r>
      <w:r>
        <w:rPr>
          <w:rFonts w:hint="eastAsia" w:ascii="宋体" w:hAnsi="宋体" w:eastAsia="宋体" w:cs="宋体"/>
          <w:color w:val="auto"/>
          <w:sz w:val="24"/>
          <w:highlight w:val="none"/>
          <w:u w:val="single"/>
        </w:rPr>
        <w:t xml:space="preserve">                    </w:t>
      </w:r>
    </w:p>
    <w:p>
      <w:pPr>
        <w:adjustRightInd w:val="0"/>
        <w:snapToGrid w:val="0"/>
        <w:spacing w:line="360" w:lineRule="auto"/>
        <w:rPr>
          <w:rFonts w:ascii="宋体" w:hAnsi="宋体" w:eastAsia="宋体" w:cs="宋体"/>
          <w:color w:val="auto"/>
          <w:sz w:val="24"/>
          <w:highlight w:val="none"/>
          <w:u w:val="dotted"/>
        </w:rPr>
      </w:pPr>
      <w:r>
        <w:rPr>
          <w:rFonts w:hint="eastAsia" w:ascii="宋体" w:hAnsi="宋体" w:eastAsia="宋体" w:cs="宋体"/>
          <w:color w:val="auto"/>
          <w:sz w:val="24"/>
          <w:highlight w:val="none"/>
        </w:rPr>
        <w:t>授权代表：</w:t>
      </w:r>
      <w:r>
        <w:rPr>
          <w:rFonts w:hint="eastAsia" w:ascii="宋体" w:hAnsi="宋体" w:eastAsia="宋体" w:cs="宋体"/>
          <w:color w:val="auto"/>
          <w:sz w:val="24"/>
          <w:highlight w:val="none"/>
          <w:u w:val="single"/>
        </w:rPr>
        <w:t xml:space="preserve">                                                  </w:t>
      </w:r>
    </w:p>
    <w:p>
      <w:pPr>
        <w:adjustRightInd w:val="0"/>
        <w:snapToGrid w:val="0"/>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联系电话：</w:t>
      </w:r>
      <w:r>
        <w:rPr>
          <w:rFonts w:hint="eastAsia" w:ascii="宋体" w:hAnsi="宋体" w:eastAsia="宋体" w:cs="宋体"/>
          <w:color w:val="auto"/>
          <w:sz w:val="24"/>
          <w:highlight w:val="none"/>
          <w:u w:val="single"/>
        </w:rPr>
        <w:t xml:space="preserve">                                                  </w:t>
      </w:r>
    </w:p>
    <w:p>
      <w:pPr>
        <w:adjustRightInd w:val="0"/>
        <w:snapToGrid w:val="0"/>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地址：</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邮编：</w:t>
      </w:r>
      <w:r>
        <w:rPr>
          <w:rFonts w:hint="eastAsia" w:ascii="宋体" w:hAnsi="宋体" w:eastAsia="宋体" w:cs="宋体"/>
          <w:color w:val="auto"/>
          <w:sz w:val="24"/>
          <w:highlight w:val="none"/>
          <w:u w:val="single"/>
        </w:rPr>
        <w:t xml:space="preserve">                       </w:t>
      </w:r>
    </w:p>
    <w:p>
      <w:pPr>
        <w:adjustRightInd w:val="0"/>
        <w:snapToGrid w:val="0"/>
        <w:spacing w:line="360" w:lineRule="auto"/>
        <w:rPr>
          <w:rFonts w:ascii="宋体" w:hAnsi="宋体" w:eastAsia="宋体" w:cs="宋体"/>
          <w:bCs/>
          <w:color w:val="auto"/>
          <w:sz w:val="24"/>
          <w:highlight w:val="none"/>
        </w:rPr>
      </w:pPr>
      <w:r>
        <w:rPr>
          <w:rFonts w:hint="eastAsia" w:ascii="宋体" w:hAnsi="宋体" w:eastAsia="宋体" w:cs="宋体"/>
          <w:bCs/>
          <w:color w:val="auto"/>
          <w:sz w:val="24"/>
          <w:highlight w:val="none"/>
        </w:rPr>
        <w:t>二、质疑项目基本情况</w:t>
      </w:r>
    </w:p>
    <w:p>
      <w:pPr>
        <w:adjustRightInd w:val="0"/>
        <w:snapToGrid w:val="0"/>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质疑项目的名称：</w:t>
      </w:r>
      <w:r>
        <w:rPr>
          <w:rFonts w:hint="eastAsia" w:ascii="宋体" w:hAnsi="宋体" w:eastAsia="宋体" w:cs="宋体"/>
          <w:color w:val="auto"/>
          <w:sz w:val="24"/>
          <w:highlight w:val="none"/>
          <w:u w:val="single"/>
        </w:rPr>
        <w:t xml:space="preserve">                           </w:t>
      </w:r>
    </w:p>
    <w:p>
      <w:pPr>
        <w:adjustRightInd w:val="0"/>
        <w:snapToGrid w:val="0"/>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质疑项目的编号：</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包号：</w:t>
      </w:r>
      <w:r>
        <w:rPr>
          <w:rFonts w:hint="eastAsia" w:ascii="宋体" w:hAnsi="宋体" w:eastAsia="宋体" w:cs="宋体"/>
          <w:color w:val="auto"/>
          <w:sz w:val="24"/>
          <w:highlight w:val="none"/>
          <w:u w:val="single"/>
        </w:rPr>
        <w:t xml:space="preserve">            </w:t>
      </w:r>
    </w:p>
    <w:p>
      <w:pPr>
        <w:adjustRightInd w:val="0"/>
        <w:snapToGrid w:val="0"/>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rPr>
        <w:t>采购人名称：</w:t>
      </w:r>
      <w:r>
        <w:rPr>
          <w:rFonts w:hint="eastAsia" w:ascii="宋体" w:hAnsi="宋体" w:eastAsia="宋体" w:cs="宋体"/>
          <w:color w:val="auto"/>
          <w:sz w:val="24"/>
          <w:highlight w:val="none"/>
          <w:u w:val="single"/>
        </w:rPr>
        <w:t xml:space="preserve">  </w:t>
      </w:r>
      <w:bookmarkStart w:id="274" w:name="PO_3000001867_PM026_5"/>
      <w:r>
        <w:rPr>
          <w:rFonts w:hint="eastAsia" w:ascii="宋体" w:hAnsi="宋体" w:eastAsia="宋体" w:cs="宋体"/>
          <w:color w:val="auto"/>
          <w:sz w:val="24"/>
          <w:highlight w:val="none"/>
          <w:u w:val="single"/>
        </w:rPr>
        <w:t xml:space="preserve">                        </w:t>
      </w:r>
      <w:bookmarkEnd w:id="274"/>
      <w:r>
        <w:rPr>
          <w:rFonts w:hint="eastAsia" w:ascii="宋体" w:hAnsi="宋体" w:eastAsia="宋体" w:cs="宋体"/>
          <w:color w:val="auto"/>
          <w:sz w:val="24"/>
          <w:highlight w:val="none"/>
          <w:u w:val="single"/>
        </w:rPr>
        <w:t xml:space="preserve">  </w:t>
      </w:r>
    </w:p>
    <w:p>
      <w:pPr>
        <w:adjustRightInd w:val="0"/>
        <w:snapToGrid w:val="0"/>
        <w:spacing w:line="360" w:lineRule="auto"/>
        <w:rPr>
          <w:rFonts w:ascii="宋体" w:hAnsi="宋体" w:eastAsia="宋体" w:cs="宋体"/>
          <w:color w:val="auto"/>
          <w:sz w:val="24"/>
          <w:highlight w:val="none"/>
          <w:lang w:val="zh-CN"/>
        </w:rPr>
      </w:pPr>
      <w:r>
        <w:rPr>
          <w:rFonts w:hint="eastAsia" w:ascii="宋体" w:hAnsi="宋体" w:eastAsia="宋体" w:cs="宋体"/>
          <w:color w:val="auto"/>
          <w:sz w:val="24"/>
          <w:highlight w:val="none"/>
          <w:lang w:val="zh-CN"/>
        </w:rPr>
        <w:t>质疑事项：</w:t>
      </w:r>
    </w:p>
    <w:p>
      <w:pPr>
        <w:adjustRightInd w:val="0"/>
        <w:snapToGrid w:val="0"/>
        <w:spacing w:line="360" w:lineRule="auto"/>
        <w:rPr>
          <w:rFonts w:ascii="宋体" w:hAnsi="宋体" w:eastAsia="宋体" w:cs="宋体"/>
          <w:color w:val="auto"/>
          <w:sz w:val="24"/>
          <w:highlight w:val="none"/>
          <w:u w:val="single"/>
          <w:lang w:val="zh-CN"/>
        </w:rPr>
      </w:pPr>
      <w:r>
        <w:rPr>
          <w:rFonts w:hint="eastAsia" w:ascii="宋体" w:hAnsi="宋体" w:eastAsia="宋体" w:cs="宋体"/>
          <w:color w:val="auto"/>
          <w:sz w:val="24"/>
          <w:highlight w:val="none"/>
          <w:lang w:val="zh-CN"/>
        </w:rPr>
        <w:t>□采购文件   采购文件获取日期：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zh-CN"/>
        </w:rPr>
        <w:t xml:space="preserve">  </w:t>
      </w:r>
    </w:p>
    <w:p>
      <w:pPr>
        <w:adjustRightInd w:val="0"/>
        <w:snapToGrid w:val="0"/>
        <w:spacing w:line="360" w:lineRule="auto"/>
        <w:rPr>
          <w:rFonts w:ascii="宋体" w:hAnsi="宋体" w:eastAsia="宋体" w:cs="宋体"/>
          <w:color w:val="auto"/>
          <w:sz w:val="24"/>
          <w:highlight w:val="none"/>
          <w:lang w:val="zh-CN"/>
        </w:rPr>
      </w:pPr>
      <w:r>
        <w:rPr>
          <w:rFonts w:hint="eastAsia" w:ascii="宋体" w:hAnsi="宋体" w:eastAsia="宋体" w:cs="宋体"/>
          <w:color w:val="auto"/>
          <w:sz w:val="24"/>
          <w:highlight w:val="none"/>
          <w:lang w:val="zh-CN"/>
        </w:rPr>
        <w:t xml:space="preserve">□采购过程   </w:t>
      </w:r>
    </w:p>
    <w:p>
      <w:pPr>
        <w:adjustRightInd w:val="0"/>
        <w:snapToGrid w:val="0"/>
        <w:spacing w:line="360" w:lineRule="auto"/>
        <w:rPr>
          <w:rFonts w:ascii="宋体" w:hAnsi="宋体" w:eastAsia="宋体" w:cs="宋体"/>
          <w:color w:val="auto"/>
          <w:sz w:val="24"/>
          <w:highlight w:val="none"/>
          <w:lang w:val="zh-CN"/>
        </w:rPr>
      </w:pPr>
      <w:r>
        <w:rPr>
          <w:rFonts w:hint="eastAsia" w:ascii="宋体" w:hAnsi="宋体" w:eastAsia="宋体" w:cs="宋体"/>
          <w:color w:val="auto"/>
          <w:sz w:val="24"/>
          <w:highlight w:val="none"/>
          <w:lang w:val="zh-CN"/>
        </w:rPr>
        <w:t xml:space="preserve">□中标结果   </w:t>
      </w:r>
    </w:p>
    <w:p>
      <w:pPr>
        <w:adjustRightInd w:val="0"/>
        <w:snapToGrid w:val="0"/>
        <w:spacing w:line="360" w:lineRule="auto"/>
        <w:rPr>
          <w:rFonts w:ascii="宋体" w:hAnsi="宋体" w:eastAsia="宋体" w:cs="宋体"/>
          <w:bCs/>
          <w:color w:val="auto"/>
          <w:sz w:val="24"/>
          <w:highlight w:val="none"/>
        </w:rPr>
      </w:pPr>
      <w:r>
        <w:rPr>
          <w:rFonts w:hint="eastAsia" w:ascii="宋体" w:hAnsi="宋体" w:eastAsia="宋体" w:cs="宋体"/>
          <w:bCs/>
          <w:color w:val="auto"/>
          <w:sz w:val="24"/>
          <w:highlight w:val="none"/>
        </w:rPr>
        <w:t>三、质疑事项具体内容</w:t>
      </w:r>
    </w:p>
    <w:p>
      <w:pPr>
        <w:adjustRightInd w:val="0"/>
        <w:snapToGrid w:val="0"/>
        <w:spacing w:line="360" w:lineRule="auto"/>
        <w:rPr>
          <w:rFonts w:ascii="宋体" w:hAnsi="宋体" w:eastAsia="宋体" w:cs="宋体"/>
          <w:color w:val="auto"/>
          <w:sz w:val="24"/>
          <w:highlight w:val="none"/>
          <w:u w:val="dotted"/>
        </w:rPr>
      </w:pPr>
      <w:r>
        <w:rPr>
          <w:rFonts w:hint="eastAsia" w:ascii="宋体" w:hAnsi="宋体" w:eastAsia="宋体" w:cs="宋体"/>
          <w:color w:val="auto"/>
          <w:sz w:val="24"/>
          <w:highlight w:val="none"/>
        </w:rPr>
        <w:t>质疑事项1：</w:t>
      </w:r>
      <w:r>
        <w:rPr>
          <w:rFonts w:hint="eastAsia" w:ascii="宋体" w:hAnsi="宋体" w:eastAsia="宋体" w:cs="宋体"/>
          <w:color w:val="auto"/>
          <w:sz w:val="24"/>
          <w:highlight w:val="none"/>
          <w:u w:val="single"/>
        </w:rPr>
        <w:t xml:space="preserve">                                                </w:t>
      </w:r>
    </w:p>
    <w:p>
      <w:pPr>
        <w:adjustRightInd w:val="0"/>
        <w:snapToGrid w:val="0"/>
        <w:spacing w:line="360" w:lineRule="auto"/>
        <w:rPr>
          <w:rFonts w:ascii="宋体" w:hAnsi="宋体" w:eastAsia="宋体" w:cs="宋体"/>
          <w:color w:val="auto"/>
          <w:sz w:val="24"/>
          <w:highlight w:val="none"/>
          <w:u w:val="dotted"/>
        </w:rPr>
      </w:pPr>
      <w:r>
        <w:rPr>
          <w:rFonts w:hint="eastAsia" w:ascii="宋体" w:hAnsi="宋体" w:eastAsia="宋体" w:cs="宋体"/>
          <w:color w:val="auto"/>
          <w:sz w:val="24"/>
          <w:highlight w:val="none"/>
        </w:rPr>
        <w:t>事实依据：</w:t>
      </w:r>
      <w:r>
        <w:rPr>
          <w:rFonts w:hint="eastAsia" w:ascii="宋体" w:hAnsi="宋体" w:eastAsia="宋体" w:cs="宋体"/>
          <w:color w:val="auto"/>
          <w:sz w:val="24"/>
          <w:highlight w:val="none"/>
          <w:u w:val="single"/>
        </w:rPr>
        <w:t xml:space="preserve">                                                  </w:t>
      </w:r>
    </w:p>
    <w:p>
      <w:pPr>
        <w:adjustRightInd w:val="0"/>
        <w:snapToGrid w:val="0"/>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u w:val="single"/>
        </w:rPr>
        <w:t xml:space="preserve">                                                            </w:t>
      </w:r>
    </w:p>
    <w:p>
      <w:pPr>
        <w:adjustRightInd w:val="0"/>
        <w:snapToGrid w:val="0"/>
        <w:spacing w:line="360" w:lineRule="auto"/>
        <w:rPr>
          <w:rFonts w:ascii="宋体" w:hAnsi="宋体" w:eastAsia="宋体" w:cs="宋体"/>
          <w:color w:val="auto"/>
          <w:sz w:val="24"/>
          <w:highlight w:val="none"/>
          <w:u w:val="dotted"/>
        </w:rPr>
      </w:pPr>
      <w:r>
        <w:rPr>
          <w:rFonts w:hint="eastAsia" w:ascii="宋体" w:hAnsi="宋体" w:eastAsia="宋体" w:cs="宋体"/>
          <w:color w:val="auto"/>
          <w:sz w:val="24"/>
          <w:highlight w:val="none"/>
        </w:rPr>
        <w:t>法律依据：</w:t>
      </w:r>
      <w:r>
        <w:rPr>
          <w:rFonts w:hint="eastAsia" w:ascii="宋体" w:hAnsi="宋体" w:eastAsia="宋体" w:cs="宋体"/>
          <w:color w:val="auto"/>
          <w:sz w:val="24"/>
          <w:highlight w:val="none"/>
          <w:u w:val="single"/>
        </w:rPr>
        <w:t xml:space="preserve">                                                  </w:t>
      </w:r>
    </w:p>
    <w:p>
      <w:pPr>
        <w:adjustRightInd w:val="0"/>
        <w:snapToGrid w:val="0"/>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u w:val="single"/>
        </w:rPr>
        <w:t xml:space="preserve">                                                            </w:t>
      </w:r>
    </w:p>
    <w:p>
      <w:pPr>
        <w:adjustRightInd w:val="0"/>
        <w:snapToGrid w:val="0"/>
        <w:spacing w:line="360" w:lineRule="auto"/>
        <w:rPr>
          <w:rFonts w:ascii="宋体" w:hAnsi="宋体" w:eastAsia="宋体" w:cs="宋体"/>
          <w:color w:val="auto"/>
          <w:sz w:val="24"/>
          <w:highlight w:val="none"/>
          <w:u w:val="dotted"/>
        </w:rPr>
      </w:pPr>
      <w:r>
        <w:rPr>
          <w:rFonts w:hint="eastAsia" w:ascii="宋体" w:hAnsi="宋体" w:eastAsia="宋体" w:cs="宋体"/>
          <w:color w:val="auto"/>
          <w:sz w:val="24"/>
          <w:highlight w:val="none"/>
        </w:rPr>
        <w:t>质疑事项2</w:t>
      </w:r>
    </w:p>
    <w:p>
      <w:pPr>
        <w:adjustRightInd w:val="0"/>
        <w:snapToGrid w:val="0"/>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w:t>
      </w:r>
    </w:p>
    <w:p>
      <w:pPr>
        <w:adjustRightInd w:val="0"/>
        <w:snapToGrid w:val="0"/>
        <w:spacing w:line="360" w:lineRule="auto"/>
        <w:rPr>
          <w:rFonts w:ascii="宋体" w:hAnsi="宋体" w:eastAsia="宋体" w:cs="宋体"/>
          <w:bCs/>
          <w:color w:val="auto"/>
          <w:sz w:val="24"/>
          <w:highlight w:val="none"/>
        </w:rPr>
      </w:pPr>
      <w:r>
        <w:rPr>
          <w:rFonts w:hint="eastAsia" w:ascii="宋体" w:hAnsi="宋体" w:eastAsia="宋体" w:cs="宋体"/>
          <w:bCs/>
          <w:color w:val="auto"/>
          <w:sz w:val="24"/>
          <w:highlight w:val="none"/>
        </w:rPr>
        <w:t>四、与质疑事项相关的质疑请求</w:t>
      </w:r>
    </w:p>
    <w:p>
      <w:pPr>
        <w:adjustRightInd w:val="0"/>
        <w:snapToGrid w:val="0"/>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rPr>
        <w:t>请求：</w:t>
      </w:r>
      <w:r>
        <w:rPr>
          <w:rFonts w:hint="eastAsia" w:ascii="宋体" w:hAnsi="宋体" w:eastAsia="宋体" w:cs="宋体"/>
          <w:color w:val="auto"/>
          <w:sz w:val="24"/>
          <w:highlight w:val="none"/>
          <w:u w:val="single"/>
        </w:rPr>
        <w:t xml:space="preserve">                                                      </w:t>
      </w:r>
    </w:p>
    <w:p>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 xml:space="preserve">签字(签章)：                   公章：                       </w:t>
      </w:r>
    </w:p>
    <w:p>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日期：</w:t>
      </w:r>
    </w:p>
    <w:p>
      <w:pPr>
        <w:spacing w:line="360" w:lineRule="auto"/>
        <w:rPr>
          <w:rFonts w:ascii="宋体" w:hAnsi="宋体" w:eastAsia="宋体" w:cs="宋体"/>
          <w:b/>
          <w:color w:val="auto"/>
          <w:sz w:val="24"/>
          <w:highlight w:val="none"/>
        </w:rPr>
      </w:pPr>
      <w:r>
        <w:rPr>
          <w:rFonts w:hint="eastAsia" w:ascii="宋体" w:hAnsi="宋体" w:eastAsia="宋体" w:cs="宋体"/>
          <w:b/>
          <w:color w:val="auto"/>
          <w:sz w:val="24"/>
          <w:highlight w:val="none"/>
        </w:rPr>
        <w:t xml:space="preserve">    质疑函制作说明：</w:t>
      </w:r>
    </w:p>
    <w:p>
      <w:pPr>
        <w:widowControl/>
        <w:spacing w:line="360" w:lineRule="auto"/>
        <w:ind w:firstLine="480" w:firstLineChars="200"/>
        <w:jc w:val="left"/>
        <w:rPr>
          <w:rFonts w:ascii="宋体" w:hAnsi="宋体" w:eastAsia="宋体" w:cs="宋体"/>
          <w:color w:val="auto"/>
          <w:sz w:val="24"/>
          <w:highlight w:val="none"/>
        </w:rPr>
      </w:pPr>
      <w:r>
        <w:rPr>
          <w:rFonts w:hint="eastAsia" w:ascii="宋体" w:hAnsi="宋体" w:eastAsia="宋体" w:cs="宋体"/>
          <w:color w:val="auto"/>
          <w:sz w:val="24"/>
          <w:highlight w:val="none"/>
        </w:rPr>
        <w:t>1.供应商提出质疑时，应提交质疑函和必要的证明材料。</w:t>
      </w:r>
    </w:p>
    <w:p>
      <w:pPr>
        <w:widowControl/>
        <w:spacing w:line="360" w:lineRule="auto"/>
        <w:ind w:firstLine="480" w:firstLineChars="200"/>
        <w:jc w:val="left"/>
        <w:rPr>
          <w:rFonts w:ascii="宋体" w:hAnsi="宋体" w:eastAsia="宋体" w:cs="宋体"/>
          <w:color w:val="auto"/>
          <w:sz w:val="24"/>
          <w:highlight w:val="none"/>
        </w:rPr>
      </w:pPr>
      <w:r>
        <w:rPr>
          <w:rFonts w:hint="eastAsia" w:ascii="宋体" w:hAnsi="宋体" w:eastAsia="宋体" w:cs="宋体"/>
          <w:color w:val="auto"/>
          <w:sz w:val="24"/>
          <w:highlight w:val="none"/>
        </w:rPr>
        <w:t>2.质疑供应商若委托代理人进行质疑的，质疑函应按要求列明“授权代表”的有关内容，并在附件中提交由质疑</w:t>
      </w:r>
      <w:r>
        <w:rPr>
          <w:rFonts w:hint="eastAsia" w:ascii="宋体" w:hAnsi="宋体" w:eastAsia="宋体" w:cs="宋体"/>
          <w:color w:val="auto"/>
          <w:kern w:val="0"/>
          <w:sz w:val="24"/>
          <w:highlight w:val="none"/>
        </w:rPr>
        <w:t>供应商签署的授权委托书。授权委托书应载明代理人的姓名或者名称、代理事项、具体权限、期限和相关事项。</w:t>
      </w:r>
    </w:p>
    <w:p>
      <w:pPr>
        <w:widowControl/>
        <w:spacing w:line="360" w:lineRule="auto"/>
        <w:ind w:firstLine="480" w:firstLineChars="200"/>
        <w:jc w:val="left"/>
        <w:rPr>
          <w:rFonts w:ascii="宋体" w:hAnsi="宋体" w:eastAsia="宋体" w:cs="宋体"/>
          <w:color w:val="auto"/>
          <w:sz w:val="24"/>
          <w:highlight w:val="none"/>
        </w:rPr>
      </w:pPr>
      <w:r>
        <w:rPr>
          <w:rFonts w:hint="eastAsia" w:ascii="宋体" w:hAnsi="宋体" w:eastAsia="宋体" w:cs="宋体"/>
          <w:color w:val="auto"/>
          <w:sz w:val="24"/>
          <w:highlight w:val="none"/>
        </w:rPr>
        <w:t>3.质疑供应商若对项目的某一分包进行质疑，质疑函中应列明具体分包号。</w:t>
      </w:r>
    </w:p>
    <w:p>
      <w:pPr>
        <w:widowControl/>
        <w:spacing w:line="360" w:lineRule="auto"/>
        <w:ind w:firstLine="480" w:firstLineChars="200"/>
        <w:jc w:val="left"/>
        <w:rPr>
          <w:rFonts w:ascii="宋体" w:hAnsi="宋体" w:eastAsia="宋体" w:cs="宋体"/>
          <w:color w:val="auto"/>
          <w:sz w:val="24"/>
          <w:highlight w:val="none"/>
        </w:rPr>
      </w:pPr>
      <w:r>
        <w:rPr>
          <w:rFonts w:hint="eastAsia" w:ascii="宋体" w:hAnsi="宋体" w:eastAsia="宋体" w:cs="宋体"/>
          <w:color w:val="auto"/>
          <w:sz w:val="24"/>
          <w:highlight w:val="none"/>
        </w:rPr>
        <w:t>4.质疑函的质疑事项应具体、明确，并有必要的事实依据和法律依据。</w:t>
      </w:r>
    </w:p>
    <w:p>
      <w:pPr>
        <w:widowControl/>
        <w:spacing w:line="360" w:lineRule="auto"/>
        <w:ind w:firstLine="480" w:firstLineChars="200"/>
        <w:jc w:val="left"/>
        <w:rPr>
          <w:rFonts w:ascii="宋体" w:hAnsi="宋体" w:eastAsia="宋体" w:cs="宋体"/>
          <w:color w:val="auto"/>
          <w:sz w:val="24"/>
          <w:highlight w:val="none"/>
        </w:rPr>
      </w:pPr>
      <w:r>
        <w:rPr>
          <w:rFonts w:hint="eastAsia" w:ascii="宋体" w:hAnsi="宋体" w:eastAsia="宋体" w:cs="宋体"/>
          <w:color w:val="auto"/>
          <w:sz w:val="24"/>
          <w:highlight w:val="none"/>
        </w:rPr>
        <w:t>5.质疑函的质疑请求应与质疑事项相关。</w:t>
      </w:r>
    </w:p>
    <w:p>
      <w:pPr>
        <w:widowControl/>
        <w:spacing w:line="360" w:lineRule="auto"/>
        <w:ind w:firstLine="480" w:firstLineChars="200"/>
        <w:jc w:val="left"/>
        <w:rPr>
          <w:rFonts w:ascii="宋体" w:hAnsi="宋体" w:eastAsia="宋体" w:cs="宋体"/>
          <w:color w:val="auto"/>
          <w:sz w:val="24"/>
          <w:highlight w:val="none"/>
        </w:rPr>
      </w:pPr>
      <w:r>
        <w:rPr>
          <w:rFonts w:hint="eastAsia" w:ascii="宋体" w:hAnsi="宋体" w:eastAsia="宋体" w:cs="宋体"/>
          <w:color w:val="auto"/>
          <w:sz w:val="24"/>
          <w:highlight w:val="none"/>
        </w:rPr>
        <w:t>6.质疑供应商为自然人的，质疑函应由本人签字；质疑供应商为法人或者其他组织的，质疑函应由法定代表人、主要负责人，或者其授权代表签字或者盖章，并加盖公章。</w:t>
      </w:r>
    </w:p>
    <w:p>
      <w:pPr>
        <w:widowControl/>
        <w:spacing w:line="360" w:lineRule="auto"/>
        <w:ind w:firstLine="480" w:firstLineChars="200"/>
        <w:jc w:val="left"/>
        <w:rPr>
          <w:rFonts w:ascii="宋体" w:hAnsi="宋体" w:eastAsia="宋体" w:cs="宋体"/>
          <w:color w:val="auto"/>
          <w:sz w:val="24"/>
          <w:highlight w:val="none"/>
        </w:rPr>
      </w:pPr>
    </w:p>
    <w:p>
      <w:pPr>
        <w:pStyle w:val="21"/>
        <w:rPr>
          <w:rFonts w:ascii="宋体" w:hAnsi="宋体" w:cs="宋体"/>
          <w:color w:val="auto"/>
          <w:highlight w:val="none"/>
        </w:rPr>
      </w:pPr>
      <w:r>
        <w:rPr>
          <w:rFonts w:hint="eastAsia" w:ascii="宋体" w:hAnsi="宋体" w:cs="宋体"/>
          <w:color w:val="auto"/>
          <w:highlight w:val="none"/>
        </w:rPr>
        <w:br w:type="page"/>
      </w:r>
    </w:p>
    <w:p>
      <w:pPr>
        <w:pStyle w:val="4"/>
        <w:jc w:val="center"/>
        <w:rPr>
          <w:rFonts w:ascii="宋体" w:hAnsi="宋体" w:eastAsia="宋体" w:cs="宋体"/>
          <w:b w:val="0"/>
          <w:bCs w:val="0"/>
          <w:color w:val="auto"/>
          <w:highlight w:val="none"/>
        </w:rPr>
      </w:pPr>
      <w:bookmarkStart w:id="275" w:name="_Toc22163"/>
      <w:bookmarkStart w:id="276" w:name="_Toc11120"/>
      <w:r>
        <w:rPr>
          <w:rFonts w:hint="eastAsia" w:ascii="宋体" w:hAnsi="宋体" w:eastAsia="宋体" w:cs="宋体"/>
          <w:b w:val="0"/>
          <w:bCs w:val="0"/>
          <w:color w:val="auto"/>
          <w:highlight w:val="none"/>
        </w:rPr>
        <w:t>第二节 投诉书（格式）</w:t>
      </w:r>
      <w:bookmarkEnd w:id="272"/>
      <w:bookmarkEnd w:id="273"/>
      <w:bookmarkEnd w:id="275"/>
      <w:bookmarkEnd w:id="276"/>
    </w:p>
    <w:p>
      <w:pPr>
        <w:jc w:val="center"/>
        <w:rPr>
          <w:rFonts w:ascii="宋体" w:hAnsi="宋体" w:eastAsia="宋体" w:cs="Times New Roman"/>
          <w:b/>
          <w:color w:val="auto"/>
          <w:sz w:val="44"/>
          <w:szCs w:val="44"/>
          <w:highlight w:val="none"/>
        </w:rPr>
      </w:pPr>
      <w:r>
        <w:rPr>
          <w:rFonts w:hint="eastAsia" w:ascii="宋体" w:hAnsi="宋体" w:eastAsia="宋体" w:cs="Times New Roman"/>
          <w:b/>
          <w:color w:val="auto"/>
          <w:sz w:val="32"/>
          <w:szCs w:val="32"/>
          <w:highlight w:val="none"/>
        </w:rPr>
        <w:t>投诉书</w:t>
      </w:r>
    </w:p>
    <w:p>
      <w:pPr>
        <w:rPr>
          <w:rFonts w:ascii="黑体" w:hAnsi="黑体" w:eastAsia="黑体" w:cs="Times New Roman"/>
          <w:color w:val="auto"/>
          <w:sz w:val="32"/>
          <w:szCs w:val="32"/>
          <w:highlight w:val="none"/>
        </w:rPr>
      </w:pPr>
    </w:p>
    <w:p>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一、投诉相关主体基本情况</w:t>
      </w:r>
    </w:p>
    <w:p>
      <w:pPr>
        <w:spacing w:line="360" w:lineRule="auto"/>
        <w:rPr>
          <w:rFonts w:ascii="宋体" w:hAnsi="宋体" w:eastAsia="宋体" w:cs="宋体"/>
          <w:color w:val="auto"/>
          <w:sz w:val="24"/>
          <w:highlight w:val="none"/>
          <w:u w:val="dotted"/>
        </w:rPr>
      </w:pPr>
      <w:r>
        <w:rPr>
          <w:rFonts w:hint="eastAsia" w:ascii="宋体" w:hAnsi="宋体" w:eastAsia="宋体" w:cs="宋体"/>
          <w:color w:val="auto"/>
          <w:sz w:val="24"/>
          <w:highlight w:val="none"/>
        </w:rPr>
        <w:t>投诉人：</w:t>
      </w:r>
      <w:r>
        <w:rPr>
          <w:rFonts w:hint="eastAsia" w:ascii="宋体" w:hAnsi="宋体" w:eastAsia="宋体" w:cs="宋体"/>
          <w:color w:val="auto"/>
          <w:sz w:val="24"/>
          <w:highlight w:val="none"/>
          <w:u w:val="single"/>
        </w:rPr>
        <w:t xml:space="preserve">                                               </w:t>
      </w:r>
    </w:p>
    <w:p>
      <w:pPr>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rPr>
        <w:t>地     址：</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邮编：</w:t>
      </w:r>
      <w:r>
        <w:rPr>
          <w:rFonts w:hint="eastAsia" w:ascii="宋体" w:hAnsi="宋体" w:eastAsia="宋体" w:cs="宋体"/>
          <w:color w:val="auto"/>
          <w:sz w:val="24"/>
          <w:highlight w:val="none"/>
          <w:u w:val="single"/>
        </w:rPr>
        <w:t xml:space="preserve">         </w:t>
      </w:r>
    </w:p>
    <w:p>
      <w:pPr>
        <w:tabs>
          <w:tab w:val="left" w:pos="6510"/>
        </w:tabs>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法定代表人/主要负责人：</w:t>
      </w:r>
      <w:r>
        <w:rPr>
          <w:rFonts w:hint="eastAsia" w:ascii="宋体" w:hAnsi="宋体" w:eastAsia="宋体" w:cs="宋体"/>
          <w:color w:val="auto"/>
          <w:sz w:val="24"/>
          <w:highlight w:val="none"/>
          <w:u w:val="single"/>
        </w:rPr>
        <w:t xml:space="preserve">                                </w:t>
      </w:r>
    </w:p>
    <w:p>
      <w:pPr>
        <w:tabs>
          <w:tab w:val="left" w:pos="6510"/>
        </w:tabs>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rPr>
        <w:t>联系电话：</w:t>
      </w:r>
      <w:r>
        <w:rPr>
          <w:rFonts w:hint="eastAsia" w:ascii="宋体" w:hAnsi="宋体" w:eastAsia="宋体" w:cs="宋体"/>
          <w:color w:val="auto"/>
          <w:sz w:val="24"/>
          <w:highlight w:val="none"/>
          <w:u w:val="single"/>
        </w:rPr>
        <w:t xml:space="preserve">                                             </w:t>
      </w:r>
    </w:p>
    <w:p>
      <w:pPr>
        <w:spacing w:line="360" w:lineRule="auto"/>
        <w:rPr>
          <w:rFonts w:ascii="宋体" w:hAnsi="宋体" w:eastAsia="宋体" w:cs="宋体"/>
          <w:color w:val="auto"/>
          <w:sz w:val="24"/>
          <w:highlight w:val="none"/>
          <w:u w:val="dotted"/>
        </w:rPr>
      </w:pPr>
      <w:r>
        <w:rPr>
          <w:rFonts w:hint="eastAsia" w:ascii="宋体" w:hAnsi="宋体" w:eastAsia="宋体" w:cs="宋体"/>
          <w:color w:val="auto"/>
          <w:sz w:val="24"/>
          <w:highlight w:val="none"/>
        </w:rPr>
        <w:t>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联系电话：</w:t>
      </w:r>
      <w:r>
        <w:rPr>
          <w:rFonts w:hint="eastAsia" w:ascii="宋体" w:hAnsi="宋体" w:eastAsia="宋体" w:cs="宋体"/>
          <w:color w:val="auto"/>
          <w:sz w:val="24"/>
          <w:highlight w:val="none"/>
          <w:u w:val="single"/>
        </w:rPr>
        <w:t xml:space="preserve">                      </w:t>
      </w:r>
    </w:p>
    <w:p>
      <w:pPr>
        <w:spacing w:line="360" w:lineRule="auto"/>
        <w:rPr>
          <w:rFonts w:ascii="宋体" w:hAnsi="宋体" w:eastAsia="宋体" w:cs="宋体"/>
          <w:color w:val="auto"/>
          <w:sz w:val="24"/>
          <w:highlight w:val="none"/>
          <w:u w:val="dotted"/>
        </w:rPr>
      </w:pPr>
      <w:r>
        <w:rPr>
          <w:rFonts w:hint="eastAsia" w:ascii="宋体" w:hAnsi="宋体" w:eastAsia="宋体" w:cs="宋体"/>
          <w:color w:val="auto"/>
          <w:sz w:val="24"/>
          <w:highlight w:val="none"/>
        </w:rPr>
        <w:t>地     址：</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邮编：</w:t>
      </w:r>
      <w:r>
        <w:rPr>
          <w:rFonts w:hint="eastAsia" w:ascii="宋体" w:hAnsi="宋体" w:eastAsia="宋体" w:cs="宋体"/>
          <w:color w:val="auto"/>
          <w:sz w:val="24"/>
          <w:highlight w:val="none"/>
          <w:u w:val="single"/>
        </w:rPr>
        <w:t xml:space="preserve">         </w:t>
      </w:r>
    </w:p>
    <w:p>
      <w:pPr>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rPr>
        <w:t>被投诉人1：</w:t>
      </w:r>
      <w:r>
        <w:rPr>
          <w:rFonts w:hint="eastAsia" w:ascii="宋体" w:hAnsi="宋体" w:eastAsia="宋体" w:cs="宋体"/>
          <w:color w:val="auto"/>
          <w:sz w:val="24"/>
          <w:highlight w:val="none"/>
          <w:u w:val="single"/>
        </w:rPr>
        <w:t xml:space="preserve">                                           </w:t>
      </w:r>
    </w:p>
    <w:p>
      <w:pPr>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rPr>
        <w:t>地     址：</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邮编：</w:t>
      </w:r>
      <w:r>
        <w:rPr>
          <w:rFonts w:hint="eastAsia" w:ascii="宋体" w:hAnsi="宋体" w:eastAsia="宋体" w:cs="宋体"/>
          <w:color w:val="auto"/>
          <w:sz w:val="24"/>
          <w:highlight w:val="none"/>
          <w:u w:val="single"/>
        </w:rPr>
        <w:t xml:space="preserve">         </w:t>
      </w:r>
    </w:p>
    <w:p>
      <w:pPr>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rPr>
        <w:t>联系人：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联系电话：</w:t>
      </w:r>
      <w:r>
        <w:rPr>
          <w:rFonts w:hint="eastAsia" w:ascii="宋体" w:hAnsi="宋体" w:eastAsia="宋体" w:cs="宋体"/>
          <w:color w:val="auto"/>
          <w:sz w:val="24"/>
          <w:highlight w:val="none"/>
          <w:u w:val="single"/>
        </w:rPr>
        <w:t xml:space="preserve">                      </w:t>
      </w:r>
    </w:p>
    <w:p>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被投诉人2</w:t>
      </w:r>
    </w:p>
    <w:p>
      <w:pPr>
        <w:spacing w:line="360" w:lineRule="auto"/>
        <w:rPr>
          <w:rFonts w:ascii="宋体" w:hAnsi="宋体" w:eastAsia="宋体" w:cs="宋体"/>
          <w:color w:val="auto"/>
          <w:sz w:val="24"/>
          <w:highlight w:val="none"/>
          <w:u w:val="dotted"/>
        </w:rPr>
      </w:pPr>
      <w:r>
        <w:rPr>
          <w:rFonts w:hint="eastAsia" w:ascii="宋体" w:hAnsi="宋体" w:eastAsia="宋体" w:cs="宋体"/>
          <w:color w:val="auto"/>
          <w:sz w:val="24"/>
          <w:highlight w:val="none"/>
        </w:rPr>
        <w:t>……</w:t>
      </w:r>
    </w:p>
    <w:p>
      <w:pPr>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rPr>
        <w:t>相关供应商：</w:t>
      </w:r>
      <w:r>
        <w:rPr>
          <w:rFonts w:hint="eastAsia" w:ascii="宋体" w:hAnsi="宋体" w:eastAsia="宋体" w:cs="宋体"/>
          <w:color w:val="auto"/>
          <w:sz w:val="24"/>
          <w:highlight w:val="none"/>
          <w:u w:val="single"/>
        </w:rPr>
        <w:t xml:space="preserve">                                           </w:t>
      </w:r>
    </w:p>
    <w:p>
      <w:pPr>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rPr>
        <w:t>地     址：</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邮编：</w:t>
      </w:r>
      <w:r>
        <w:rPr>
          <w:rFonts w:hint="eastAsia" w:ascii="宋体" w:hAnsi="宋体" w:eastAsia="宋体" w:cs="宋体"/>
          <w:color w:val="auto"/>
          <w:sz w:val="24"/>
          <w:highlight w:val="none"/>
          <w:u w:val="single"/>
        </w:rPr>
        <w:t xml:space="preserve">         </w:t>
      </w:r>
    </w:p>
    <w:p>
      <w:pPr>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rPr>
        <w:t>联系人：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联系电话</w:t>
      </w:r>
      <w:r>
        <w:rPr>
          <w:rFonts w:hint="eastAsia" w:ascii="宋体" w:hAnsi="宋体" w:eastAsia="宋体" w:cs="宋体"/>
          <w:color w:val="auto"/>
          <w:sz w:val="24"/>
          <w:highlight w:val="none"/>
          <w:u w:val="single"/>
        </w:rPr>
        <w:t xml:space="preserve">：                      </w:t>
      </w:r>
    </w:p>
    <w:p>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二、投诉项目基本情况</w:t>
      </w:r>
    </w:p>
    <w:p>
      <w:pPr>
        <w:spacing w:line="360" w:lineRule="auto"/>
        <w:rPr>
          <w:rFonts w:ascii="宋体" w:hAnsi="宋体" w:eastAsia="宋体" w:cs="宋体"/>
          <w:color w:val="auto"/>
          <w:sz w:val="24"/>
          <w:highlight w:val="none"/>
          <w:u w:val="dotted"/>
        </w:rPr>
      </w:pPr>
      <w:r>
        <w:rPr>
          <w:rFonts w:hint="eastAsia" w:ascii="宋体" w:hAnsi="宋体" w:eastAsia="宋体" w:cs="宋体"/>
          <w:color w:val="auto"/>
          <w:sz w:val="24"/>
          <w:highlight w:val="none"/>
        </w:rPr>
        <w:t>采购项目名称：</w:t>
      </w:r>
      <w:r>
        <w:rPr>
          <w:rFonts w:hint="eastAsia" w:ascii="宋体" w:hAnsi="宋体" w:eastAsia="宋体" w:cs="宋体"/>
          <w:color w:val="auto"/>
          <w:sz w:val="24"/>
          <w:highlight w:val="none"/>
          <w:u w:val="single"/>
        </w:rPr>
        <w:t xml:space="preserve">  </w:t>
      </w:r>
      <w:bookmarkStart w:id="277" w:name="PO_3000001867_PM002_12"/>
      <w:r>
        <w:rPr>
          <w:rFonts w:hint="eastAsia" w:ascii="宋体" w:hAnsi="宋体" w:eastAsia="宋体" w:cs="宋体"/>
          <w:color w:val="auto"/>
          <w:sz w:val="24"/>
          <w:highlight w:val="none"/>
          <w:u w:val="single"/>
        </w:rPr>
        <w:t xml:space="preserve">                                     </w:t>
      </w:r>
      <w:bookmarkEnd w:id="277"/>
      <w:r>
        <w:rPr>
          <w:rFonts w:hint="eastAsia" w:ascii="宋体" w:hAnsi="宋体" w:eastAsia="宋体" w:cs="宋体"/>
          <w:color w:val="auto"/>
          <w:sz w:val="24"/>
          <w:highlight w:val="none"/>
          <w:u w:val="single"/>
        </w:rPr>
        <w:t xml:space="preserve">  </w:t>
      </w:r>
    </w:p>
    <w:p>
      <w:pPr>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rPr>
        <w:t>采购项目编号：</w:t>
      </w:r>
      <w:r>
        <w:rPr>
          <w:rFonts w:hint="eastAsia" w:ascii="宋体" w:hAnsi="宋体" w:eastAsia="宋体" w:cs="宋体"/>
          <w:color w:val="auto"/>
          <w:sz w:val="24"/>
          <w:highlight w:val="none"/>
          <w:u w:val="single"/>
        </w:rPr>
        <w:t xml:space="preserve">  </w:t>
      </w:r>
      <w:bookmarkStart w:id="278" w:name="PO_3000001867_PM001_9"/>
      <w:r>
        <w:rPr>
          <w:rFonts w:hint="eastAsia" w:ascii="宋体" w:hAnsi="宋体" w:eastAsia="宋体" w:cs="宋体"/>
          <w:color w:val="auto"/>
          <w:sz w:val="24"/>
          <w:highlight w:val="none"/>
          <w:u w:val="single"/>
        </w:rPr>
        <w:t xml:space="preserve">                    </w:t>
      </w:r>
      <w:bookmarkEnd w:id="278"/>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包号：</w:t>
      </w:r>
      <w:r>
        <w:rPr>
          <w:rFonts w:hint="eastAsia" w:ascii="宋体" w:hAnsi="宋体" w:eastAsia="宋体" w:cs="宋体"/>
          <w:color w:val="auto"/>
          <w:sz w:val="24"/>
          <w:highlight w:val="none"/>
          <w:u w:val="single"/>
        </w:rPr>
        <w:t xml:space="preserve">            </w:t>
      </w:r>
    </w:p>
    <w:p>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采购人名称：</w:t>
      </w:r>
      <w:r>
        <w:rPr>
          <w:rFonts w:hint="eastAsia" w:ascii="宋体" w:hAnsi="宋体" w:eastAsia="宋体" w:cs="宋体"/>
          <w:color w:val="auto"/>
          <w:sz w:val="24"/>
          <w:highlight w:val="none"/>
          <w:u w:val="single"/>
        </w:rPr>
        <w:t xml:space="preserve">  </w:t>
      </w:r>
      <w:bookmarkStart w:id="279" w:name="PO_3000001867_PM026_6"/>
      <w:r>
        <w:rPr>
          <w:rFonts w:hint="eastAsia" w:ascii="宋体" w:hAnsi="宋体" w:eastAsia="宋体" w:cs="宋体"/>
          <w:color w:val="auto"/>
          <w:sz w:val="24"/>
          <w:highlight w:val="none"/>
          <w:u w:val="single"/>
        </w:rPr>
        <w:t xml:space="preserve">                                       </w:t>
      </w:r>
      <w:bookmarkEnd w:id="279"/>
      <w:r>
        <w:rPr>
          <w:rFonts w:hint="eastAsia" w:ascii="宋体" w:hAnsi="宋体" w:eastAsia="宋体" w:cs="宋体"/>
          <w:color w:val="auto"/>
          <w:sz w:val="24"/>
          <w:highlight w:val="none"/>
          <w:u w:val="single"/>
        </w:rPr>
        <w:t xml:space="preserve">  </w:t>
      </w:r>
    </w:p>
    <w:p>
      <w:pPr>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rPr>
        <w:t>代理机构名称：</w:t>
      </w:r>
      <w:r>
        <w:rPr>
          <w:rFonts w:hint="eastAsia" w:ascii="宋体" w:hAnsi="宋体" w:eastAsia="宋体" w:cs="宋体"/>
          <w:color w:val="auto"/>
          <w:sz w:val="24"/>
          <w:highlight w:val="none"/>
          <w:u w:val="single"/>
        </w:rPr>
        <w:t xml:space="preserve">                                         </w:t>
      </w:r>
    </w:p>
    <w:p>
      <w:pPr>
        <w:spacing w:line="360" w:lineRule="auto"/>
        <w:rPr>
          <w:rFonts w:ascii="宋体" w:hAnsi="宋体" w:eastAsia="宋体" w:cs="宋体"/>
          <w:color w:val="auto"/>
          <w:sz w:val="24"/>
          <w:highlight w:val="none"/>
          <w:u w:val="dotted"/>
        </w:rPr>
      </w:pPr>
      <w:r>
        <w:rPr>
          <w:rFonts w:hint="eastAsia" w:ascii="宋体" w:hAnsi="宋体" w:eastAsia="宋体" w:cs="宋体"/>
          <w:color w:val="auto"/>
          <w:sz w:val="24"/>
          <w:highlight w:val="none"/>
        </w:rPr>
        <w:t>采购文件公告:</w:t>
      </w:r>
      <w:r>
        <w:rPr>
          <w:rFonts w:hint="eastAsia" w:ascii="宋体" w:hAnsi="宋体" w:eastAsia="宋体" w:cs="宋体"/>
          <w:color w:val="auto"/>
          <w:sz w:val="24"/>
          <w:highlight w:val="none"/>
          <w:u w:val="single"/>
        </w:rPr>
        <w:t xml:space="preserve">是/否 </w:t>
      </w:r>
      <w:r>
        <w:rPr>
          <w:rFonts w:hint="eastAsia" w:ascii="宋体" w:hAnsi="宋体" w:eastAsia="宋体" w:cs="宋体"/>
          <w:color w:val="auto"/>
          <w:sz w:val="24"/>
          <w:highlight w:val="none"/>
        </w:rPr>
        <w:t>公告期限：</w:t>
      </w:r>
      <w:r>
        <w:rPr>
          <w:rFonts w:hint="eastAsia" w:ascii="宋体" w:hAnsi="宋体" w:eastAsia="宋体" w:cs="宋体"/>
          <w:color w:val="auto"/>
          <w:sz w:val="24"/>
          <w:highlight w:val="none"/>
          <w:u w:val="single"/>
        </w:rPr>
        <w:t xml:space="preserve">                          </w:t>
      </w:r>
    </w:p>
    <w:p>
      <w:pPr>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rPr>
        <w:t>采购结果公告:</w:t>
      </w:r>
      <w:r>
        <w:rPr>
          <w:rFonts w:hint="eastAsia" w:ascii="宋体" w:hAnsi="宋体" w:eastAsia="宋体" w:cs="宋体"/>
          <w:color w:val="auto"/>
          <w:sz w:val="24"/>
          <w:highlight w:val="none"/>
          <w:u w:val="single"/>
        </w:rPr>
        <w:t xml:space="preserve">是/否 </w:t>
      </w:r>
      <w:r>
        <w:rPr>
          <w:rFonts w:hint="eastAsia" w:ascii="宋体" w:hAnsi="宋体" w:eastAsia="宋体" w:cs="宋体"/>
          <w:color w:val="auto"/>
          <w:sz w:val="24"/>
          <w:highlight w:val="none"/>
        </w:rPr>
        <w:t>公告期限：</w:t>
      </w:r>
      <w:r>
        <w:rPr>
          <w:rFonts w:hint="eastAsia" w:ascii="宋体" w:hAnsi="宋体" w:eastAsia="宋体" w:cs="宋体"/>
          <w:color w:val="auto"/>
          <w:sz w:val="24"/>
          <w:highlight w:val="none"/>
          <w:u w:val="single"/>
        </w:rPr>
        <w:t xml:space="preserve">                          </w:t>
      </w:r>
    </w:p>
    <w:p>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三、质疑基本情况</w:t>
      </w:r>
    </w:p>
    <w:p>
      <w:pPr>
        <w:spacing w:line="360" w:lineRule="auto"/>
        <w:ind w:firstLine="480" w:firstLineChars="200"/>
        <w:rPr>
          <w:rFonts w:ascii="宋体" w:hAnsi="宋体" w:eastAsia="宋体" w:cs="宋体"/>
          <w:color w:val="auto"/>
          <w:sz w:val="24"/>
          <w:highlight w:val="none"/>
          <w:u w:val="single"/>
        </w:rPr>
      </w:pPr>
      <w:r>
        <w:rPr>
          <w:rFonts w:hint="eastAsia" w:ascii="宋体" w:hAnsi="宋体" w:eastAsia="宋体" w:cs="宋体"/>
          <w:color w:val="auto"/>
          <w:sz w:val="24"/>
          <w:highlight w:val="none"/>
        </w:rPr>
        <w:t>投诉人于</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日,向</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提出质疑，质疑事项为：</w:t>
      </w:r>
      <w:r>
        <w:rPr>
          <w:rFonts w:hint="eastAsia" w:ascii="宋体" w:hAnsi="宋体" w:eastAsia="宋体" w:cs="宋体"/>
          <w:color w:val="auto"/>
          <w:sz w:val="24"/>
          <w:highlight w:val="none"/>
          <w:u w:val="single"/>
        </w:rPr>
        <w:t xml:space="preserve">          </w:t>
      </w:r>
    </w:p>
    <w:p>
      <w:pPr>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u w:val="single"/>
        </w:rPr>
        <w:t xml:space="preserve">                                                       </w:t>
      </w:r>
    </w:p>
    <w:p>
      <w:pPr>
        <w:spacing w:line="360" w:lineRule="auto"/>
        <w:ind w:firstLine="360" w:firstLineChars="150"/>
        <w:rPr>
          <w:rFonts w:ascii="宋体" w:hAnsi="宋体" w:eastAsia="宋体" w:cs="宋体"/>
          <w:color w:val="auto"/>
          <w:sz w:val="24"/>
          <w:highlight w:val="none"/>
        </w:rPr>
      </w:pPr>
      <w:r>
        <w:rPr>
          <w:rFonts w:hint="eastAsia" w:ascii="宋体" w:hAnsi="宋体" w:eastAsia="宋体" w:cs="宋体"/>
          <w:color w:val="auto"/>
          <w:sz w:val="24"/>
          <w:highlight w:val="none"/>
          <w:u w:val="single"/>
        </w:rPr>
        <w:t>采购人/采购代理机构</w:t>
      </w:r>
      <w:r>
        <w:rPr>
          <w:rFonts w:hint="eastAsia" w:ascii="宋体" w:hAnsi="宋体" w:eastAsia="宋体" w:cs="宋体"/>
          <w:color w:val="auto"/>
          <w:sz w:val="24"/>
          <w:highlight w:val="none"/>
        </w:rPr>
        <w:t>于</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日,就质疑事项作出了答复/没有在法定期限内作出答复。</w:t>
      </w:r>
    </w:p>
    <w:p>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四、投诉事项具体内容</w:t>
      </w:r>
    </w:p>
    <w:p>
      <w:pPr>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rPr>
        <w:t>投诉事项 1：</w:t>
      </w:r>
      <w:r>
        <w:rPr>
          <w:rFonts w:hint="eastAsia" w:ascii="宋体" w:hAnsi="宋体" w:eastAsia="宋体" w:cs="宋体"/>
          <w:color w:val="auto"/>
          <w:sz w:val="24"/>
          <w:highlight w:val="none"/>
          <w:u w:val="single"/>
        </w:rPr>
        <w:t xml:space="preserve">                                       </w:t>
      </w:r>
    </w:p>
    <w:p>
      <w:pPr>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rPr>
        <w:t>事实依据：</w:t>
      </w:r>
      <w:r>
        <w:rPr>
          <w:rFonts w:hint="eastAsia" w:ascii="宋体" w:hAnsi="宋体" w:eastAsia="宋体" w:cs="宋体"/>
          <w:color w:val="auto"/>
          <w:sz w:val="24"/>
          <w:highlight w:val="none"/>
          <w:u w:val="single"/>
        </w:rPr>
        <w:t xml:space="preserve">                                         </w:t>
      </w:r>
    </w:p>
    <w:p>
      <w:pPr>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u w:val="single"/>
        </w:rPr>
        <w:t xml:space="preserve">                                                   </w:t>
      </w:r>
    </w:p>
    <w:p>
      <w:pPr>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rPr>
        <w:t>法律依据：</w:t>
      </w:r>
      <w:r>
        <w:rPr>
          <w:rFonts w:hint="eastAsia" w:ascii="宋体" w:hAnsi="宋体" w:eastAsia="宋体" w:cs="宋体"/>
          <w:color w:val="auto"/>
          <w:sz w:val="24"/>
          <w:highlight w:val="none"/>
          <w:u w:val="single"/>
        </w:rPr>
        <w:t xml:space="preserve">                                         </w:t>
      </w:r>
    </w:p>
    <w:p>
      <w:pPr>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u w:val="single"/>
        </w:rPr>
        <w:t xml:space="preserve">                                                   </w:t>
      </w:r>
    </w:p>
    <w:p>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投诉事项2</w:t>
      </w:r>
    </w:p>
    <w:p>
      <w:pPr>
        <w:spacing w:line="360" w:lineRule="auto"/>
        <w:rPr>
          <w:rFonts w:ascii="宋体" w:hAnsi="宋体" w:eastAsia="宋体" w:cs="宋体"/>
          <w:color w:val="auto"/>
          <w:sz w:val="24"/>
          <w:highlight w:val="none"/>
          <w:u w:val="dotted"/>
        </w:rPr>
      </w:pPr>
      <w:r>
        <w:rPr>
          <w:rFonts w:hint="eastAsia" w:ascii="宋体" w:hAnsi="宋体" w:eastAsia="宋体" w:cs="宋体"/>
          <w:color w:val="auto"/>
          <w:sz w:val="24"/>
          <w:highlight w:val="none"/>
        </w:rPr>
        <w:t>……</w:t>
      </w:r>
    </w:p>
    <w:p>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五、与投诉事项相关的投诉请求</w:t>
      </w:r>
    </w:p>
    <w:p>
      <w:pPr>
        <w:spacing w:line="360" w:lineRule="auto"/>
        <w:rPr>
          <w:rFonts w:ascii="宋体" w:hAnsi="宋体" w:eastAsia="宋体" w:cs="宋体"/>
          <w:color w:val="auto"/>
          <w:sz w:val="24"/>
          <w:highlight w:val="none"/>
          <w:u w:val="single"/>
        </w:rPr>
      </w:pPr>
      <w:r>
        <w:rPr>
          <w:rFonts w:hint="eastAsia" w:ascii="宋体" w:hAnsi="宋体" w:eastAsia="宋体" w:cs="宋体"/>
          <w:color w:val="auto"/>
          <w:sz w:val="24"/>
          <w:highlight w:val="none"/>
        </w:rPr>
        <w:t>请求：</w:t>
      </w:r>
      <w:r>
        <w:rPr>
          <w:rFonts w:hint="eastAsia" w:ascii="宋体" w:hAnsi="宋体" w:eastAsia="宋体" w:cs="宋体"/>
          <w:color w:val="auto"/>
          <w:sz w:val="24"/>
          <w:highlight w:val="none"/>
          <w:u w:val="single"/>
        </w:rPr>
        <w:t xml:space="preserve">                                             </w:t>
      </w:r>
    </w:p>
    <w:p>
      <w:pPr>
        <w:spacing w:line="360" w:lineRule="auto"/>
        <w:rPr>
          <w:rFonts w:ascii="宋体" w:hAnsi="宋体" w:eastAsia="宋体" w:cs="宋体"/>
          <w:color w:val="auto"/>
          <w:sz w:val="24"/>
          <w:highlight w:val="none"/>
          <w:u w:val="single"/>
        </w:rPr>
      </w:pPr>
    </w:p>
    <w:p>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 xml:space="preserve">签字(签章)：                   公章：                      </w:t>
      </w:r>
    </w:p>
    <w:p>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 xml:space="preserve">日期：    </w:t>
      </w:r>
    </w:p>
    <w:p>
      <w:pPr>
        <w:spacing w:line="360" w:lineRule="auto"/>
        <w:rPr>
          <w:rFonts w:ascii="宋体" w:hAnsi="宋体" w:eastAsia="宋体" w:cs="宋体"/>
          <w:b/>
          <w:color w:val="auto"/>
          <w:sz w:val="24"/>
          <w:highlight w:val="none"/>
        </w:rPr>
      </w:pPr>
    </w:p>
    <w:p>
      <w:pPr>
        <w:spacing w:line="360" w:lineRule="auto"/>
        <w:rPr>
          <w:rFonts w:ascii="宋体" w:hAnsi="宋体" w:eastAsia="宋体" w:cs="宋体"/>
          <w:b/>
          <w:color w:val="auto"/>
          <w:sz w:val="24"/>
          <w:highlight w:val="none"/>
        </w:rPr>
      </w:pPr>
      <w:r>
        <w:rPr>
          <w:rFonts w:hint="eastAsia" w:ascii="宋体" w:hAnsi="宋体" w:eastAsia="宋体" w:cs="宋体"/>
          <w:b/>
          <w:color w:val="auto"/>
          <w:sz w:val="24"/>
          <w:highlight w:val="none"/>
        </w:rPr>
        <w:t>投诉书制作说明：</w:t>
      </w:r>
    </w:p>
    <w:p>
      <w:pPr>
        <w:widowControl/>
        <w:spacing w:line="360" w:lineRule="auto"/>
        <w:ind w:firstLine="480" w:firstLineChars="200"/>
        <w:rPr>
          <w:rFonts w:ascii="宋体" w:hAnsi="宋体" w:eastAsia="宋体" w:cs="宋体"/>
          <w:color w:val="auto"/>
          <w:kern w:val="0"/>
          <w:sz w:val="24"/>
          <w:highlight w:val="none"/>
        </w:rPr>
      </w:pPr>
      <w:r>
        <w:rPr>
          <w:rFonts w:hint="eastAsia" w:ascii="宋体" w:hAnsi="宋体" w:eastAsia="宋体" w:cs="宋体"/>
          <w:color w:val="auto"/>
          <w:sz w:val="24"/>
          <w:highlight w:val="none"/>
        </w:rPr>
        <w:t>1.投诉人提起投诉时，应当提交投诉书和必要的证明材料，并按照被投诉人和与投诉事项有关的供应商数量提供投诉书副本。</w:t>
      </w:r>
    </w:p>
    <w:p>
      <w:pPr>
        <w:widowControl/>
        <w:spacing w:line="360" w:lineRule="auto"/>
        <w:ind w:firstLine="480" w:firstLineChars="200"/>
        <w:jc w:val="left"/>
        <w:rPr>
          <w:rFonts w:ascii="宋体" w:hAnsi="宋体" w:eastAsia="宋体" w:cs="宋体"/>
          <w:color w:val="auto"/>
          <w:kern w:val="0"/>
          <w:sz w:val="24"/>
          <w:highlight w:val="none"/>
        </w:rPr>
      </w:pPr>
      <w:r>
        <w:rPr>
          <w:rFonts w:hint="eastAsia" w:ascii="宋体" w:hAnsi="宋体" w:eastAsia="宋体" w:cs="宋体"/>
          <w:color w:val="auto"/>
          <w:sz w:val="24"/>
          <w:highlight w:val="none"/>
        </w:rPr>
        <w:t>2.投诉人若委托代理人进行投诉的，投诉书应按照要求列明“授权代表”的有关内容，并在附件中提交由</w:t>
      </w:r>
      <w:r>
        <w:rPr>
          <w:rFonts w:hint="eastAsia" w:ascii="宋体" w:hAnsi="宋体" w:eastAsia="宋体" w:cs="宋体"/>
          <w:color w:val="auto"/>
          <w:kern w:val="0"/>
          <w:sz w:val="24"/>
          <w:highlight w:val="none"/>
        </w:rPr>
        <w:t>投诉人签署的授权委托书。授权委托书应当载明代理人的姓名或者名称、代理事项、具体权限、期限和相关事项。</w:t>
      </w:r>
    </w:p>
    <w:p>
      <w:pPr>
        <w:widowControl/>
        <w:spacing w:line="360" w:lineRule="auto"/>
        <w:ind w:firstLine="480" w:firstLineChars="200"/>
        <w:jc w:val="left"/>
        <w:rPr>
          <w:rFonts w:ascii="宋体" w:hAnsi="宋体" w:eastAsia="宋体" w:cs="宋体"/>
          <w:color w:val="auto"/>
          <w:sz w:val="24"/>
          <w:highlight w:val="none"/>
        </w:rPr>
      </w:pPr>
      <w:r>
        <w:rPr>
          <w:rFonts w:hint="eastAsia" w:ascii="宋体" w:hAnsi="宋体" w:eastAsia="宋体" w:cs="宋体"/>
          <w:color w:val="auto"/>
          <w:sz w:val="24"/>
          <w:highlight w:val="none"/>
        </w:rPr>
        <w:t>3.投诉人若对项目的某一分包进行投诉，投诉书应列明具体分包号。</w:t>
      </w:r>
    </w:p>
    <w:p>
      <w:pPr>
        <w:widowControl/>
        <w:spacing w:line="360" w:lineRule="auto"/>
        <w:ind w:firstLine="480" w:firstLineChars="200"/>
        <w:jc w:val="left"/>
        <w:rPr>
          <w:rFonts w:ascii="宋体" w:hAnsi="宋体" w:eastAsia="宋体" w:cs="宋体"/>
          <w:color w:val="auto"/>
          <w:sz w:val="24"/>
          <w:highlight w:val="none"/>
        </w:rPr>
      </w:pPr>
      <w:r>
        <w:rPr>
          <w:rFonts w:hint="eastAsia" w:ascii="宋体" w:hAnsi="宋体" w:eastAsia="宋体" w:cs="宋体"/>
          <w:color w:val="auto"/>
          <w:sz w:val="24"/>
          <w:highlight w:val="none"/>
        </w:rPr>
        <w:t>4.投诉书应简要列明质疑事项，质疑函、质疑答复等作为附件材料提供。</w:t>
      </w:r>
    </w:p>
    <w:p>
      <w:pPr>
        <w:widowControl/>
        <w:spacing w:line="360" w:lineRule="auto"/>
        <w:ind w:firstLine="480" w:firstLineChars="200"/>
        <w:jc w:val="left"/>
        <w:rPr>
          <w:rFonts w:ascii="宋体" w:hAnsi="宋体" w:eastAsia="宋体" w:cs="宋体"/>
          <w:color w:val="auto"/>
          <w:sz w:val="24"/>
          <w:highlight w:val="none"/>
        </w:rPr>
      </w:pPr>
      <w:r>
        <w:rPr>
          <w:rFonts w:hint="eastAsia" w:ascii="宋体" w:hAnsi="宋体" w:eastAsia="宋体" w:cs="宋体"/>
          <w:color w:val="auto"/>
          <w:sz w:val="24"/>
          <w:highlight w:val="none"/>
        </w:rPr>
        <w:t>5.投诉书的投诉事项应具体、明确，并有必要的事实依据和法律依据。</w:t>
      </w:r>
    </w:p>
    <w:p>
      <w:pPr>
        <w:widowControl/>
        <w:spacing w:line="360" w:lineRule="auto"/>
        <w:ind w:firstLine="480" w:firstLineChars="200"/>
        <w:jc w:val="left"/>
        <w:rPr>
          <w:rFonts w:ascii="宋体" w:hAnsi="宋体" w:eastAsia="宋体" w:cs="宋体"/>
          <w:color w:val="auto"/>
          <w:sz w:val="24"/>
          <w:highlight w:val="none"/>
        </w:rPr>
      </w:pPr>
      <w:r>
        <w:rPr>
          <w:rFonts w:hint="eastAsia" w:ascii="宋体" w:hAnsi="宋体" w:eastAsia="宋体" w:cs="宋体"/>
          <w:color w:val="auto"/>
          <w:sz w:val="24"/>
          <w:highlight w:val="none"/>
        </w:rPr>
        <w:t>6.投诉书的投诉请求应与投诉事项相关。</w:t>
      </w:r>
    </w:p>
    <w:p>
      <w:pPr>
        <w:widowControl/>
        <w:spacing w:line="360" w:lineRule="auto"/>
        <w:ind w:firstLine="480" w:firstLineChars="200"/>
        <w:jc w:val="left"/>
        <w:rPr>
          <w:rFonts w:ascii="宋体" w:hAnsi="宋体" w:eastAsia="宋体" w:cs="宋体"/>
          <w:color w:val="auto"/>
          <w:kern w:val="0"/>
          <w:sz w:val="24"/>
          <w:highlight w:val="none"/>
        </w:rPr>
      </w:pPr>
      <w:r>
        <w:rPr>
          <w:rFonts w:hint="eastAsia" w:ascii="宋体" w:hAnsi="宋体" w:eastAsia="宋体" w:cs="宋体"/>
          <w:color w:val="auto"/>
          <w:sz w:val="24"/>
          <w:highlight w:val="none"/>
        </w:rPr>
        <w:t>7.投诉人为自然人的，投诉书应当由本人签字；投诉人为法人或者其他组织的，投诉书应当由法定代表人、主要负责人，或者其授权代表签字或者盖章，并加盖公章。</w:t>
      </w:r>
    </w:p>
    <w:p>
      <w:pPr>
        <w:widowControl/>
        <w:spacing w:line="360" w:lineRule="auto"/>
        <w:ind w:firstLine="420" w:firstLineChars="200"/>
        <w:jc w:val="left"/>
        <w:rPr>
          <w:rFonts w:ascii="宋体" w:hAnsi="宋体" w:cs="宋体"/>
          <w:color w:val="auto"/>
          <w:kern w:val="0"/>
          <w:szCs w:val="21"/>
          <w:highlight w:val="none"/>
        </w:rPr>
      </w:pPr>
    </w:p>
    <w:sectPr>
      <w:footerReference r:id="rId4" w:type="default"/>
      <w:pgSz w:w="11905" w:h="16838"/>
      <w:pgMar w:top="1134" w:right="1134" w:bottom="1134" w:left="1134" w:header="850" w:footer="850" w:gutter="0"/>
      <w:pgNumType w:start="1"/>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Ђˎ̥">
    <w:altName w:val="Times New Roman"/>
    <w:panose1 w:val="00000000000000000000"/>
    <w:charset w:val="00"/>
    <w:family w:val="roman"/>
    <w:pitch w:val="default"/>
    <w:sig w:usb0="00000000" w:usb1="00000000" w:usb2="00000000" w:usb3="00000000" w:csb0="00040001" w:csb1="00000000"/>
  </w:font>
  <w:font w:name="等线 Light">
    <w:panose1 w:val="02010600030101010101"/>
    <w:charset w:val="86"/>
    <w:family w:val="auto"/>
    <w:pitch w:val="default"/>
    <w:sig w:usb0="A00002BF" w:usb1="38CF7CFA" w:usb2="00000016" w:usb3="00000000" w:csb0="0004000F" w:csb1="00000000"/>
  </w:font>
  <w:font w:name="Perpetua">
    <w:altName w:val="PMingLiU-ExtB"/>
    <w:panose1 w:val="02020502060401020303"/>
    <w:charset w:val="00"/>
    <w:family w:val="roman"/>
    <w:pitch w:val="default"/>
    <w:sig w:usb0="00000000" w:usb1="00000000" w:usb2="00000000" w:usb3="00000000" w:csb0="2000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PMingLiU-ExtB">
    <w:panose1 w:val="02020500000000000000"/>
    <w:charset w:val="88"/>
    <w:family w:val="auto"/>
    <w:pitch w:val="default"/>
    <w:sig w:usb0="8000002F" w:usb1="02000008" w:usb2="00000000" w:usb3="00000000" w:csb0="00100001"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1"/>
                          </w:pPr>
                          <w:r>
                            <w:fldChar w:fldCharType="begin"/>
                          </w:r>
                          <w:r>
                            <w:instrText xml:space="preserve"> PAGE  \* MERGEFORMAT </w:instrText>
                          </w:r>
                          <w:r>
                            <w:fldChar w:fldCharType="separate"/>
                          </w:r>
                          <w:r>
                            <w:t>10</w:t>
                          </w:r>
                          <w:r>
                            <w:fldChar w:fldCharType="end"/>
                          </w:r>
                        </w:p>
                      </w:txbxContent>
                    </wps:txbx>
                    <wps:bodyPr wrap="none" lIns="0" tIns="0" rIns="0" bIns="0">
                      <a:spAutoFit/>
                    </wps:bodyPr>
                  </wps:wsp>
                </a:graphicData>
              </a:graphic>
            </wp:anchor>
          </w:drawing>
        </mc:Choice>
        <mc:Fallback>
          <w:pict>
            <v:shape id="文本框 10"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K8rQ8YBAACcAwAADgAAAGRycy9lMm9Eb2MueG1srVNLbtswEN0X6B0I&#10;7mvJXhSGYDloYCQoEKQF0h6ApiiLAMkhOLQlX6C9QVfddN9z+RwdUrKdppssuqHmxzfzHkerm8Ea&#10;dlABNbiaz2clZ8pJaLTb1fzrl7t3S84wCtcIA07V/KiQ36zfvln1vlIL6MA0KjACcVj1vuZdjL4q&#10;CpSdsgJn4JWjZAvBikhu2BVNED2hW1MsyvJ90UNofACpECm6GZN8QgyvAYS21VJtQO6tcnFEDcqI&#10;SJSw0x75Ok/btkrGT22LKjJTc2Ia80lNyN6ms1ivRLULwndaTiOI14zwgpMV2lHTC9RGRMH2Qf8D&#10;ZbUMgNDGmQRbjESyIsRiXr7Q5qkTXmUuJDX6i+j4/2Dl4+FzYLqhTeDMCUsPfvrx/fTz9+nXNzbP&#10;+vQeKyp78lQYh1sYUi3pluJIwUR7aINNXyLEKE/qHi/qqiEymS4tF8tlSSlJubNDOMX1ug8Y7xVY&#10;loyaB3q+rKo4PGAcS88lqZuDO21MfkLj/goQ5hhReQem29eJkxWH7TDR2EJzJHY97UHNHa09Z+aj&#10;I5nTypyNcDa2k5E6ov+wjzRGni6hjlDEKjn0aJnftGBpK577uer6U63/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grytDxgEAAJwDAAAOAAAAAAAAAAEAIAAAAB4BAABkcnMvZTJvRG9jLnht&#10;bFBLBQYAAAAABgAGAFkBAABWBQAAAAA=&#10;">
              <v:fill on="f" focussize="0,0"/>
              <v:stroke on="f"/>
              <v:imagedata o:title=""/>
              <o:lock v:ext="edit" aspectratio="f"/>
              <v:textbox inset="0mm,0mm,0mm,0mm" style="mso-fit-shape-to-text:t;">
                <w:txbxContent>
                  <w:p>
                    <w:pPr>
                      <w:pStyle w:val="21"/>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1"/>
                          </w:pPr>
                          <w:r>
                            <w:fldChar w:fldCharType="begin"/>
                          </w:r>
                          <w:r>
                            <w:instrText xml:space="preserve"> PAGE  \* MERGEFORMAT </w:instrText>
                          </w:r>
                          <w:r>
                            <w:fldChar w:fldCharType="separate"/>
                          </w:r>
                          <w:r>
                            <w:t>10</w:t>
                          </w:r>
                          <w:r>
                            <w:fldChar w:fldCharType="end"/>
                          </w:r>
                        </w:p>
                      </w:txbxContent>
                    </wps:txbx>
                    <wps:bodyPr wrap="none" lIns="0" tIns="0" rIns="0" bIns="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Ay0EMcBAACcAwAADgAAAGRycy9lMm9Eb2MueG1srVPNjtMwEL4j8Q6W&#10;7zRphVAVNV3tqlqEhABp4QFcZ9JY8p88bpO+ALwBJy7cea4+B2Mn6cJy2QMXZ/78zXyfJ5ubwWh2&#10;goDK2ZovFyVnYKVrlD3U/Mvn+1drzjAK2wjtLNT8DMhvti9fbHpfwcp1TjcQGIFYrHpf8y5GXxUF&#10;yg6MwIXzYCnZumBEJDcciiaIntCNLlZl+aboXWh8cBIQKbobk3xCDM8BdG2rJOycPBqwcUQNoEUk&#10;Stgpj3ybp21bkPFj2yJEpmtOTGM+qQnZ+3QW242oDkH4TslpBPGcEZ5wMkJZanqF2oko2DGof6CM&#10;ksGha+NCOlOMRLIixGJZPtHmoRMeMheSGv1VdPx/sPLD6VNgqqn5ijMrDD345fu3y49fl59f2fJ1&#10;0qf3WFHZg6fCONy5gbZmjiMFE+2hDSZ9iRCjPKl7vqoLQ2QyXVqv1uuSUpJys0P4xeN1HzC+BWdY&#10;Mmoe6PmyquL0HuNYOpekbtbdK63zE2r7V4AwxwjkHZhuJybjxMmKw36Y6O1dcyZ2Pe1BzS2tPWf6&#10;nSWZ08rMRpiN/WSkjuhvj5HGyNMl1BGKWCWHHi3zmxYsbcWffq56/Km2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CAy0EMcBAACcAwAADgAAAAAAAAABACAAAAAeAQAAZHJzL2Uyb0RvYy54&#10;bWxQSwUGAAAAAAYABgBZAQAAVwUAAAAA&#10;">
              <v:fill on="f" focussize="0,0"/>
              <v:stroke on="f"/>
              <v:imagedata o:title=""/>
              <o:lock v:ext="edit" aspectratio="f"/>
              <v:textbox inset="0mm,0mm,0mm,0mm" style="mso-fit-shape-to-text:t;">
                <w:txbxContent>
                  <w:p>
                    <w:pPr>
                      <w:pStyle w:val="21"/>
                    </w:pPr>
                    <w:r>
                      <w:fldChar w:fldCharType="begin"/>
                    </w:r>
                    <w:r>
                      <w:instrText xml:space="preserve"> PAGE  \* MERGEFORMAT </w:instrText>
                    </w:r>
                    <w:r>
                      <w:fldChar w:fldCharType="separate"/>
                    </w:r>
                    <w:r>
                      <w:t>10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lvlText w:val="（%1）"/>
      <w:lvlJc w:val="left"/>
      <w:pPr>
        <w:tabs>
          <w:tab w:val="left" w:pos="1140"/>
        </w:tabs>
        <w:ind w:left="1140" w:hanging="720"/>
      </w:pPr>
      <w:rPr>
        <w:rFonts w:ascii="宋体" w:hAnsi="宋体" w:eastAsia="宋体" w:cs="Times New Roman"/>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displayBackgroundShape w:val="1"/>
  <w:bordersDoNotSurroundHeader w:val="0"/>
  <w:bordersDoNotSurroundFooter w:val="0"/>
  <w:hideSpellingErrors/>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jZTg3ODRlNjRjNzAxODI4ZWQxODMxMzVlOWY3M2QifQ=="/>
    <w:docVar w:name="KSO_WPS_MARK_KEY" w:val="cc415a39-06a3-4dc9-aacc-f90bba6054fc"/>
  </w:docVars>
  <w:rsids>
    <w:rsidRoot w:val="00092860"/>
    <w:rsid w:val="00005EFD"/>
    <w:rsid w:val="00010BF3"/>
    <w:rsid w:val="00040261"/>
    <w:rsid w:val="00040F92"/>
    <w:rsid w:val="000433C1"/>
    <w:rsid w:val="00043F31"/>
    <w:rsid w:val="00047C64"/>
    <w:rsid w:val="0006056C"/>
    <w:rsid w:val="0006204B"/>
    <w:rsid w:val="00073D4E"/>
    <w:rsid w:val="00092860"/>
    <w:rsid w:val="000B701C"/>
    <w:rsid w:val="000B7547"/>
    <w:rsid w:val="000C1984"/>
    <w:rsid w:val="000C39D5"/>
    <w:rsid w:val="000D2B29"/>
    <w:rsid w:val="000E6FB9"/>
    <w:rsid w:val="001166DB"/>
    <w:rsid w:val="00116758"/>
    <w:rsid w:val="001320E9"/>
    <w:rsid w:val="001328D2"/>
    <w:rsid w:val="00144379"/>
    <w:rsid w:val="00146066"/>
    <w:rsid w:val="00150E47"/>
    <w:rsid w:val="00160495"/>
    <w:rsid w:val="00161A33"/>
    <w:rsid w:val="00166007"/>
    <w:rsid w:val="00192E98"/>
    <w:rsid w:val="001949E5"/>
    <w:rsid w:val="001975A0"/>
    <w:rsid w:val="001B5EFC"/>
    <w:rsid w:val="001B61CD"/>
    <w:rsid w:val="001B73D0"/>
    <w:rsid w:val="001C0C05"/>
    <w:rsid w:val="001E11C8"/>
    <w:rsid w:val="00206CEE"/>
    <w:rsid w:val="002208DF"/>
    <w:rsid w:val="0022459A"/>
    <w:rsid w:val="002346FE"/>
    <w:rsid w:val="002567D5"/>
    <w:rsid w:val="002615F8"/>
    <w:rsid w:val="00273835"/>
    <w:rsid w:val="00275094"/>
    <w:rsid w:val="002A0A42"/>
    <w:rsid w:val="002B658D"/>
    <w:rsid w:val="002D06FD"/>
    <w:rsid w:val="002E1317"/>
    <w:rsid w:val="002E1352"/>
    <w:rsid w:val="002E5E75"/>
    <w:rsid w:val="002F7FBA"/>
    <w:rsid w:val="00323940"/>
    <w:rsid w:val="00332988"/>
    <w:rsid w:val="00334D42"/>
    <w:rsid w:val="00343249"/>
    <w:rsid w:val="003438A9"/>
    <w:rsid w:val="00352BD7"/>
    <w:rsid w:val="00362A7A"/>
    <w:rsid w:val="00383848"/>
    <w:rsid w:val="003A33A9"/>
    <w:rsid w:val="003B0490"/>
    <w:rsid w:val="003B3F39"/>
    <w:rsid w:val="003D2DC5"/>
    <w:rsid w:val="003F2D8B"/>
    <w:rsid w:val="003F6450"/>
    <w:rsid w:val="00404521"/>
    <w:rsid w:val="00404A75"/>
    <w:rsid w:val="0041040E"/>
    <w:rsid w:val="00410CC3"/>
    <w:rsid w:val="00410D76"/>
    <w:rsid w:val="00413E2E"/>
    <w:rsid w:val="004230D0"/>
    <w:rsid w:val="00425E61"/>
    <w:rsid w:val="0043145C"/>
    <w:rsid w:val="004322CC"/>
    <w:rsid w:val="004341BF"/>
    <w:rsid w:val="00451EC7"/>
    <w:rsid w:val="00457796"/>
    <w:rsid w:val="0047417A"/>
    <w:rsid w:val="004766C4"/>
    <w:rsid w:val="004767E4"/>
    <w:rsid w:val="00490327"/>
    <w:rsid w:val="00490D6E"/>
    <w:rsid w:val="00492DB5"/>
    <w:rsid w:val="00497589"/>
    <w:rsid w:val="004A4DAC"/>
    <w:rsid w:val="004D2DE8"/>
    <w:rsid w:val="004D349F"/>
    <w:rsid w:val="004D7C80"/>
    <w:rsid w:val="004E0BEA"/>
    <w:rsid w:val="004E4CAE"/>
    <w:rsid w:val="004F0BE8"/>
    <w:rsid w:val="00501AF1"/>
    <w:rsid w:val="00506186"/>
    <w:rsid w:val="00521698"/>
    <w:rsid w:val="00541035"/>
    <w:rsid w:val="005425F1"/>
    <w:rsid w:val="00577B6C"/>
    <w:rsid w:val="005B44CD"/>
    <w:rsid w:val="005C1A10"/>
    <w:rsid w:val="005C5EDB"/>
    <w:rsid w:val="005D39C3"/>
    <w:rsid w:val="005D4278"/>
    <w:rsid w:val="005E055C"/>
    <w:rsid w:val="005E19AB"/>
    <w:rsid w:val="005F097E"/>
    <w:rsid w:val="005F2507"/>
    <w:rsid w:val="005F3021"/>
    <w:rsid w:val="005F3916"/>
    <w:rsid w:val="0062026B"/>
    <w:rsid w:val="00621A42"/>
    <w:rsid w:val="00640E1C"/>
    <w:rsid w:val="006469AF"/>
    <w:rsid w:val="00657C4E"/>
    <w:rsid w:val="00671656"/>
    <w:rsid w:val="006746F4"/>
    <w:rsid w:val="00684132"/>
    <w:rsid w:val="00690C83"/>
    <w:rsid w:val="0069357D"/>
    <w:rsid w:val="006944A6"/>
    <w:rsid w:val="006A2183"/>
    <w:rsid w:val="006A243D"/>
    <w:rsid w:val="006B14A1"/>
    <w:rsid w:val="006C54A4"/>
    <w:rsid w:val="006D1017"/>
    <w:rsid w:val="006D1A81"/>
    <w:rsid w:val="006D315D"/>
    <w:rsid w:val="006D3425"/>
    <w:rsid w:val="006E208F"/>
    <w:rsid w:val="006F4B7F"/>
    <w:rsid w:val="006F5C1E"/>
    <w:rsid w:val="006F674C"/>
    <w:rsid w:val="006F7BDE"/>
    <w:rsid w:val="0070732A"/>
    <w:rsid w:val="00714F4A"/>
    <w:rsid w:val="007259C4"/>
    <w:rsid w:val="00731D95"/>
    <w:rsid w:val="00736635"/>
    <w:rsid w:val="0074115E"/>
    <w:rsid w:val="00745B91"/>
    <w:rsid w:val="00746AAA"/>
    <w:rsid w:val="0075377F"/>
    <w:rsid w:val="007A5708"/>
    <w:rsid w:val="007B3E60"/>
    <w:rsid w:val="007C1F83"/>
    <w:rsid w:val="007D02E4"/>
    <w:rsid w:val="007D33CA"/>
    <w:rsid w:val="007E170F"/>
    <w:rsid w:val="007E5F9C"/>
    <w:rsid w:val="007F455A"/>
    <w:rsid w:val="007F69D3"/>
    <w:rsid w:val="00800818"/>
    <w:rsid w:val="00813797"/>
    <w:rsid w:val="00857746"/>
    <w:rsid w:val="00866160"/>
    <w:rsid w:val="00872E05"/>
    <w:rsid w:val="00886F11"/>
    <w:rsid w:val="00891BE8"/>
    <w:rsid w:val="00891D19"/>
    <w:rsid w:val="00897E52"/>
    <w:rsid w:val="008A06A8"/>
    <w:rsid w:val="008A1868"/>
    <w:rsid w:val="008A7DA6"/>
    <w:rsid w:val="008B439A"/>
    <w:rsid w:val="008B62D3"/>
    <w:rsid w:val="008D09DB"/>
    <w:rsid w:val="008F2E99"/>
    <w:rsid w:val="00924691"/>
    <w:rsid w:val="00927301"/>
    <w:rsid w:val="009354A9"/>
    <w:rsid w:val="00944E5A"/>
    <w:rsid w:val="0094544D"/>
    <w:rsid w:val="00954A17"/>
    <w:rsid w:val="00964401"/>
    <w:rsid w:val="00974C77"/>
    <w:rsid w:val="0099095F"/>
    <w:rsid w:val="00991794"/>
    <w:rsid w:val="00993EAC"/>
    <w:rsid w:val="009A0D3C"/>
    <w:rsid w:val="009B7272"/>
    <w:rsid w:val="009C1A32"/>
    <w:rsid w:val="009C643F"/>
    <w:rsid w:val="009D331B"/>
    <w:rsid w:val="009E1B7A"/>
    <w:rsid w:val="009E5340"/>
    <w:rsid w:val="00A10BE4"/>
    <w:rsid w:val="00A3709A"/>
    <w:rsid w:val="00A4717F"/>
    <w:rsid w:val="00A543B2"/>
    <w:rsid w:val="00A549DD"/>
    <w:rsid w:val="00A64962"/>
    <w:rsid w:val="00A65789"/>
    <w:rsid w:val="00A72626"/>
    <w:rsid w:val="00A907CB"/>
    <w:rsid w:val="00AA2AE0"/>
    <w:rsid w:val="00AA3904"/>
    <w:rsid w:val="00AB3CBD"/>
    <w:rsid w:val="00AB65BD"/>
    <w:rsid w:val="00AD2940"/>
    <w:rsid w:val="00AD425F"/>
    <w:rsid w:val="00AF00B1"/>
    <w:rsid w:val="00B20EA5"/>
    <w:rsid w:val="00B23A9C"/>
    <w:rsid w:val="00B243DA"/>
    <w:rsid w:val="00B27F7B"/>
    <w:rsid w:val="00B30ABD"/>
    <w:rsid w:val="00B320CD"/>
    <w:rsid w:val="00B5550B"/>
    <w:rsid w:val="00B567E9"/>
    <w:rsid w:val="00B75770"/>
    <w:rsid w:val="00B96B17"/>
    <w:rsid w:val="00BA110F"/>
    <w:rsid w:val="00BB1996"/>
    <w:rsid w:val="00BD63A3"/>
    <w:rsid w:val="00BE144F"/>
    <w:rsid w:val="00BF03CF"/>
    <w:rsid w:val="00BF2141"/>
    <w:rsid w:val="00BF6AB3"/>
    <w:rsid w:val="00C01C69"/>
    <w:rsid w:val="00C23077"/>
    <w:rsid w:val="00C51A0F"/>
    <w:rsid w:val="00C53945"/>
    <w:rsid w:val="00C7117D"/>
    <w:rsid w:val="00C761DB"/>
    <w:rsid w:val="00C77F95"/>
    <w:rsid w:val="00C80FAE"/>
    <w:rsid w:val="00C90C30"/>
    <w:rsid w:val="00C932F3"/>
    <w:rsid w:val="00CA24B8"/>
    <w:rsid w:val="00CA40DD"/>
    <w:rsid w:val="00CB43A4"/>
    <w:rsid w:val="00CD6EFC"/>
    <w:rsid w:val="00CE369E"/>
    <w:rsid w:val="00D01581"/>
    <w:rsid w:val="00D16330"/>
    <w:rsid w:val="00D20482"/>
    <w:rsid w:val="00D27548"/>
    <w:rsid w:val="00D27864"/>
    <w:rsid w:val="00D30709"/>
    <w:rsid w:val="00D33CB5"/>
    <w:rsid w:val="00D37BA9"/>
    <w:rsid w:val="00D424A0"/>
    <w:rsid w:val="00D4271F"/>
    <w:rsid w:val="00D43ECA"/>
    <w:rsid w:val="00D5590B"/>
    <w:rsid w:val="00D60F26"/>
    <w:rsid w:val="00D60F48"/>
    <w:rsid w:val="00D6155B"/>
    <w:rsid w:val="00D67588"/>
    <w:rsid w:val="00D75E51"/>
    <w:rsid w:val="00D8314B"/>
    <w:rsid w:val="00DA23CC"/>
    <w:rsid w:val="00DC086B"/>
    <w:rsid w:val="00DD2A79"/>
    <w:rsid w:val="00DE6753"/>
    <w:rsid w:val="00E06334"/>
    <w:rsid w:val="00E0684F"/>
    <w:rsid w:val="00E37598"/>
    <w:rsid w:val="00E52EA4"/>
    <w:rsid w:val="00E60F72"/>
    <w:rsid w:val="00E75E67"/>
    <w:rsid w:val="00E7665F"/>
    <w:rsid w:val="00E77C6C"/>
    <w:rsid w:val="00E80839"/>
    <w:rsid w:val="00E90D51"/>
    <w:rsid w:val="00E93F6B"/>
    <w:rsid w:val="00EA6B38"/>
    <w:rsid w:val="00EA74E9"/>
    <w:rsid w:val="00EA7EFA"/>
    <w:rsid w:val="00EB20A0"/>
    <w:rsid w:val="00EC1B3B"/>
    <w:rsid w:val="00EC2F8A"/>
    <w:rsid w:val="00EC67C9"/>
    <w:rsid w:val="00ED56BD"/>
    <w:rsid w:val="00EE3FB9"/>
    <w:rsid w:val="00F118ED"/>
    <w:rsid w:val="00F13DF3"/>
    <w:rsid w:val="00F319A0"/>
    <w:rsid w:val="00F31C39"/>
    <w:rsid w:val="00F42A56"/>
    <w:rsid w:val="00F51A7C"/>
    <w:rsid w:val="00F62E2E"/>
    <w:rsid w:val="00F8334F"/>
    <w:rsid w:val="00F90CD4"/>
    <w:rsid w:val="00F91962"/>
    <w:rsid w:val="00FA6902"/>
    <w:rsid w:val="00FB0D73"/>
    <w:rsid w:val="00FC144D"/>
    <w:rsid w:val="00FC24C0"/>
    <w:rsid w:val="00FD094F"/>
    <w:rsid w:val="00FD1A00"/>
    <w:rsid w:val="00FF3DE7"/>
    <w:rsid w:val="01181E79"/>
    <w:rsid w:val="011E3158"/>
    <w:rsid w:val="012F2B13"/>
    <w:rsid w:val="01395249"/>
    <w:rsid w:val="01501A81"/>
    <w:rsid w:val="015F6672"/>
    <w:rsid w:val="0178768B"/>
    <w:rsid w:val="01A465D8"/>
    <w:rsid w:val="01AF481A"/>
    <w:rsid w:val="01C25ABF"/>
    <w:rsid w:val="01C35E5B"/>
    <w:rsid w:val="01D05436"/>
    <w:rsid w:val="01D5464B"/>
    <w:rsid w:val="01E834DD"/>
    <w:rsid w:val="01EE7C08"/>
    <w:rsid w:val="01FC3C59"/>
    <w:rsid w:val="02031D61"/>
    <w:rsid w:val="02210711"/>
    <w:rsid w:val="0227275A"/>
    <w:rsid w:val="02291C3C"/>
    <w:rsid w:val="02310013"/>
    <w:rsid w:val="02370C6F"/>
    <w:rsid w:val="024617F2"/>
    <w:rsid w:val="025C0116"/>
    <w:rsid w:val="02664218"/>
    <w:rsid w:val="02682A24"/>
    <w:rsid w:val="026B50D9"/>
    <w:rsid w:val="02713E77"/>
    <w:rsid w:val="02A272AC"/>
    <w:rsid w:val="02E31FD2"/>
    <w:rsid w:val="02F06E79"/>
    <w:rsid w:val="02F810DE"/>
    <w:rsid w:val="0306222B"/>
    <w:rsid w:val="0306705D"/>
    <w:rsid w:val="030D5636"/>
    <w:rsid w:val="031C07A5"/>
    <w:rsid w:val="03255414"/>
    <w:rsid w:val="033F48E4"/>
    <w:rsid w:val="03605F71"/>
    <w:rsid w:val="036B2DF9"/>
    <w:rsid w:val="03770D13"/>
    <w:rsid w:val="03771E7F"/>
    <w:rsid w:val="0386359F"/>
    <w:rsid w:val="03AE795E"/>
    <w:rsid w:val="03C37AEA"/>
    <w:rsid w:val="03EE57A7"/>
    <w:rsid w:val="03FA155C"/>
    <w:rsid w:val="040C4BE3"/>
    <w:rsid w:val="04273B9C"/>
    <w:rsid w:val="043D0449"/>
    <w:rsid w:val="043E4F7B"/>
    <w:rsid w:val="04426FBF"/>
    <w:rsid w:val="044A3F41"/>
    <w:rsid w:val="044B1342"/>
    <w:rsid w:val="044C5900"/>
    <w:rsid w:val="045C19CE"/>
    <w:rsid w:val="04612AD6"/>
    <w:rsid w:val="046B3DBE"/>
    <w:rsid w:val="046D17C2"/>
    <w:rsid w:val="048A426A"/>
    <w:rsid w:val="048C6987"/>
    <w:rsid w:val="048D2882"/>
    <w:rsid w:val="049E7E10"/>
    <w:rsid w:val="04A11A2E"/>
    <w:rsid w:val="04CD4BA2"/>
    <w:rsid w:val="04D11F2A"/>
    <w:rsid w:val="04E5492A"/>
    <w:rsid w:val="04E95DFE"/>
    <w:rsid w:val="050713FA"/>
    <w:rsid w:val="05240B21"/>
    <w:rsid w:val="052838F5"/>
    <w:rsid w:val="05297D5D"/>
    <w:rsid w:val="05381E09"/>
    <w:rsid w:val="05420BC4"/>
    <w:rsid w:val="0560691E"/>
    <w:rsid w:val="05622C5A"/>
    <w:rsid w:val="0590302E"/>
    <w:rsid w:val="05961E8B"/>
    <w:rsid w:val="05B80C59"/>
    <w:rsid w:val="05B9052D"/>
    <w:rsid w:val="05C1044E"/>
    <w:rsid w:val="05D10BE5"/>
    <w:rsid w:val="05DC336A"/>
    <w:rsid w:val="05E17F94"/>
    <w:rsid w:val="05EF5161"/>
    <w:rsid w:val="05F63235"/>
    <w:rsid w:val="06132E5A"/>
    <w:rsid w:val="061D52B0"/>
    <w:rsid w:val="0639341C"/>
    <w:rsid w:val="068059CA"/>
    <w:rsid w:val="06C615A2"/>
    <w:rsid w:val="06C75A8A"/>
    <w:rsid w:val="06D4416C"/>
    <w:rsid w:val="06F278E4"/>
    <w:rsid w:val="06FD0CF7"/>
    <w:rsid w:val="070D5F42"/>
    <w:rsid w:val="071F5342"/>
    <w:rsid w:val="073F4CAC"/>
    <w:rsid w:val="074A5B49"/>
    <w:rsid w:val="077A585E"/>
    <w:rsid w:val="07886409"/>
    <w:rsid w:val="079A4A26"/>
    <w:rsid w:val="07A86AAB"/>
    <w:rsid w:val="07B376E6"/>
    <w:rsid w:val="07CD098C"/>
    <w:rsid w:val="07D6030C"/>
    <w:rsid w:val="07FC379F"/>
    <w:rsid w:val="0805069D"/>
    <w:rsid w:val="082E2B4C"/>
    <w:rsid w:val="084D5698"/>
    <w:rsid w:val="087E1C14"/>
    <w:rsid w:val="0881106A"/>
    <w:rsid w:val="089C7BA1"/>
    <w:rsid w:val="089F5020"/>
    <w:rsid w:val="08BD66F4"/>
    <w:rsid w:val="08E37B9C"/>
    <w:rsid w:val="0900512E"/>
    <w:rsid w:val="0928760A"/>
    <w:rsid w:val="092C2D7B"/>
    <w:rsid w:val="09495EE2"/>
    <w:rsid w:val="095D5764"/>
    <w:rsid w:val="09617865"/>
    <w:rsid w:val="09667139"/>
    <w:rsid w:val="096926C5"/>
    <w:rsid w:val="096B114E"/>
    <w:rsid w:val="09755E6F"/>
    <w:rsid w:val="099C4848"/>
    <w:rsid w:val="09CB08A8"/>
    <w:rsid w:val="09CD0A4B"/>
    <w:rsid w:val="09D4375A"/>
    <w:rsid w:val="09E25264"/>
    <w:rsid w:val="09FA01B7"/>
    <w:rsid w:val="0A00302B"/>
    <w:rsid w:val="0A207B6A"/>
    <w:rsid w:val="0A2E773B"/>
    <w:rsid w:val="0A321B2F"/>
    <w:rsid w:val="0A391F9C"/>
    <w:rsid w:val="0A3D48EC"/>
    <w:rsid w:val="0A440EE2"/>
    <w:rsid w:val="0A442FC6"/>
    <w:rsid w:val="0A5239AD"/>
    <w:rsid w:val="0A6E77AA"/>
    <w:rsid w:val="0A7575A6"/>
    <w:rsid w:val="0A7C6B3F"/>
    <w:rsid w:val="0A8050FD"/>
    <w:rsid w:val="0A943317"/>
    <w:rsid w:val="0A957DE2"/>
    <w:rsid w:val="0AA84A7A"/>
    <w:rsid w:val="0ABF2050"/>
    <w:rsid w:val="0AC02B81"/>
    <w:rsid w:val="0B1247E5"/>
    <w:rsid w:val="0B1518C9"/>
    <w:rsid w:val="0B1D0203"/>
    <w:rsid w:val="0B3072B3"/>
    <w:rsid w:val="0B3B24B4"/>
    <w:rsid w:val="0B445C63"/>
    <w:rsid w:val="0B4877C7"/>
    <w:rsid w:val="0B4C6367"/>
    <w:rsid w:val="0B5036E2"/>
    <w:rsid w:val="0B514107"/>
    <w:rsid w:val="0B6A45AB"/>
    <w:rsid w:val="0B6E3C03"/>
    <w:rsid w:val="0BA34615"/>
    <w:rsid w:val="0BAC1C8B"/>
    <w:rsid w:val="0BB67A76"/>
    <w:rsid w:val="0BC578BF"/>
    <w:rsid w:val="0BEF2F28"/>
    <w:rsid w:val="0BF12E98"/>
    <w:rsid w:val="0C0F1C38"/>
    <w:rsid w:val="0C130A20"/>
    <w:rsid w:val="0C2C3397"/>
    <w:rsid w:val="0C4D19CF"/>
    <w:rsid w:val="0C697B1C"/>
    <w:rsid w:val="0C8B04F4"/>
    <w:rsid w:val="0C9E2876"/>
    <w:rsid w:val="0CA03088"/>
    <w:rsid w:val="0CA569E8"/>
    <w:rsid w:val="0CAE6867"/>
    <w:rsid w:val="0CD86312"/>
    <w:rsid w:val="0CE07FC0"/>
    <w:rsid w:val="0CE7664A"/>
    <w:rsid w:val="0CF213D5"/>
    <w:rsid w:val="0CFF2150"/>
    <w:rsid w:val="0D3037CB"/>
    <w:rsid w:val="0D330BC5"/>
    <w:rsid w:val="0D340ECF"/>
    <w:rsid w:val="0D48462F"/>
    <w:rsid w:val="0D525347"/>
    <w:rsid w:val="0D6D238D"/>
    <w:rsid w:val="0D8F75D2"/>
    <w:rsid w:val="0D991A3E"/>
    <w:rsid w:val="0DA14F4D"/>
    <w:rsid w:val="0DB06B86"/>
    <w:rsid w:val="0DB56F4F"/>
    <w:rsid w:val="0DC84865"/>
    <w:rsid w:val="0DC926D5"/>
    <w:rsid w:val="0DD75714"/>
    <w:rsid w:val="0DDC300B"/>
    <w:rsid w:val="0DE10D45"/>
    <w:rsid w:val="0DE47945"/>
    <w:rsid w:val="0DF75B9A"/>
    <w:rsid w:val="0DFE34F8"/>
    <w:rsid w:val="0E003674"/>
    <w:rsid w:val="0E1423A5"/>
    <w:rsid w:val="0E220612"/>
    <w:rsid w:val="0E2624D8"/>
    <w:rsid w:val="0E335B97"/>
    <w:rsid w:val="0E4C6A52"/>
    <w:rsid w:val="0E716EA2"/>
    <w:rsid w:val="0E725B97"/>
    <w:rsid w:val="0E75110F"/>
    <w:rsid w:val="0E7556DE"/>
    <w:rsid w:val="0E8B67DF"/>
    <w:rsid w:val="0E8E68FD"/>
    <w:rsid w:val="0E9A6F2A"/>
    <w:rsid w:val="0EA659C4"/>
    <w:rsid w:val="0EA929A3"/>
    <w:rsid w:val="0EBE0962"/>
    <w:rsid w:val="0EF01944"/>
    <w:rsid w:val="0EF90D99"/>
    <w:rsid w:val="0F00618D"/>
    <w:rsid w:val="0F1737C0"/>
    <w:rsid w:val="0F2949AA"/>
    <w:rsid w:val="0F396699"/>
    <w:rsid w:val="0F4D74A9"/>
    <w:rsid w:val="0F731279"/>
    <w:rsid w:val="0F77651E"/>
    <w:rsid w:val="0F947250"/>
    <w:rsid w:val="0F9C40C8"/>
    <w:rsid w:val="0FB42576"/>
    <w:rsid w:val="0FC73841"/>
    <w:rsid w:val="0FCA7D02"/>
    <w:rsid w:val="0FCC660D"/>
    <w:rsid w:val="0FCF7645"/>
    <w:rsid w:val="0FED59A3"/>
    <w:rsid w:val="0FEE7837"/>
    <w:rsid w:val="100A11F9"/>
    <w:rsid w:val="104A5ED2"/>
    <w:rsid w:val="104D6255"/>
    <w:rsid w:val="10541BDE"/>
    <w:rsid w:val="10557F85"/>
    <w:rsid w:val="107A63E2"/>
    <w:rsid w:val="107C3E68"/>
    <w:rsid w:val="10944FD2"/>
    <w:rsid w:val="109945F0"/>
    <w:rsid w:val="10A24A5C"/>
    <w:rsid w:val="10AB5276"/>
    <w:rsid w:val="10B90CC1"/>
    <w:rsid w:val="10DD5602"/>
    <w:rsid w:val="10E127DA"/>
    <w:rsid w:val="10EE3E65"/>
    <w:rsid w:val="10F60887"/>
    <w:rsid w:val="11097A4C"/>
    <w:rsid w:val="111F5232"/>
    <w:rsid w:val="11241962"/>
    <w:rsid w:val="112A5C06"/>
    <w:rsid w:val="1136674A"/>
    <w:rsid w:val="115A7AB4"/>
    <w:rsid w:val="116511AC"/>
    <w:rsid w:val="11910467"/>
    <w:rsid w:val="11A5685A"/>
    <w:rsid w:val="11AD135C"/>
    <w:rsid w:val="11C3225E"/>
    <w:rsid w:val="11C813B5"/>
    <w:rsid w:val="11D04827"/>
    <w:rsid w:val="11D277B2"/>
    <w:rsid w:val="11F336ED"/>
    <w:rsid w:val="120255E6"/>
    <w:rsid w:val="12047890"/>
    <w:rsid w:val="120E3BC4"/>
    <w:rsid w:val="12375093"/>
    <w:rsid w:val="123A1002"/>
    <w:rsid w:val="125D32AA"/>
    <w:rsid w:val="1260352A"/>
    <w:rsid w:val="128F202C"/>
    <w:rsid w:val="128F3AA7"/>
    <w:rsid w:val="129E3422"/>
    <w:rsid w:val="12D44BF8"/>
    <w:rsid w:val="12D869DF"/>
    <w:rsid w:val="12DC21B4"/>
    <w:rsid w:val="12E21004"/>
    <w:rsid w:val="12FB2185"/>
    <w:rsid w:val="13076D7C"/>
    <w:rsid w:val="13117BFA"/>
    <w:rsid w:val="13127BDF"/>
    <w:rsid w:val="131A4D73"/>
    <w:rsid w:val="1326677E"/>
    <w:rsid w:val="13525E4E"/>
    <w:rsid w:val="1357071E"/>
    <w:rsid w:val="136C7FD9"/>
    <w:rsid w:val="13902C50"/>
    <w:rsid w:val="13934519"/>
    <w:rsid w:val="13B04D26"/>
    <w:rsid w:val="13D047EB"/>
    <w:rsid w:val="13E54EC3"/>
    <w:rsid w:val="13FC7198"/>
    <w:rsid w:val="13FE54A6"/>
    <w:rsid w:val="140E01AF"/>
    <w:rsid w:val="144D148F"/>
    <w:rsid w:val="1450092C"/>
    <w:rsid w:val="14795A57"/>
    <w:rsid w:val="14AB460B"/>
    <w:rsid w:val="14AE7F2E"/>
    <w:rsid w:val="14B25E33"/>
    <w:rsid w:val="14C82DE2"/>
    <w:rsid w:val="14E83491"/>
    <w:rsid w:val="14F0250E"/>
    <w:rsid w:val="14F21311"/>
    <w:rsid w:val="14F876A6"/>
    <w:rsid w:val="150A4901"/>
    <w:rsid w:val="15134827"/>
    <w:rsid w:val="15214A13"/>
    <w:rsid w:val="15235BEC"/>
    <w:rsid w:val="152D417A"/>
    <w:rsid w:val="154C6CC8"/>
    <w:rsid w:val="1555339C"/>
    <w:rsid w:val="15643BA8"/>
    <w:rsid w:val="15665BE5"/>
    <w:rsid w:val="15836462"/>
    <w:rsid w:val="15855917"/>
    <w:rsid w:val="15AA5213"/>
    <w:rsid w:val="15C77B67"/>
    <w:rsid w:val="15DD358D"/>
    <w:rsid w:val="15F07B65"/>
    <w:rsid w:val="15FD5FF7"/>
    <w:rsid w:val="160C094E"/>
    <w:rsid w:val="16120462"/>
    <w:rsid w:val="1644187B"/>
    <w:rsid w:val="16453C1E"/>
    <w:rsid w:val="16580EF6"/>
    <w:rsid w:val="165E63ED"/>
    <w:rsid w:val="168373DC"/>
    <w:rsid w:val="168E0ABB"/>
    <w:rsid w:val="16B424D3"/>
    <w:rsid w:val="16D84525"/>
    <w:rsid w:val="16DD739B"/>
    <w:rsid w:val="16F639D7"/>
    <w:rsid w:val="16FA5577"/>
    <w:rsid w:val="170B5DEB"/>
    <w:rsid w:val="17231CAA"/>
    <w:rsid w:val="173C740E"/>
    <w:rsid w:val="17445A24"/>
    <w:rsid w:val="17715B9E"/>
    <w:rsid w:val="177A4014"/>
    <w:rsid w:val="177C52AB"/>
    <w:rsid w:val="178C1678"/>
    <w:rsid w:val="179B7A41"/>
    <w:rsid w:val="17AC0AE7"/>
    <w:rsid w:val="17BD613E"/>
    <w:rsid w:val="17DB2585"/>
    <w:rsid w:val="17DE14ED"/>
    <w:rsid w:val="17F12716"/>
    <w:rsid w:val="180E5F8F"/>
    <w:rsid w:val="182B52BA"/>
    <w:rsid w:val="18360182"/>
    <w:rsid w:val="183B1AC3"/>
    <w:rsid w:val="183C0F38"/>
    <w:rsid w:val="184030B8"/>
    <w:rsid w:val="18790B51"/>
    <w:rsid w:val="187C3D68"/>
    <w:rsid w:val="18847238"/>
    <w:rsid w:val="188925D5"/>
    <w:rsid w:val="18947263"/>
    <w:rsid w:val="189F21ED"/>
    <w:rsid w:val="18C06CCE"/>
    <w:rsid w:val="18D84350"/>
    <w:rsid w:val="18FC3F1D"/>
    <w:rsid w:val="195D708F"/>
    <w:rsid w:val="196D1903"/>
    <w:rsid w:val="196D233A"/>
    <w:rsid w:val="198C3906"/>
    <w:rsid w:val="199302C7"/>
    <w:rsid w:val="19A82E33"/>
    <w:rsid w:val="19B0616D"/>
    <w:rsid w:val="19B539B2"/>
    <w:rsid w:val="19D76353"/>
    <w:rsid w:val="19DA7E6E"/>
    <w:rsid w:val="19F7593C"/>
    <w:rsid w:val="19FF62E5"/>
    <w:rsid w:val="19FF7C9C"/>
    <w:rsid w:val="1A00283B"/>
    <w:rsid w:val="1A174B1D"/>
    <w:rsid w:val="1A27385F"/>
    <w:rsid w:val="1A387E91"/>
    <w:rsid w:val="1A3A40FB"/>
    <w:rsid w:val="1A4C19F4"/>
    <w:rsid w:val="1A4F3CB5"/>
    <w:rsid w:val="1A7D5A97"/>
    <w:rsid w:val="1A864037"/>
    <w:rsid w:val="1AA33D5D"/>
    <w:rsid w:val="1AA710FE"/>
    <w:rsid w:val="1AAD4CCF"/>
    <w:rsid w:val="1AAE1CBA"/>
    <w:rsid w:val="1ABB35F7"/>
    <w:rsid w:val="1AD31C97"/>
    <w:rsid w:val="1AD67034"/>
    <w:rsid w:val="1AFE120E"/>
    <w:rsid w:val="1B092502"/>
    <w:rsid w:val="1B1C3714"/>
    <w:rsid w:val="1B2905E9"/>
    <w:rsid w:val="1B402D0B"/>
    <w:rsid w:val="1B4924A4"/>
    <w:rsid w:val="1B4A3CA9"/>
    <w:rsid w:val="1B56062E"/>
    <w:rsid w:val="1B583F18"/>
    <w:rsid w:val="1B5C46A7"/>
    <w:rsid w:val="1B6A31E8"/>
    <w:rsid w:val="1B842574"/>
    <w:rsid w:val="1BA065DA"/>
    <w:rsid w:val="1BA22711"/>
    <w:rsid w:val="1BB8602D"/>
    <w:rsid w:val="1BDF4030"/>
    <w:rsid w:val="1BF806F8"/>
    <w:rsid w:val="1BFC4AC7"/>
    <w:rsid w:val="1C185534"/>
    <w:rsid w:val="1C2B32A2"/>
    <w:rsid w:val="1C5D2335"/>
    <w:rsid w:val="1C6162DB"/>
    <w:rsid w:val="1C665C29"/>
    <w:rsid w:val="1C786E29"/>
    <w:rsid w:val="1C805A94"/>
    <w:rsid w:val="1C877DEB"/>
    <w:rsid w:val="1C925F1F"/>
    <w:rsid w:val="1C9E14BD"/>
    <w:rsid w:val="1CAC6DB0"/>
    <w:rsid w:val="1CAD636B"/>
    <w:rsid w:val="1CB6222B"/>
    <w:rsid w:val="1CBD440D"/>
    <w:rsid w:val="1CBE5341"/>
    <w:rsid w:val="1CC21590"/>
    <w:rsid w:val="1CCB3614"/>
    <w:rsid w:val="1CDD7D6D"/>
    <w:rsid w:val="1CF71A94"/>
    <w:rsid w:val="1D06060B"/>
    <w:rsid w:val="1D232A04"/>
    <w:rsid w:val="1D253EFC"/>
    <w:rsid w:val="1D2A47E8"/>
    <w:rsid w:val="1D393A52"/>
    <w:rsid w:val="1D4B079D"/>
    <w:rsid w:val="1D750703"/>
    <w:rsid w:val="1D7A1894"/>
    <w:rsid w:val="1D903E12"/>
    <w:rsid w:val="1DCE20EE"/>
    <w:rsid w:val="1DCF0496"/>
    <w:rsid w:val="1DE226E0"/>
    <w:rsid w:val="1DE627B1"/>
    <w:rsid w:val="1DF47EFC"/>
    <w:rsid w:val="1DF632FD"/>
    <w:rsid w:val="1DFE7AF7"/>
    <w:rsid w:val="1E067C30"/>
    <w:rsid w:val="1E271599"/>
    <w:rsid w:val="1E2B1BA1"/>
    <w:rsid w:val="1E2D0A51"/>
    <w:rsid w:val="1E2E1439"/>
    <w:rsid w:val="1E30165C"/>
    <w:rsid w:val="1E30247B"/>
    <w:rsid w:val="1E380731"/>
    <w:rsid w:val="1E6E7D5B"/>
    <w:rsid w:val="1E7F2573"/>
    <w:rsid w:val="1E897206"/>
    <w:rsid w:val="1E9B4FE9"/>
    <w:rsid w:val="1EBD2C19"/>
    <w:rsid w:val="1ED97035"/>
    <w:rsid w:val="1EE60593"/>
    <w:rsid w:val="1EE75CB3"/>
    <w:rsid w:val="1EEB19BE"/>
    <w:rsid w:val="1EFE5426"/>
    <w:rsid w:val="1F0900D7"/>
    <w:rsid w:val="1F183CCC"/>
    <w:rsid w:val="1F313114"/>
    <w:rsid w:val="1F35001F"/>
    <w:rsid w:val="1F51174B"/>
    <w:rsid w:val="1F5D2DC6"/>
    <w:rsid w:val="1F5F7CA0"/>
    <w:rsid w:val="1F6462FD"/>
    <w:rsid w:val="1FB16E1F"/>
    <w:rsid w:val="1FC22195"/>
    <w:rsid w:val="1FE741BD"/>
    <w:rsid w:val="202D76F6"/>
    <w:rsid w:val="203D65D3"/>
    <w:rsid w:val="204C2871"/>
    <w:rsid w:val="20562900"/>
    <w:rsid w:val="205B5FE2"/>
    <w:rsid w:val="205F1D91"/>
    <w:rsid w:val="206343C7"/>
    <w:rsid w:val="207115C6"/>
    <w:rsid w:val="2086299A"/>
    <w:rsid w:val="20936695"/>
    <w:rsid w:val="20AA6F98"/>
    <w:rsid w:val="20B120D5"/>
    <w:rsid w:val="20D41501"/>
    <w:rsid w:val="20D96253"/>
    <w:rsid w:val="20E57500"/>
    <w:rsid w:val="20FE0563"/>
    <w:rsid w:val="21181C91"/>
    <w:rsid w:val="211C688E"/>
    <w:rsid w:val="211E071F"/>
    <w:rsid w:val="21233C69"/>
    <w:rsid w:val="21235044"/>
    <w:rsid w:val="21250ADE"/>
    <w:rsid w:val="215F7CC0"/>
    <w:rsid w:val="2174123C"/>
    <w:rsid w:val="21843D65"/>
    <w:rsid w:val="218B5F26"/>
    <w:rsid w:val="21A31CED"/>
    <w:rsid w:val="21A46BEE"/>
    <w:rsid w:val="21C22773"/>
    <w:rsid w:val="21D83489"/>
    <w:rsid w:val="21DC73B6"/>
    <w:rsid w:val="21EB11BF"/>
    <w:rsid w:val="22090939"/>
    <w:rsid w:val="224A2252"/>
    <w:rsid w:val="22571B51"/>
    <w:rsid w:val="22636561"/>
    <w:rsid w:val="22764103"/>
    <w:rsid w:val="227D2267"/>
    <w:rsid w:val="22981F9C"/>
    <w:rsid w:val="22B12860"/>
    <w:rsid w:val="22BD15A2"/>
    <w:rsid w:val="22C11246"/>
    <w:rsid w:val="22C213F6"/>
    <w:rsid w:val="22C65A35"/>
    <w:rsid w:val="22C67910"/>
    <w:rsid w:val="22DA2ABA"/>
    <w:rsid w:val="22DB0A7C"/>
    <w:rsid w:val="22E83BB5"/>
    <w:rsid w:val="231B3691"/>
    <w:rsid w:val="231B417D"/>
    <w:rsid w:val="23333275"/>
    <w:rsid w:val="2361787B"/>
    <w:rsid w:val="23720081"/>
    <w:rsid w:val="23916F72"/>
    <w:rsid w:val="23B1019C"/>
    <w:rsid w:val="23DA5DE6"/>
    <w:rsid w:val="23F9568A"/>
    <w:rsid w:val="240B21EF"/>
    <w:rsid w:val="24236C43"/>
    <w:rsid w:val="242C3DBC"/>
    <w:rsid w:val="2432177F"/>
    <w:rsid w:val="24355DF3"/>
    <w:rsid w:val="24443DC5"/>
    <w:rsid w:val="244761E2"/>
    <w:rsid w:val="246B4C91"/>
    <w:rsid w:val="247535C1"/>
    <w:rsid w:val="248156CC"/>
    <w:rsid w:val="24B0423F"/>
    <w:rsid w:val="24F114D3"/>
    <w:rsid w:val="24F12555"/>
    <w:rsid w:val="24F34D4B"/>
    <w:rsid w:val="252B598F"/>
    <w:rsid w:val="252C6B6B"/>
    <w:rsid w:val="2532716E"/>
    <w:rsid w:val="25420D70"/>
    <w:rsid w:val="25485291"/>
    <w:rsid w:val="254E3748"/>
    <w:rsid w:val="256447BA"/>
    <w:rsid w:val="256471D1"/>
    <w:rsid w:val="2586094A"/>
    <w:rsid w:val="25975B6C"/>
    <w:rsid w:val="25A445B6"/>
    <w:rsid w:val="25AF5431"/>
    <w:rsid w:val="25D20619"/>
    <w:rsid w:val="25D30D3F"/>
    <w:rsid w:val="26030548"/>
    <w:rsid w:val="26060675"/>
    <w:rsid w:val="260A4F6A"/>
    <w:rsid w:val="26123616"/>
    <w:rsid w:val="26307F40"/>
    <w:rsid w:val="2637724E"/>
    <w:rsid w:val="26585DBB"/>
    <w:rsid w:val="265912DF"/>
    <w:rsid w:val="26673500"/>
    <w:rsid w:val="267E14C1"/>
    <w:rsid w:val="26933183"/>
    <w:rsid w:val="26963FCB"/>
    <w:rsid w:val="269D5C08"/>
    <w:rsid w:val="26AF46AA"/>
    <w:rsid w:val="26B923C6"/>
    <w:rsid w:val="26C076C9"/>
    <w:rsid w:val="26C44A92"/>
    <w:rsid w:val="26C82234"/>
    <w:rsid w:val="26ED60F4"/>
    <w:rsid w:val="26EF40E8"/>
    <w:rsid w:val="26F02336"/>
    <w:rsid w:val="26F8053B"/>
    <w:rsid w:val="26FC3E21"/>
    <w:rsid w:val="27310BFB"/>
    <w:rsid w:val="275335A0"/>
    <w:rsid w:val="27595504"/>
    <w:rsid w:val="276D6179"/>
    <w:rsid w:val="277A3E04"/>
    <w:rsid w:val="27A120BD"/>
    <w:rsid w:val="27B65DA8"/>
    <w:rsid w:val="27C43035"/>
    <w:rsid w:val="27D029C5"/>
    <w:rsid w:val="27D61CCF"/>
    <w:rsid w:val="27FD32DC"/>
    <w:rsid w:val="27FF5595"/>
    <w:rsid w:val="28075FC6"/>
    <w:rsid w:val="282D64B7"/>
    <w:rsid w:val="283B5FDF"/>
    <w:rsid w:val="28444B01"/>
    <w:rsid w:val="284E4D40"/>
    <w:rsid w:val="284F6DA3"/>
    <w:rsid w:val="28525824"/>
    <w:rsid w:val="28575A54"/>
    <w:rsid w:val="287D7A19"/>
    <w:rsid w:val="288B11F3"/>
    <w:rsid w:val="28956565"/>
    <w:rsid w:val="28991214"/>
    <w:rsid w:val="28B53785"/>
    <w:rsid w:val="28B77537"/>
    <w:rsid w:val="28C0686E"/>
    <w:rsid w:val="28C80F21"/>
    <w:rsid w:val="28E02ADB"/>
    <w:rsid w:val="28EB29D5"/>
    <w:rsid w:val="28F1279C"/>
    <w:rsid w:val="290A5ABC"/>
    <w:rsid w:val="290B2CB8"/>
    <w:rsid w:val="29150127"/>
    <w:rsid w:val="291A3A54"/>
    <w:rsid w:val="29304070"/>
    <w:rsid w:val="29496622"/>
    <w:rsid w:val="294A57BC"/>
    <w:rsid w:val="29751076"/>
    <w:rsid w:val="29873689"/>
    <w:rsid w:val="29882031"/>
    <w:rsid w:val="298E088F"/>
    <w:rsid w:val="29A32B13"/>
    <w:rsid w:val="29DA0519"/>
    <w:rsid w:val="29DF0BF3"/>
    <w:rsid w:val="2A325EEC"/>
    <w:rsid w:val="2A3A7EA1"/>
    <w:rsid w:val="2A3E2071"/>
    <w:rsid w:val="2A4D29A2"/>
    <w:rsid w:val="2A514DFD"/>
    <w:rsid w:val="2A547601"/>
    <w:rsid w:val="2A551074"/>
    <w:rsid w:val="2A7C51D9"/>
    <w:rsid w:val="2A8F63EC"/>
    <w:rsid w:val="2A9071FF"/>
    <w:rsid w:val="2AA909A7"/>
    <w:rsid w:val="2AB23A66"/>
    <w:rsid w:val="2AB467A5"/>
    <w:rsid w:val="2AC82313"/>
    <w:rsid w:val="2AEC7648"/>
    <w:rsid w:val="2AF633B8"/>
    <w:rsid w:val="2B0B4625"/>
    <w:rsid w:val="2B1C2A55"/>
    <w:rsid w:val="2B294AB2"/>
    <w:rsid w:val="2B2D0EF2"/>
    <w:rsid w:val="2B3A36BA"/>
    <w:rsid w:val="2B441827"/>
    <w:rsid w:val="2B8102D9"/>
    <w:rsid w:val="2BA054AC"/>
    <w:rsid w:val="2BA107C5"/>
    <w:rsid w:val="2BA5117D"/>
    <w:rsid w:val="2BA660F3"/>
    <w:rsid w:val="2BBC3AB5"/>
    <w:rsid w:val="2BC2145B"/>
    <w:rsid w:val="2BCF61A2"/>
    <w:rsid w:val="2BDF216D"/>
    <w:rsid w:val="2BEB387C"/>
    <w:rsid w:val="2BF04FEE"/>
    <w:rsid w:val="2C0F477D"/>
    <w:rsid w:val="2C114EFC"/>
    <w:rsid w:val="2C3507E0"/>
    <w:rsid w:val="2C43445B"/>
    <w:rsid w:val="2C522220"/>
    <w:rsid w:val="2C5E1A1C"/>
    <w:rsid w:val="2C63798B"/>
    <w:rsid w:val="2C752395"/>
    <w:rsid w:val="2C784EAD"/>
    <w:rsid w:val="2C8C74BC"/>
    <w:rsid w:val="2CC226F3"/>
    <w:rsid w:val="2CC65AEC"/>
    <w:rsid w:val="2CCA4130"/>
    <w:rsid w:val="2CD26DA1"/>
    <w:rsid w:val="2CDE3600"/>
    <w:rsid w:val="2CFB1FBE"/>
    <w:rsid w:val="2D07409C"/>
    <w:rsid w:val="2D1A5245"/>
    <w:rsid w:val="2D1B1014"/>
    <w:rsid w:val="2D2F6D65"/>
    <w:rsid w:val="2D4F3EFB"/>
    <w:rsid w:val="2D5979AF"/>
    <w:rsid w:val="2D5E5C4E"/>
    <w:rsid w:val="2D720219"/>
    <w:rsid w:val="2D7F67F7"/>
    <w:rsid w:val="2D81629E"/>
    <w:rsid w:val="2D9237DB"/>
    <w:rsid w:val="2DA03E63"/>
    <w:rsid w:val="2DA318B3"/>
    <w:rsid w:val="2DA4527D"/>
    <w:rsid w:val="2DA73053"/>
    <w:rsid w:val="2DAE4E29"/>
    <w:rsid w:val="2DCF1D53"/>
    <w:rsid w:val="2DE8291A"/>
    <w:rsid w:val="2E1F0FC6"/>
    <w:rsid w:val="2E1F73FD"/>
    <w:rsid w:val="2E23315A"/>
    <w:rsid w:val="2E2E5D1F"/>
    <w:rsid w:val="2E4E3659"/>
    <w:rsid w:val="2E7A4BDE"/>
    <w:rsid w:val="2E8125F6"/>
    <w:rsid w:val="2EAD3047"/>
    <w:rsid w:val="2EAD65D1"/>
    <w:rsid w:val="2EC11995"/>
    <w:rsid w:val="2ED81174"/>
    <w:rsid w:val="2EEB67FF"/>
    <w:rsid w:val="2EF02962"/>
    <w:rsid w:val="2F032695"/>
    <w:rsid w:val="2F0C1856"/>
    <w:rsid w:val="2F19594C"/>
    <w:rsid w:val="2F3B2C24"/>
    <w:rsid w:val="2F40430A"/>
    <w:rsid w:val="2F533BAE"/>
    <w:rsid w:val="2F7F4524"/>
    <w:rsid w:val="2F825507"/>
    <w:rsid w:val="2FD35801"/>
    <w:rsid w:val="2FDE3A6E"/>
    <w:rsid w:val="2FF0726B"/>
    <w:rsid w:val="301A61B0"/>
    <w:rsid w:val="30535376"/>
    <w:rsid w:val="306F381A"/>
    <w:rsid w:val="3077629F"/>
    <w:rsid w:val="30835D5B"/>
    <w:rsid w:val="308B7312"/>
    <w:rsid w:val="30A16FAE"/>
    <w:rsid w:val="313B1DF4"/>
    <w:rsid w:val="31424616"/>
    <w:rsid w:val="314357CE"/>
    <w:rsid w:val="31564310"/>
    <w:rsid w:val="315A12DA"/>
    <w:rsid w:val="316D3DF6"/>
    <w:rsid w:val="317621BF"/>
    <w:rsid w:val="317E1A26"/>
    <w:rsid w:val="31815BF7"/>
    <w:rsid w:val="3182167E"/>
    <w:rsid w:val="31842302"/>
    <w:rsid w:val="318B0B72"/>
    <w:rsid w:val="318B746D"/>
    <w:rsid w:val="31A4385D"/>
    <w:rsid w:val="31AA6151"/>
    <w:rsid w:val="31E22A36"/>
    <w:rsid w:val="31EC5C7C"/>
    <w:rsid w:val="32013E16"/>
    <w:rsid w:val="320317D2"/>
    <w:rsid w:val="3218038D"/>
    <w:rsid w:val="323B0398"/>
    <w:rsid w:val="324C5B40"/>
    <w:rsid w:val="32AB107A"/>
    <w:rsid w:val="32B729F1"/>
    <w:rsid w:val="32CD0B24"/>
    <w:rsid w:val="32CD5FFE"/>
    <w:rsid w:val="32D8566D"/>
    <w:rsid w:val="32ED1692"/>
    <w:rsid w:val="330A4F4E"/>
    <w:rsid w:val="33266D1D"/>
    <w:rsid w:val="334761B1"/>
    <w:rsid w:val="33543A27"/>
    <w:rsid w:val="33702ED1"/>
    <w:rsid w:val="337C5C82"/>
    <w:rsid w:val="33D956B7"/>
    <w:rsid w:val="34007CCC"/>
    <w:rsid w:val="34095C7C"/>
    <w:rsid w:val="34246A76"/>
    <w:rsid w:val="34277FD4"/>
    <w:rsid w:val="345E3486"/>
    <w:rsid w:val="346672AD"/>
    <w:rsid w:val="347748D7"/>
    <w:rsid w:val="3479242B"/>
    <w:rsid w:val="348002E4"/>
    <w:rsid w:val="34966AD7"/>
    <w:rsid w:val="349A75F8"/>
    <w:rsid w:val="34A306BD"/>
    <w:rsid w:val="34B61F58"/>
    <w:rsid w:val="34C6455E"/>
    <w:rsid w:val="34FB5BBD"/>
    <w:rsid w:val="35212EA4"/>
    <w:rsid w:val="353177BD"/>
    <w:rsid w:val="3563644D"/>
    <w:rsid w:val="356601D1"/>
    <w:rsid w:val="35692105"/>
    <w:rsid w:val="356F06AA"/>
    <w:rsid w:val="35735382"/>
    <w:rsid w:val="35782FF5"/>
    <w:rsid w:val="35817149"/>
    <w:rsid w:val="35867971"/>
    <w:rsid w:val="359B7B1C"/>
    <w:rsid w:val="35A41DB0"/>
    <w:rsid w:val="35B665C7"/>
    <w:rsid w:val="35DE7D7F"/>
    <w:rsid w:val="35E0477D"/>
    <w:rsid w:val="35FD1252"/>
    <w:rsid w:val="36013A60"/>
    <w:rsid w:val="362C24D2"/>
    <w:rsid w:val="362D4E42"/>
    <w:rsid w:val="3646710F"/>
    <w:rsid w:val="364855D2"/>
    <w:rsid w:val="36524514"/>
    <w:rsid w:val="3678247D"/>
    <w:rsid w:val="3679323D"/>
    <w:rsid w:val="36820BD0"/>
    <w:rsid w:val="36940904"/>
    <w:rsid w:val="36D155AE"/>
    <w:rsid w:val="36D8791B"/>
    <w:rsid w:val="3715771D"/>
    <w:rsid w:val="37413947"/>
    <w:rsid w:val="3744342B"/>
    <w:rsid w:val="375B2A83"/>
    <w:rsid w:val="37607DE1"/>
    <w:rsid w:val="3763586F"/>
    <w:rsid w:val="377957B0"/>
    <w:rsid w:val="37B46E2A"/>
    <w:rsid w:val="37C3396C"/>
    <w:rsid w:val="37C83914"/>
    <w:rsid w:val="37DE3EDF"/>
    <w:rsid w:val="37E1109A"/>
    <w:rsid w:val="37EF0D06"/>
    <w:rsid w:val="37F60F9E"/>
    <w:rsid w:val="380A746A"/>
    <w:rsid w:val="38173F9E"/>
    <w:rsid w:val="38425435"/>
    <w:rsid w:val="384C4558"/>
    <w:rsid w:val="38525CFB"/>
    <w:rsid w:val="385E4095"/>
    <w:rsid w:val="3882184F"/>
    <w:rsid w:val="38A9745A"/>
    <w:rsid w:val="38C379C5"/>
    <w:rsid w:val="38D1499A"/>
    <w:rsid w:val="38D62BC9"/>
    <w:rsid w:val="38DB2AC2"/>
    <w:rsid w:val="38DD23A1"/>
    <w:rsid w:val="38EC3078"/>
    <w:rsid w:val="39083A02"/>
    <w:rsid w:val="393F1E98"/>
    <w:rsid w:val="39551659"/>
    <w:rsid w:val="396211FC"/>
    <w:rsid w:val="396C5D31"/>
    <w:rsid w:val="397638FE"/>
    <w:rsid w:val="397F40BE"/>
    <w:rsid w:val="3981136D"/>
    <w:rsid w:val="398A0125"/>
    <w:rsid w:val="399A318C"/>
    <w:rsid w:val="39A549E1"/>
    <w:rsid w:val="39AD62B5"/>
    <w:rsid w:val="39D777AE"/>
    <w:rsid w:val="39E855C0"/>
    <w:rsid w:val="3A1A77B0"/>
    <w:rsid w:val="3A2428FE"/>
    <w:rsid w:val="3A255BB6"/>
    <w:rsid w:val="3A461B40"/>
    <w:rsid w:val="3A7B0598"/>
    <w:rsid w:val="3A7E19E0"/>
    <w:rsid w:val="3A8148E3"/>
    <w:rsid w:val="3A8613E7"/>
    <w:rsid w:val="3AB116BB"/>
    <w:rsid w:val="3AC90AD7"/>
    <w:rsid w:val="3ACC6031"/>
    <w:rsid w:val="3AD259A1"/>
    <w:rsid w:val="3AD31550"/>
    <w:rsid w:val="3ADA2F7B"/>
    <w:rsid w:val="3AE06500"/>
    <w:rsid w:val="3B080AEA"/>
    <w:rsid w:val="3B160EF5"/>
    <w:rsid w:val="3B2C3654"/>
    <w:rsid w:val="3B607DD8"/>
    <w:rsid w:val="3B627439"/>
    <w:rsid w:val="3B6F6E58"/>
    <w:rsid w:val="3B7732BF"/>
    <w:rsid w:val="3B856C9C"/>
    <w:rsid w:val="3B9B6E62"/>
    <w:rsid w:val="3BD677BA"/>
    <w:rsid w:val="3BDF7FE6"/>
    <w:rsid w:val="3BEC7F04"/>
    <w:rsid w:val="3BF410C6"/>
    <w:rsid w:val="3BF63A35"/>
    <w:rsid w:val="3C01043E"/>
    <w:rsid w:val="3C0A20E8"/>
    <w:rsid w:val="3C116F0F"/>
    <w:rsid w:val="3C1B372E"/>
    <w:rsid w:val="3C3178FE"/>
    <w:rsid w:val="3CAD1E92"/>
    <w:rsid w:val="3CBF0515"/>
    <w:rsid w:val="3CD65A21"/>
    <w:rsid w:val="3CDA605D"/>
    <w:rsid w:val="3CE24225"/>
    <w:rsid w:val="3CE53EEB"/>
    <w:rsid w:val="3CED6D57"/>
    <w:rsid w:val="3D046A03"/>
    <w:rsid w:val="3D150D62"/>
    <w:rsid w:val="3D2F28A7"/>
    <w:rsid w:val="3D362BD2"/>
    <w:rsid w:val="3D4527F4"/>
    <w:rsid w:val="3D4A58EF"/>
    <w:rsid w:val="3D6C00EB"/>
    <w:rsid w:val="3D7F5B7C"/>
    <w:rsid w:val="3D7F614C"/>
    <w:rsid w:val="3D982B1C"/>
    <w:rsid w:val="3DA3607C"/>
    <w:rsid w:val="3DA62AE3"/>
    <w:rsid w:val="3DB039E8"/>
    <w:rsid w:val="3DC24741"/>
    <w:rsid w:val="3DDA30F7"/>
    <w:rsid w:val="3DE96E40"/>
    <w:rsid w:val="3DF53DC1"/>
    <w:rsid w:val="3E097590"/>
    <w:rsid w:val="3E167319"/>
    <w:rsid w:val="3E17301D"/>
    <w:rsid w:val="3E1932D9"/>
    <w:rsid w:val="3E1F5C45"/>
    <w:rsid w:val="3E5C63CE"/>
    <w:rsid w:val="3E6C67AA"/>
    <w:rsid w:val="3E6D5506"/>
    <w:rsid w:val="3E703177"/>
    <w:rsid w:val="3EB8671E"/>
    <w:rsid w:val="3EE212C3"/>
    <w:rsid w:val="3EF26A86"/>
    <w:rsid w:val="3F1E2E26"/>
    <w:rsid w:val="3F231BA4"/>
    <w:rsid w:val="3F536D21"/>
    <w:rsid w:val="3F7945AF"/>
    <w:rsid w:val="3FAB2A66"/>
    <w:rsid w:val="3FDD245A"/>
    <w:rsid w:val="3FEB5E51"/>
    <w:rsid w:val="3FF302A3"/>
    <w:rsid w:val="401458C1"/>
    <w:rsid w:val="402F4E97"/>
    <w:rsid w:val="402F6255"/>
    <w:rsid w:val="404D3F07"/>
    <w:rsid w:val="40701293"/>
    <w:rsid w:val="40853C31"/>
    <w:rsid w:val="40AA07A9"/>
    <w:rsid w:val="40C26D6E"/>
    <w:rsid w:val="40C841BC"/>
    <w:rsid w:val="40D36688"/>
    <w:rsid w:val="40E829D4"/>
    <w:rsid w:val="4102348C"/>
    <w:rsid w:val="41044302"/>
    <w:rsid w:val="41084141"/>
    <w:rsid w:val="411C4354"/>
    <w:rsid w:val="411E6C03"/>
    <w:rsid w:val="413A1661"/>
    <w:rsid w:val="4153125A"/>
    <w:rsid w:val="4183075F"/>
    <w:rsid w:val="41917B60"/>
    <w:rsid w:val="41987C6E"/>
    <w:rsid w:val="41AB6536"/>
    <w:rsid w:val="41E371DD"/>
    <w:rsid w:val="41EB37AC"/>
    <w:rsid w:val="41F6765C"/>
    <w:rsid w:val="41F7233C"/>
    <w:rsid w:val="421A17F2"/>
    <w:rsid w:val="423C28F8"/>
    <w:rsid w:val="42546990"/>
    <w:rsid w:val="425A6618"/>
    <w:rsid w:val="425D1C65"/>
    <w:rsid w:val="426976B5"/>
    <w:rsid w:val="42722BCF"/>
    <w:rsid w:val="427D578B"/>
    <w:rsid w:val="428760F1"/>
    <w:rsid w:val="42944A2F"/>
    <w:rsid w:val="42AF2239"/>
    <w:rsid w:val="42BA0A8F"/>
    <w:rsid w:val="42C376FE"/>
    <w:rsid w:val="42C74678"/>
    <w:rsid w:val="42CC74D0"/>
    <w:rsid w:val="42D5354C"/>
    <w:rsid w:val="42D93FD0"/>
    <w:rsid w:val="42DA32B5"/>
    <w:rsid w:val="42DD745A"/>
    <w:rsid w:val="430A310A"/>
    <w:rsid w:val="4325415A"/>
    <w:rsid w:val="433169DA"/>
    <w:rsid w:val="43365456"/>
    <w:rsid w:val="433654FE"/>
    <w:rsid w:val="43446933"/>
    <w:rsid w:val="436942D4"/>
    <w:rsid w:val="43955308"/>
    <w:rsid w:val="43A460B5"/>
    <w:rsid w:val="43AA237A"/>
    <w:rsid w:val="43B864F2"/>
    <w:rsid w:val="43C653C7"/>
    <w:rsid w:val="43C96710"/>
    <w:rsid w:val="43CC7AED"/>
    <w:rsid w:val="43D91F6F"/>
    <w:rsid w:val="440F6F8F"/>
    <w:rsid w:val="441B66A3"/>
    <w:rsid w:val="44242A3A"/>
    <w:rsid w:val="442A4C48"/>
    <w:rsid w:val="443B3731"/>
    <w:rsid w:val="443D2366"/>
    <w:rsid w:val="44445A2C"/>
    <w:rsid w:val="44507A88"/>
    <w:rsid w:val="445552E9"/>
    <w:rsid w:val="446D1AD9"/>
    <w:rsid w:val="44786B45"/>
    <w:rsid w:val="447C581E"/>
    <w:rsid w:val="448355E4"/>
    <w:rsid w:val="44865978"/>
    <w:rsid w:val="449053BE"/>
    <w:rsid w:val="44A358F9"/>
    <w:rsid w:val="44BC6E13"/>
    <w:rsid w:val="44D73878"/>
    <w:rsid w:val="44EB382A"/>
    <w:rsid w:val="44FF5255"/>
    <w:rsid w:val="4512648B"/>
    <w:rsid w:val="45262197"/>
    <w:rsid w:val="453D1D4A"/>
    <w:rsid w:val="45455340"/>
    <w:rsid w:val="45577096"/>
    <w:rsid w:val="455E4A8D"/>
    <w:rsid w:val="45696229"/>
    <w:rsid w:val="457A00E6"/>
    <w:rsid w:val="45B41582"/>
    <w:rsid w:val="45B95404"/>
    <w:rsid w:val="45D01C84"/>
    <w:rsid w:val="45E00D08"/>
    <w:rsid w:val="45E84276"/>
    <w:rsid w:val="45E935A7"/>
    <w:rsid w:val="46515AE5"/>
    <w:rsid w:val="467F21AA"/>
    <w:rsid w:val="468872F7"/>
    <w:rsid w:val="46BD7176"/>
    <w:rsid w:val="46D16F6D"/>
    <w:rsid w:val="46EB41EB"/>
    <w:rsid w:val="46F856A4"/>
    <w:rsid w:val="472A0F4D"/>
    <w:rsid w:val="47356D0C"/>
    <w:rsid w:val="47554B64"/>
    <w:rsid w:val="476A2E5A"/>
    <w:rsid w:val="479E2B56"/>
    <w:rsid w:val="47F43FCB"/>
    <w:rsid w:val="47F711E9"/>
    <w:rsid w:val="48055032"/>
    <w:rsid w:val="480D021F"/>
    <w:rsid w:val="481539A3"/>
    <w:rsid w:val="482051F9"/>
    <w:rsid w:val="482864A2"/>
    <w:rsid w:val="484A6030"/>
    <w:rsid w:val="484C3986"/>
    <w:rsid w:val="484E328B"/>
    <w:rsid w:val="485460B3"/>
    <w:rsid w:val="48774BBF"/>
    <w:rsid w:val="487B57FD"/>
    <w:rsid w:val="487D485E"/>
    <w:rsid w:val="4881622C"/>
    <w:rsid w:val="48AB55FB"/>
    <w:rsid w:val="48AC0690"/>
    <w:rsid w:val="48B350B4"/>
    <w:rsid w:val="48C37200"/>
    <w:rsid w:val="48C72C01"/>
    <w:rsid w:val="48CB5B7A"/>
    <w:rsid w:val="48DA500C"/>
    <w:rsid w:val="48E852E0"/>
    <w:rsid w:val="48F338F7"/>
    <w:rsid w:val="48F84495"/>
    <w:rsid w:val="48F86243"/>
    <w:rsid w:val="490878C6"/>
    <w:rsid w:val="4911426B"/>
    <w:rsid w:val="49202EED"/>
    <w:rsid w:val="493F0FB8"/>
    <w:rsid w:val="49726EB9"/>
    <w:rsid w:val="497A1012"/>
    <w:rsid w:val="497B2B06"/>
    <w:rsid w:val="49A11573"/>
    <w:rsid w:val="49AA1738"/>
    <w:rsid w:val="49B72A9C"/>
    <w:rsid w:val="49CD051B"/>
    <w:rsid w:val="49D51486"/>
    <w:rsid w:val="49D9394F"/>
    <w:rsid w:val="49E328B0"/>
    <w:rsid w:val="49FD772E"/>
    <w:rsid w:val="4A003FE9"/>
    <w:rsid w:val="4A363525"/>
    <w:rsid w:val="4A392BEC"/>
    <w:rsid w:val="4A3E37CF"/>
    <w:rsid w:val="4A4F2914"/>
    <w:rsid w:val="4A522E15"/>
    <w:rsid w:val="4A550BDA"/>
    <w:rsid w:val="4A55157F"/>
    <w:rsid w:val="4A6914DA"/>
    <w:rsid w:val="4A90381C"/>
    <w:rsid w:val="4A914BA1"/>
    <w:rsid w:val="4AA02622"/>
    <w:rsid w:val="4AA56CAA"/>
    <w:rsid w:val="4AAE6DC8"/>
    <w:rsid w:val="4AAF4334"/>
    <w:rsid w:val="4ABE7D98"/>
    <w:rsid w:val="4B150627"/>
    <w:rsid w:val="4B28025D"/>
    <w:rsid w:val="4B2B6F13"/>
    <w:rsid w:val="4B2D32CF"/>
    <w:rsid w:val="4B3B666B"/>
    <w:rsid w:val="4B55797D"/>
    <w:rsid w:val="4B695E19"/>
    <w:rsid w:val="4B74553E"/>
    <w:rsid w:val="4B943D60"/>
    <w:rsid w:val="4B990106"/>
    <w:rsid w:val="4BC2486B"/>
    <w:rsid w:val="4C203779"/>
    <w:rsid w:val="4C2D72F8"/>
    <w:rsid w:val="4C3037FE"/>
    <w:rsid w:val="4C3432B4"/>
    <w:rsid w:val="4C351555"/>
    <w:rsid w:val="4C3A6B73"/>
    <w:rsid w:val="4C4F1E39"/>
    <w:rsid w:val="4C502F9B"/>
    <w:rsid w:val="4C583BC9"/>
    <w:rsid w:val="4C5B0F68"/>
    <w:rsid w:val="4C787E88"/>
    <w:rsid w:val="4C7D6434"/>
    <w:rsid w:val="4C9A2375"/>
    <w:rsid w:val="4CD104FC"/>
    <w:rsid w:val="4CD11B1F"/>
    <w:rsid w:val="4CD3309A"/>
    <w:rsid w:val="4CE10AA6"/>
    <w:rsid w:val="4CE730E0"/>
    <w:rsid w:val="4CF117C2"/>
    <w:rsid w:val="4CF61EC2"/>
    <w:rsid w:val="4CFF4044"/>
    <w:rsid w:val="4D186F1E"/>
    <w:rsid w:val="4D1C2677"/>
    <w:rsid w:val="4D214CC1"/>
    <w:rsid w:val="4D382F3D"/>
    <w:rsid w:val="4D5D0532"/>
    <w:rsid w:val="4D6F29BB"/>
    <w:rsid w:val="4D9D459A"/>
    <w:rsid w:val="4DB7190B"/>
    <w:rsid w:val="4DB95832"/>
    <w:rsid w:val="4DBC3CE3"/>
    <w:rsid w:val="4DC13910"/>
    <w:rsid w:val="4DC64783"/>
    <w:rsid w:val="4DC92CAF"/>
    <w:rsid w:val="4DD931AD"/>
    <w:rsid w:val="4DF879A7"/>
    <w:rsid w:val="4DFD14CB"/>
    <w:rsid w:val="4E3A1A62"/>
    <w:rsid w:val="4E3D5780"/>
    <w:rsid w:val="4E6A4F7D"/>
    <w:rsid w:val="4E7255AE"/>
    <w:rsid w:val="4E7F72B0"/>
    <w:rsid w:val="4E892DDF"/>
    <w:rsid w:val="4E912D1A"/>
    <w:rsid w:val="4E991A77"/>
    <w:rsid w:val="4EA22E67"/>
    <w:rsid w:val="4EA474EE"/>
    <w:rsid w:val="4EAB5F49"/>
    <w:rsid w:val="4EB64A0E"/>
    <w:rsid w:val="4EE26067"/>
    <w:rsid w:val="4EE97817"/>
    <w:rsid w:val="4EEF746A"/>
    <w:rsid w:val="4EF21CD9"/>
    <w:rsid w:val="4F275C0C"/>
    <w:rsid w:val="4F346169"/>
    <w:rsid w:val="4F3519C9"/>
    <w:rsid w:val="4F4617CE"/>
    <w:rsid w:val="4F600861"/>
    <w:rsid w:val="4F622397"/>
    <w:rsid w:val="4F724377"/>
    <w:rsid w:val="4F7C0D5D"/>
    <w:rsid w:val="4F8B7E11"/>
    <w:rsid w:val="4F936F62"/>
    <w:rsid w:val="4FA170B1"/>
    <w:rsid w:val="4FA8123B"/>
    <w:rsid w:val="4FB3477D"/>
    <w:rsid w:val="4FC43758"/>
    <w:rsid w:val="4FD5018E"/>
    <w:rsid w:val="4FDA1A9F"/>
    <w:rsid w:val="4FDF5CAB"/>
    <w:rsid w:val="4FED287A"/>
    <w:rsid w:val="4FEF1931"/>
    <w:rsid w:val="501D0414"/>
    <w:rsid w:val="502445CE"/>
    <w:rsid w:val="502B6CBA"/>
    <w:rsid w:val="503016DC"/>
    <w:rsid w:val="504D23D4"/>
    <w:rsid w:val="505518B5"/>
    <w:rsid w:val="507C2A71"/>
    <w:rsid w:val="508828B2"/>
    <w:rsid w:val="50891EC9"/>
    <w:rsid w:val="508D365F"/>
    <w:rsid w:val="509A37E3"/>
    <w:rsid w:val="509E1DC6"/>
    <w:rsid w:val="50AC17BB"/>
    <w:rsid w:val="50B34D82"/>
    <w:rsid w:val="50B8238B"/>
    <w:rsid w:val="50CF4741"/>
    <w:rsid w:val="50FF6AA7"/>
    <w:rsid w:val="51160693"/>
    <w:rsid w:val="51192CAF"/>
    <w:rsid w:val="512D795D"/>
    <w:rsid w:val="512F5B8D"/>
    <w:rsid w:val="51495E88"/>
    <w:rsid w:val="514E6A22"/>
    <w:rsid w:val="515661FD"/>
    <w:rsid w:val="516B6686"/>
    <w:rsid w:val="518A329F"/>
    <w:rsid w:val="51B15182"/>
    <w:rsid w:val="51B234F8"/>
    <w:rsid w:val="51B63682"/>
    <w:rsid w:val="51CE1F40"/>
    <w:rsid w:val="51D06C18"/>
    <w:rsid w:val="521555D1"/>
    <w:rsid w:val="521913BA"/>
    <w:rsid w:val="522A70ED"/>
    <w:rsid w:val="52493F12"/>
    <w:rsid w:val="5255558D"/>
    <w:rsid w:val="526D025F"/>
    <w:rsid w:val="52955D9C"/>
    <w:rsid w:val="529D1B1E"/>
    <w:rsid w:val="52B41D71"/>
    <w:rsid w:val="52BB2A93"/>
    <w:rsid w:val="52D74C4D"/>
    <w:rsid w:val="52DD20EB"/>
    <w:rsid w:val="52E33BCD"/>
    <w:rsid w:val="52E8717A"/>
    <w:rsid w:val="52EC1BD1"/>
    <w:rsid w:val="53193DE1"/>
    <w:rsid w:val="531B0DBD"/>
    <w:rsid w:val="5349411C"/>
    <w:rsid w:val="534E733E"/>
    <w:rsid w:val="535168EB"/>
    <w:rsid w:val="535778B4"/>
    <w:rsid w:val="53723F4D"/>
    <w:rsid w:val="5374447A"/>
    <w:rsid w:val="53924B8B"/>
    <w:rsid w:val="539F5E24"/>
    <w:rsid w:val="53B34101"/>
    <w:rsid w:val="53BE3A4C"/>
    <w:rsid w:val="53D25373"/>
    <w:rsid w:val="53D65E65"/>
    <w:rsid w:val="53F97A4A"/>
    <w:rsid w:val="53FA5BF8"/>
    <w:rsid w:val="54051227"/>
    <w:rsid w:val="541331EB"/>
    <w:rsid w:val="54185CF1"/>
    <w:rsid w:val="541A7413"/>
    <w:rsid w:val="54435B43"/>
    <w:rsid w:val="544C0BBA"/>
    <w:rsid w:val="545D75A4"/>
    <w:rsid w:val="546A41FA"/>
    <w:rsid w:val="5471253B"/>
    <w:rsid w:val="54A0038E"/>
    <w:rsid w:val="54A1691F"/>
    <w:rsid w:val="54A2695B"/>
    <w:rsid w:val="54B4724C"/>
    <w:rsid w:val="54C87E9C"/>
    <w:rsid w:val="54CB5214"/>
    <w:rsid w:val="54E2413E"/>
    <w:rsid w:val="54E90156"/>
    <w:rsid w:val="54F00716"/>
    <w:rsid w:val="55020B76"/>
    <w:rsid w:val="550603CC"/>
    <w:rsid w:val="5516017D"/>
    <w:rsid w:val="551A61C1"/>
    <w:rsid w:val="551E4E80"/>
    <w:rsid w:val="552A7BC8"/>
    <w:rsid w:val="552E1437"/>
    <w:rsid w:val="55325CA9"/>
    <w:rsid w:val="55384597"/>
    <w:rsid w:val="556B7A9B"/>
    <w:rsid w:val="557B441B"/>
    <w:rsid w:val="55947B94"/>
    <w:rsid w:val="55B456F3"/>
    <w:rsid w:val="55C72FB5"/>
    <w:rsid w:val="55CC6B09"/>
    <w:rsid w:val="55E353FE"/>
    <w:rsid w:val="55FE4202"/>
    <w:rsid w:val="56016CA9"/>
    <w:rsid w:val="56046181"/>
    <w:rsid w:val="560C5695"/>
    <w:rsid w:val="56335103"/>
    <w:rsid w:val="56387080"/>
    <w:rsid w:val="56433644"/>
    <w:rsid w:val="56535401"/>
    <w:rsid w:val="56593530"/>
    <w:rsid w:val="569B4A27"/>
    <w:rsid w:val="56A42364"/>
    <w:rsid w:val="56A86526"/>
    <w:rsid w:val="56AC1389"/>
    <w:rsid w:val="56AE4583"/>
    <w:rsid w:val="56F429AE"/>
    <w:rsid w:val="571548F1"/>
    <w:rsid w:val="572F0E3A"/>
    <w:rsid w:val="57305663"/>
    <w:rsid w:val="57432E14"/>
    <w:rsid w:val="57510183"/>
    <w:rsid w:val="5767551A"/>
    <w:rsid w:val="57680227"/>
    <w:rsid w:val="576B2687"/>
    <w:rsid w:val="577E684A"/>
    <w:rsid w:val="578E6BE2"/>
    <w:rsid w:val="57D21938"/>
    <w:rsid w:val="57DF5099"/>
    <w:rsid w:val="58032313"/>
    <w:rsid w:val="58506E64"/>
    <w:rsid w:val="58C549B8"/>
    <w:rsid w:val="58CD149A"/>
    <w:rsid w:val="58D0757D"/>
    <w:rsid w:val="58F02B16"/>
    <w:rsid w:val="59186E56"/>
    <w:rsid w:val="59243130"/>
    <w:rsid w:val="594D1200"/>
    <w:rsid w:val="59521DFB"/>
    <w:rsid w:val="595459D3"/>
    <w:rsid w:val="5967123C"/>
    <w:rsid w:val="59821298"/>
    <w:rsid w:val="598E7A6B"/>
    <w:rsid w:val="5996270E"/>
    <w:rsid w:val="5998623D"/>
    <w:rsid w:val="59B24CDC"/>
    <w:rsid w:val="59B862D1"/>
    <w:rsid w:val="59BA3933"/>
    <w:rsid w:val="59BF227F"/>
    <w:rsid w:val="59C11035"/>
    <w:rsid w:val="59D2396D"/>
    <w:rsid w:val="59E94C01"/>
    <w:rsid w:val="59F76576"/>
    <w:rsid w:val="59F91B3E"/>
    <w:rsid w:val="5A504B2F"/>
    <w:rsid w:val="5A623834"/>
    <w:rsid w:val="5A9F6E0C"/>
    <w:rsid w:val="5AB17215"/>
    <w:rsid w:val="5AB628C1"/>
    <w:rsid w:val="5AB864A8"/>
    <w:rsid w:val="5ABD446A"/>
    <w:rsid w:val="5AC84955"/>
    <w:rsid w:val="5ACB3CC7"/>
    <w:rsid w:val="5AD648F7"/>
    <w:rsid w:val="5AEF7A42"/>
    <w:rsid w:val="5B370563"/>
    <w:rsid w:val="5B3F588B"/>
    <w:rsid w:val="5B4834B5"/>
    <w:rsid w:val="5B4919F0"/>
    <w:rsid w:val="5B4C27B0"/>
    <w:rsid w:val="5B53063D"/>
    <w:rsid w:val="5B6360E6"/>
    <w:rsid w:val="5B7855EF"/>
    <w:rsid w:val="5B7F775C"/>
    <w:rsid w:val="5B93114D"/>
    <w:rsid w:val="5BA80476"/>
    <w:rsid w:val="5BAF6C35"/>
    <w:rsid w:val="5BBB2C8C"/>
    <w:rsid w:val="5BBF103E"/>
    <w:rsid w:val="5BD538CD"/>
    <w:rsid w:val="5BE94C56"/>
    <w:rsid w:val="5BEE41EF"/>
    <w:rsid w:val="5BFC35B7"/>
    <w:rsid w:val="5C0C3C2E"/>
    <w:rsid w:val="5C0E5AC7"/>
    <w:rsid w:val="5C2B5E60"/>
    <w:rsid w:val="5C2F2869"/>
    <w:rsid w:val="5C717A62"/>
    <w:rsid w:val="5CBE31F8"/>
    <w:rsid w:val="5CE56107"/>
    <w:rsid w:val="5CFA0384"/>
    <w:rsid w:val="5D085705"/>
    <w:rsid w:val="5D206B1C"/>
    <w:rsid w:val="5D3648D2"/>
    <w:rsid w:val="5D427BD3"/>
    <w:rsid w:val="5D520BBA"/>
    <w:rsid w:val="5D866A48"/>
    <w:rsid w:val="5D8E5BCA"/>
    <w:rsid w:val="5D8F6EFE"/>
    <w:rsid w:val="5D9B0B88"/>
    <w:rsid w:val="5DF44155"/>
    <w:rsid w:val="5E317731"/>
    <w:rsid w:val="5E4D0D55"/>
    <w:rsid w:val="5E5F37E5"/>
    <w:rsid w:val="5E63574A"/>
    <w:rsid w:val="5E7856ED"/>
    <w:rsid w:val="5E824AEF"/>
    <w:rsid w:val="5E831EED"/>
    <w:rsid w:val="5E8A310E"/>
    <w:rsid w:val="5E976B50"/>
    <w:rsid w:val="5EA3463D"/>
    <w:rsid w:val="5EA40191"/>
    <w:rsid w:val="5EA507C4"/>
    <w:rsid w:val="5ED33EAA"/>
    <w:rsid w:val="5F275D50"/>
    <w:rsid w:val="5F2F71B3"/>
    <w:rsid w:val="5F315E14"/>
    <w:rsid w:val="5F9B2D2A"/>
    <w:rsid w:val="5FA01A2A"/>
    <w:rsid w:val="5FAB74A6"/>
    <w:rsid w:val="5FB57A68"/>
    <w:rsid w:val="5FF41797"/>
    <w:rsid w:val="601B5BA5"/>
    <w:rsid w:val="601C4AB5"/>
    <w:rsid w:val="60254888"/>
    <w:rsid w:val="60297670"/>
    <w:rsid w:val="603172AE"/>
    <w:rsid w:val="60381469"/>
    <w:rsid w:val="6066176E"/>
    <w:rsid w:val="607050C2"/>
    <w:rsid w:val="60962B30"/>
    <w:rsid w:val="60A06D51"/>
    <w:rsid w:val="60A46F85"/>
    <w:rsid w:val="60C12984"/>
    <w:rsid w:val="60D01B21"/>
    <w:rsid w:val="61136D51"/>
    <w:rsid w:val="61173FC7"/>
    <w:rsid w:val="611F4533"/>
    <w:rsid w:val="614076FE"/>
    <w:rsid w:val="61437D16"/>
    <w:rsid w:val="614C390D"/>
    <w:rsid w:val="615D7BFF"/>
    <w:rsid w:val="61622B8D"/>
    <w:rsid w:val="61667D19"/>
    <w:rsid w:val="616E43DB"/>
    <w:rsid w:val="6193597B"/>
    <w:rsid w:val="619E61FD"/>
    <w:rsid w:val="61C1318E"/>
    <w:rsid w:val="61C1570C"/>
    <w:rsid w:val="61D66A2E"/>
    <w:rsid w:val="61DD0F4D"/>
    <w:rsid w:val="61EC370B"/>
    <w:rsid w:val="61EF6BBC"/>
    <w:rsid w:val="61F155FB"/>
    <w:rsid w:val="61F3554E"/>
    <w:rsid w:val="61F93300"/>
    <w:rsid w:val="62164104"/>
    <w:rsid w:val="62171AFF"/>
    <w:rsid w:val="621F2D3C"/>
    <w:rsid w:val="62530564"/>
    <w:rsid w:val="6258410D"/>
    <w:rsid w:val="626649C6"/>
    <w:rsid w:val="627632CC"/>
    <w:rsid w:val="62805AE5"/>
    <w:rsid w:val="628506F0"/>
    <w:rsid w:val="6287090C"/>
    <w:rsid w:val="62895F5C"/>
    <w:rsid w:val="628C1E2A"/>
    <w:rsid w:val="62962BDD"/>
    <w:rsid w:val="629C0DE1"/>
    <w:rsid w:val="62A43808"/>
    <w:rsid w:val="62A90295"/>
    <w:rsid w:val="62C45F51"/>
    <w:rsid w:val="62CC703C"/>
    <w:rsid w:val="62F10032"/>
    <w:rsid w:val="630730FD"/>
    <w:rsid w:val="6318216D"/>
    <w:rsid w:val="63182B98"/>
    <w:rsid w:val="63217944"/>
    <w:rsid w:val="6322220C"/>
    <w:rsid w:val="6327242C"/>
    <w:rsid w:val="633F699C"/>
    <w:rsid w:val="634F13C9"/>
    <w:rsid w:val="63534C92"/>
    <w:rsid w:val="63711163"/>
    <w:rsid w:val="63754C08"/>
    <w:rsid w:val="638A7D46"/>
    <w:rsid w:val="638C77B8"/>
    <w:rsid w:val="638F78C2"/>
    <w:rsid w:val="639D7154"/>
    <w:rsid w:val="63A764BF"/>
    <w:rsid w:val="63CD1390"/>
    <w:rsid w:val="63CF02CC"/>
    <w:rsid w:val="63CF77E6"/>
    <w:rsid w:val="63DA1D71"/>
    <w:rsid w:val="63DC0D46"/>
    <w:rsid w:val="63E61662"/>
    <w:rsid w:val="63E67F4B"/>
    <w:rsid w:val="63EA65EE"/>
    <w:rsid w:val="63FC1162"/>
    <w:rsid w:val="64006AD1"/>
    <w:rsid w:val="640A3556"/>
    <w:rsid w:val="64490A6E"/>
    <w:rsid w:val="6458100E"/>
    <w:rsid w:val="645E06F7"/>
    <w:rsid w:val="64680E0B"/>
    <w:rsid w:val="646F1658"/>
    <w:rsid w:val="646F75EA"/>
    <w:rsid w:val="647C1FA9"/>
    <w:rsid w:val="648B41DA"/>
    <w:rsid w:val="649C7F73"/>
    <w:rsid w:val="64A15950"/>
    <w:rsid w:val="64BF1228"/>
    <w:rsid w:val="6509385A"/>
    <w:rsid w:val="65146547"/>
    <w:rsid w:val="651E4D27"/>
    <w:rsid w:val="652F3813"/>
    <w:rsid w:val="653F3FA1"/>
    <w:rsid w:val="6549378C"/>
    <w:rsid w:val="65532D27"/>
    <w:rsid w:val="65545142"/>
    <w:rsid w:val="65637AA1"/>
    <w:rsid w:val="65646421"/>
    <w:rsid w:val="65682877"/>
    <w:rsid w:val="657726BA"/>
    <w:rsid w:val="658E6FFE"/>
    <w:rsid w:val="65C36AC7"/>
    <w:rsid w:val="65D009D0"/>
    <w:rsid w:val="65D92236"/>
    <w:rsid w:val="65EE4FF2"/>
    <w:rsid w:val="65F51D11"/>
    <w:rsid w:val="66041355"/>
    <w:rsid w:val="661B7AB4"/>
    <w:rsid w:val="66233DC3"/>
    <w:rsid w:val="662F4420"/>
    <w:rsid w:val="663C553A"/>
    <w:rsid w:val="66435F91"/>
    <w:rsid w:val="66466EBB"/>
    <w:rsid w:val="6697581E"/>
    <w:rsid w:val="66A2184D"/>
    <w:rsid w:val="66A72100"/>
    <w:rsid w:val="66B079FD"/>
    <w:rsid w:val="66B67037"/>
    <w:rsid w:val="66F57EC6"/>
    <w:rsid w:val="672E57FA"/>
    <w:rsid w:val="67444946"/>
    <w:rsid w:val="674C0926"/>
    <w:rsid w:val="674E19F8"/>
    <w:rsid w:val="675E09C4"/>
    <w:rsid w:val="677A2258"/>
    <w:rsid w:val="678B49CA"/>
    <w:rsid w:val="679D2B01"/>
    <w:rsid w:val="679F7FA8"/>
    <w:rsid w:val="67BF24B9"/>
    <w:rsid w:val="67BF71F0"/>
    <w:rsid w:val="67C723DB"/>
    <w:rsid w:val="67CC0B6F"/>
    <w:rsid w:val="67DB474B"/>
    <w:rsid w:val="67E87395"/>
    <w:rsid w:val="67E94FB7"/>
    <w:rsid w:val="67EF5A6D"/>
    <w:rsid w:val="67F17444"/>
    <w:rsid w:val="67F854FE"/>
    <w:rsid w:val="68030F15"/>
    <w:rsid w:val="68261404"/>
    <w:rsid w:val="6829791C"/>
    <w:rsid w:val="683A437C"/>
    <w:rsid w:val="68415562"/>
    <w:rsid w:val="68455281"/>
    <w:rsid w:val="6860799A"/>
    <w:rsid w:val="6870599E"/>
    <w:rsid w:val="68AF583C"/>
    <w:rsid w:val="68C82D6C"/>
    <w:rsid w:val="68C842E3"/>
    <w:rsid w:val="68DE7D57"/>
    <w:rsid w:val="68E30937"/>
    <w:rsid w:val="68FD5F3D"/>
    <w:rsid w:val="69041F26"/>
    <w:rsid w:val="69130179"/>
    <w:rsid w:val="69411A5A"/>
    <w:rsid w:val="69797874"/>
    <w:rsid w:val="69815107"/>
    <w:rsid w:val="699E5E58"/>
    <w:rsid w:val="69A16C2A"/>
    <w:rsid w:val="69A73FEE"/>
    <w:rsid w:val="69FA5E67"/>
    <w:rsid w:val="69FE23BF"/>
    <w:rsid w:val="6A02676B"/>
    <w:rsid w:val="6A0445F0"/>
    <w:rsid w:val="6A1E74AE"/>
    <w:rsid w:val="6A393F80"/>
    <w:rsid w:val="6A4675D7"/>
    <w:rsid w:val="6A5D1F52"/>
    <w:rsid w:val="6A616D6F"/>
    <w:rsid w:val="6A660125"/>
    <w:rsid w:val="6A6703AA"/>
    <w:rsid w:val="6A6A1A6D"/>
    <w:rsid w:val="6A6A777B"/>
    <w:rsid w:val="6A735507"/>
    <w:rsid w:val="6A8373E5"/>
    <w:rsid w:val="6A981362"/>
    <w:rsid w:val="6A99742E"/>
    <w:rsid w:val="6AAC38DA"/>
    <w:rsid w:val="6AC93F0A"/>
    <w:rsid w:val="6ADC7588"/>
    <w:rsid w:val="6AE03671"/>
    <w:rsid w:val="6B0E3EE4"/>
    <w:rsid w:val="6B10503D"/>
    <w:rsid w:val="6B254CAF"/>
    <w:rsid w:val="6B3611FB"/>
    <w:rsid w:val="6B511079"/>
    <w:rsid w:val="6B671AE1"/>
    <w:rsid w:val="6B81241F"/>
    <w:rsid w:val="6BBF3C4F"/>
    <w:rsid w:val="6BC952E4"/>
    <w:rsid w:val="6BD65937"/>
    <w:rsid w:val="6BD72D2C"/>
    <w:rsid w:val="6BE16884"/>
    <w:rsid w:val="6BE46AA6"/>
    <w:rsid w:val="6C246437"/>
    <w:rsid w:val="6C3535E2"/>
    <w:rsid w:val="6C546E89"/>
    <w:rsid w:val="6C574393"/>
    <w:rsid w:val="6C5925AB"/>
    <w:rsid w:val="6C60408A"/>
    <w:rsid w:val="6C940516"/>
    <w:rsid w:val="6C951E77"/>
    <w:rsid w:val="6C952436"/>
    <w:rsid w:val="6CAB6174"/>
    <w:rsid w:val="6CBC23C4"/>
    <w:rsid w:val="6CCD0E25"/>
    <w:rsid w:val="6CCF526B"/>
    <w:rsid w:val="6D017311"/>
    <w:rsid w:val="6D022B5D"/>
    <w:rsid w:val="6D154D50"/>
    <w:rsid w:val="6D3B0FF6"/>
    <w:rsid w:val="6D3D6A20"/>
    <w:rsid w:val="6D486CF3"/>
    <w:rsid w:val="6D516C33"/>
    <w:rsid w:val="6D5E513B"/>
    <w:rsid w:val="6D636FB4"/>
    <w:rsid w:val="6D64646B"/>
    <w:rsid w:val="6DA10849"/>
    <w:rsid w:val="6DA742C4"/>
    <w:rsid w:val="6DA7761A"/>
    <w:rsid w:val="6DAA2FD1"/>
    <w:rsid w:val="6DBE7EA9"/>
    <w:rsid w:val="6DD474F8"/>
    <w:rsid w:val="6DD570F2"/>
    <w:rsid w:val="6DDC674B"/>
    <w:rsid w:val="6DFA4A6F"/>
    <w:rsid w:val="6E274D51"/>
    <w:rsid w:val="6E2F6877"/>
    <w:rsid w:val="6E344540"/>
    <w:rsid w:val="6E410AA3"/>
    <w:rsid w:val="6E4C33CE"/>
    <w:rsid w:val="6E521293"/>
    <w:rsid w:val="6E6704AC"/>
    <w:rsid w:val="6E7B334B"/>
    <w:rsid w:val="6E7F1B73"/>
    <w:rsid w:val="6E852A85"/>
    <w:rsid w:val="6E8759A4"/>
    <w:rsid w:val="6EB96DBC"/>
    <w:rsid w:val="6EC235A3"/>
    <w:rsid w:val="6EC425A0"/>
    <w:rsid w:val="6EF105B8"/>
    <w:rsid w:val="6F03756C"/>
    <w:rsid w:val="6F1503F3"/>
    <w:rsid w:val="6F1B361F"/>
    <w:rsid w:val="6F3C71ED"/>
    <w:rsid w:val="6F3F0578"/>
    <w:rsid w:val="6F4A519B"/>
    <w:rsid w:val="6F4D6A39"/>
    <w:rsid w:val="6F510285"/>
    <w:rsid w:val="6F597DD6"/>
    <w:rsid w:val="6F604256"/>
    <w:rsid w:val="6F7C4544"/>
    <w:rsid w:val="6F9140A8"/>
    <w:rsid w:val="6F9615F0"/>
    <w:rsid w:val="6FA764A5"/>
    <w:rsid w:val="6FE514DB"/>
    <w:rsid w:val="701A7C85"/>
    <w:rsid w:val="70452BBF"/>
    <w:rsid w:val="707C596B"/>
    <w:rsid w:val="70853245"/>
    <w:rsid w:val="70A405A0"/>
    <w:rsid w:val="70AF15FF"/>
    <w:rsid w:val="70C43C3E"/>
    <w:rsid w:val="70CD0C66"/>
    <w:rsid w:val="70D1292A"/>
    <w:rsid w:val="70E87DC5"/>
    <w:rsid w:val="70F151B8"/>
    <w:rsid w:val="70FB519D"/>
    <w:rsid w:val="71095B4B"/>
    <w:rsid w:val="710A441D"/>
    <w:rsid w:val="71117D2D"/>
    <w:rsid w:val="71186EFC"/>
    <w:rsid w:val="7155207D"/>
    <w:rsid w:val="718D28BF"/>
    <w:rsid w:val="71962116"/>
    <w:rsid w:val="71CF1396"/>
    <w:rsid w:val="71CF6831"/>
    <w:rsid w:val="71D61D26"/>
    <w:rsid w:val="71DE3F1E"/>
    <w:rsid w:val="71DF3072"/>
    <w:rsid w:val="71E126E7"/>
    <w:rsid w:val="71F87B40"/>
    <w:rsid w:val="71FF5B4E"/>
    <w:rsid w:val="72041416"/>
    <w:rsid w:val="72073CDB"/>
    <w:rsid w:val="721075A7"/>
    <w:rsid w:val="723517CD"/>
    <w:rsid w:val="7273017D"/>
    <w:rsid w:val="72784480"/>
    <w:rsid w:val="729A6862"/>
    <w:rsid w:val="729C3858"/>
    <w:rsid w:val="72A76976"/>
    <w:rsid w:val="72B132EC"/>
    <w:rsid w:val="72DA3447"/>
    <w:rsid w:val="72DE60D9"/>
    <w:rsid w:val="72FC7BDB"/>
    <w:rsid w:val="7309711B"/>
    <w:rsid w:val="7318735E"/>
    <w:rsid w:val="73216B98"/>
    <w:rsid w:val="732C01B5"/>
    <w:rsid w:val="732C5D20"/>
    <w:rsid w:val="73487C44"/>
    <w:rsid w:val="73543548"/>
    <w:rsid w:val="735A49C5"/>
    <w:rsid w:val="7362750D"/>
    <w:rsid w:val="73633B35"/>
    <w:rsid w:val="738E13CF"/>
    <w:rsid w:val="73A56913"/>
    <w:rsid w:val="73BD732A"/>
    <w:rsid w:val="73D33DFB"/>
    <w:rsid w:val="73E774EB"/>
    <w:rsid w:val="73F61BB3"/>
    <w:rsid w:val="7418018A"/>
    <w:rsid w:val="741A521A"/>
    <w:rsid w:val="74223F7C"/>
    <w:rsid w:val="743401C8"/>
    <w:rsid w:val="74367F1C"/>
    <w:rsid w:val="744A2B6B"/>
    <w:rsid w:val="746A214D"/>
    <w:rsid w:val="748D1686"/>
    <w:rsid w:val="74BD796F"/>
    <w:rsid w:val="74CE60A3"/>
    <w:rsid w:val="74D26794"/>
    <w:rsid w:val="74D31292"/>
    <w:rsid w:val="74DD260E"/>
    <w:rsid w:val="74EA4E31"/>
    <w:rsid w:val="74F47A21"/>
    <w:rsid w:val="7511518E"/>
    <w:rsid w:val="75157FF9"/>
    <w:rsid w:val="75345D4A"/>
    <w:rsid w:val="7540614A"/>
    <w:rsid w:val="75482DB9"/>
    <w:rsid w:val="754A70F1"/>
    <w:rsid w:val="754D7793"/>
    <w:rsid w:val="758538F8"/>
    <w:rsid w:val="75AB44BA"/>
    <w:rsid w:val="75B86E38"/>
    <w:rsid w:val="75BA148E"/>
    <w:rsid w:val="75C24164"/>
    <w:rsid w:val="75C716AF"/>
    <w:rsid w:val="75CF01A8"/>
    <w:rsid w:val="75CF3B98"/>
    <w:rsid w:val="75E41779"/>
    <w:rsid w:val="75E43528"/>
    <w:rsid w:val="75E47945"/>
    <w:rsid w:val="75E666D0"/>
    <w:rsid w:val="760547CF"/>
    <w:rsid w:val="76204F57"/>
    <w:rsid w:val="7626390E"/>
    <w:rsid w:val="7633475B"/>
    <w:rsid w:val="7641097A"/>
    <w:rsid w:val="76450531"/>
    <w:rsid w:val="7648198F"/>
    <w:rsid w:val="764959E1"/>
    <w:rsid w:val="764A6BA0"/>
    <w:rsid w:val="766F1252"/>
    <w:rsid w:val="76825E2E"/>
    <w:rsid w:val="768825B8"/>
    <w:rsid w:val="768A1ED3"/>
    <w:rsid w:val="768D2C9B"/>
    <w:rsid w:val="768E20BA"/>
    <w:rsid w:val="76BD56C3"/>
    <w:rsid w:val="76C0086F"/>
    <w:rsid w:val="76C8243D"/>
    <w:rsid w:val="76DD1CA4"/>
    <w:rsid w:val="770B16B4"/>
    <w:rsid w:val="77103714"/>
    <w:rsid w:val="771E53BA"/>
    <w:rsid w:val="772C162A"/>
    <w:rsid w:val="773724A9"/>
    <w:rsid w:val="77442F62"/>
    <w:rsid w:val="774552CC"/>
    <w:rsid w:val="77516B93"/>
    <w:rsid w:val="77604269"/>
    <w:rsid w:val="778E413F"/>
    <w:rsid w:val="779A6594"/>
    <w:rsid w:val="77BD52AE"/>
    <w:rsid w:val="77BF249E"/>
    <w:rsid w:val="77C27899"/>
    <w:rsid w:val="77C97B2F"/>
    <w:rsid w:val="77E13575"/>
    <w:rsid w:val="77E656B0"/>
    <w:rsid w:val="77FB68EA"/>
    <w:rsid w:val="782B0C40"/>
    <w:rsid w:val="782B0EDC"/>
    <w:rsid w:val="78411105"/>
    <w:rsid w:val="784120E7"/>
    <w:rsid w:val="784455A5"/>
    <w:rsid w:val="784663E7"/>
    <w:rsid w:val="784B6E7F"/>
    <w:rsid w:val="785B5CA8"/>
    <w:rsid w:val="786B5B34"/>
    <w:rsid w:val="7878412D"/>
    <w:rsid w:val="788C05D2"/>
    <w:rsid w:val="78935F27"/>
    <w:rsid w:val="78A73C79"/>
    <w:rsid w:val="78A943F7"/>
    <w:rsid w:val="78B67BB8"/>
    <w:rsid w:val="78C53BF6"/>
    <w:rsid w:val="78C74263"/>
    <w:rsid w:val="78CC6C21"/>
    <w:rsid w:val="79072288"/>
    <w:rsid w:val="793F3897"/>
    <w:rsid w:val="79574BDF"/>
    <w:rsid w:val="797C1945"/>
    <w:rsid w:val="799E2576"/>
    <w:rsid w:val="79D57D57"/>
    <w:rsid w:val="79E6008A"/>
    <w:rsid w:val="79EE2BC7"/>
    <w:rsid w:val="79F0693F"/>
    <w:rsid w:val="7A104AEF"/>
    <w:rsid w:val="7A2327D0"/>
    <w:rsid w:val="7A276D0A"/>
    <w:rsid w:val="7A286A8A"/>
    <w:rsid w:val="7A2D67A8"/>
    <w:rsid w:val="7A3102BB"/>
    <w:rsid w:val="7A38220D"/>
    <w:rsid w:val="7A4A24F3"/>
    <w:rsid w:val="7A510AAB"/>
    <w:rsid w:val="7A6F5AB6"/>
    <w:rsid w:val="7A801199"/>
    <w:rsid w:val="7AA234D5"/>
    <w:rsid w:val="7AA7373E"/>
    <w:rsid w:val="7ADC57FF"/>
    <w:rsid w:val="7AE95601"/>
    <w:rsid w:val="7AFC55C7"/>
    <w:rsid w:val="7B107004"/>
    <w:rsid w:val="7B160627"/>
    <w:rsid w:val="7B193B8C"/>
    <w:rsid w:val="7B3379EA"/>
    <w:rsid w:val="7B511B08"/>
    <w:rsid w:val="7B8116F9"/>
    <w:rsid w:val="7B845E1A"/>
    <w:rsid w:val="7B99644A"/>
    <w:rsid w:val="7BA758E6"/>
    <w:rsid w:val="7BCD1CE5"/>
    <w:rsid w:val="7BCE4803"/>
    <w:rsid w:val="7BD63DCC"/>
    <w:rsid w:val="7BD824F3"/>
    <w:rsid w:val="7BF4681D"/>
    <w:rsid w:val="7BF5369D"/>
    <w:rsid w:val="7C1371C9"/>
    <w:rsid w:val="7C1872DF"/>
    <w:rsid w:val="7C1A138F"/>
    <w:rsid w:val="7C1C3453"/>
    <w:rsid w:val="7C4D5BFF"/>
    <w:rsid w:val="7C76530D"/>
    <w:rsid w:val="7C816402"/>
    <w:rsid w:val="7C851DF5"/>
    <w:rsid w:val="7C8E5CA7"/>
    <w:rsid w:val="7C8F0691"/>
    <w:rsid w:val="7C911938"/>
    <w:rsid w:val="7C933F61"/>
    <w:rsid w:val="7CAE6EDF"/>
    <w:rsid w:val="7CB13389"/>
    <w:rsid w:val="7CF82DF2"/>
    <w:rsid w:val="7D13255D"/>
    <w:rsid w:val="7D2963E1"/>
    <w:rsid w:val="7D3A2761"/>
    <w:rsid w:val="7D571A38"/>
    <w:rsid w:val="7D64286E"/>
    <w:rsid w:val="7D6A07B6"/>
    <w:rsid w:val="7D7839ED"/>
    <w:rsid w:val="7D8C77F5"/>
    <w:rsid w:val="7D930A39"/>
    <w:rsid w:val="7DA0242A"/>
    <w:rsid w:val="7DC429E5"/>
    <w:rsid w:val="7DDB5270"/>
    <w:rsid w:val="7DE078D4"/>
    <w:rsid w:val="7DFC3C56"/>
    <w:rsid w:val="7E114BA0"/>
    <w:rsid w:val="7E123CE8"/>
    <w:rsid w:val="7E3A5A07"/>
    <w:rsid w:val="7E494B88"/>
    <w:rsid w:val="7E5F1C7A"/>
    <w:rsid w:val="7E630C6D"/>
    <w:rsid w:val="7E633922"/>
    <w:rsid w:val="7E7B5986"/>
    <w:rsid w:val="7EA16752"/>
    <w:rsid w:val="7EA2423C"/>
    <w:rsid w:val="7EA837BC"/>
    <w:rsid w:val="7EC56ACC"/>
    <w:rsid w:val="7ECA2E75"/>
    <w:rsid w:val="7ED405DD"/>
    <w:rsid w:val="7EE25F90"/>
    <w:rsid w:val="7EE527EB"/>
    <w:rsid w:val="7EF679BC"/>
    <w:rsid w:val="7F1709A4"/>
    <w:rsid w:val="7F194FF9"/>
    <w:rsid w:val="7F394685"/>
    <w:rsid w:val="7F582E59"/>
    <w:rsid w:val="7F69574C"/>
    <w:rsid w:val="7F6B6EE8"/>
    <w:rsid w:val="7F6D6ECF"/>
    <w:rsid w:val="7F712A0F"/>
    <w:rsid w:val="7F71407E"/>
    <w:rsid w:val="7F7C2186"/>
    <w:rsid w:val="7F7F7818"/>
    <w:rsid w:val="7F874E30"/>
    <w:rsid w:val="7F8A6FB9"/>
    <w:rsid w:val="7F915899"/>
    <w:rsid w:val="7F973C10"/>
    <w:rsid w:val="7FA80503"/>
    <w:rsid w:val="7FAE0E2E"/>
    <w:rsid w:val="7FB22D07"/>
    <w:rsid w:val="7FBF4563"/>
    <w:rsid w:val="7FD70896"/>
    <w:rsid w:val="7FDF53F2"/>
    <w:rsid w:val="7FDF6EB8"/>
    <w:rsid w:val="7FE05B47"/>
    <w:rsid w:val="7FE61D45"/>
    <w:rsid w:val="7FFC5A5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nhideWhenUsed="0" w:uiPriority="9"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iPriority="99" w:semiHidden="0" w:name="toa heading"/>
    <w:lsdException w:qFormat="1" w:uiPriority="99"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autoRedefine/>
    <w:qFormat/>
    <w:uiPriority w:val="0"/>
    <w:pPr>
      <w:keepNext/>
      <w:keepLines/>
      <w:widowControl w:val="0"/>
      <w:spacing w:before="240" w:after="120" w:line="360" w:lineRule="auto"/>
      <w:jc w:val="both"/>
      <w:outlineLvl w:val="0"/>
    </w:pPr>
    <w:rPr>
      <w:rFonts w:ascii="Times New Roman" w:hAnsi="Times New Roman" w:eastAsia="宋体" w:cs="Times New Roman"/>
      <w:b/>
      <w:bCs/>
      <w:kern w:val="44"/>
      <w:sz w:val="32"/>
      <w:szCs w:val="44"/>
      <w:lang w:val="en-US" w:eastAsia="zh-CN" w:bidi="ar-SA"/>
    </w:rPr>
  </w:style>
  <w:style w:type="paragraph" w:styleId="4">
    <w:name w:val="heading 2"/>
    <w:basedOn w:val="1"/>
    <w:next w:val="1"/>
    <w:autoRedefine/>
    <w:qFormat/>
    <w:uiPriority w:val="9"/>
    <w:pPr>
      <w:keepNext/>
      <w:keepLines/>
      <w:spacing w:line="413" w:lineRule="auto"/>
      <w:outlineLvl w:val="1"/>
    </w:pPr>
    <w:rPr>
      <w:rFonts w:ascii="Arial" w:hAnsi="Arial" w:eastAsia="黑体"/>
      <w:b/>
      <w:bCs/>
      <w:sz w:val="32"/>
      <w:szCs w:val="32"/>
    </w:rPr>
  </w:style>
  <w:style w:type="paragraph" w:styleId="5">
    <w:name w:val="heading 3"/>
    <w:basedOn w:val="1"/>
    <w:next w:val="1"/>
    <w:autoRedefine/>
    <w:qFormat/>
    <w:uiPriority w:val="9"/>
    <w:pPr>
      <w:keepNext/>
      <w:keepLines/>
      <w:spacing w:line="600" w:lineRule="exact"/>
      <w:ind w:firstLine="643" w:firstLineChars="200"/>
      <w:outlineLvl w:val="2"/>
    </w:pPr>
    <w:rPr>
      <w:b/>
      <w:bCs/>
      <w:sz w:val="32"/>
      <w:szCs w:val="32"/>
    </w:rPr>
  </w:style>
  <w:style w:type="paragraph" w:styleId="6">
    <w:name w:val="heading 4"/>
    <w:basedOn w:val="1"/>
    <w:next w:val="1"/>
    <w:autoRedefine/>
    <w:qFormat/>
    <w:uiPriority w:val="0"/>
    <w:pPr>
      <w:keepNext/>
      <w:keepLines/>
      <w:spacing w:before="120" w:after="120" w:line="360" w:lineRule="auto"/>
      <w:jc w:val="center"/>
      <w:outlineLvl w:val="3"/>
    </w:pPr>
    <w:rPr>
      <w:rFonts w:eastAsia="Ђˎ̥"/>
      <w:sz w:val="28"/>
    </w:rPr>
  </w:style>
  <w:style w:type="paragraph" w:styleId="7">
    <w:name w:val="heading 5"/>
    <w:basedOn w:val="1"/>
    <w:next w:val="1"/>
    <w:autoRedefine/>
    <w:qFormat/>
    <w:uiPriority w:val="9"/>
    <w:pPr>
      <w:keepNext/>
      <w:keepLines/>
      <w:spacing w:before="280" w:after="290" w:line="376" w:lineRule="auto"/>
      <w:outlineLvl w:val="4"/>
    </w:pPr>
    <w:rPr>
      <w:b/>
      <w:bCs/>
      <w:sz w:val="28"/>
      <w:szCs w:val="28"/>
    </w:rPr>
  </w:style>
  <w:style w:type="paragraph" w:styleId="8">
    <w:name w:val="heading 6"/>
    <w:next w:val="1"/>
    <w:autoRedefine/>
    <w:qFormat/>
    <w:uiPriority w:val="0"/>
    <w:pPr>
      <w:keepNext/>
      <w:keepLines/>
      <w:widowControl w:val="0"/>
      <w:spacing w:before="120" w:after="120"/>
      <w:jc w:val="both"/>
      <w:outlineLvl w:val="5"/>
    </w:pPr>
    <w:rPr>
      <w:rFonts w:ascii="Times New Roman" w:hAnsi="等线 Light" w:eastAsia="宋体" w:cs="Times New Roman"/>
      <w:b/>
      <w:bCs/>
      <w:kern w:val="2"/>
      <w:sz w:val="21"/>
      <w:szCs w:val="24"/>
      <w:lang w:val="en-US" w:eastAsia="zh-CN" w:bidi="ar-SA"/>
    </w:rPr>
  </w:style>
  <w:style w:type="character" w:default="1" w:styleId="34">
    <w:name w:val="Default Paragraph Font"/>
    <w:autoRedefine/>
    <w:semiHidden/>
    <w:unhideWhenUsed/>
    <w:qFormat/>
    <w:uiPriority w:val="1"/>
  </w:style>
  <w:style w:type="table" w:default="1" w:styleId="32">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宋体" w:hAnsi="Perpetua" w:eastAsia="宋体" w:cs="宋体"/>
      <w:color w:val="000000"/>
      <w:sz w:val="24"/>
      <w:szCs w:val="24"/>
      <w:lang w:val="en-US" w:eastAsia="zh-CN" w:bidi="ar-SA"/>
    </w:rPr>
  </w:style>
  <w:style w:type="paragraph" w:styleId="9">
    <w:name w:val="table of authorities"/>
    <w:basedOn w:val="1"/>
    <w:next w:val="1"/>
    <w:autoRedefine/>
    <w:unhideWhenUsed/>
    <w:qFormat/>
    <w:uiPriority w:val="99"/>
    <w:pPr>
      <w:ind w:left="420" w:leftChars="200"/>
    </w:pPr>
  </w:style>
  <w:style w:type="paragraph" w:styleId="10">
    <w:name w:val="index 8"/>
    <w:basedOn w:val="1"/>
    <w:next w:val="1"/>
    <w:autoRedefine/>
    <w:qFormat/>
    <w:uiPriority w:val="0"/>
    <w:pPr>
      <w:ind w:left="2940"/>
    </w:pPr>
  </w:style>
  <w:style w:type="paragraph" w:styleId="11">
    <w:name w:val="Normal Indent"/>
    <w:basedOn w:val="1"/>
    <w:autoRedefine/>
    <w:unhideWhenUsed/>
    <w:qFormat/>
    <w:uiPriority w:val="99"/>
    <w:pPr>
      <w:ind w:firstLine="420"/>
    </w:pPr>
    <w:rPr>
      <w:szCs w:val="20"/>
    </w:rPr>
  </w:style>
  <w:style w:type="paragraph" w:styleId="12">
    <w:name w:val="toa heading"/>
    <w:basedOn w:val="1"/>
    <w:next w:val="1"/>
    <w:autoRedefine/>
    <w:unhideWhenUsed/>
    <w:qFormat/>
    <w:uiPriority w:val="99"/>
    <w:pPr>
      <w:spacing w:before="120" w:beforeLines="0" w:beforeAutospacing="0"/>
    </w:pPr>
    <w:rPr>
      <w:rFonts w:ascii="Arial" w:hAnsi="Arial"/>
      <w:sz w:val="24"/>
    </w:rPr>
  </w:style>
  <w:style w:type="paragraph" w:styleId="13">
    <w:name w:val="annotation text"/>
    <w:basedOn w:val="1"/>
    <w:link w:val="48"/>
    <w:autoRedefine/>
    <w:unhideWhenUsed/>
    <w:qFormat/>
    <w:uiPriority w:val="0"/>
    <w:pPr>
      <w:jc w:val="left"/>
    </w:pPr>
  </w:style>
  <w:style w:type="paragraph" w:styleId="14">
    <w:name w:val="Body Text"/>
    <w:basedOn w:val="1"/>
    <w:next w:val="1"/>
    <w:autoRedefine/>
    <w:unhideWhenUsed/>
    <w:qFormat/>
    <w:uiPriority w:val="0"/>
    <w:pPr>
      <w:spacing w:after="120"/>
    </w:pPr>
  </w:style>
  <w:style w:type="paragraph" w:styleId="15">
    <w:name w:val="Body Text Indent"/>
    <w:basedOn w:val="1"/>
    <w:next w:val="1"/>
    <w:autoRedefine/>
    <w:unhideWhenUsed/>
    <w:qFormat/>
    <w:uiPriority w:val="99"/>
    <w:pPr>
      <w:spacing w:line="200" w:lineRule="exact"/>
      <w:ind w:firstLine="301"/>
    </w:pPr>
    <w:rPr>
      <w:rFonts w:ascii="宋体" w:hAnsi="Courier New"/>
      <w:spacing w:val="-4"/>
      <w:sz w:val="18"/>
      <w:szCs w:val="20"/>
    </w:rPr>
  </w:style>
  <w:style w:type="paragraph" w:styleId="16">
    <w:name w:val="toc 3"/>
    <w:basedOn w:val="1"/>
    <w:next w:val="1"/>
    <w:autoRedefine/>
    <w:unhideWhenUsed/>
    <w:qFormat/>
    <w:uiPriority w:val="39"/>
    <w:pPr>
      <w:jc w:val="left"/>
    </w:pPr>
    <w:rPr>
      <w:rFonts w:ascii="Calibri" w:hAnsi="Calibri"/>
      <w:smallCaps/>
      <w:sz w:val="22"/>
      <w:szCs w:val="22"/>
    </w:rPr>
  </w:style>
  <w:style w:type="paragraph" w:styleId="17">
    <w:name w:val="Plain Text"/>
    <w:basedOn w:val="1"/>
    <w:next w:val="10"/>
    <w:link w:val="52"/>
    <w:autoRedefine/>
    <w:unhideWhenUsed/>
    <w:qFormat/>
    <w:uiPriority w:val="99"/>
    <w:rPr>
      <w:rFonts w:ascii="宋体" w:hAnsi="Courier New"/>
      <w:szCs w:val="20"/>
    </w:rPr>
  </w:style>
  <w:style w:type="paragraph" w:styleId="18">
    <w:name w:val="Date"/>
    <w:basedOn w:val="1"/>
    <w:next w:val="1"/>
    <w:autoRedefine/>
    <w:qFormat/>
    <w:uiPriority w:val="99"/>
    <w:pPr>
      <w:ind w:left="100" w:leftChars="2500"/>
    </w:pPr>
    <w:rPr>
      <w:rFonts w:ascii="宋体" w:hAnsi="Courier New" w:cs="宋体"/>
    </w:rPr>
  </w:style>
  <w:style w:type="paragraph" w:styleId="19">
    <w:name w:val="Body Text Indent 2"/>
    <w:basedOn w:val="1"/>
    <w:autoRedefine/>
    <w:semiHidden/>
    <w:unhideWhenUsed/>
    <w:qFormat/>
    <w:uiPriority w:val="99"/>
    <w:pPr>
      <w:spacing w:after="120" w:line="480" w:lineRule="auto"/>
      <w:ind w:left="420" w:leftChars="200"/>
    </w:pPr>
  </w:style>
  <w:style w:type="paragraph" w:styleId="20">
    <w:name w:val="Balloon Text"/>
    <w:basedOn w:val="1"/>
    <w:link w:val="50"/>
    <w:autoRedefine/>
    <w:qFormat/>
    <w:uiPriority w:val="0"/>
    <w:rPr>
      <w:sz w:val="18"/>
      <w:szCs w:val="18"/>
    </w:rPr>
  </w:style>
  <w:style w:type="paragraph" w:styleId="21">
    <w:name w:val="footer"/>
    <w:basedOn w:val="1"/>
    <w:link w:val="54"/>
    <w:autoRedefine/>
    <w:unhideWhenUsed/>
    <w:qFormat/>
    <w:uiPriority w:val="99"/>
    <w:pPr>
      <w:tabs>
        <w:tab w:val="center" w:pos="4153"/>
        <w:tab w:val="right" w:pos="8306"/>
      </w:tabs>
      <w:snapToGrid w:val="0"/>
      <w:jc w:val="left"/>
    </w:pPr>
    <w:rPr>
      <w:sz w:val="18"/>
      <w:szCs w:val="18"/>
    </w:rPr>
  </w:style>
  <w:style w:type="paragraph" w:styleId="22">
    <w:name w:val="envelope return"/>
    <w:basedOn w:val="1"/>
    <w:autoRedefine/>
    <w:qFormat/>
    <w:uiPriority w:val="0"/>
    <w:pPr>
      <w:snapToGrid w:val="0"/>
    </w:pPr>
    <w:rPr>
      <w:rFonts w:ascii="Arial" w:hAnsi="Arial"/>
    </w:rPr>
  </w:style>
  <w:style w:type="paragraph" w:styleId="23">
    <w:name w:val="header"/>
    <w:basedOn w:val="1"/>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24">
    <w:name w:val="toc 1"/>
    <w:basedOn w:val="1"/>
    <w:next w:val="1"/>
    <w:autoRedefine/>
    <w:unhideWhenUsed/>
    <w:qFormat/>
    <w:uiPriority w:val="39"/>
    <w:pPr>
      <w:spacing w:before="360" w:after="360"/>
      <w:jc w:val="left"/>
    </w:pPr>
    <w:rPr>
      <w:rFonts w:ascii="Calibri" w:hAnsi="Calibri"/>
      <w:b/>
      <w:bCs/>
      <w:caps/>
      <w:sz w:val="22"/>
      <w:szCs w:val="22"/>
      <w:u w:val="single"/>
    </w:rPr>
  </w:style>
  <w:style w:type="paragraph" w:styleId="25">
    <w:name w:val="List"/>
    <w:basedOn w:val="1"/>
    <w:autoRedefine/>
    <w:unhideWhenUsed/>
    <w:qFormat/>
    <w:uiPriority w:val="99"/>
    <w:pPr>
      <w:ind w:left="200" w:hanging="200" w:hangingChars="200"/>
    </w:pPr>
    <w:rPr>
      <w:sz w:val="28"/>
    </w:rPr>
  </w:style>
  <w:style w:type="paragraph" w:styleId="26">
    <w:name w:val="toc 2"/>
    <w:basedOn w:val="1"/>
    <w:next w:val="1"/>
    <w:autoRedefine/>
    <w:unhideWhenUsed/>
    <w:qFormat/>
    <w:uiPriority w:val="39"/>
    <w:pPr>
      <w:jc w:val="left"/>
    </w:pPr>
    <w:rPr>
      <w:rFonts w:ascii="Calibri" w:hAnsi="Calibri"/>
      <w:b/>
      <w:bCs/>
      <w:smallCaps/>
      <w:sz w:val="22"/>
      <w:szCs w:val="22"/>
    </w:rPr>
  </w:style>
  <w:style w:type="paragraph" w:styleId="27">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28">
    <w:name w:val="Title"/>
    <w:basedOn w:val="1"/>
    <w:next w:val="1"/>
    <w:autoRedefine/>
    <w:qFormat/>
    <w:uiPriority w:val="0"/>
    <w:pPr>
      <w:widowControl/>
      <w:overflowPunct w:val="0"/>
      <w:autoSpaceDE w:val="0"/>
      <w:autoSpaceDN w:val="0"/>
      <w:adjustRightInd w:val="0"/>
      <w:jc w:val="center"/>
      <w:textAlignment w:val="baseline"/>
    </w:pPr>
    <w:rPr>
      <w:rFonts w:ascii="Cambria" w:hAnsi="Cambria"/>
      <w:b/>
      <w:bCs/>
      <w:sz w:val="32"/>
      <w:szCs w:val="32"/>
    </w:rPr>
  </w:style>
  <w:style w:type="paragraph" w:styleId="29">
    <w:name w:val="annotation subject"/>
    <w:basedOn w:val="13"/>
    <w:next w:val="1"/>
    <w:link w:val="56"/>
    <w:autoRedefine/>
    <w:qFormat/>
    <w:uiPriority w:val="0"/>
    <w:rPr>
      <w:b/>
      <w:bCs/>
    </w:rPr>
  </w:style>
  <w:style w:type="paragraph" w:styleId="30">
    <w:name w:val="Body Text First Indent"/>
    <w:basedOn w:val="14"/>
    <w:autoRedefine/>
    <w:qFormat/>
    <w:uiPriority w:val="0"/>
    <w:pPr>
      <w:ind w:firstLine="420"/>
      <w:textAlignment w:val="baseline"/>
    </w:pPr>
  </w:style>
  <w:style w:type="paragraph" w:styleId="31">
    <w:name w:val="Body Text First Indent 2"/>
    <w:basedOn w:val="15"/>
    <w:next w:val="1"/>
    <w:autoRedefine/>
    <w:unhideWhenUsed/>
    <w:qFormat/>
    <w:uiPriority w:val="99"/>
    <w:pPr>
      <w:spacing w:after="120"/>
      <w:ind w:left="420" w:leftChars="200" w:firstLine="420" w:firstLineChars="200"/>
    </w:pPr>
    <w:rPr>
      <w:rFonts w:ascii="Times New Roman"/>
      <w:sz w:val="21"/>
      <w:szCs w:val="24"/>
    </w:rPr>
  </w:style>
  <w:style w:type="table" w:styleId="33">
    <w:name w:val="Table Grid"/>
    <w:basedOn w:val="32"/>
    <w:autoRedefine/>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5">
    <w:name w:val="page number"/>
    <w:autoRedefine/>
    <w:unhideWhenUsed/>
    <w:qFormat/>
    <w:uiPriority w:val="0"/>
  </w:style>
  <w:style w:type="character" w:styleId="36">
    <w:name w:val="FollowedHyperlink"/>
    <w:autoRedefine/>
    <w:qFormat/>
    <w:uiPriority w:val="0"/>
    <w:rPr>
      <w:rFonts w:hint="eastAsia" w:ascii="微软雅黑" w:hAnsi="微软雅黑" w:eastAsia="微软雅黑" w:cs="微软雅黑"/>
      <w:color w:val="02396F"/>
      <w:u w:val="single"/>
    </w:rPr>
  </w:style>
  <w:style w:type="character" w:styleId="37">
    <w:name w:val="Emphasis"/>
    <w:basedOn w:val="34"/>
    <w:autoRedefine/>
    <w:qFormat/>
    <w:uiPriority w:val="0"/>
    <w:rPr>
      <w:i/>
    </w:rPr>
  </w:style>
  <w:style w:type="character" w:styleId="38">
    <w:name w:val="Hyperlink"/>
    <w:autoRedefine/>
    <w:unhideWhenUsed/>
    <w:qFormat/>
    <w:uiPriority w:val="99"/>
    <w:rPr>
      <w:rFonts w:hint="eastAsia" w:ascii="微软雅黑" w:hAnsi="微软雅黑" w:eastAsia="微软雅黑" w:cs="微软雅黑"/>
      <w:color w:val="02396F"/>
      <w:u w:val="single"/>
    </w:rPr>
  </w:style>
  <w:style w:type="character" w:styleId="39">
    <w:name w:val="annotation reference"/>
    <w:autoRedefine/>
    <w:qFormat/>
    <w:uiPriority w:val="99"/>
    <w:rPr>
      <w:sz w:val="21"/>
      <w:szCs w:val="21"/>
    </w:rPr>
  </w:style>
  <w:style w:type="paragraph" w:customStyle="1" w:styleId="40">
    <w:name w:val="正文g"/>
    <w:autoRedefine/>
    <w:qFormat/>
    <w:uiPriority w:val="0"/>
    <w:pPr>
      <w:jc w:val="both"/>
    </w:pPr>
    <w:rPr>
      <w:rFonts w:ascii="仿宋_GB2312" w:hAnsi="宋体" w:eastAsia="仿宋_GB2312" w:cs="Times New Roman"/>
      <w:kern w:val="2"/>
      <w:sz w:val="21"/>
      <w:szCs w:val="24"/>
      <w:lang w:val="en-US" w:eastAsia="zh-CN" w:bidi="ar-SA"/>
    </w:rPr>
  </w:style>
  <w:style w:type="character" w:customStyle="1" w:styleId="41">
    <w:name w:val="批注文字 Char1"/>
    <w:autoRedefine/>
    <w:qFormat/>
    <w:uiPriority w:val="0"/>
    <w:rPr>
      <w:rFonts w:ascii="Times New Roman" w:hAnsi="Times New Roman"/>
      <w:kern w:val="2"/>
      <w:sz w:val="21"/>
      <w:szCs w:val="24"/>
    </w:rPr>
  </w:style>
  <w:style w:type="character" w:customStyle="1" w:styleId="42">
    <w:name w:val="font31"/>
    <w:autoRedefine/>
    <w:qFormat/>
    <w:uiPriority w:val="0"/>
    <w:rPr>
      <w:rFonts w:hint="eastAsia" w:ascii="宋体" w:hAnsi="宋体" w:eastAsia="宋体" w:cs="宋体"/>
      <w:color w:val="000000"/>
      <w:sz w:val="22"/>
      <w:szCs w:val="22"/>
      <w:u w:val="none"/>
    </w:rPr>
  </w:style>
  <w:style w:type="character" w:customStyle="1" w:styleId="43">
    <w:name w:val="displayarti"/>
    <w:autoRedefine/>
    <w:qFormat/>
    <w:uiPriority w:val="0"/>
    <w:rPr>
      <w:color w:val="FFFFFF"/>
      <w:shd w:val="clear" w:color="auto" w:fill="A00000"/>
    </w:rPr>
  </w:style>
  <w:style w:type="character" w:customStyle="1" w:styleId="44">
    <w:name w:val="prev1"/>
    <w:autoRedefine/>
    <w:qFormat/>
    <w:uiPriority w:val="0"/>
    <w:rPr>
      <w:color w:val="888888"/>
    </w:rPr>
  </w:style>
  <w:style w:type="character" w:customStyle="1" w:styleId="45">
    <w:name w:val="NormalCharacter"/>
    <w:autoRedefine/>
    <w:qFormat/>
    <w:uiPriority w:val="0"/>
    <w:rPr>
      <w:rFonts w:ascii="Times New Roman" w:hAnsi="Times New Roman" w:eastAsia="宋体" w:cs="Times New Roman"/>
    </w:rPr>
  </w:style>
  <w:style w:type="character" w:customStyle="1" w:styleId="46">
    <w:name w:val="redfilenumber"/>
    <w:autoRedefine/>
    <w:qFormat/>
    <w:uiPriority w:val="0"/>
    <w:rPr>
      <w:color w:val="BA2636"/>
      <w:sz w:val="18"/>
      <w:szCs w:val="18"/>
    </w:rPr>
  </w:style>
  <w:style w:type="character" w:customStyle="1" w:styleId="47">
    <w:name w:val="qxdate"/>
    <w:autoRedefine/>
    <w:qFormat/>
    <w:uiPriority w:val="0"/>
    <w:rPr>
      <w:color w:val="333333"/>
      <w:sz w:val="18"/>
      <w:szCs w:val="18"/>
    </w:rPr>
  </w:style>
  <w:style w:type="character" w:customStyle="1" w:styleId="48">
    <w:name w:val="批注文字 Char"/>
    <w:link w:val="13"/>
    <w:autoRedefine/>
    <w:qFormat/>
    <w:uiPriority w:val="0"/>
    <w:rPr>
      <w:kern w:val="2"/>
      <w:sz w:val="21"/>
      <w:szCs w:val="24"/>
    </w:rPr>
  </w:style>
  <w:style w:type="character" w:customStyle="1" w:styleId="49">
    <w:name w:val="正文文本 (26) + 间距 0 pt"/>
    <w:autoRedefine/>
    <w:qFormat/>
    <w:uiPriority w:val="0"/>
    <w:rPr>
      <w:rFonts w:ascii="宋体" w:hAnsi="宋体" w:eastAsia="宋体" w:cs="宋体"/>
      <w:color w:val="000000"/>
      <w:spacing w:val="0"/>
      <w:w w:val="100"/>
      <w:position w:val="0"/>
      <w:sz w:val="22"/>
      <w:szCs w:val="22"/>
      <w:u w:val="none"/>
      <w:lang w:val="zh-CN" w:eastAsia="zh-CN" w:bidi="zh-CN"/>
    </w:rPr>
  </w:style>
  <w:style w:type="character" w:customStyle="1" w:styleId="50">
    <w:name w:val="批注框文本 Char"/>
    <w:link w:val="20"/>
    <w:autoRedefine/>
    <w:qFormat/>
    <w:uiPriority w:val="0"/>
    <w:rPr>
      <w:kern w:val="2"/>
      <w:sz w:val="18"/>
      <w:szCs w:val="18"/>
    </w:rPr>
  </w:style>
  <w:style w:type="character" w:customStyle="1" w:styleId="51">
    <w:name w:val="gjfg"/>
    <w:autoRedefine/>
    <w:qFormat/>
    <w:uiPriority w:val="0"/>
  </w:style>
  <w:style w:type="character" w:customStyle="1" w:styleId="52">
    <w:name w:val="纯文本 Char"/>
    <w:link w:val="17"/>
    <w:autoRedefine/>
    <w:qFormat/>
    <w:uiPriority w:val="99"/>
    <w:rPr>
      <w:rFonts w:ascii="宋体" w:hAnsi="Courier New"/>
      <w:kern w:val="2"/>
      <w:sz w:val="21"/>
    </w:rPr>
  </w:style>
  <w:style w:type="character" w:customStyle="1" w:styleId="53">
    <w:name w:val="next"/>
    <w:autoRedefine/>
    <w:qFormat/>
    <w:uiPriority w:val="0"/>
    <w:rPr>
      <w:rFonts w:ascii="微软雅黑" w:hAnsi="微软雅黑" w:eastAsia="微软雅黑" w:cs="微软雅黑"/>
      <w:sz w:val="21"/>
      <w:szCs w:val="21"/>
    </w:rPr>
  </w:style>
  <w:style w:type="character" w:customStyle="1" w:styleId="54">
    <w:name w:val="页脚 Char"/>
    <w:link w:val="21"/>
    <w:autoRedefine/>
    <w:qFormat/>
    <w:uiPriority w:val="99"/>
    <w:rPr>
      <w:kern w:val="2"/>
      <w:sz w:val="18"/>
      <w:szCs w:val="18"/>
    </w:rPr>
  </w:style>
  <w:style w:type="character" w:customStyle="1" w:styleId="55">
    <w:name w:val="redfilefwwh"/>
    <w:autoRedefine/>
    <w:qFormat/>
    <w:uiPriority w:val="0"/>
    <w:rPr>
      <w:color w:val="BA2636"/>
      <w:sz w:val="18"/>
      <w:szCs w:val="18"/>
    </w:rPr>
  </w:style>
  <w:style w:type="character" w:customStyle="1" w:styleId="56">
    <w:name w:val="批注主题 Char"/>
    <w:link w:val="29"/>
    <w:autoRedefine/>
    <w:qFormat/>
    <w:uiPriority w:val="0"/>
  </w:style>
  <w:style w:type="character" w:customStyle="1" w:styleId="57">
    <w:name w:val="prev"/>
    <w:autoRedefine/>
    <w:qFormat/>
    <w:uiPriority w:val="0"/>
    <w:rPr>
      <w:rFonts w:hint="eastAsia" w:ascii="微软雅黑" w:hAnsi="微软雅黑" w:eastAsia="微软雅黑" w:cs="微软雅黑"/>
      <w:sz w:val="21"/>
      <w:szCs w:val="21"/>
    </w:rPr>
  </w:style>
  <w:style w:type="character" w:customStyle="1" w:styleId="58">
    <w:name w:val="next1"/>
    <w:autoRedefine/>
    <w:qFormat/>
    <w:uiPriority w:val="0"/>
    <w:rPr>
      <w:color w:val="888888"/>
    </w:rPr>
  </w:style>
  <w:style w:type="character" w:customStyle="1" w:styleId="59">
    <w:name w:val="font21"/>
    <w:autoRedefine/>
    <w:qFormat/>
    <w:uiPriority w:val="0"/>
    <w:rPr>
      <w:rFonts w:hint="default" w:ascii="Tahoma" w:hAnsi="Tahoma" w:eastAsia="Tahoma" w:cs="Tahoma"/>
      <w:color w:val="000000"/>
      <w:sz w:val="22"/>
      <w:szCs w:val="22"/>
      <w:u w:val="none"/>
    </w:rPr>
  </w:style>
  <w:style w:type="character" w:customStyle="1" w:styleId="60">
    <w:name w:val="15"/>
    <w:autoRedefine/>
    <w:qFormat/>
    <w:uiPriority w:val="0"/>
    <w:rPr>
      <w:rFonts w:hint="default" w:ascii="Times New Roman" w:hAnsi="Times New Roman" w:cs="Times New Roman"/>
      <w:sz w:val="21"/>
      <w:szCs w:val="21"/>
    </w:rPr>
  </w:style>
  <w:style w:type="character" w:customStyle="1" w:styleId="61">
    <w:name w:val="cfdate"/>
    <w:autoRedefine/>
    <w:qFormat/>
    <w:uiPriority w:val="0"/>
    <w:rPr>
      <w:color w:val="333333"/>
      <w:sz w:val="18"/>
      <w:szCs w:val="18"/>
    </w:rPr>
  </w:style>
  <w:style w:type="paragraph" w:customStyle="1" w:styleId="62">
    <w:name w:val="样式 标题 2 + 宋体"/>
    <w:autoRedefine/>
    <w:qFormat/>
    <w:uiPriority w:val="0"/>
    <w:pPr>
      <w:keepNext/>
      <w:keepLines/>
      <w:widowControl w:val="0"/>
      <w:spacing w:before="260" w:after="260" w:line="416" w:lineRule="auto"/>
      <w:jc w:val="both"/>
      <w:outlineLvl w:val="1"/>
    </w:pPr>
    <w:rPr>
      <w:rFonts w:ascii="宋体" w:hAnsi="宋体" w:eastAsia="宋体" w:cs="Times New Roman"/>
      <w:b/>
      <w:bCs/>
      <w:sz w:val="30"/>
      <w:szCs w:val="32"/>
      <w:lang w:val="en-US" w:eastAsia="zh-CN" w:bidi="ar-SA"/>
    </w:rPr>
  </w:style>
  <w:style w:type="paragraph" w:customStyle="1" w:styleId="63">
    <w:name w:val="样式5"/>
    <w:basedOn w:val="1"/>
    <w:autoRedefine/>
    <w:qFormat/>
    <w:uiPriority w:val="0"/>
    <w:pPr>
      <w:adjustRightInd w:val="0"/>
      <w:spacing w:line="440" w:lineRule="exact"/>
      <w:ind w:left="2" w:firstLine="480" w:firstLineChars="200"/>
    </w:pPr>
    <w:rPr>
      <w:rFonts w:ascii="仿宋_GB2312" w:hAnsi="仿宋" w:eastAsia="仿宋_GB2312"/>
      <w:sz w:val="24"/>
    </w:rPr>
  </w:style>
  <w:style w:type="paragraph" w:customStyle="1" w:styleId="64">
    <w:name w:val="正文2"/>
    <w:basedOn w:val="1"/>
    <w:autoRedefine/>
    <w:qFormat/>
    <w:uiPriority w:val="0"/>
    <w:pPr>
      <w:adjustRightInd w:val="0"/>
      <w:spacing w:before="156" w:line="360" w:lineRule="auto"/>
      <w:ind w:firstLine="510" w:firstLineChars="200"/>
    </w:pPr>
    <w:rPr>
      <w:sz w:val="24"/>
      <w:szCs w:val="20"/>
    </w:rPr>
  </w:style>
  <w:style w:type="paragraph" w:customStyle="1" w:styleId="65">
    <w:name w:val="正文缩进1"/>
    <w:basedOn w:val="1"/>
    <w:next w:val="15"/>
    <w:autoRedefine/>
    <w:qFormat/>
    <w:uiPriority w:val="0"/>
    <w:pPr>
      <w:autoSpaceDE w:val="0"/>
      <w:autoSpaceDN w:val="0"/>
      <w:adjustRightInd w:val="0"/>
      <w:snapToGrid w:val="0"/>
      <w:spacing w:after="120" w:line="360" w:lineRule="auto"/>
      <w:ind w:left="420" w:leftChars="200" w:firstLine="480" w:firstLineChars="200"/>
    </w:pPr>
    <w:rPr>
      <w:sz w:val="24"/>
      <w:szCs w:val="21"/>
    </w:rPr>
  </w:style>
  <w:style w:type="paragraph" w:styleId="66">
    <w:name w:val="List Paragraph"/>
    <w:basedOn w:val="1"/>
    <w:autoRedefine/>
    <w:qFormat/>
    <w:uiPriority w:val="34"/>
    <w:pPr>
      <w:ind w:firstLine="420" w:firstLineChars="200"/>
    </w:pPr>
  </w:style>
  <w:style w:type="paragraph" w:customStyle="1" w:styleId="67">
    <w:name w:val="_Style 3"/>
    <w:basedOn w:val="1"/>
    <w:autoRedefine/>
    <w:qFormat/>
    <w:uiPriority w:val="0"/>
  </w:style>
  <w:style w:type="paragraph" w:customStyle="1" w:styleId="68">
    <w:name w:val="表格文字"/>
    <w:basedOn w:val="15"/>
    <w:next w:val="14"/>
    <w:autoRedefine/>
    <w:qFormat/>
    <w:uiPriority w:val="0"/>
    <w:pPr>
      <w:adjustRightInd w:val="0"/>
      <w:spacing w:line="420" w:lineRule="atLeast"/>
      <w:jc w:val="left"/>
      <w:textAlignment w:val="baseline"/>
    </w:pPr>
    <w:rPr>
      <w:kern w:val="0"/>
    </w:rPr>
  </w:style>
  <w:style w:type="paragraph" w:customStyle="1" w:styleId="69">
    <w:name w:val="正文1"/>
    <w:autoRedefine/>
    <w:qFormat/>
    <w:uiPriority w:val="0"/>
    <w:pPr>
      <w:jc w:val="both"/>
    </w:pPr>
    <w:rPr>
      <w:rFonts w:ascii="Times New Roman" w:hAnsi="Times New Roman" w:eastAsia="宋体" w:cs="Times New Roman"/>
      <w:kern w:val="2"/>
      <w:sz w:val="21"/>
      <w:szCs w:val="21"/>
      <w:lang w:val="en-US" w:eastAsia="zh-CN" w:bidi="ar-SA"/>
    </w:rPr>
  </w:style>
  <w:style w:type="character" w:customStyle="1" w:styleId="70">
    <w:name w:val="font11"/>
    <w:basedOn w:val="34"/>
    <w:autoRedefine/>
    <w:qFormat/>
    <w:uiPriority w:val="0"/>
    <w:rPr>
      <w:rFonts w:hint="eastAsia" w:ascii="宋体" w:hAnsi="宋体" w:eastAsia="宋体" w:cs="宋体"/>
      <w:b/>
      <w:color w:val="000000"/>
      <w:sz w:val="20"/>
      <w:szCs w:val="20"/>
      <w:u w:val="none"/>
    </w:rPr>
  </w:style>
  <w:style w:type="paragraph" w:customStyle="1" w:styleId="71">
    <w:name w:val="0正文"/>
    <w:autoRedefine/>
    <w:qFormat/>
    <w:uiPriority w:val="99"/>
    <w:pPr>
      <w:widowControl w:val="0"/>
      <w:snapToGrid w:val="0"/>
      <w:spacing w:line="360" w:lineRule="auto"/>
      <w:jc w:val="both"/>
      <w:textAlignment w:val="baseline"/>
    </w:pPr>
    <w:rPr>
      <w:rFonts w:ascii="宋体" w:hAnsi="宋体" w:eastAsia="宋体" w:cs="Times New Roman"/>
      <w:kern w:val="2"/>
      <w:sz w:val="24"/>
      <w:szCs w:val="24"/>
      <w:lang w:val="en-US" w:eastAsia="zh-CN" w:bidi="ar-SA"/>
    </w:rPr>
  </w:style>
  <w:style w:type="paragraph" w:customStyle="1" w:styleId="72">
    <w:name w:val="!正文"/>
    <w:autoRedefine/>
    <w:qFormat/>
    <w:uiPriority w:val="0"/>
    <w:pPr>
      <w:widowControl w:val="0"/>
      <w:spacing w:line="360" w:lineRule="auto"/>
    </w:pPr>
    <w:rPr>
      <w:rFonts w:ascii="宋体" w:hAnsi="宋体" w:eastAsia="宋体" w:cs="Times New Roman"/>
      <w:sz w:val="24"/>
      <w:szCs w:val="28"/>
      <w:lang w:val="zh-CN" w:eastAsia="zh-CN" w:bidi="ar-SA"/>
    </w:rPr>
  </w:style>
  <w:style w:type="character" w:customStyle="1" w:styleId="73">
    <w:name w:val="font01"/>
    <w:basedOn w:val="34"/>
    <w:autoRedefine/>
    <w:qFormat/>
    <w:uiPriority w:val="0"/>
    <w:rPr>
      <w:rFonts w:hint="eastAsia" w:ascii="仿宋" w:hAnsi="仿宋" w:eastAsia="仿宋" w:cs="仿宋"/>
      <w:color w:val="000000"/>
      <w:sz w:val="21"/>
      <w:szCs w:val="21"/>
      <w:u w:val="none"/>
    </w:rPr>
  </w:style>
  <w:style w:type="character" w:customStyle="1" w:styleId="74">
    <w:name w:val="font91"/>
    <w:autoRedefine/>
    <w:qFormat/>
    <w:uiPriority w:val="0"/>
    <w:rPr>
      <w:rFonts w:ascii="Arial" w:hAnsi="Arial" w:cs="Arial"/>
      <w:color w:val="000000"/>
      <w:sz w:val="21"/>
      <w:szCs w:val="21"/>
      <w:u w:val="none"/>
    </w:rPr>
  </w:style>
  <w:style w:type="paragraph" w:customStyle="1" w:styleId="75">
    <w:name w:val="修订1"/>
    <w:autoRedefine/>
    <w:hidden/>
    <w:unhideWhenUsed/>
    <w:qFormat/>
    <w:uiPriority w:val="99"/>
    <w:rPr>
      <w:rFonts w:ascii="Times New Roman" w:hAnsi="Times New Roman" w:eastAsia="宋体" w:cs="Times New Roman"/>
      <w:kern w:val="2"/>
      <w:sz w:val="21"/>
      <w:szCs w:val="24"/>
      <w:lang w:val="en-US" w:eastAsia="zh-CN" w:bidi="ar-SA"/>
    </w:rPr>
  </w:style>
  <w:style w:type="paragraph" w:customStyle="1" w:styleId="76">
    <w:name w:val="修订2"/>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77">
    <w:name w:val="修订3"/>
    <w:autoRedefine/>
    <w:hidden/>
    <w:unhideWhenUsed/>
    <w:qFormat/>
    <w:uiPriority w:val="99"/>
    <w:rPr>
      <w:rFonts w:ascii="Times New Roman" w:hAnsi="Times New Roman" w:eastAsia="宋体" w:cs="Times New Roman"/>
      <w:kern w:val="2"/>
      <w:sz w:val="21"/>
      <w:szCs w:val="24"/>
      <w:lang w:val="en-US" w:eastAsia="zh-CN" w:bidi="ar-SA"/>
    </w:rPr>
  </w:style>
  <w:style w:type="paragraph" w:customStyle="1" w:styleId="78">
    <w:name w:val="修订4"/>
    <w:autoRedefine/>
    <w:hidden/>
    <w:unhideWhenUsed/>
    <w:qFormat/>
    <w:uiPriority w:val="99"/>
    <w:rPr>
      <w:rFonts w:ascii="Times New Roman" w:hAnsi="Times New Roman" w:eastAsia="宋体" w:cs="Times New Roman"/>
      <w:kern w:val="2"/>
      <w:sz w:val="21"/>
      <w:szCs w:val="24"/>
      <w:lang w:val="en-US" w:eastAsia="zh-CN" w:bidi="ar-SA"/>
    </w:rPr>
  </w:style>
  <w:style w:type="paragraph" w:customStyle="1" w:styleId="79">
    <w:name w:val="BodyText"/>
    <w:basedOn w:val="1"/>
    <w:autoRedefine/>
    <w:qFormat/>
    <w:uiPriority w:val="0"/>
    <w:pPr>
      <w:spacing w:line="380" w:lineRule="exact"/>
      <w:textAlignment w:val="baseline"/>
    </w:pPr>
    <w:rPr>
      <w:sz w:val="24"/>
    </w:rPr>
  </w:style>
  <w:style w:type="paragraph" w:customStyle="1" w:styleId="80">
    <w:name w:val="修订5"/>
    <w:autoRedefine/>
    <w:hidden/>
    <w:unhideWhenUsed/>
    <w:qFormat/>
    <w:uiPriority w:val="99"/>
    <w:rPr>
      <w:rFonts w:ascii="Times New Roman" w:hAnsi="Times New Roman" w:eastAsia="宋体" w:cs="Times New Roman"/>
      <w:kern w:val="2"/>
      <w:sz w:val="21"/>
      <w:szCs w:val="24"/>
      <w:lang w:val="en-US" w:eastAsia="zh-CN" w:bidi="ar-SA"/>
    </w:rPr>
  </w:style>
  <w:style w:type="paragraph" w:customStyle="1" w:styleId="81">
    <w:name w:val="修订6"/>
    <w:autoRedefine/>
    <w:hidden/>
    <w:unhideWhenUsed/>
    <w:qFormat/>
    <w:uiPriority w:val="99"/>
    <w:rPr>
      <w:rFonts w:ascii="Times New Roman" w:hAnsi="Times New Roman" w:eastAsia="宋体" w:cs="Times New Roman"/>
      <w:kern w:val="2"/>
      <w:sz w:val="21"/>
      <w:szCs w:val="24"/>
      <w:lang w:val="en-US" w:eastAsia="zh-CN" w:bidi="ar-SA"/>
    </w:rPr>
  </w:style>
  <w:style w:type="paragraph" w:customStyle="1" w:styleId="82">
    <w:name w:val="修订7"/>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83">
    <w:name w:val="font41"/>
    <w:basedOn w:val="34"/>
    <w:autoRedefine/>
    <w:qFormat/>
    <w:uiPriority w:val="0"/>
    <w:rPr>
      <w:rFonts w:ascii="Calibri" w:hAnsi="Calibri" w:cs="Calibri"/>
      <w:color w:val="000000"/>
      <w:sz w:val="22"/>
      <w:szCs w:val="22"/>
      <w:u w:val="none"/>
    </w:rPr>
  </w:style>
  <w:style w:type="paragraph" w:customStyle="1" w:styleId="84">
    <w:name w:val="正文_0"/>
    <w:autoRedefine/>
    <w:qFormat/>
    <w:uiPriority w:val="0"/>
    <w:pPr>
      <w:widowControl w:val="0"/>
      <w:jc w:val="both"/>
    </w:pPr>
    <w:rPr>
      <w:rFonts w:ascii="宋体" w:hAnsi="Times New Roman" w:eastAsia="宋体" w:cs="Times New Roman"/>
      <w:snapToGrid w:val="0"/>
      <w:kern w:val="21"/>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95</Pages>
  <Words>55853</Words>
  <Characters>59303</Characters>
  <Lines>587</Lines>
  <Paragraphs>165</Paragraphs>
  <TotalTime>27</TotalTime>
  <ScaleCrop>false</ScaleCrop>
  <LinksUpToDate>false</LinksUpToDate>
  <CharactersWithSpaces>64133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2024-11-29T15:47:00Z</dcterms:created>
  <dc:creator>Administrator</dc:creator>
  <cp:lastModifiedBy>Administrator</cp:lastModifiedBy>
  <cp:lastPrinted>2023-10-28T10:39:00Z</cp:lastPrinted>
  <dcterms:modified xsi:type="dcterms:W3CDTF">2025-06-06T00:35:27Z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03167A009E414A6B905A17682DB865C6_13</vt:lpwstr>
  </property>
  <property fmtid="{D5CDD505-2E9C-101B-9397-08002B2CF9AE}" pid="4" name="KSOTemplateDocerSaveRecord">
    <vt:lpwstr>eyJoZGlkIjoiMWE5MzY4NTEzNDJlZDI2ZGY5OWNmYjlhZjczMWVhNjYifQ==</vt:lpwstr>
  </property>
</Properties>
</file>