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firstLine="0"/>
        <w:jc w:val="center"/>
        <w:rPr>
          <w:rFonts w:ascii="Times New Roman" w:hAnsi="Times New Roman" w:eastAsia="宋体" w:cs="Times New Roman"/>
          <w:color w:val="auto"/>
          <w:highlight w:val="none"/>
        </w:rPr>
      </w:pPr>
      <w:r>
        <w:rPr>
          <w:rFonts w:hint="eastAsia" w:ascii="宋体" w:hAnsi="宋体" w:eastAsia="宋体" w:cs="宋体"/>
          <w:color w:val="auto"/>
          <w:highlight w:val="none"/>
        </w:rPr>
        <w:t>采购需求</w:t>
      </w:r>
    </w:p>
    <w:p>
      <w:pPr>
        <w:spacing w:line="440" w:lineRule="exact"/>
        <w:jc w:val="center"/>
        <w:rPr>
          <w:rFonts w:ascii="Times New Roman" w:hAnsi="Times New Roman" w:eastAsia="宋体" w:cs="Times New Roman"/>
          <w:color w:val="auto"/>
          <w:highlight w:val="none"/>
        </w:rPr>
      </w:pPr>
      <w:r>
        <w:rPr>
          <w:rFonts w:hint="eastAsia" w:ascii="宋体" w:hAnsi="宋体" w:eastAsia="宋体" w:cs="宋体"/>
          <w:b/>
          <w:color w:val="auto"/>
          <w:sz w:val="32"/>
          <w:szCs w:val="32"/>
          <w:highlight w:val="none"/>
        </w:rPr>
        <w:t>采购项目技术规格、参数及要求</w:t>
      </w:r>
    </w:p>
    <w:p>
      <w:pPr>
        <w:spacing w:line="440" w:lineRule="exact"/>
        <w:jc w:val="left"/>
        <w:rPr>
          <w:rFonts w:hint="eastAsia" w:ascii="宋体" w:hAnsi="宋体" w:eastAsia="宋体" w:cs="宋体"/>
          <w:b/>
          <w:color w:val="auto"/>
          <w:sz w:val="32"/>
          <w:szCs w:val="21"/>
          <w:highlight w:val="none"/>
        </w:rPr>
      </w:pPr>
    </w:p>
    <w:p>
      <w:pPr>
        <w:spacing w:line="360" w:lineRule="auto"/>
        <w:jc w:val="left"/>
        <w:rPr>
          <w:rFonts w:ascii="Times New Roman" w:hAnsi="Times New Roman" w:eastAsia="宋体" w:cs="Times New Roman"/>
          <w:color w:val="auto"/>
          <w:highlight w:val="none"/>
        </w:rPr>
      </w:pPr>
      <w:r>
        <w:rPr>
          <w:rFonts w:hint="eastAsia" w:ascii="宋体" w:hAnsi="宋体" w:eastAsia="宋体" w:cs="宋体"/>
          <w:color w:val="auto"/>
          <w:szCs w:val="21"/>
          <w:highlight w:val="none"/>
        </w:rPr>
        <w:t>说明：</w:t>
      </w:r>
    </w:p>
    <w:p>
      <w:pPr>
        <w:spacing w:line="360" w:lineRule="auto"/>
        <w:ind w:firstLine="420"/>
        <w:jc w:val="left"/>
        <w:rPr>
          <w:rFonts w:ascii="Times New Roman" w:hAnsi="Times New Roman" w:eastAsia="宋体" w:cs="Times New Roman"/>
          <w:color w:val="auto"/>
          <w:highlight w:val="none"/>
        </w:rPr>
      </w:pPr>
      <w:r>
        <w:rPr>
          <w:rFonts w:hint="eastAsia" w:ascii="宋体" w:hAnsi="宋体" w:eastAsia="宋体" w:cs="宋体"/>
          <w:color w:val="auto"/>
          <w:highlight w:val="none"/>
        </w:rPr>
        <w:t>1. 为落实政府采购政策需满足的要求</w:t>
      </w:r>
    </w:p>
    <w:p>
      <w:pPr>
        <w:spacing w:line="360" w:lineRule="auto"/>
        <w:ind w:firstLine="420"/>
        <w:jc w:val="left"/>
        <w:rPr>
          <w:rFonts w:ascii="Times New Roman" w:hAnsi="Times New Roman" w:eastAsia="宋体" w:cs="Times New Roman"/>
          <w:color w:val="auto"/>
          <w:highlight w:val="none"/>
        </w:rPr>
      </w:pPr>
      <w:r>
        <w:rPr>
          <w:rFonts w:hint="eastAsia" w:ascii="宋体" w:hAnsi="宋体" w:eastAsia="宋体" w:cs="宋体"/>
          <w:color w:val="auto"/>
          <w:szCs w:val="21"/>
          <w:highlight w:val="none"/>
        </w:rPr>
        <w:t>（1）本竞争性谈判采购文件所称中小企业必须符合《政府采购促进中小企业发展管理办法》（财库〔2020〕46号）的规定。</w:t>
      </w:r>
    </w:p>
    <w:p>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按无效处理。如本项目包含的货物属于品目清单内非标注“★”的产品时，应优先采购，具体详见“第四章 评审程序和评定成交的标准”。</w:t>
      </w:r>
    </w:p>
    <w:p>
      <w:pPr>
        <w:spacing w:line="360" w:lineRule="auto"/>
        <w:ind w:firstLine="424"/>
        <w:jc w:val="left"/>
        <w:rPr>
          <w:rFonts w:ascii="Times New Roman" w:hAnsi="Times New Roman" w:eastAsia="宋体" w:cs="Times New Roman"/>
          <w:color w:val="auto"/>
          <w:highlight w:val="none"/>
        </w:rPr>
      </w:pPr>
      <w:r>
        <w:rPr>
          <w:rFonts w:hint="eastAsia" w:ascii="宋体" w:hAnsi="宋体" w:eastAsia="宋体" w:cs="宋体"/>
          <w:color w:val="auto"/>
          <w:szCs w:val="21"/>
          <w:highlight w:val="none"/>
        </w:rPr>
        <w:t>2.</w:t>
      </w:r>
      <w:r>
        <w:rPr>
          <w:rFonts w:hint="eastAsia" w:ascii="宋体" w:hAnsi="宋体" w:eastAsia="宋体" w:cs="宋体"/>
          <w:b/>
          <w:bCs/>
          <w:color w:val="auto"/>
          <w:szCs w:val="21"/>
          <w:highlight w:val="none"/>
        </w:rPr>
        <w:t>“实质性要求”是指</w:t>
      </w:r>
      <w:r>
        <w:rPr>
          <w:rFonts w:hint="eastAsia" w:ascii="宋体" w:hAnsi="宋体" w:eastAsia="宋体" w:cs="宋体"/>
          <w:b/>
          <w:bCs/>
          <w:color w:val="auto"/>
          <w:szCs w:val="21"/>
          <w:highlight w:val="none"/>
          <w:lang w:eastAsia="zh-CN"/>
        </w:rPr>
        <w:t>竞争性谈判</w:t>
      </w:r>
      <w:r>
        <w:rPr>
          <w:rFonts w:hint="eastAsia" w:ascii="宋体" w:hAnsi="宋体" w:eastAsia="宋体" w:cs="宋体"/>
          <w:b/>
          <w:bCs/>
          <w:color w:val="auto"/>
          <w:szCs w:val="21"/>
          <w:highlight w:val="none"/>
        </w:rPr>
        <w:t>文件中已经指明不满足则响应文件</w:t>
      </w:r>
      <w:r>
        <w:rPr>
          <w:rFonts w:hint="eastAsia" w:ascii="宋体" w:hAnsi="宋体" w:eastAsia="宋体" w:cs="宋体"/>
          <w:b/>
          <w:bCs/>
          <w:color w:val="auto"/>
          <w:szCs w:val="21"/>
          <w:highlight w:val="none"/>
          <w:lang w:eastAsia="zh-CN"/>
        </w:rPr>
        <w:t>作</w:t>
      </w:r>
      <w:r>
        <w:rPr>
          <w:rFonts w:hint="eastAsia" w:ascii="宋体" w:hAnsi="宋体" w:eastAsia="宋体" w:cs="宋体"/>
          <w:b/>
          <w:bCs/>
          <w:color w:val="auto"/>
          <w:szCs w:val="21"/>
          <w:highlight w:val="none"/>
        </w:rPr>
        <w:t>无效响应处理的条款，或者不能负偏离的条款，或者采购需求中带“▲”的条款</w:t>
      </w:r>
      <w:r>
        <w:rPr>
          <w:rFonts w:hint="eastAsia" w:ascii="宋体" w:hAnsi="宋体" w:eastAsia="宋体" w:cs="宋体"/>
          <w:color w:val="auto"/>
          <w:szCs w:val="21"/>
          <w:highlight w:val="none"/>
        </w:rPr>
        <w:t>。</w:t>
      </w:r>
    </w:p>
    <w:p>
      <w:pPr>
        <w:spacing w:line="360" w:lineRule="auto"/>
        <w:ind w:firstLine="424"/>
        <w:jc w:val="left"/>
        <w:rPr>
          <w:rFonts w:ascii="Times New Roman" w:hAnsi="Times New Roman" w:eastAsia="宋体" w:cs="Times New Roman"/>
          <w:color w:val="auto"/>
          <w:highlight w:val="none"/>
        </w:rPr>
      </w:pPr>
      <w:r>
        <w:rPr>
          <w:rFonts w:hint="eastAsia" w:ascii="宋体" w:hAnsi="宋体" w:eastAsia="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3.采购需求中出现的品牌、型号或者生产供应商仅起参考作用，不属于指定品牌、型号或者生产供应商的情形。供应商可参照或者选用其他相当的品牌、型号或者生产供应商替代，但选用的</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产品技术参数要求必须满足采购要求。</w:t>
      </w:r>
    </w:p>
    <w:p>
      <w:pPr>
        <w:spacing w:line="360" w:lineRule="auto"/>
        <w:ind w:firstLine="42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必须对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中提供的证明材料和资质文件真实性负责，如出现虚假应标情况，</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除了应接受有关部门的处罚外，还应依据《中华人民共和国民法典》的相关条款来进行赔偿。</w:t>
      </w:r>
    </w:p>
    <w:p>
      <w:pPr>
        <w:spacing w:line="360" w:lineRule="auto"/>
        <w:ind w:firstLine="424"/>
        <w:jc w:val="left"/>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应对</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内容所涉及的专利承担法律责任，并负责保护采购人的利益不受任何损害。一切由于文字、商标、技术和软件专利授权引起的法律裁决、诉讼和赔偿费用均由</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负责</w:t>
      </w:r>
      <w:r>
        <w:rPr>
          <w:rFonts w:hint="eastAsia" w:ascii="宋体" w:hAnsi="宋体" w:eastAsia="宋体" w:cs="宋体"/>
          <w:color w:val="auto"/>
          <w:szCs w:val="21"/>
          <w:highlight w:val="none"/>
          <w:lang w:eastAsia="zh-CN"/>
        </w:rPr>
        <w:t>。</w:t>
      </w:r>
    </w:p>
    <w:p>
      <w:pPr>
        <w:spacing w:line="360" w:lineRule="auto"/>
        <w:ind w:firstLine="424"/>
        <w:jc w:val="left"/>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6.采购标的对应的中小企业划分标准所属行业名称：</w:t>
      </w:r>
      <w:r>
        <w:rPr>
          <w:rFonts w:hint="eastAsia" w:ascii="宋体" w:hAnsi="宋体" w:eastAsia="宋体" w:cs="宋体"/>
          <w:b/>
          <w:bCs/>
          <w:color w:val="auto"/>
          <w:highlight w:val="none"/>
          <w:u w:val="single"/>
          <w:lang w:val="en-US" w:eastAsia="zh-CN"/>
        </w:rPr>
        <w:t xml:space="preserve"> 工业 </w:t>
      </w:r>
      <w:r>
        <w:rPr>
          <w:rFonts w:hint="eastAsia" w:ascii="宋体" w:hAnsi="宋体" w:eastAsia="宋体" w:cs="宋体"/>
          <w:b/>
          <w:bCs/>
          <w:color w:val="auto"/>
          <w:highlight w:val="none"/>
          <w:u w:val="none"/>
          <w:lang w:val="en-US" w:eastAsia="zh-CN"/>
        </w:rPr>
        <w:t xml:space="preserve">。 </w:t>
      </w:r>
    </w:p>
    <w:tbl>
      <w:tblPr>
        <w:tblStyle w:val="5"/>
        <w:tblW w:w="9851" w:type="dxa"/>
        <w:jc w:val="center"/>
        <w:tblLayout w:type="autofit"/>
        <w:tblCellMar>
          <w:top w:w="0" w:type="dxa"/>
          <w:left w:w="108" w:type="dxa"/>
          <w:bottom w:w="0" w:type="dxa"/>
          <w:right w:w="108" w:type="dxa"/>
        </w:tblCellMar>
      </w:tblPr>
      <w:tblGrid>
        <w:gridCol w:w="457"/>
        <w:gridCol w:w="910"/>
        <w:gridCol w:w="615"/>
        <w:gridCol w:w="6936"/>
        <w:gridCol w:w="933"/>
      </w:tblGrid>
      <w:tr>
        <w:tblPrEx>
          <w:tblCellMar>
            <w:top w:w="0" w:type="dxa"/>
            <w:left w:w="108" w:type="dxa"/>
            <w:bottom w:w="0" w:type="dxa"/>
            <w:right w:w="108" w:type="dxa"/>
          </w:tblCellMar>
        </w:tblPrEx>
        <w:trPr>
          <w:trHeight w:val="640"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项号</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标的名称</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r>
              <w:rPr>
                <w:rFonts w:hint="eastAsia" w:ascii="宋体" w:hAnsi="宋体" w:eastAsia="宋体" w:cs="宋体"/>
                <w:b/>
                <w:bCs/>
                <w:color w:val="auto"/>
                <w:sz w:val="21"/>
                <w:szCs w:val="21"/>
                <w:highlight w:val="none"/>
                <w:lang w:eastAsia="zh-CN"/>
              </w:rPr>
              <w:t>及</w:t>
            </w:r>
            <w:r>
              <w:rPr>
                <w:rFonts w:hint="eastAsia" w:ascii="宋体" w:hAnsi="宋体" w:eastAsia="宋体" w:cs="宋体"/>
                <w:b/>
                <w:bCs/>
                <w:color w:val="auto"/>
                <w:sz w:val="21"/>
                <w:szCs w:val="21"/>
                <w:highlight w:val="none"/>
              </w:rPr>
              <w:t>数量</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60" w:lineRule="auto"/>
              <w:jc w:val="center"/>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技术参数要求</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每台</w:t>
            </w:r>
            <w:r>
              <w:rPr>
                <w:rFonts w:hint="eastAsia" w:ascii="宋体" w:hAnsi="宋体" w:eastAsia="宋体" w:cs="宋体"/>
                <w:b/>
                <w:bCs/>
                <w:color w:val="auto"/>
                <w:sz w:val="21"/>
                <w:szCs w:val="21"/>
                <w:highlight w:val="none"/>
              </w:rPr>
              <w:t>单价上控价（元）</w:t>
            </w:r>
          </w:p>
        </w:tc>
      </w:tr>
      <w:tr>
        <w:tblPrEx>
          <w:tblCellMar>
            <w:top w:w="0" w:type="dxa"/>
            <w:left w:w="108" w:type="dxa"/>
            <w:bottom w:w="0" w:type="dxa"/>
            <w:right w:w="108" w:type="dxa"/>
          </w:tblCellMar>
        </w:tblPrEx>
        <w:trPr>
          <w:trHeight w:val="500" w:hRule="atLeast"/>
          <w:jc w:val="center"/>
        </w:trPr>
        <w:tc>
          <w:tcPr>
            <w:tcW w:w="985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val="0"/>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一、天等县人民医院设备采购</w:t>
            </w:r>
          </w:p>
        </w:tc>
      </w:tr>
      <w:tr>
        <w:tblPrEx>
          <w:tblCellMar>
            <w:top w:w="0" w:type="dxa"/>
            <w:left w:w="108" w:type="dxa"/>
            <w:bottom w:w="0" w:type="dxa"/>
            <w:right w:w="108" w:type="dxa"/>
          </w:tblCellMar>
        </w:tblPrEx>
        <w:trPr>
          <w:trHeight w:val="77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呼吸机</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适用于对成人、小儿和婴幼儿患者进行通气辅助及呼吸支持的呼吸机，采用中文操作界面。</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采用≥15英寸彩色TFT触摸控制屏幕，分辨率1920*1080。</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屏幕显示：4道波形同屏显示，支持呼吸环、波形和监测参数同屏显示；可一键切换不同展示类型。</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具备自检功能，</w:t>
            </w:r>
            <w:r>
              <w:rPr>
                <w:rFonts w:hint="eastAsia" w:ascii="宋体" w:hAnsi="宋体" w:eastAsia="宋体" w:cs="宋体"/>
                <w:b w:val="0"/>
                <w:bCs w:val="0"/>
                <w:color w:val="auto"/>
                <w:sz w:val="21"/>
                <w:szCs w:val="21"/>
                <w:highlight w:val="none"/>
                <w:lang w:eastAsia="zh-CN"/>
              </w:rPr>
              <w:t>具有</w:t>
            </w:r>
            <w:r>
              <w:rPr>
                <w:rFonts w:hint="eastAsia" w:ascii="宋体" w:hAnsi="宋体" w:eastAsia="宋体" w:cs="宋体"/>
                <w:b w:val="0"/>
                <w:bCs w:val="0"/>
                <w:color w:val="auto"/>
                <w:sz w:val="21"/>
                <w:szCs w:val="21"/>
                <w:highlight w:val="none"/>
              </w:rPr>
              <w:t>测试流量传感器、呼气阀和安全阀等部件。</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内置后备可充电电池，使用时间不少于240分钟，可在屏幕上显示剩余电量。</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具备气动电控呼吸机。</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可配备辅助压监测功能，可进行跨肺压、食道压等参数监测，帮助临床医生评估通气效果，指导临床设置患者PEEP等指标。</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标配氧疗功能，可以调节氧疗流速（2~80L/min）和氧浓度</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病人信息</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当前的设置参数、报警限和趋势</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日志等数据可导出。</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具备</w:t>
            </w:r>
            <w:bookmarkStart w:id="1" w:name="_GoBack"/>
            <w:bookmarkEnd w:id="1"/>
            <w:r>
              <w:rPr>
                <w:rFonts w:hint="eastAsia" w:ascii="宋体" w:hAnsi="宋体" w:eastAsia="宋体" w:cs="宋体"/>
                <w:b w:val="0"/>
                <w:bCs w:val="0"/>
                <w:color w:val="auto"/>
                <w:sz w:val="21"/>
                <w:szCs w:val="21"/>
                <w:highlight w:val="none"/>
              </w:rPr>
              <w:t>截屏U盘导出功能。</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吸气安全阀组件可拆卸，并能高温高压蒸汽消毒（134℃），以防止交叉感染。</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呼气阀侧面具备金属膜片可自动加热，避免呼出端产生冷凝水影响传感器精度，保证潮气量精准。</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具备图形化显示阻力、顺应性和自主呼吸等生理参数变化。</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标配无创通气模式</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呼吸模式及功能</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基础模式模式：容量控制通气（VCV）、压力控制通气（PCV）、容量控制型SIMV（VCV）, 压力控制型SIMV（PCV）、自主呼吸模式（SPONT）、窒息通气模式等通气模式</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高级模式：自动适应性压力调整容量控制功能（如AUTOFLOW或者PRVC等）、压力释放通气APRV、压力调节容量控制-同步间歇指令模式（PRVC-SIMV）、容量支持通气VSV、心肺复苏通气CPRV。</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其他功能：手动呼吸、吸气保持、呼气保持、雾化、增氧、吸痰程序，NIF、PEEPi及P0.1测定。</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配有低流速P-V工具，帮助确定最佳PEEP值。</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具有自动插管阻力补偿（ATRC）功能，选择不同孔径的气管插管，呼吸机可以自动调节送气压力，使插管末端的压力与呼吸机压力设置值保持一致。</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设置参数</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潮气量：20ml—4000ml</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呼吸频率：4~100/min</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SIMV频率：1~60/min</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吸/呼比：4:1—1:10</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最大峰值流速：180L/min</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吸气压力：1~100cmH2O</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压力支持：0~100cmH2O</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PEEP：0~50 cmH2O</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压力触发灵敏度：-20 ~ 0cmH2O</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流速触发灵敏度：0.3~20L/ min</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氧浓度：21~100%</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叹息功能：有</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监测参数</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124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压力/容量参数：平均气道压、气道峰压、吸气平台压、驱动压、最小气道压、吸入潮气量、呼出潮气量、分钟通气量、自主分钟通气量等参数。</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时间参数：吸气时间、呼气时间、吸呼比、总呼吸频率、自主呼吸频率等参数。</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波形显示：压力-时间、流速-时间、容量-时间、二氧化碳分压-时间（选配）、食道压-时间（选配）、跨肺压-时间（选配）、脉搏氧-时间（选配）。</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吸入氧浓度的监测</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呼吸环：压力-容量环、流速-压力环、流速-容量环、容量-二氧化碳分压环（选配）、食道压-容量环（选配）。</w:t>
            </w:r>
          </w:p>
          <w:p>
            <w:pPr>
              <w:keepNext w:val="0"/>
              <w:keepLines w:val="0"/>
              <w:pageBreakBefore w:val="0"/>
              <w:widowControl/>
              <w:numPr>
                <w:ilvl w:val="1"/>
                <w:numId w:val="2"/>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肺的力学：吸气阻力、呼气阻力、静态顺应性、动态顺应性、时间常数、呼吸功的监测。</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具备肺牵张指数（SI）监测以提示肺损伤风险。</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具备肺过度膨胀系数C20/C以提示肺损伤风险。</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可监测参数≥72小时的趋势图、表分析。</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其他功能</w:t>
            </w:r>
            <w:r>
              <w:rPr>
                <w:rFonts w:hint="eastAsia" w:ascii="宋体" w:hAnsi="宋体" w:eastAsia="宋体" w:cs="宋体"/>
                <w:b w:val="0"/>
                <w:bCs w:val="0"/>
                <w:color w:val="auto"/>
                <w:sz w:val="21"/>
                <w:szCs w:val="21"/>
                <w:highlight w:val="none"/>
                <w:lang w:eastAsia="zh-CN"/>
              </w:rPr>
              <w:t>：具有</w:t>
            </w:r>
            <w:r>
              <w:rPr>
                <w:rFonts w:hint="eastAsia" w:ascii="宋体" w:hAnsi="宋体" w:eastAsia="宋体" w:cs="宋体"/>
                <w:b w:val="0"/>
                <w:bCs w:val="0"/>
                <w:color w:val="auto"/>
                <w:sz w:val="21"/>
                <w:szCs w:val="21"/>
                <w:highlight w:val="none"/>
              </w:rPr>
              <w:t>便利的锁屏功能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漏气自动补偿</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管道的顺应性和BTPS补偿功能。</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295000</w:t>
            </w:r>
          </w:p>
        </w:tc>
      </w:tr>
      <w:tr>
        <w:tblPrEx>
          <w:tblCellMar>
            <w:top w:w="0" w:type="dxa"/>
            <w:left w:w="108" w:type="dxa"/>
            <w:bottom w:w="0" w:type="dxa"/>
            <w:right w:w="108" w:type="dxa"/>
          </w:tblCellMar>
        </w:tblPrEx>
        <w:trPr>
          <w:trHeight w:val="77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血液透析机</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一、技术特点</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1.设备为国产。</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2.适用于血液透析、单纯超滤等治疗模式。</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3.采用≧10英寸液晶屏，中英文等多种语言界面。</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4.具有多种自设曲线功能，可为患者提供个性化治疗。</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5.适应市面上各种品牌的透析粉或浓缩液。</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6.容量平衡腔超滤控制系统，腔体容积＜80ml超滤。</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7.方便的序贯透析（透析←→单纯超滤）、高低钠序贯透析。</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8.透析液配制系统，透析液离子浓度更准确。</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9.醒目的红、黄、绿三级警示灯，配合多种音乐提示和报警，兼顾安全与人性化。</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10.内置后备电源，停电后可维持血液回路工作15分钟以上。</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11.可使用20mL注射器，完善的功能自检和报警系统。</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12.在线无创血压监测，可自动检测和记录患者透析期间的心率、血压变化。</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13.在线KT/V功能，用于评价透析治疗的充分性，无需耗材。</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14.提供可配备机器使用的透析液过滤器，且无需额外配件（耗材）连接使用。</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15.具有水路密闭性测试功能，确保治疗过程中，脱水的准确性。</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二、技术参数:</w:t>
            </w:r>
          </w:p>
          <w:p>
            <w:pPr>
              <w:widowControl/>
              <w:spacing w:line="360" w:lineRule="auto"/>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1.动脉压监测:-200mmHg～+200mmHg，精度可达：±20mmHg</w:t>
            </w:r>
            <w:r>
              <w:rPr>
                <w:rFonts w:hint="eastAsia" w:ascii="宋体" w:hAnsi="宋体" w:eastAsia="宋体" w:cs="宋体"/>
                <w:b w:val="0"/>
                <w:bCs w:val="0"/>
                <w:color w:val="auto"/>
                <w:kern w:val="0"/>
                <w:sz w:val="21"/>
                <w:szCs w:val="21"/>
                <w:highlight w:val="none"/>
                <w:lang w:eastAsia="zh-CN" w:bidi="ar"/>
              </w:rPr>
              <w:t>；</w:t>
            </w:r>
          </w:p>
          <w:p>
            <w:pPr>
              <w:widowControl/>
              <w:spacing w:line="360" w:lineRule="auto"/>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2.静脉压监测: -50mmHg～+500mmHg，精度可达: ±20mmHg</w:t>
            </w:r>
            <w:r>
              <w:rPr>
                <w:rFonts w:hint="eastAsia" w:ascii="宋体" w:hAnsi="宋体" w:eastAsia="宋体" w:cs="宋体"/>
                <w:b w:val="0"/>
                <w:bCs w:val="0"/>
                <w:color w:val="auto"/>
                <w:kern w:val="0"/>
                <w:sz w:val="21"/>
                <w:szCs w:val="21"/>
                <w:highlight w:val="none"/>
                <w:lang w:eastAsia="zh-CN" w:bidi="ar"/>
              </w:rPr>
              <w:t>；</w:t>
            </w:r>
          </w:p>
          <w:p>
            <w:pPr>
              <w:widowControl/>
              <w:spacing w:line="360" w:lineRule="auto"/>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3.跨膜压监测:-50mmHg～+500mmHg，精度可达: ±20mmHg</w:t>
            </w:r>
            <w:r>
              <w:rPr>
                <w:rFonts w:hint="eastAsia" w:ascii="宋体" w:hAnsi="宋体" w:eastAsia="宋体" w:cs="宋体"/>
                <w:b w:val="0"/>
                <w:bCs w:val="0"/>
                <w:color w:val="auto"/>
                <w:kern w:val="0"/>
                <w:sz w:val="21"/>
                <w:szCs w:val="21"/>
                <w:highlight w:val="none"/>
                <w:lang w:eastAsia="zh-CN" w:bidi="ar"/>
              </w:rPr>
              <w:t>；</w:t>
            </w:r>
          </w:p>
          <w:p>
            <w:pPr>
              <w:widowControl/>
              <w:spacing w:line="360" w:lineRule="auto"/>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4.透析液流量：300、500、800ml/min</w:t>
            </w:r>
            <w:r>
              <w:rPr>
                <w:rFonts w:hint="eastAsia" w:ascii="宋体" w:hAnsi="宋体" w:eastAsia="宋体" w:cs="宋体"/>
                <w:b w:val="0"/>
                <w:bCs w:val="0"/>
                <w:color w:val="auto"/>
                <w:kern w:val="0"/>
                <w:sz w:val="21"/>
                <w:szCs w:val="21"/>
                <w:highlight w:val="none"/>
                <w:lang w:eastAsia="zh-CN" w:bidi="ar"/>
              </w:rPr>
              <w:t>；</w:t>
            </w:r>
          </w:p>
          <w:p>
            <w:pPr>
              <w:widowControl/>
              <w:spacing w:line="360" w:lineRule="auto"/>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5.透析液温度范围：35℃～39℃，精度±0.5℃</w:t>
            </w:r>
            <w:r>
              <w:rPr>
                <w:rFonts w:hint="eastAsia" w:ascii="宋体" w:hAnsi="宋体" w:eastAsia="宋体" w:cs="宋体"/>
                <w:b w:val="0"/>
                <w:bCs w:val="0"/>
                <w:color w:val="auto"/>
                <w:kern w:val="0"/>
                <w:sz w:val="21"/>
                <w:szCs w:val="21"/>
                <w:highlight w:val="none"/>
                <w:lang w:eastAsia="zh-CN" w:bidi="ar"/>
              </w:rPr>
              <w:t>；</w:t>
            </w:r>
          </w:p>
          <w:p>
            <w:pPr>
              <w:widowControl/>
              <w:spacing w:line="360" w:lineRule="auto"/>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6.透析液电导率: 13mS/cm-15.5mS/cm，精度: ±0.1 mS/cm</w:t>
            </w:r>
            <w:r>
              <w:rPr>
                <w:rFonts w:hint="eastAsia" w:ascii="宋体" w:hAnsi="宋体" w:eastAsia="宋体" w:cs="宋体"/>
                <w:b w:val="0"/>
                <w:bCs w:val="0"/>
                <w:color w:val="auto"/>
                <w:kern w:val="0"/>
                <w:sz w:val="21"/>
                <w:szCs w:val="21"/>
                <w:highlight w:val="none"/>
                <w:lang w:eastAsia="zh-CN" w:bidi="ar"/>
              </w:rPr>
              <w:t>；</w:t>
            </w:r>
          </w:p>
          <w:p>
            <w:pPr>
              <w:widowControl/>
              <w:spacing w:line="360" w:lineRule="auto"/>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7.血流量：30～600mL/min，精度±10%</w:t>
            </w:r>
            <w:r>
              <w:rPr>
                <w:rFonts w:hint="eastAsia" w:ascii="宋体" w:hAnsi="宋体" w:eastAsia="宋体" w:cs="宋体"/>
                <w:b w:val="0"/>
                <w:bCs w:val="0"/>
                <w:color w:val="auto"/>
                <w:kern w:val="0"/>
                <w:sz w:val="21"/>
                <w:szCs w:val="21"/>
                <w:highlight w:val="none"/>
                <w:lang w:eastAsia="zh-CN" w:bidi="ar"/>
              </w:rPr>
              <w:t>；</w:t>
            </w:r>
          </w:p>
          <w:p>
            <w:pPr>
              <w:widowControl/>
              <w:spacing w:line="360" w:lineRule="auto"/>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8.超滤控制</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bidi="ar"/>
              </w:rPr>
              <w:t>超滤率：0～4000mL/h，精度：±30mL/h</w:t>
            </w:r>
            <w:r>
              <w:rPr>
                <w:rFonts w:hint="eastAsia" w:ascii="宋体" w:hAnsi="宋体" w:eastAsia="宋体" w:cs="宋体"/>
                <w:b w:val="0"/>
                <w:bCs w:val="0"/>
                <w:color w:val="auto"/>
                <w:kern w:val="0"/>
                <w:sz w:val="21"/>
                <w:szCs w:val="21"/>
                <w:highlight w:val="none"/>
                <w:lang w:eastAsia="zh-CN" w:bidi="ar"/>
              </w:rPr>
              <w:t>；</w:t>
            </w:r>
          </w:p>
          <w:p>
            <w:pPr>
              <w:widowControl/>
              <w:spacing w:line="360" w:lineRule="auto"/>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9.肝素泵注入流量：0.1～10ml/h</w:t>
            </w:r>
            <w:r>
              <w:rPr>
                <w:rFonts w:hint="eastAsia" w:ascii="宋体" w:hAnsi="宋体" w:eastAsia="宋体" w:cs="宋体"/>
                <w:b w:val="0"/>
                <w:bCs w:val="0"/>
                <w:color w:val="auto"/>
                <w:kern w:val="0"/>
                <w:sz w:val="21"/>
                <w:szCs w:val="21"/>
                <w:highlight w:val="none"/>
                <w:lang w:eastAsia="zh-CN" w:bidi="ar"/>
              </w:rPr>
              <w:t>；</w:t>
            </w:r>
          </w:p>
          <w:p>
            <w:pPr>
              <w:widowControl/>
              <w:spacing w:line="360" w:lineRule="auto"/>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10.气泡检测器：可监测＞1μl的气泡，可监测液面和累积气泡</w:t>
            </w:r>
            <w:r>
              <w:rPr>
                <w:rFonts w:hint="eastAsia" w:ascii="宋体" w:hAnsi="宋体" w:eastAsia="宋体" w:cs="宋体"/>
                <w:b w:val="0"/>
                <w:bCs w:val="0"/>
                <w:color w:val="auto"/>
                <w:kern w:val="0"/>
                <w:sz w:val="21"/>
                <w:szCs w:val="21"/>
                <w:highlight w:val="none"/>
                <w:lang w:eastAsia="zh-CN" w:bidi="ar"/>
              </w:rPr>
              <w:t>。</w:t>
            </w:r>
          </w:p>
          <w:p>
            <w:pPr>
              <w:widowControl/>
              <w:spacing w:line="360" w:lineRule="auto"/>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11.漏血监测：可监测 ≤0.5ml/min的漏血（HCT32%）</w:t>
            </w:r>
            <w:r>
              <w:rPr>
                <w:rFonts w:hint="eastAsia" w:ascii="宋体" w:hAnsi="宋体" w:eastAsia="宋体" w:cs="宋体"/>
                <w:b w:val="0"/>
                <w:bCs w:val="0"/>
                <w:color w:val="auto"/>
                <w:kern w:val="0"/>
                <w:sz w:val="21"/>
                <w:szCs w:val="21"/>
                <w:highlight w:val="none"/>
                <w:lang w:eastAsia="zh-CN" w:bidi="ar"/>
              </w:rPr>
              <w:t>。</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12.消毒功能：具有化学剂消毒和热消毒两种，热消毒最高温度大于80℃，消毒时间不超过35分钟。</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13.供水条件温度：进水压 1.5～6.0bar</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bidi="ar"/>
              </w:rPr>
              <w:t>进水温度 5～30℃。</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（三）其他</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1.质保期不少于1年，质保期内全免费维修和更换零配件。</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2.提供良好的售后服务支持，能及时快捷的提供维修服务，接到电话半小时内响应，24小时内到达现场。</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178000</w:t>
            </w:r>
          </w:p>
        </w:tc>
      </w:tr>
      <w:tr>
        <w:tblPrEx>
          <w:tblCellMar>
            <w:top w:w="0" w:type="dxa"/>
            <w:left w:w="108" w:type="dxa"/>
            <w:bottom w:w="0" w:type="dxa"/>
            <w:right w:w="108" w:type="dxa"/>
          </w:tblCellMar>
        </w:tblPrEx>
        <w:trPr>
          <w:trHeight w:val="4516"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电子支气管镜内窥镜</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一、图像工作站技术参数</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采用智能主控芯片，可通过有线或无线模式无缝兼容窥视叶片手柄、硬管手柄、软管手柄，无需转接。</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采用</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0英寸</w:t>
            </w:r>
            <w:r>
              <w:rPr>
                <w:rFonts w:hint="eastAsia" w:ascii="宋体" w:hAnsi="宋体" w:eastAsia="宋体" w:cs="宋体"/>
                <w:b w:val="0"/>
                <w:bCs w:val="0"/>
                <w:color w:val="auto"/>
                <w:sz w:val="21"/>
                <w:szCs w:val="21"/>
                <w:highlight w:val="none"/>
              </w:rPr>
              <w:t>的广角高亮的触摸屏显示及操作。固定支架可调节观察角度，提手方便临床使用及携带。</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显示器内置多媒体系统，可拍照、录像、录音；可在显示器上直接阅读、回放；可通过HDMI接口，连接具有HDMI接收功能的监视器输出本图像处理工作站显示信号 ，方便科研、教学。</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显示器内置病例管理系统，支持病历管理功能，可制作图文报告、制作视频报告，查看、编辑、预览、打印病历报告以及病历报告检索。</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可通过接入WIFI和4G网络实现添加好友、分享视频/图像文件、预约会诊（语音预约、语音留言预约、表单预约）等功能。</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具有前置摄像头，前置摄像头可移动，进行场景拍摄。</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可实现设备、场景等</w:t>
            </w:r>
            <w:r>
              <w:rPr>
                <w:rFonts w:hint="eastAsia" w:ascii="宋体" w:hAnsi="宋体" w:eastAsia="宋体" w:cs="宋体"/>
                <w:b w:val="0"/>
                <w:bCs w:val="0"/>
                <w:color w:val="auto"/>
                <w:sz w:val="21"/>
                <w:szCs w:val="21"/>
                <w:highlight w:val="none"/>
                <w:lang w:val="en-US" w:eastAsia="zh-CN"/>
              </w:rPr>
              <w:t>≥3个</w:t>
            </w:r>
            <w:r>
              <w:rPr>
                <w:rFonts w:hint="eastAsia" w:ascii="宋体" w:hAnsi="宋体" w:eastAsia="宋体" w:cs="宋体"/>
                <w:b w:val="0"/>
                <w:bCs w:val="0"/>
                <w:color w:val="auto"/>
                <w:sz w:val="21"/>
                <w:szCs w:val="21"/>
                <w:highlight w:val="none"/>
              </w:rPr>
              <w:t>画面显示。</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内置锂电池，容量</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5000mAh，具有电量管理功能。</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显示器具有可调节角度的支架，方便临床使用及携带。</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可外接鼠标键盘等外围设备，方便医生使用。</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可一键联系厂家，做使用培训支持及保修。</w:t>
            </w:r>
          </w:p>
          <w:p>
            <w:pPr>
              <w:keepNext w:val="0"/>
              <w:keepLines w:val="0"/>
              <w:pageBreakBefore w:val="0"/>
              <w:widowControl/>
              <w:numPr>
                <w:ilvl w:val="0"/>
                <w:numId w:val="3"/>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电子软镜手柄技术参数</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采用数字电子微成像技术，无内置光纤，视角≥90°，空间分辨率≥10.101p/mm。</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插入部外径≤5.2mm，内置吸引通道直径≥2.6mm,长度≥600mm。</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软管前端可弯曲角度支持定制，向上≥1</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0</w:t>
            </w:r>
            <w:bookmarkStart w:id="0" w:name="_Hlk88165469"/>
            <w:r>
              <w:rPr>
                <w:rFonts w:hint="eastAsia" w:ascii="宋体" w:hAnsi="宋体" w:eastAsia="宋体" w:cs="宋体"/>
                <w:b w:val="0"/>
                <w:bCs w:val="0"/>
                <w:color w:val="auto"/>
                <w:sz w:val="21"/>
                <w:szCs w:val="21"/>
                <w:highlight w:val="none"/>
              </w:rPr>
              <w:t>°</w:t>
            </w:r>
            <w:bookmarkEnd w:id="0"/>
            <w:r>
              <w:rPr>
                <w:rFonts w:hint="eastAsia" w:ascii="宋体" w:hAnsi="宋体" w:eastAsia="宋体" w:cs="宋体"/>
                <w:b w:val="0"/>
                <w:bCs w:val="0"/>
                <w:color w:val="auto"/>
                <w:sz w:val="21"/>
                <w:szCs w:val="21"/>
                <w:highlight w:val="none"/>
              </w:rPr>
              <w:t>，向下≥1</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0°。</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插入部</w:t>
            </w:r>
            <w:r>
              <w:rPr>
                <w:rFonts w:hint="eastAsia" w:ascii="宋体" w:hAnsi="宋体" w:eastAsia="宋体" w:cs="宋体"/>
                <w:b w:val="0"/>
                <w:bCs w:val="0"/>
                <w:color w:val="auto"/>
                <w:sz w:val="21"/>
                <w:szCs w:val="21"/>
                <w:highlight w:val="none"/>
                <w:lang w:val="en-US" w:eastAsia="zh-CN"/>
              </w:rPr>
              <w:t>具备</w:t>
            </w:r>
            <w:r>
              <w:rPr>
                <w:rFonts w:hint="eastAsia" w:ascii="宋体" w:hAnsi="宋体" w:eastAsia="宋体" w:cs="宋体"/>
                <w:b w:val="0"/>
                <w:bCs w:val="0"/>
                <w:color w:val="auto"/>
                <w:sz w:val="21"/>
                <w:szCs w:val="21"/>
                <w:highlight w:val="none"/>
              </w:rPr>
              <w:t>旋转功能,左右各旋转≥120°。</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照明采用LED灯，亮度≥400LUX，三档亮度可调节，非光纤照明。</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成像距离范围3～50mm。   </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具备防跌落、可任意弯曲性能，可整体浸泡消毒。</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、图像预冻结功能，在不影响实时观察的情况下同时可实现观察预冻结图像。</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一键拍照、录像功能。</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与主机之间的连接方式采用一键插拔，无需旋转，节省临床抢救时间</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rPr>
              <w:t>支持无线及有线传输功能模块连接图像处理工作站，实现远程、直播、报告打印等，方便医生操作、教学。</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配置清单</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3500"/>
              <w:gridCol w:w="1233"/>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序号</w:t>
                  </w:r>
                </w:p>
              </w:tc>
              <w:tc>
                <w:tcPr>
                  <w:tcW w:w="26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名称</w:t>
                  </w:r>
                </w:p>
              </w:tc>
              <w:tc>
                <w:tcPr>
                  <w:tcW w:w="9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单位</w:t>
                  </w:r>
                </w:p>
              </w:tc>
              <w:tc>
                <w:tcPr>
                  <w:tcW w:w="6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26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显示器</w:t>
                  </w:r>
                </w:p>
              </w:tc>
              <w:tc>
                <w:tcPr>
                  <w:tcW w:w="9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台</w:t>
                  </w:r>
                </w:p>
              </w:tc>
              <w:tc>
                <w:tcPr>
                  <w:tcW w:w="6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26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无线模块</w:t>
                  </w:r>
                </w:p>
              </w:tc>
              <w:tc>
                <w:tcPr>
                  <w:tcW w:w="9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个</w:t>
                  </w:r>
                </w:p>
              </w:tc>
              <w:tc>
                <w:tcPr>
                  <w:tcW w:w="6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26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数据线</w:t>
                  </w:r>
                </w:p>
              </w:tc>
              <w:tc>
                <w:tcPr>
                  <w:tcW w:w="9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条</w:t>
                  </w:r>
                </w:p>
              </w:tc>
              <w:tc>
                <w:tcPr>
                  <w:tcW w:w="6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26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台车</w:t>
                  </w:r>
                </w:p>
              </w:tc>
              <w:tc>
                <w:tcPr>
                  <w:tcW w:w="9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台</w:t>
                  </w:r>
                </w:p>
              </w:tc>
              <w:tc>
                <w:tcPr>
                  <w:tcW w:w="6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26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软镜手柄</w:t>
                  </w:r>
                </w:p>
              </w:tc>
              <w:tc>
                <w:tcPr>
                  <w:tcW w:w="9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把</w:t>
                  </w:r>
                </w:p>
              </w:tc>
              <w:tc>
                <w:tcPr>
                  <w:tcW w:w="6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6</w:t>
                  </w:r>
                </w:p>
              </w:tc>
              <w:tc>
                <w:tcPr>
                  <w:tcW w:w="26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电源适配器</w:t>
                  </w:r>
                </w:p>
              </w:tc>
              <w:tc>
                <w:tcPr>
                  <w:tcW w:w="9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个</w:t>
                  </w:r>
                </w:p>
              </w:tc>
              <w:tc>
                <w:tcPr>
                  <w:tcW w:w="6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p>
              </w:tc>
              <w:tc>
                <w:tcPr>
                  <w:tcW w:w="26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电源线</w:t>
                  </w:r>
                </w:p>
              </w:tc>
              <w:tc>
                <w:tcPr>
                  <w:tcW w:w="9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套</w:t>
                  </w:r>
                </w:p>
              </w:tc>
              <w:tc>
                <w:tcPr>
                  <w:tcW w:w="6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w:t>
                  </w:r>
                </w:p>
              </w:tc>
              <w:tc>
                <w:tcPr>
                  <w:tcW w:w="26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使用说明书</w:t>
                  </w:r>
                </w:p>
              </w:tc>
              <w:tc>
                <w:tcPr>
                  <w:tcW w:w="9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套</w:t>
                  </w:r>
                </w:p>
              </w:tc>
              <w:tc>
                <w:tcPr>
                  <w:tcW w:w="6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w:t>
                  </w:r>
                </w:p>
              </w:tc>
              <w:tc>
                <w:tcPr>
                  <w:tcW w:w="26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合格证</w:t>
                  </w:r>
                </w:p>
              </w:tc>
              <w:tc>
                <w:tcPr>
                  <w:tcW w:w="9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套</w:t>
                  </w:r>
                </w:p>
              </w:tc>
              <w:tc>
                <w:tcPr>
                  <w:tcW w:w="6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r>
          </w:tbl>
          <w:p>
            <w:pPr>
              <w:keepNext w:val="0"/>
              <w:keepLines w:val="0"/>
              <w:pageBreakBefore w:val="0"/>
              <w:widowControl w:val="0"/>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p>
          <w:p>
            <w:pPr>
              <w:widowControl/>
              <w:spacing w:line="360" w:lineRule="auto"/>
              <w:jc w:val="both"/>
              <w:rPr>
                <w:rFonts w:hint="eastAsia" w:ascii="宋体" w:hAnsi="宋体" w:eastAsia="宋体" w:cs="宋体"/>
                <w:b w:val="0"/>
                <w:bCs w:val="0"/>
                <w:color w:val="auto"/>
                <w:kern w:val="0"/>
                <w:sz w:val="21"/>
                <w:szCs w:val="21"/>
                <w:highlight w:val="none"/>
                <w:lang w:bidi="ar"/>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147000</w:t>
            </w:r>
          </w:p>
        </w:tc>
      </w:tr>
      <w:tr>
        <w:tblPrEx>
          <w:tblCellMar>
            <w:top w:w="0" w:type="dxa"/>
            <w:left w:w="108" w:type="dxa"/>
            <w:bottom w:w="0" w:type="dxa"/>
            <w:right w:w="108" w:type="dxa"/>
          </w:tblCellMar>
        </w:tblPrEx>
        <w:trPr>
          <w:trHeight w:val="34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中频电疗仪</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1、产品结构形式：柜式款，万向脚轮，移动灵敏便捷；</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2、输出通道：四通道配置；四路可独立控制，同时治疗四位患者/或四个部位；亦可组合使用，形成2组平面干扰治疗；</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3、操控方式：10.1英寸真彩触摸屏；</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4、内置多达103种治疗处方，分5种治疗模式（多步模式、音频模式、正弦调制、脉冲调制、干扰模式）可选；</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5、具有离子导入功能；</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6、具有4种平面干扰电输出模式（普通模式、动态模式、调制模式、对极模式）可选；</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7、具有自定义处方功能，医护人员可根据临床需要进行自行建立、存储和调取；</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8、输出电流强度：不超过50mA(r.m.s)</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9、输出电流稳定度：不同负载下的输出电流变化率不大于10%；</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10、载波频率：载波频率1kHz～12kHz，允差±10%；</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11、载波波形：脉冲波</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12、载波脉宽：42μs～500μs，允差±10μs。</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13、调制波频率：0～150Hz，允差±10%；</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14、具有8种调制波波形：方波、正弦波、三角波、锯齿波、指数波、扇形波、梯形波、尖波；</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15、直流分量：离子导入方式脉动直流输出电压不大于100V；</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16、差频频率：0～200Hz，允差在±10%或±1Hz；</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17、差频变化周期：15s～30s，允差±10%；</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18、动态节律：4s～10s，允差±10%；</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19、调幅度：0～100%，调幅度允差±5%；</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20、治疗时间：1min～99min可调，步长1min，允差±5%。</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21、连续工作时间：不少于4h；</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22、噪声不大于45dB（A）；</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23、具有电极加热功能：电极片温度38℃～42℃，分10档可调，允差±3℃；</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24、具有四大保护功能：</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1）超温保护：电极片温度超过45℃，热保护器动作，且有报警提示。</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2）开路保护：电疗仪在输出状态无负载时，发出声音和显示错误提示；</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3）短路保护：电疗仪在输出端短路时，发出声音和显示错误提示；</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4）过流保护：在500Ω的负载电阻下，输出电流有效值大于50mA时，发出声音和显示错误提示。</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25、具有参数锁定功能，满足临床个性化需求；</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26、配置方形理疗电极、中低频理疗电极、2种硅橡胶加热电极、1种硅橡胶圆形电极；</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27、产品尺寸：</w:t>
            </w:r>
            <w:r>
              <w:rPr>
                <w:rFonts w:hint="eastAsia" w:ascii="宋体" w:hAnsi="宋体" w:eastAsia="宋体" w:cs="宋体"/>
                <w:b w:val="0"/>
                <w:bCs w:val="0"/>
                <w:color w:val="auto"/>
                <w:kern w:val="0"/>
                <w:sz w:val="21"/>
                <w:szCs w:val="21"/>
                <w:highlight w:val="none"/>
                <w:lang w:eastAsia="zh-CN" w:bidi="ar"/>
              </w:rPr>
              <w:t>约</w:t>
            </w:r>
            <w:r>
              <w:rPr>
                <w:rFonts w:hint="eastAsia" w:ascii="宋体" w:hAnsi="宋体" w:eastAsia="宋体" w:cs="宋体"/>
                <w:b w:val="0"/>
                <w:bCs w:val="0"/>
                <w:color w:val="auto"/>
                <w:kern w:val="0"/>
                <w:sz w:val="21"/>
                <w:szCs w:val="21"/>
                <w:highlight w:val="none"/>
                <w:lang w:bidi="ar"/>
              </w:rPr>
              <w:t>（长）484.2mm *（宽）461.2mm *（高）863mm；</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28、电源线长度：≥1.8m</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29、连接线长度：≥1.55m</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30、转换线长度：≥0.29m</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31、工作环境：</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1）环境温度：5℃～40℃；</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2）相对湿度：≤80%；</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3）大气压力：700hpa～1060hpa；</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4）电源电压：220V±10%;</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5）电源频率：50Hz±1Hz。</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6）输入功率：200VA</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32、产品分类：</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1）防电击类型：Ⅱ类；</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2）防电击程度：BF型；</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3）对进液的防护程度：IPX0；</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4）运行模式：连续运行；</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5）在与空气混合的易燃麻醉气体或氧化亚氮混合的易燃麻醉气体情况下使用时的安全程度：非AP型、APG型设备；</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6）电磁发射：1组A类</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12500</w:t>
            </w:r>
          </w:p>
        </w:tc>
      </w:tr>
      <w:tr>
        <w:tblPrEx>
          <w:tblCellMar>
            <w:top w:w="0" w:type="dxa"/>
            <w:left w:w="108" w:type="dxa"/>
            <w:bottom w:w="0" w:type="dxa"/>
            <w:right w:w="108" w:type="dxa"/>
          </w:tblCellMar>
        </w:tblPrEx>
        <w:trPr>
          <w:trHeight w:val="345" w:hRule="atLeast"/>
          <w:jc w:val="center"/>
        </w:trPr>
        <w:tc>
          <w:tcPr>
            <w:tcW w:w="985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二、天等县向都镇中心卫生院设备</w:t>
            </w:r>
          </w:p>
        </w:tc>
      </w:tr>
      <w:tr>
        <w:tblPrEx>
          <w:tblCellMar>
            <w:top w:w="0" w:type="dxa"/>
            <w:left w:w="108" w:type="dxa"/>
            <w:bottom w:w="0" w:type="dxa"/>
            <w:right w:w="108" w:type="dxa"/>
          </w:tblCellMar>
        </w:tblPrEx>
        <w:trPr>
          <w:trHeight w:val="34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立式蒸汽灭菌器</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4"/>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灭菌器外壳、腔体、提篮均为304不锈钢材质制成，耐腐蚀，耐高温，易清洁</w:t>
            </w:r>
          </w:p>
          <w:p>
            <w:pPr>
              <w:keepNext w:val="0"/>
              <w:keepLines w:val="0"/>
              <w:pageBreakBefore w:val="0"/>
              <w:widowControl/>
              <w:numPr>
                <w:ilvl w:val="0"/>
                <w:numId w:val="4"/>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操作面板多参数显示，压力表读数指示，观察清晰</w:t>
            </w:r>
          </w:p>
          <w:p>
            <w:pPr>
              <w:keepNext w:val="0"/>
              <w:keepLines w:val="0"/>
              <w:pageBreakBefore w:val="0"/>
              <w:widowControl/>
              <w:numPr>
                <w:ilvl w:val="0"/>
                <w:numId w:val="4"/>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微电脑控制，LED数显，PID功能，加热参数自整定,升温迅速，控温精准</w:t>
            </w:r>
          </w:p>
          <w:p>
            <w:pPr>
              <w:keepNext w:val="0"/>
              <w:keepLines w:val="0"/>
              <w:pageBreakBefore w:val="0"/>
              <w:widowControl/>
              <w:numPr>
                <w:ilvl w:val="0"/>
                <w:numId w:val="4"/>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安全联锁装置及门控锁，有压力时上盖无法打开，上盖未关闭程序不能运行</w:t>
            </w:r>
          </w:p>
          <w:p>
            <w:pPr>
              <w:keepNext w:val="0"/>
              <w:keepLines w:val="0"/>
              <w:pageBreakBefore w:val="0"/>
              <w:widowControl/>
              <w:numPr>
                <w:ilvl w:val="0"/>
                <w:numId w:val="4"/>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具备缺水自动保护功能，水位不足停止加热，缺水声光报警</w:t>
            </w:r>
          </w:p>
          <w:p>
            <w:pPr>
              <w:keepNext w:val="0"/>
              <w:keepLines w:val="0"/>
              <w:pageBreakBefore w:val="0"/>
              <w:widowControl/>
              <w:numPr>
                <w:ilvl w:val="0"/>
                <w:numId w:val="4"/>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可设定灭菌结束后自动放气及自然冷却降压两种模式</w:t>
            </w:r>
          </w:p>
          <w:p>
            <w:pPr>
              <w:keepNext w:val="0"/>
              <w:keepLines w:val="0"/>
              <w:pageBreakBefore w:val="0"/>
              <w:widowControl/>
              <w:numPr>
                <w:ilvl w:val="0"/>
                <w:numId w:val="4"/>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输入电源：</w:t>
            </w:r>
            <w:r>
              <w:rPr>
                <w:rFonts w:hint="eastAsia" w:ascii="宋体" w:hAnsi="宋体" w:eastAsia="宋体" w:cs="宋体"/>
                <w:b w:val="0"/>
                <w:bCs w:val="0"/>
                <w:color w:val="auto"/>
                <w:sz w:val="21"/>
                <w:szCs w:val="21"/>
                <w:highlight w:val="none"/>
              </w:rPr>
              <w:t>AC220V±22V</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50Hz±1Hz</w:t>
            </w:r>
            <w:r>
              <w:rPr>
                <w:rFonts w:hint="eastAsia" w:ascii="宋体" w:hAnsi="宋体" w:eastAsia="宋体" w:cs="宋体"/>
                <w:b w:val="0"/>
                <w:bCs w:val="0"/>
                <w:color w:val="auto"/>
                <w:sz w:val="21"/>
                <w:szCs w:val="21"/>
                <w:highlight w:val="none"/>
                <w:lang w:val="en-US" w:eastAsia="zh-CN"/>
              </w:rPr>
              <w:t xml:space="preserve"> </w:t>
            </w:r>
          </w:p>
          <w:p>
            <w:pPr>
              <w:keepNext w:val="0"/>
              <w:keepLines w:val="0"/>
              <w:pageBreakBefore w:val="0"/>
              <w:widowControl/>
              <w:numPr>
                <w:ilvl w:val="0"/>
                <w:numId w:val="4"/>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功率</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3.5kW</w:t>
            </w:r>
          </w:p>
          <w:p>
            <w:pPr>
              <w:keepNext w:val="0"/>
              <w:keepLines w:val="0"/>
              <w:pageBreakBefore w:val="0"/>
              <w:widowControl/>
              <w:numPr>
                <w:ilvl w:val="0"/>
                <w:numId w:val="4"/>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显示方式</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LED数码管/压力表</w:t>
            </w:r>
          </w:p>
          <w:p>
            <w:pPr>
              <w:keepNext w:val="0"/>
              <w:keepLines w:val="0"/>
              <w:pageBreakBefore w:val="0"/>
              <w:widowControl/>
              <w:numPr>
                <w:ilvl w:val="0"/>
                <w:numId w:val="4"/>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容积</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50±5L</w:t>
            </w:r>
          </w:p>
          <w:p>
            <w:pPr>
              <w:keepNext w:val="0"/>
              <w:keepLines w:val="0"/>
              <w:pageBreakBefore w:val="0"/>
              <w:widowControl/>
              <w:numPr>
                <w:ilvl w:val="0"/>
                <w:numId w:val="4"/>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加盖方式</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手轮</w:t>
            </w:r>
          </w:p>
          <w:p>
            <w:pPr>
              <w:keepNext w:val="0"/>
              <w:keepLines w:val="0"/>
              <w:pageBreakBefore w:val="0"/>
              <w:widowControl/>
              <w:numPr>
                <w:ilvl w:val="0"/>
                <w:numId w:val="4"/>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额定工作温度</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134℃</w:t>
            </w:r>
          </w:p>
          <w:p>
            <w:pPr>
              <w:keepNext w:val="0"/>
              <w:keepLines w:val="0"/>
              <w:pageBreakBefore w:val="0"/>
              <w:widowControl/>
              <w:numPr>
                <w:ilvl w:val="0"/>
                <w:numId w:val="4"/>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额定工作压力</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0.22MPa</w:t>
            </w:r>
          </w:p>
          <w:p>
            <w:pPr>
              <w:keepNext w:val="0"/>
              <w:keepLines w:val="0"/>
              <w:pageBreakBefore w:val="0"/>
              <w:widowControl/>
              <w:numPr>
                <w:ilvl w:val="0"/>
                <w:numId w:val="4"/>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灭菌室规格</w:t>
            </w:r>
            <w:r>
              <w:rPr>
                <w:rFonts w:hint="eastAsia" w:ascii="宋体" w:hAnsi="宋体" w:eastAsia="宋体" w:cs="宋体"/>
                <w:b w:val="0"/>
                <w:bCs w:val="0"/>
                <w:color w:val="auto"/>
                <w:sz w:val="21"/>
                <w:szCs w:val="21"/>
                <w:highlight w:val="none"/>
                <w:lang w:val="en-US" w:eastAsia="zh-CN"/>
              </w:rPr>
              <w:t>(mm):≥</w:t>
            </w:r>
            <w:r>
              <w:rPr>
                <w:rFonts w:hint="eastAsia" w:ascii="宋体" w:hAnsi="宋体" w:eastAsia="宋体" w:cs="宋体"/>
                <w:b w:val="0"/>
                <w:bCs w:val="0"/>
                <w:color w:val="auto"/>
                <w:sz w:val="21"/>
                <w:szCs w:val="21"/>
                <w:highlight w:val="none"/>
              </w:rPr>
              <w:t>Ø350×525</w:t>
            </w:r>
          </w:p>
          <w:p>
            <w:pPr>
              <w:keepNext w:val="0"/>
              <w:keepLines w:val="0"/>
              <w:pageBreakBefore w:val="0"/>
              <w:widowControl/>
              <w:numPr>
                <w:ilvl w:val="0"/>
                <w:numId w:val="4"/>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灭菌室厚度</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2mm</w:t>
            </w:r>
          </w:p>
          <w:p>
            <w:pPr>
              <w:keepNext w:val="0"/>
              <w:keepLines w:val="0"/>
              <w:pageBreakBefore w:val="0"/>
              <w:widowControl/>
              <w:numPr>
                <w:ilvl w:val="0"/>
                <w:numId w:val="4"/>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内筒厚度</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0.8mm</w:t>
            </w:r>
          </w:p>
          <w:p>
            <w:pPr>
              <w:keepNext w:val="0"/>
              <w:keepLines w:val="0"/>
              <w:pageBreakBefore w:val="0"/>
              <w:widowControl/>
              <w:numPr>
                <w:ilvl w:val="0"/>
                <w:numId w:val="4"/>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升温时间RT-134℃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40分钟内</w:t>
            </w:r>
          </w:p>
          <w:p>
            <w:pPr>
              <w:keepNext w:val="0"/>
              <w:keepLines w:val="0"/>
              <w:pageBreakBefore w:val="0"/>
              <w:widowControl/>
              <w:numPr>
                <w:ilvl w:val="0"/>
                <w:numId w:val="4"/>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灭菌时间选择范围</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4-120min</w:t>
            </w:r>
          </w:p>
          <w:p>
            <w:pPr>
              <w:keepNext w:val="0"/>
              <w:keepLines w:val="0"/>
              <w:pageBreakBefore w:val="0"/>
              <w:widowControl/>
              <w:numPr>
                <w:ilvl w:val="0"/>
                <w:numId w:val="0"/>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19.配置清单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3005"/>
              <w:gridCol w:w="982"/>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w:t>
                  </w:r>
                </w:p>
              </w:tc>
              <w:tc>
                <w:tcPr>
                  <w:tcW w:w="39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名称</w:t>
                  </w:r>
                </w:p>
              </w:tc>
              <w:tc>
                <w:tcPr>
                  <w:tcW w:w="11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数量</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39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立式蒸汽灭菌器</w:t>
                  </w:r>
                </w:p>
              </w:tc>
              <w:tc>
                <w:tcPr>
                  <w:tcW w:w="11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1台</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39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产品使用说明书</w:t>
                  </w:r>
                </w:p>
              </w:tc>
              <w:tc>
                <w:tcPr>
                  <w:tcW w:w="11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1份</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39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产品合格证/保修卡</w:t>
                  </w:r>
                </w:p>
              </w:tc>
              <w:tc>
                <w:tcPr>
                  <w:tcW w:w="11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1份</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39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压力容器质量证明书</w:t>
                  </w:r>
                </w:p>
              </w:tc>
              <w:tc>
                <w:tcPr>
                  <w:tcW w:w="11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1份</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39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内筒（或网篮）</w:t>
                  </w:r>
                </w:p>
              </w:tc>
              <w:tc>
                <w:tcPr>
                  <w:tcW w:w="11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2个</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39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放气管</w:t>
                  </w:r>
                </w:p>
              </w:tc>
              <w:tc>
                <w:tcPr>
                  <w:tcW w:w="11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1根</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长≥2m</w:t>
                  </w:r>
                </w:p>
              </w:tc>
            </w:tr>
          </w:tbl>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10460</w:t>
            </w:r>
          </w:p>
        </w:tc>
      </w:tr>
      <w:tr>
        <w:tblPrEx>
          <w:tblCellMar>
            <w:top w:w="0" w:type="dxa"/>
            <w:left w:w="108" w:type="dxa"/>
            <w:bottom w:w="0" w:type="dxa"/>
            <w:right w:w="108" w:type="dxa"/>
          </w:tblCellMar>
        </w:tblPrEx>
        <w:trPr>
          <w:trHeight w:val="345" w:hRule="atLeast"/>
          <w:jc w:val="center"/>
        </w:trPr>
        <w:tc>
          <w:tcPr>
            <w:tcW w:w="985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三、天等县东平镇卫生院设备</w:t>
            </w:r>
          </w:p>
        </w:tc>
      </w:tr>
      <w:tr>
        <w:tblPrEx>
          <w:tblCellMar>
            <w:top w:w="0" w:type="dxa"/>
            <w:left w:w="108" w:type="dxa"/>
            <w:bottom w:w="0" w:type="dxa"/>
            <w:right w:w="108" w:type="dxa"/>
          </w:tblCellMar>
        </w:tblPrEx>
        <w:trPr>
          <w:trHeight w:val="34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恒温水浴箱</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pageBreakBefore w:val="0"/>
              <w:widowControl/>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一、基本特征</w:t>
            </w:r>
          </w:p>
          <w:p>
            <w:pPr>
              <w:pStyle w:val="8"/>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恒温水浴箱用于干燥、浓缩、蒸馏、浸渍化学试剂、浸渍药品和生物制品，也可用于水浴恒温加热和其他温度试验， 是生物、遗传、病毒、水产、环保、医药、卫生、生化试验室、分析室、教育科研的必备工具。</w:t>
            </w:r>
          </w:p>
          <w:p>
            <w:pPr>
              <w:pStyle w:val="7"/>
              <w:keepNext w:val="0"/>
              <w:keepLines w:val="0"/>
              <w:pageBreakBefore w:val="0"/>
              <w:widowControl/>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二、技术参数</w:t>
            </w:r>
          </w:p>
          <w:p>
            <w:pPr>
              <w:keepNext w:val="0"/>
              <w:keepLines w:val="0"/>
              <w:pageBreakBefore w:val="0"/>
              <w:widowControl/>
              <w:numPr>
                <w:ilvl w:val="0"/>
                <w:numId w:val="5"/>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PID控温技术，LCD液晶显示，清晰直观</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5"/>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冷轧钢外壳，采用静电喷塑处理工艺</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5"/>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工作室水箱选用304不锈钢，一次冲压而成，耐腐蚀</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5"/>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带有磁力搅拌加速水温均匀</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5"/>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输入电源</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AC220V 50Hz</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5"/>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输出功率</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1800W</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5"/>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显示方式</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LCD数码管</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5"/>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温控范围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室温 -100℃</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5"/>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控温精度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≤±0.5℃</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5"/>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工作尺寸</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600×300×1</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5"/>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是否带搅拌功能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搅拌加热的水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是</w:t>
            </w:r>
          </w:p>
          <w:p>
            <w:pPr>
              <w:keepNext w:val="0"/>
              <w:keepLines w:val="0"/>
              <w:pageBreakBefore w:val="0"/>
              <w:widowControl/>
              <w:numPr>
                <w:ilvl w:val="0"/>
                <w:numId w:val="0"/>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12.配置清单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3425"/>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名称</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主机</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电源线</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磁力搅拌子</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保险丝</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说明书</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合格证/保修卡</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1份</w:t>
                  </w:r>
                </w:p>
              </w:tc>
            </w:tr>
          </w:tbl>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1500</w:t>
            </w:r>
          </w:p>
        </w:tc>
      </w:tr>
      <w:tr>
        <w:tblPrEx>
          <w:tblCellMar>
            <w:top w:w="0" w:type="dxa"/>
            <w:left w:w="108" w:type="dxa"/>
            <w:bottom w:w="0" w:type="dxa"/>
            <w:right w:w="108" w:type="dxa"/>
          </w:tblCellMar>
        </w:tblPrEx>
        <w:trPr>
          <w:trHeight w:val="34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清创车</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1.槽深度(mm):≥200</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2.采用优质不锈钢管及不锈钢板经焊接组装而成，耐腐蚀。</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3.焊接牢固，表面光滑，易擦洗、不生锈；</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4.焊缝应均匀牢固，无烧损、冷裂、漏焊等缺陷，</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5.各焊接部位打磨平整，抛光均匀；</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6.外观美观平整、端正，表面无锋棱、毛刺等明显缺陷； </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采用3寸万向轮4只，高耐磨，无噪音，稳定性好，推动轻松灵活，无蛇行行走及异常噪音。</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1500</w:t>
            </w:r>
          </w:p>
        </w:tc>
      </w:tr>
      <w:tr>
        <w:tblPrEx>
          <w:tblCellMar>
            <w:top w:w="0" w:type="dxa"/>
            <w:left w:w="108" w:type="dxa"/>
            <w:bottom w:w="0" w:type="dxa"/>
            <w:right w:w="108" w:type="dxa"/>
          </w:tblCellMar>
        </w:tblPrEx>
        <w:trPr>
          <w:trHeight w:val="34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电磁波</w:t>
            </w:r>
            <w:r>
              <w:rPr>
                <w:rFonts w:hint="eastAsia" w:ascii="宋体" w:hAnsi="宋体" w:eastAsia="宋体" w:cs="宋体"/>
                <w:b w:val="0"/>
                <w:bCs w:val="0"/>
                <w:color w:val="auto"/>
                <w:sz w:val="21"/>
                <w:szCs w:val="21"/>
                <w:highlight w:val="none"/>
                <w:lang w:eastAsia="zh-CN"/>
              </w:rPr>
              <w:t>普</w:t>
            </w:r>
            <w:r>
              <w:rPr>
                <w:rFonts w:hint="eastAsia" w:ascii="宋体" w:hAnsi="宋体" w:eastAsia="宋体" w:cs="宋体"/>
                <w:b w:val="0"/>
                <w:bCs w:val="0"/>
                <w:color w:val="auto"/>
                <w:sz w:val="21"/>
                <w:szCs w:val="21"/>
                <w:highlight w:val="none"/>
              </w:rPr>
              <w:t>治疗仪</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20台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1.电源： 220V～、50Hz；</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2.功率：≤300W;</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3.温度调节范围:高低两档，高档H，低档L；</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4.定时装置:智能触控，时间设定范围:30分钟、60分钟、90分钟；</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kern w:val="0"/>
                <w:sz w:val="21"/>
                <w:szCs w:val="21"/>
                <w:highlight w:val="none"/>
              </w:rPr>
              <w:t>理疗头使用寿命：≥</w:t>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000小时；</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6.辐射频谱范围：电磁波谱治疗板产生的能量应主要分布在2.5μm～13.5μm波长范围；</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7.机械性能：</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a.治疗仪的移动应灵活、平稳;</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b.定位性能治疗仪的治疗板（板面朝下）离地面最高位置不低于1000mm。</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治疗头性能</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c.治疗头以控制面板为参照面绕支臂左右转角不小于180°，前后转角不小于90°，且转动应灵活，定位应可靠。</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d. 支臂前后伸缩范围与垂直转动范围：治疗仪以控制面板为参照面上下伸缩范围应≥200mm，自下而上转动范围应≥90°.</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8.配置清单</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3"/>
              <w:gridCol w:w="1551"/>
              <w:gridCol w:w="1145"/>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货物名称</w:t>
                  </w:r>
                </w:p>
              </w:tc>
              <w:tc>
                <w:tcPr>
                  <w:tcW w:w="115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单位</w:t>
                  </w:r>
                </w:p>
              </w:tc>
              <w:tc>
                <w:tcPr>
                  <w:tcW w:w="85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c>
                <w:tcPr>
                  <w:tcW w:w="121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电磁波谱</w:t>
                  </w:r>
                  <w:r>
                    <w:rPr>
                      <w:rFonts w:hint="eastAsia" w:ascii="宋体" w:hAnsi="宋体" w:eastAsia="宋体" w:cs="宋体"/>
                      <w:b w:val="0"/>
                      <w:bCs w:val="0"/>
                      <w:color w:val="auto"/>
                      <w:kern w:val="0"/>
                      <w:sz w:val="21"/>
                      <w:szCs w:val="21"/>
                      <w:highlight w:val="none"/>
                    </w:rPr>
                    <w:t>治疗仪</w:t>
                  </w:r>
                </w:p>
              </w:tc>
              <w:tc>
                <w:tcPr>
                  <w:tcW w:w="115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台</w:t>
                  </w:r>
                </w:p>
              </w:tc>
              <w:tc>
                <w:tcPr>
                  <w:tcW w:w="85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21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底座</w:t>
                  </w:r>
                  <w:r>
                    <w:rPr>
                      <w:rFonts w:hint="eastAsia" w:ascii="宋体" w:hAnsi="宋体" w:eastAsia="宋体" w:cs="宋体"/>
                      <w:b w:val="0"/>
                      <w:bCs w:val="0"/>
                      <w:color w:val="auto"/>
                      <w:kern w:val="0"/>
                      <w:sz w:val="21"/>
                      <w:szCs w:val="21"/>
                      <w:highlight w:val="none"/>
                      <w:lang w:eastAsia="zh-CN"/>
                    </w:rPr>
                    <w:t>支杆</w:t>
                  </w:r>
                </w:p>
              </w:tc>
              <w:tc>
                <w:tcPr>
                  <w:tcW w:w="115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支</w:t>
                  </w:r>
                </w:p>
              </w:tc>
              <w:tc>
                <w:tcPr>
                  <w:tcW w:w="85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p>
              </w:tc>
              <w:tc>
                <w:tcPr>
                  <w:tcW w:w="121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下支柱</w:t>
                  </w:r>
                </w:p>
              </w:tc>
              <w:tc>
                <w:tcPr>
                  <w:tcW w:w="115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eastAsia="zh-CN"/>
                    </w:rPr>
                    <w:t>支</w:t>
                  </w:r>
                </w:p>
              </w:tc>
              <w:tc>
                <w:tcPr>
                  <w:tcW w:w="85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21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底座装饰盖</w:t>
                  </w:r>
                </w:p>
              </w:tc>
              <w:tc>
                <w:tcPr>
                  <w:tcW w:w="115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eastAsia="zh-CN"/>
                    </w:rPr>
                    <w:t>个</w:t>
                  </w:r>
                </w:p>
              </w:tc>
              <w:tc>
                <w:tcPr>
                  <w:tcW w:w="85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21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上支臂（衔接治疗头）</w:t>
                  </w:r>
                </w:p>
              </w:tc>
              <w:tc>
                <w:tcPr>
                  <w:tcW w:w="115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支</w:t>
                  </w:r>
                </w:p>
              </w:tc>
              <w:tc>
                <w:tcPr>
                  <w:tcW w:w="85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21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工具</w:t>
                  </w:r>
                </w:p>
              </w:tc>
              <w:tc>
                <w:tcPr>
                  <w:tcW w:w="115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套</w:t>
                  </w:r>
                </w:p>
              </w:tc>
              <w:tc>
                <w:tcPr>
                  <w:tcW w:w="85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21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说明书（含保修卡）</w:t>
                  </w:r>
                </w:p>
              </w:tc>
              <w:tc>
                <w:tcPr>
                  <w:tcW w:w="115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本</w:t>
                  </w:r>
                </w:p>
              </w:tc>
              <w:tc>
                <w:tcPr>
                  <w:tcW w:w="85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21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合格证</w:t>
                  </w:r>
                </w:p>
              </w:tc>
              <w:tc>
                <w:tcPr>
                  <w:tcW w:w="115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张</w:t>
                  </w:r>
                </w:p>
              </w:tc>
              <w:tc>
                <w:tcPr>
                  <w:tcW w:w="85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21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tc>
            </w:tr>
          </w:tbl>
          <w:p>
            <w:pPr>
              <w:keepNext w:val="0"/>
              <w:keepLines w:val="0"/>
              <w:pageBreakBefore w:val="0"/>
              <w:widowControl w:val="0"/>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420</w:t>
            </w:r>
          </w:p>
        </w:tc>
      </w:tr>
      <w:tr>
        <w:tblPrEx>
          <w:tblCellMar>
            <w:top w:w="0" w:type="dxa"/>
            <w:left w:w="108" w:type="dxa"/>
            <w:bottom w:w="0" w:type="dxa"/>
            <w:right w:w="108" w:type="dxa"/>
          </w:tblCellMar>
        </w:tblPrEx>
        <w:trPr>
          <w:trHeight w:val="34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手术无影灯</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1、喷涂通过“GB/T 10125-2021”中性盐雾试验，暴露96小时，外观无可见变化。（</w:t>
            </w:r>
            <w:r>
              <w:rPr>
                <w:rFonts w:hint="eastAsia" w:ascii="Times New Roman" w:hAnsi="Times New Roman" w:eastAsia="宋体" w:cs="Times New Roman"/>
                <w:color w:val="auto"/>
                <w:highlight w:val="none"/>
              </w:rPr>
              <w:t>供货时提供</w:t>
            </w:r>
            <w:r>
              <w:rPr>
                <w:rFonts w:hint="eastAsia" w:ascii="宋体" w:hAnsi="宋体" w:eastAsia="宋体" w:cs="宋体"/>
                <w:b w:val="0"/>
                <w:bCs w:val="0"/>
                <w:color w:val="auto"/>
                <w:kern w:val="0"/>
                <w:sz w:val="21"/>
                <w:szCs w:val="21"/>
                <w:highlight w:val="none"/>
                <w:lang w:bidi="ar"/>
              </w:rPr>
              <w:t>具有带有CMA标识的第三方检测报告）</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2、无影灯及手柄通过皮肤刺激测试、细胞毒性试验、致敏试验测试试验，（供货时提供生物相容性检测报告）</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3、金属表面采用自有喷涂线（</w:t>
            </w:r>
            <w:r>
              <w:rPr>
                <w:rFonts w:hint="eastAsia" w:ascii="宋体" w:hAnsi="宋体" w:eastAsia="宋体" w:cs="宋体"/>
                <w:b w:val="0"/>
                <w:bCs w:val="0"/>
                <w:color w:val="auto"/>
                <w:kern w:val="0"/>
                <w:sz w:val="21"/>
                <w:szCs w:val="21"/>
                <w:highlight w:val="none"/>
                <w:lang w:eastAsia="zh-CN" w:bidi="ar"/>
              </w:rPr>
              <w:t>供货时</w:t>
            </w:r>
            <w:r>
              <w:rPr>
                <w:rFonts w:hint="eastAsia" w:ascii="宋体" w:hAnsi="宋体" w:eastAsia="宋体" w:cs="宋体"/>
                <w:b w:val="0"/>
                <w:bCs w:val="0"/>
                <w:color w:val="auto"/>
                <w:kern w:val="0"/>
                <w:sz w:val="21"/>
                <w:szCs w:val="21"/>
                <w:highlight w:val="none"/>
                <w:lang w:bidi="ar"/>
              </w:rPr>
              <w:t>提供厂家采购合同和发票复印件证明文件），经电泳静电喷塑处理工艺，抗酸碱腐蚀，防霉，耐褪色。漆粉采用优质漆粉，厚度均达70μm以上，防刮伤、防锈、抗酸碱、耐腐蚀。附着力达到一级，更好的保护患者的身体健康。（供货时提供具有带有CMA标识的生产厂家喷涂附着力≥1级，硬度≥H，冲击强度，喷涂厚度≥100μm以及重金属含量合格的第三方检测报告）</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4、无影灯灯头、横臂等金属喷涂表面对于金黄色球菌抗菌率＞99.9%，抗菌活性值≥5.7（供货时提供具有带有CMA标识测报告）</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5、无影灯灯头、横臂等金属喷涂表面对于铜绿假单胞菌抗菌率≥99.9%，抗菌活性值≥3.1（供货时提供具有带有CMA标识抗菌检测报告）</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6、无影灯灯头、横臂等金属喷涂表面对于大肠杆菌抗菌率＞99.9%，抗菌活性值≥6.1（供货时提供具有带有CMA标识的SGS抗菌检测报告）</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7、无影灯灯头、横臂等金属喷涂表面对于鼠伤寒沙门氏菌率＞99.9%，抗菌活性值≥5.6（供货时提供具有带有CMA标识的SGS抗菌检测报告）</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8、无影灯灯头、横臂等金属喷涂表面对于炎克雷伯氏菌率＞99.9%，抗菌活性值≥5.2（供货时提供具有带有CMA标识的SGS抗菌检测报告）</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9、平衡臂具有可四倍承重水平定位装置，符合空气动力学设计的外形，有利于层流空气的流通，表面采用环保粉尘喷涂，表面抗菌易消毒。</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10、具有中轴半月阻尼装置，横臂转动稳定。</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11、无影灯各旋转轴位置，采用蝶形刹车阻尼装置，保证无漂移现象。</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12、手术灯具有月牙环形固定装置，卡位牢固，灯头340度转动不受限制。</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13、灯罩壳为铝型材质，最厚处不超过18CM层流效果。</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14、调焦系统装置，使用轻巧的中轴螺旋结构带动盘式四点拉杆调整灯盘角度，做到可调节光斑大小。</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15、采用LED灯泡，有效的利用反光灯杯多光源反射原理，减少了光能损耗，提高无影率。</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18、无影灯具有环形阶梯形，可多点聚焦灯泡安装装置，无影灯极佳。</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19、灯盘采用渐变式设计，交互式无缝压板工艺，聚光板灯盘四等分，可有效的提升无影效果。</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20、消毒手柄处无一颗螺丝外露，轻按手柄中心处弹钮可方便脱卸，脱卸式聚焦手柄可作高温高压134°消毒。</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21、技术规格：</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照度（Lux）：130,000</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色温可调（K）3500-5000</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演色性指数（CRI）96</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红色还原指数（Ra)97</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调光范围10—100%</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术者头部温升≤0.5℃</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术野温升≤2℃</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照明深度≥120cm</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光斑直径100-300</w:t>
            </w:r>
            <w:r>
              <w:rPr>
                <w:rFonts w:hint="eastAsia" w:ascii="宋体" w:hAnsi="宋体" w:eastAsia="宋体" w:cs="宋体"/>
                <w:b w:val="0"/>
                <w:bCs w:val="0"/>
                <w:color w:val="auto"/>
                <w:kern w:val="0"/>
                <w:sz w:val="21"/>
                <w:szCs w:val="21"/>
                <w:highlight w:val="none"/>
                <w:lang w:eastAsia="zh-CN" w:bidi="ar"/>
              </w:rPr>
              <w:t>mm</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灯泡类型LED</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灯泡平均寿命≥60000h</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LED灯杯直径≥60mm</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灯泡数量子灯≥24LEDS</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高度调整≥118cm</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LED灯杯散热片≥33mm</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LED灯头散热盖子灯≥90mm</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弧形拉手尺寸≥270mm</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聚光板灯盘≤4等分</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扇形调焦活动板半径子灯≥200mm</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中轴护罩高度≥48mm（三点内嵌式固定）</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照度和色温调节范围≥12档</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电源输入100-240VAC,50/60Hz</w:t>
            </w:r>
          </w:p>
          <w:p>
            <w:pPr>
              <w:keepNext w:val="0"/>
              <w:keepLines w:val="0"/>
              <w:pageBreakBefore w:val="0"/>
              <w:numPr>
                <w:ilvl w:val="0"/>
                <w:numId w:val="6"/>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功率50W</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19500</w:t>
            </w:r>
          </w:p>
        </w:tc>
      </w:tr>
      <w:tr>
        <w:tblPrEx>
          <w:tblCellMar>
            <w:top w:w="0" w:type="dxa"/>
            <w:left w:w="108" w:type="dxa"/>
            <w:bottom w:w="0" w:type="dxa"/>
            <w:right w:w="108" w:type="dxa"/>
          </w:tblCellMar>
        </w:tblPrEx>
        <w:trPr>
          <w:trHeight w:val="345" w:hRule="atLeast"/>
          <w:jc w:val="center"/>
        </w:trPr>
        <w:tc>
          <w:tcPr>
            <w:tcW w:w="985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bidi w:val="0"/>
              <w:spacing w:before="0" w:beforeAutospacing="0" w:after="0" w:afterAutospacing="0" w:line="360" w:lineRule="auto"/>
              <w:ind w:left="0" w:leftChars="0" w:right="0" w:rightChars="0"/>
              <w:jc w:val="both"/>
              <w:textAlignment w:val="cente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t>四、天等县进结中心卫生院设备</w:t>
            </w:r>
          </w:p>
        </w:tc>
      </w:tr>
      <w:tr>
        <w:tblPrEx>
          <w:tblCellMar>
            <w:top w:w="0" w:type="dxa"/>
            <w:left w:w="108" w:type="dxa"/>
            <w:bottom w:w="0" w:type="dxa"/>
            <w:right w:w="108" w:type="dxa"/>
          </w:tblCellMar>
        </w:tblPrEx>
        <w:trPr>
          <w:trHeight w:val="34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suppressAutoHyphens/>
              <w:kinsoku/>
              <w:wordWrap/>
              <w:overflowPunct/>
              <w:topLinePunct w:val="0"/>
              <w:bidi w:val="0"/>
              <w:spacing w:before="0" w:beforeLines="0" w:beforeAutospacing="0" w:after="0" w:afterLines="0" w:afterAutospacing="0" w:line="360" w:lineRule="auto"/>
              <w:ind w:left="0" w:leftChars="0" w:right="0" w:rightChars="0"/>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kern w:val="2"/>
                <w:sz w:val="21"/>
                <w:szCs w:val="21"/>
                <w:highlight w:val="none"/>
                <w:lang w:val="en-US" w:eastAsia="zh-CN" w:bidi="ar"/>
              </w:rPr>
              <w:t>1</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suppressAutoHyphens/>
              <w:kinsoku/>
              <w:wordWrap/>
              <w:overflowPunct/>
              <w:topLinePunct w:val="0"/>
              <w:bidi w:val="0"/>
              <w:spacing w:before="0" w:beforeLines="0" w:beforeAutospacing="0" w:after="0" w:afterLines="0" w:afterAutospacing="0" w:line="360" w:lineRule="auto"/>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
              </w:rPr>
              <w:t>洗胃机</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bidi w:val="0"/>
              <w:spacing w:before="0" w:beforeAutospacing="0" w:after="0" w:afterAutospacing="0" w:line="360" w:lineRule="auto"/>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t>1台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1.膜片泵作为冲液和吸液的动力源，通过压力传感器和CPU控制。</w:t>
            </w:r>
          </w:p>
          <w:p>
            <w:pPr>
              <w:pStyle w:val="4"/>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2.定量容积式转换缸；</w:t>
            </w:r>
          </w:p>
          <w:p>
            <w:pPr>
              <w:pStyle w:val="4"/>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3.气压驱动换向阀结构；</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4.面板有洗胃循环次数和压力模拟显示状态；</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lang w:val="en-US" w:eastAsia="zh-CN"/>
              </w:rPr>
              <w:t>有</w:t>
            </w:r>
            <w:r>
              <w:rPr>
                <w:rFonts w:hint="eastAsia" w:ascii="宋体" w:hAnsi="宋体" w:eastAsia="宋体" w:cs="宋体"/>
                <w:b w:val="0"/>
                <w:bCs w:val="0"/>
                <w:color w:val="auto"/>
                <w:sz w:val="21"/>
                <w:szCs w:val="21"/>
                <w:highlight w:val="none"/>
              </w:rPr>
              <w:t>手动冲、吸液量平衡装置；</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6.有“口腔档和鼻腔档”两种洗胃模式；</w:t>
            </w:r>
          </w:p>
          <w:p>
            <w:pPr>
              <w:pStyle w:val="4"/>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.流量：≥2 L /min（口腔插管档）；≥1 L /min（鼻腔插管档）；</w:t>
            </w:r>
          </w:p>
          <w:p>
            <w:pPr>
              <w:pStyle w:val="4"/>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 自控液量：冲液量（250ml～350ml）/次；吸液量（350ml～450ml）/次；（注：吸液量大于冲液量，但不应大于150 ml/次）</w:t>
            </w:r>
            <w:r>
              <w:rPr>
                <w:rFonts w:hint="eastAsia" w:ascii="宋体" w:hAnsi="宋体" w:eastAsia="宋体" w:cs="宋体"/>
                <w:b w:val="0"/>
                <w:bCs w:val="0"/>
                <w:color w:val="auto"/>
                <w:sz w:val="21"/>
                <w:szCs w:val="21"/>
                <w:highlight w:val="none"/>
                <w:lang w:eastAsia="zh-CN"/>
              </w:rPr>
              <w:t>；</w:t>
            </w:r>
          </w:p>
          <w:p>
            <w:pPr>
              <w:pStyle w:val="4"/>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.正、负压力设定范围：47 kPa～67 kPa；</w:t>
            </w:r>
          </w:p>
          <w:p>
            <w:pPr>
              <w:pStyle w:val="4"/>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.电源：～220V  50 Hz 、输入功率：110VA；</w:t>
            </w:r>
          </w:p>
          <w:p>
            <w:pPr>
              <w:pStyle w:val="4"/>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.噪声：≤65 dB(A)；</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配置清单</w:t>
            </w:r>
          </w:p>
          <w:tbl>
            <w:tblPr>
              <w:tblStyle w:val="5"/>
              <w:tblW w:w="0" w:type="auto"/>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2569"/>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序号</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基本配置名称</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主机</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电源线</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吸引软管</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专用胃管</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进液过滤器</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排液沉头（Φ8）</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熔丝管</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三通接头</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说明书、合格证、保修卡等</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1套</w:t>
                  </w:r>
                </w:p>
              </w:tc>
            </w:tr>
          </w:tbl>
          <w:p>
            <w:pPr>
              <w:keepNext w:val="0"/>
              <w:keepLines w:val="0"/>
              <w:pageBreakBefore w:val="0"/>
              <w:widowControl w:val="0"/>
              <w:suppressLineNumbers w:val="0"/>
              <w:suppressAutoHyphens/>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 w:val="0"/>
                <w:bCs w:val="0"/>
                <w:color w:val="auto"/>
                <w:kern w:val="0"/>
                <w:sz w:val="21"/>
                <w:szCs w:val="21"/>
                <w:highlight w:val="none"/>
                <w:lang w:bidi="ar"/>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bidi w:val="0"/>
              <w:spacing w:before="0" w:beforeAutospacing="0" w:after="0" w:afterAutospacing="0" w:line="360" w:lineRule="auto"/>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t>6000</w:t>
            </w:r>
          </w:p>
        </w:tc>
      </w:tr>
      <w:tr>
        <w:tblPrEx>
          <w:tblCellMar>
            <w:top w:w="0" w:type="dxa"/>
            <w:left w:w="108" w:type="dxa"/>
            <w:bottom w:w="0" w:type="dxa"/>
            <w:right w:w="108" w:type="dxa"/>
          </w:tblCellMar>
        </w:tblPrEx>
        <w:trPr>
          <w:trHeight w:val="34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suppressAutoHyphens/>
              <w:kinsoku/>
              <w:wordWrap/>
              <w:overflowPunct/>
              <w:topLinePunct w:val="0"/>
              <w:bidi w:val="0"/>
              <w:spacing w:before="0" w:beforeLines="0" w:beforeAutospacing="0" w:after="0" w:afterLines="0" w:afterAutospacing="0" w:line="360" w:lineRule="auto"/>
              <w:ind w:left="0" w:leftChars="0" w:right="0" w:rightChars="0"/>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kern w:val="2"/>
                <w:sz w:val="21"/>
                <w:szCs w:val="21"/>
                <w:highlight w:val="none"/>
                <w:lang w:val="en-US" w:eastAsia="zh-CN" w:bidi="ar"/>
              </w:rPr>
              <w:t>2</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suppressAutoHyphens/>
              <w:kinsoku/>
              <w:wordWrap/>
              <w:overflowPunct/>
              <w:topLinePunct w:val="0"/>
              <w:bidi w:val="0"/>
              <w:spacing w:before="0" w:beforeLines="0" w:beforeAutospacing="0" w:after="0" w:afterLines="0" w:afterAutospacing="0" w:line="360" w:lineRule="auto"/>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
              </w:rPr>
              <w:t>除颤仪</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bidi w:val="0"/>
              <w:spacing w:before="0" w:beforeAutospacing="0" w:after="0" w:afterAutospacing="0" w:line="360" w:lineRule="auto"/>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t>1台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7"/>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适用范围</w:t>
            </w:r>
          </w:p>
          <w:p>
            <w:pPr>
              <w:keepNext w:val="0"/>
              <w:keepLines w:val="0"/>
              <w:pageBreakBefore w:val="0"/>
              <w:widowControl/>
              <w:shd w:val="clear" w:color="auto" w:fill="FFFFFF"/>
              <w:suppressAutoHyphens/>
              <w:kinsoku/>
              <w:wordWrap/>
              <w:overflowPunct/>
              <w:topLinePunct w:val="0"/>
              <w:bidi w:val="0"/>
              <w:spacing w:beforeLines="0" w:after="150" w:afterLines="0" w:line="360" w:lineRule="auto"/>
              <w:ind w:firstLine="42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shd w:val="clear" w:color="auto" w:fill="FFFFFF"/>
                <w:lang w:bidi="ar"/>
              </w:rPr>
              <w:t>除颤监护仪临床上主要用于医院或急救车上对病人进行：生命体征监护、手动同步与非同步除颤、</w:t>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"https://baike.baidu.com/item/AED%E9%99%A4%E9%A2%A4/2776523" \t "https://baike.baidu.com/item/%E9%99%A4%E9%A2%A4%E7%9B%91%E6%8A%A4%E4%BB%AA/_blank"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u w:val="none"/>
                <w:shd w:val="clear" w:color="auto" w:fill="FFFFFF"/>
              </w:rPr>
              <w:t>AED除颤</w:t>
            </w:r>
            <w:r>
              <w:rPr>
                <w:rFonts w:hint="eastAsia" w:ascii="宋体" w:hAnsi="宋体" w:eastAsia="宋体" w:cs="宋体"/>
                <w:b w:val="0"/>
                <w:bCs w:val="0"/>
                <w:color w:val="auto"/>
                <w:sz w:val="21"/>
                <w:szCs w:val="21"/>
                <w:highlight w:val="none"/>
                <w:u w:val="none"/>
                <w:shd w:val="clear" w:color="auto" w:fill="FFFFFF"/>
              </w:rPr>
              <w:fldChar w:fldCharType="end"/>
            </w:r>
            <w:r>
              <w:rPr>
                <w:rFonts w:hint="eastAsia" w:ascii="宋体" w:hAnsi="宋体" w:eastAsia="宋体" w:cs="宋体"/>
                <w:b w:val="0"/>
                <w:bCs w:val="0"/>
                <w:color w:val="auto"/>
                <w:kern w:val="0"/>
                <w:sz w:val="21"/>
                <w:szCs w:val="21"/>
                <w:highlight w:val="none"/>
                <w:shd w:val="clear" w:color="auto" w:fill="FFFFFF"/>
                <w:lang w:bidi="ar"/>
              </w:rPr>
              <w:t>、起搏、CPR功能等。</w:t>
            </w:r>
            <w:r>
              <w:rPr>
                <w:rFonts w:hint="eastAsia" w:ascii="宋体" w:hAnsi="宋体" w:eastAsia="宋体" w:cs="宋体"/>
                <w:b w:val="0"/>
                <w:bCs w:val="0"/>
                <w:color w:val="auto"/>
                <w:sz w:val="21"/>
                <w:szCs w:val="21"/>
                <w:highlight w:val="none"/>
                <w:shd w:val="clear" w:color="auto" w:fill="FFFFFF"/>
              </w:rPr>
              <w:t>功能强大对于挽救急重病患的生命具有重要意义。</w:t>
            </w:r>
          </w:p>
          <w:p>
            <w:pPr>
              <w:keepNext w:val="0"/>
              <w:keepLines w:val="0"/>
              <w:pageBreakBefore w:val="0"/>
              <w:widowControl/>
              <w:numPr>
                <w:ilvl w:val="0"/>
                <w:numId w:val="7"/>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技术参数</w:t>
            </w:r>
          </w:p>
          <w:p>
            <w:pPr>
              <w:keepNext w:val="0"/>
              <w:keepLines w:val="0"/>
              <w:pageBreakBefore w:val="0"/>
              <w:widowControl/>
              <w:numPr>
                <w:ilvl w:val="0"/>
                <w:numId w:val="8"/>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主机屏幕：≥</w:t>
            </w:r>
            <w:r>
              <w:rPr>
                <w:rFonts w:hint="eastAsia" w:ascii="宋体" w:hAnsi="宋体" w:eastAsia="宋体" w:cs="宋体"/>
                <w:b w:val="0"/>
                <w:bCs w:val="0"/>
                <w:color w:val="auto"/>
                <w:spacing w:val="-7"/>
                <w:sz w:val="21"/>
                <w:szCs w:val="21"/>
                <w:highlight w:val="none"/>
              </w:rPr>
              <w:t>7英寸</w:t>
            </w:r>
            <w:r>
              <w:rPr>
                <w:rFonts w:hint="eastAsia" w:ascii="宋体" w:hAnsi="宋体" w:eastAsia="宋体" w:cs="宋体"/>
                <w:b w:val="0"/>
                <w:bCs w:val="0"/>
                <w:color w:val="auto"/>
                <w:spacing w:val="-3"/>
                <w:sz w:val="21"/>
                <w:szCs w:val="21"/>
                <w:highlight w:val="none"/>
              </w:rPr>
              <w:t>彩色TFT屏幕，分辨率800</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spacing w:val="-3"/>
                <w:sz w:val="21"/>
                <w:szCs w:val="21"/>
                <w:highlight w:val="none"/>
              </w:rPr>
              <w:t xml:space="preserve">480 </w:t>
            </w:r>
          </w:p>
          <w:p>
            <w:pPr>
              <w:keepNext w:val="0"/>
              <w:keepLines w:val="0"/>
              <w:pageBreakBefore w:val="0"/>
              <w:widowControl/>
              <w:numPr>
                <w:ilvl w:val="0"/>
                <w:numId w:val="8"/>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主机重量（含电池）:≤</w:t>
            </w:r>
            <w:r>
              <w:rPr>
                <w:rFonts w:hint="eastAsia" w:ascii="宋体" w:hAnsi="宋体" w:eastAsia="宋体" w:cs="宋体"/>
                <w:b w:val="0"/>
                <w:bCs w:val="0"/>
                <w:color w:val="auto"/>
                <w:spacing w:val="-3"/>
                <w:position w:val="1"/>
                <w:sz w:val="21"/>
                <w:szCs w:val="21"/>
                <w:highlight w:val="none"/>
              </w:rPr>
              <w:t xml:space="preserve">6kg </w:t>
            </w:r>
          </w:p>
          <w:p>
            <w:pPr>
              <w:keepNext w:val="0"/>
              <w:keepLines w:val="0"/>
              <w:pageBreakBefore w:val="0"/>
              <w:widowControl/>
              <w:numPr>
                <w:ilvl w:val="0"/>
                <w:numId w:val="8"/>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具备体外同步/非同步除颤，</w:t>
            </w:r>
            <w:r>
              <w:rPr>
                <w:rFonts w:hint="eastAsia" w:ascii="宋体" w:hAnsi="宋体" w:eastAsia="宋体" w:cs="宋体"/>
                <w:b w:val="0"/>
                <w:bCs w:val="0"/>
                <w:color w:val="auto"/>
                <w:spacing w:val="-5"/>
                <w:sz w:val="21"/>
                <w:szCs w:val="21"/>
                <w:highlight w:val="none"/>
              </w:rPr>
              <w:t>同步放电延迟时间小于</w:t>
            </w:r>
            <w:r>
              <w:rPr>
                <w:rFonts w:hint="eastAsia" w:ascii="宋体" w:hAnsi="宋体" w:eastAsia="宋体" w:cs="宋体"/>
                <w:b w:val="0"/>
                <w:bCs w:val="0"/>
                <w:color w:val="auto"/>
                <w:spacing w:val="23"/>
                <w:sz w:val="21"/>
                <w:szCs w:val="21"/>
                <w:highlight w:val="none"/>
              </w:rPr>
              <w:t xml:space="preserve"> </w:t>
            </w:r>
            <w:r>
              <w:rPr>
                <w:rFonts w:hint="eastAsia" w:ascii="宋体" w:hAnsi="宋体" w:eastAsia="宋体" w:cs="宋体"/>
                <w:b w:val="0"/>
                <w:bCs w:val="0"/>
                <w:color w:val="auto"/>
                <w:spacing w:val="-5"/>
                <w:sz w:val="21"/>
                <w:szCs w:val="21"/>
                <w:highlight w:val="none"/>
              </w:rPr>
              <w:t xml:space="preserve">60ms（自R波尖峰起） </w:t>
            </w:r>
          </w:p>
          <w:p>
            <w:pPr>
              <w:keepNext w:val="0"/>
              <w:keepLines w:val="0"/>
              <w:pageBreakBefore w:val="0"/>
              <w:widowControl/>
              <w:numPr>
                <w:ilvl w:val="0"/>
                <w:numId w:val="8"/>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pacing w:val="-2"/>
                <w:sz w:val="21"/>
                <w:szCs w:val="21"/>
                <w:highlight w:val="none"/>
              </w:rPr>
              <w:t>采用双相指数截断（</w:t>
            </w:r>
            <w:r>
              <w:rPr>
                <w:rFonts w:hint="eastAsia" w:ascii="宋体" w:hAnsi="宋体" w:eastAsia="宋体" w:cs="宋体"/>
                <w:b w:val="0"/>
                <w:bCs w:val="0"/>
                <w:color w:val="auto"/>
                <w:spacing w:val="-57"/>
                <w:sz w:val="21"/>
                <w:szCs w:val="21"/>
                <w:highlight w:val="none"/>
              </w:rPr>
              <w:t xml:space="preserve"> </w:t>
            </w:r>
            <w:r>
              <w:rPr>
                <w:rFonts w:hint="eastAsia" w:ascii="宋体" w:hAnsi="宋体" w:eastAsia="宋体" w:cs="宋体"/>
                <w:b w:val="0"/>
                <w:bCs w:val="0"/>
                <w:color w:val="auto"/>
                <w:spacing w:val="-2"/>
                <w:sz w:val="21"/>
                <w:szCs w:val="21"/>
                <w:highlight w:val="none"/>
              </w:rPr>
              <w:t>BTE）波，波形参数可根据病人阻抗进行自动补偿,建议初始能量</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spacing w:val="-2"/>
                <w:sz w:val="21"/>
                <w:szCs w:val="21"/>
                <w:highlight w:val="none"/>
              </w:rPr>
              <w:t>150J，高对比色彩区分，快速选择能量；最大除颤能量</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spacing w:val="-2"/>
                <w:sz w:val="21"/>
                <w:szCs w:val="21"/>
                <w:highlight w:val="none"/>
              </w:rPr>
              <w:t>360J，提高除颤成功率和有效性</w:t>
            </w:r>
            <w:r>
              <w:rPr>
                <w:rFonts w:hint="eastAsia" w:ascii="宋体" w:hAnsi="宋体" w:eastAsia="宋体" w:cs="宋体"/>
                <w:b w:val="0"/>
                <w:bCs w:val="0"/>
                <w:color w:val="auto"/>
                <w:spacing w:val="-3"/>
                <w:position w:val="1"/>
                <w:sz w:val="21"/>
                <w:szCs w:val="21"/>
                <w:highlight w:val="none"/>
              </w:rPr>
              <w:t xml:space="preserve"> </w:t>
            </w:r>
          </w:p>
          <w:p>
            <w:pPr>
              <w:keepNext w:val="0"/>
              <w:keepLines w:val="0"/>
              <w:pageBreakBefore w:val="0"/>
              <w:widowControl/>
              <w:numPr>
                <w:ilvl w:val="0"/>
                <w:numId w:val="8"/>
              </w:numPr>
              <w:suppressAutoHyphens/>
              <w:kinsoku/>
              <w:wordWrap/>
              <w:overflowPunct/>
              <w:topLinePunct w:val="0"/>
              <w:autoSpaceDE w:val="0"/>
              <w:autoSpaceDN w:val="0"/>
              <w:bidi w:val="0"/>
              <w:adjustRightInd w:val="0"/>
              <w:spacing w:beforeLines="0" w:afterLines="0" w:line="360" w:lineRule="auto"/>
              <w:ind w:left="420" w:leftChars="0" w:hanging="42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除颤能量选择范围：</w:t>
            </w:r>
            <w:r>
              <w:rPr>
                <w:rFonts w:hint="eastAsia" w:ascii="宋体" w:hAnsi="宋体" w:eastAsia="宋体" w:cs="宋体"/>
                <w:b w:val="0"/>
                <w:bCs w:val="0"/>
                <w:color w:val="auto"/>
                <w:kern w:val="0"/>
                <w:sz w:val="21"/>
                <w:szCs w:val="21"/>
                <w:highlight w:val="none"/>
              </w:rPr>
              <w:t>能量分21档（1/2/3/4/5/6/7/8/9/10/15/20/30/50/70/100/150/170/200/300/360J）以上，可通过体外电极板进行能量选择最小为1J，最大为360J</w:t>
            </w:r>
            <w:r>
              <w:rPr>
                <w:rFonts w:hint="eastAsia" w:ascii="宋体" w:hAnsi="宋体" w:eastAsia="宋体" w:cs="宋体"/>
                <w:b w:val="0"/>
                <w:bCs w:val="0"/>
                <w:color w:val="auto"/>
                <w:spacing w:val="-3"/>
                <w:position w:val="1"/>
                <w:sz w:val="21"/>
                <w:szCs w:val="21"/>
                <w:highlight w:val="none"/>
              </w:rPr>
              <w:t xml:space="preserve"> </w:t>
            </w:r>
          </w:p>
          <w:p>
            <w:pPr>
              <w:keepNext w:val="0"/>
              <w:keepLines w:val="0"/>
              <w:pageBreakBefore w:val="0"/>
              <w:widowControl/>
              <w:numPr>
                <w:ilvl w:val="0"/>
                <w:numId w:val="8"/>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spacing w:val="-2"/>
                <w:position w:val="1"/>
                <w:sz w:val="21"/>
                <w:szCs w:val="21"/>
                <w:highlight w:val="none"/>
              </w:rPr>
            </w:pPr>
            <w:r>
              <w:rPr>
                <w:rFonts w:hint="eastAsia" w:ascii="宋体" w:hAnsi="宋体" w:eastAsia="宋体" w:cs="宋体"/>
                <w:b w:val="0"/>
                <w:bCs w:val="0"/>
                <w:color w:val="auto"/>
                <w:kern w:val="0"/>
                <w:sz w:val="21"/>
                <w:szCs w:val="21"/>
                <w:highlight w:val="none"/>
              </w:rPr>
              <w:t xml:space="preserve">旋钮式能量选择，可1S内快速选择能量，节约时间，提高抢救效率 </w:t>
            </w:r>
          </w:p>
          <w:p>
            <w:pPr>
              <w:keepNext w:val="0"/>
              <w:keepLines w:val="0"/>
              <w:pageBreakBefore w:val="0"/>
              <w:widowControl/>
              <w:numPr>
                <w:ilvl w:val="0"/>
                <w:numId w:val="8"/>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pacing w:val="-2"/>
                <w:position w:val="1"/>
                <w:sz w:val="21"/>
                <w:szCs w:val="21"/>
                <w:highlight w:val="none"/>
              </w:rPr>
              <w:t xml:space="preserve">除颤充电至200J＜5S，充电至360J＜8S </w:t>
            </w:r>
          </w:p>
          <w:p>
            <w:pPr>
              <w:keepNext w:val="0"/>
              <w:keepLines w:val="0"/>
              <w:pageBreakBefore w:val="0"/>
              <w:widowControl/>
              <w:numPr>
                <w:ilvl w:val="0"/>
                <w:numId w:val="8"/>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病人阻抗范围：体外手动除颤</w:t>
            </w:r>
            <w:r>
              <w:rPr>
                <w:rFonts w:hint="eastAsia" w:ascii="宋体" w:hAnsi="宋体" w:eastAsia="宋体" w:cs="宋体"/>
                <w:b w:val="0"/>
                <w:bCs w:val="0"/>
                <w:color w:val="auto"/>
                <w:sz w:val="21"/>
                <w:szCs w:val="21"/>
                <w:highlight w:val="none"/>
              </w:rPr>
              <w:t>：25~200欧</w:t>
            </w:r>
          </w:p>
          <w:p>
            <w:pPr>
              <w:keepNext w:val="0"/>
              <w:keepLines w:val="0"/>
              <w:pageBreakBefore w:val="0"/>
              <w:widowControl/>
              <w:numPr>
                <w:ilvl w:val="0"/>
                <w:numId w:val="8"/>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AED</w:t>
            </w:r>
            <w:r>
              <w:rPr>
                <w:rFonts w:hint="eastAsia" w:ascii="宋体" w:hAnsi="宋体" w:eastAsia="宋体" w:cs="宋体"/>
                <w:b w:val="0"/>
                <w:bCs w:val="0"/>
                <w:color w:val="auto"/>
                <w:sz w:val="21"/>
                <w:szCs w:val="21"/>
                <w:highlight w:val="none"/>
                <w:shd w:val="clear" w:color="auto" w:fill="FFFFFF"/>
              </w:rPr>
              <w:t xml:space="preserve">全自动分析心律，需要进行除颤时按电击按钮进行除颤 </w:t>
            </w:r>
          </w:p>
          <w:p>
            <w:pPr>
              <w:keepNext w:val="0"/>
              <w:keepLines w:val="0"/>
              <w:pageBreakBefore w:val="0"/>
              <w:widowControl/>
              <w:numPr>
                <w:ilvl w:val="0"/>
                <w:numId w:val="8"/>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AED功能具备一键切换成人、儿童、婴幼儿模式 </w:t>
            </w:r>
          </w:p>
          <w:p>
            <w:pPr>
              <w:keepNext w:val="0"/>
              <w:keepLines w:val="0"/>
              <w:pageBreakBefore w:val="0"/>
              <w:widowControl/>
              <w:numPr>
                <w:ilvl w:val="0"/>
                <w:numId w:val="8"/>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 xml:space="preserve">支持指导CPR辅助功能，符合2020 AHA/ERC指南 </w:t>
            </w:r>
          </w:p>
          <w:p>
            <w:pPr>
              <w:keepNext w:val="0"/>
              <w:keepLines w:val="0"/>
              <w:pageBreakBefore w:val="0"/>
              <w:widowControl/>
              <w:numPr>
                <w:ilvl w:val="0"/>
                <w:numId w:val="8"/>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pacing w:val="-5"/>
                <w:sz w:val="21"/>
                <w:szCs w:val="21"/>
                <w:highlight w:val="none"/>
              </w:rPr>
              <w:t>成人/儿童一体化电极板，</w:t>
            </w:r>
            <w:r>
              <w:rPr>
                <w:rFonts w:hint="eastAsia" w:ascii="宋体" w:hAnsi="宋体" w:eastAsia="宋体" w:cs="宋体"/>
                <w:b w:val="0"/>
                <w:bCs w:val="0"/>
                <w:color w:val="auto"/>
                <w:spacing w:val="-1"/>
                <w:sz w:val="21"/>
                <w:szCs w:val="21"/>
                <w:highlight w:val="none"/>
              </w:rPr>
              <w:t xml:space="preserve">具有支持能量选择、充电、放电功能 </w:t>
            </w:r>
          </w:p>
          <w:p>
            <w:pPr>
              <w:keepNext w:val="0"/>
              <w:keepLines w:val="0"/>
              <w:pageBreakBefore w:val="0"/>
              <w:widowControl/>
              <w:numPr>
                <w:ilvl w:val="0"/>
                <w:numId w:val="8"/>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pacing w:val="-1"/>
                <w:sz w:val="21"/>
                <w:szCs w:val="21"/>
                <w:highlight w:val="none"/>
              </w:rPr>
              <w:t>手动除颤电极板具备充电完成指示灯和阻抗提示</w:t>
            </w:r>
            <w:r>
              <w:rPr>
                <w:rFonts w:hint="eastAsia" w:ascii="宋体" w:hAnsi="宋体" w:eastAsia="宋体" w:cs="宋体"/>
                <w:b w:val="0"/>
                <w:bCs w:val="0"/>
                <w:color w:val="auto"/>
                <w:spacing w:val="-5"/>
                <w:sz w:val="21"/>
                <w:szCs w:val="21"/>
                <w:highlight w:val="none"/>
              </w:rPr>
              <w:t xml:space="preserve">灯，屏幕并显示具体阻抗数值 </w:t>
            </w:r>
          </w:p>
          <w:p>
            <w:pPr>
              <w:keepNext w:val="0"/>
              <w:keepLines w:val="0"/>
              <w:pageBreakBefore w:val="0"/>
              <w:widowControl/>
              <w:numPr>
                <w:ilvl w:val="0"/>
                <w:numId w:val="8"/>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体外起搏模式：按需起搏、固定起搏、降速起搏</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kern w:val="0"/>
                <w:sz w:val="21"/>
                <w:szCs w:val="21"/>
                <w:highlight w:val="none"/>
                <w:lang w:bidi="ar"/>
              </w:rPr>
              <w:t>起搏频率 40ppm～170ppm，</w:t>
            </w:r>
          </w:p>
          <w:p>
            <w:pPr>
              <w:keepNext w:val="0"/>
              <w:keepLines w:val="0"/>
              <w:pageBreakBefore w:val="0"/>
              <w:widowControl/>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起搏电流</w:t>
            </w:r>
            <w:r>
              <w:rPr>
                <w:rFonts w:hint="eastAsia" w:ascii="宋体" w:hAnsi="宋体" w:eastAsia="宋体" w:cs="宋体"/>
                <w:b w:val="0"/>
                <w:bCs w:val="0"/>
                <w:color w:val="auto"/>
                <w:sz w:val="21"/>
                <w:szCs w:val="21"/>
                <w:highlight w:val="none"/>
              </w:rPr>
              <w:t>0mA～200mA，</w:t>
            </w:r>
          </w:p>
          <w:p>
            <w:pPr>
              <w:keepNext w:val="0"/>
              <w:keepLines w:val="0"/>
              <w:pageBreakBefore w:val="0"/>
              <w:widowControl/>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起搏波形：单相方波</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p>
            <w:pPr>
              <w:keepNext w:val="0"/>
              <w:keepLines w:val="0"/>
              <w:pageBreakBefore w:val="0"/>
              <w:kinsoku/>
              <w:wordWrap/>
              <w:overflowPunct/>
              <w:topLinePunct w:val="0"/>
              <w:bidi w:val="0"/>
              <w:spacing w:beforeLines="0" w:afterLines="0" w:line="360" w:lineRule="auto"/>
              <w:ind w:left="480" w:hanging="420" w:hanging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2"/>
                <w:sz w:val="21"/>
                <w:szCs w:val="21"/>
                <w:highlight w:val="none"/>
              </w:rPr>
              <w:t xml:space="preserve">15. 标配5导联心电（ECG)、血氧饱和度（SpO2）、呼吸（Resp）、体温（Temp）、无创血压（NIBP）监护功能及配件，可选配主路呼吸末二氧化碳监测功能。 </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16.ECG 扫描速度包括：6.25mm/s、12.5mm/s、25mm/s、50mm/s</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bidi="ar"/>
              </w:rPr>
              <w:t xml:space="preserve"> </w:t>
            </w:r>
          </w:p>
          <w:p>
            <w:pPr>
              <w:keepNext w:val="0"/>
              <w:keepLines w:val="0"/>
              <w:pageBreakBefore w:val="0"/>
              <w:widowControl/>
              <w:suppressAutoHyphens/>
              <w:kinsoku/>
              <w:wordWrap/>
              <w:overflowPunct/>
              <w:topLinePunct w:val="0"/>
              <w:bidi w:val="0"/>
              <w:spacing w:beforeLines="0" w:afterLines="0" w:line="360" w:lineRule="auto"/>
              <w:ind w:left="480" w:hanging="420" w:hangingChars="200"/>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 xml:space="preserve">17.ECG 灵敏度：2.5 mm/mV（×0.25）、5 mm/mV（×0.5）、 10 mm/mV（×1）、20mm/mV（×2）、40mm/mV（×4） </w:t>
            </w:r>
          </w:p>
          <w:p>
            <w:pPr>
              <w:keepNext w:val="0"/>
              <w:keepLines w:val="0"/>
              <w:pageBreakBefore w:val="0"/>
              <w:widowControl/>
              <w:suppressAutoHyphens/>
              <w:kinsoku/>
              <w:wordWrap/>
              <w:overflowPunct/>
              <w:topLinePunct w:val="0"/>
              <w:bidi w:val="0"/>
              <w:spacing w:beforeLines="0" w:afterLines="0" w:line="360" w:lineRule="auto"/>
              <w:ind w:left="480" w:hanging="420" w:hangingChars="200"/>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18.心率测量</w:t>
            </w:r>
          </w:p>
          <w:p>
            <w:pPr>
              <w:keepNext w:val="0"/>
              <w:keepLines w:val="0"/>
              <w:pageBreakBefore w:val="0"/>
              <w:widowControl/>
              <w:suppressAutoHyphens/>
              <w:kinsoku/>
              <w:wordWrap/>
              <w:overflowPunct/>
              <w:topLinePunct w:val="0"/>
              <w:bidi w:val="0"/>
              <w:spacing w:beforeLines="0" w:afterLines="0" w:line="360" w:lineRule="auto"/>
              <w:ind w:left="480" w:hanging="420" w:hanging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 xml:space="preserve">   </w:t>
            </w:r>
            <w:r>
              <w:rPr>
                <w:rFonts w:hint="eastAsia" w:ascii="宋体" w:hAnsi="宋体" w:eastAsia="宋体" w:cs="宋体"/>
                <w:b w:val="0"/>
                <w:bCs w:val="0"/>
                <w:color w:val="auto"/>
                <w:sz w:val="21"/>
                <w:szCs w:val="21"/>
                <w:highlight w:val="none"/>
              </w:rPr>
              <w:t>新生儿：15bpm～350bpm</w:t>
            </w:r>
          </w:p>
          <w:p>
            <w:pPr>
              <w:keepNext w:val="0"/>
              <w:keepLines w:val="0"/>
              <w:pageBreakBefore w:val="0"/>
              <w:widowControl/>
              <w:suppressAutoHyphens/>
              <w:kinsoku/>
              <w:wordWrap/>
              <w:overflowPunct/>
              <w:topLinePunct w:val="0"/>
              <w:bidi w:val="0"/>
              <w:spacing w:beforeLines="0" w:afterLines="0" w:line="360" w:lineRule="auto"/>
              <w:ind w:left="420" w:left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小儿：15bpm～350bpm</w:t>
            </w:r>
          </w:p>
          <w:p>
            <w:pPr>
              <w:keepNext w:val="0"/>
              <w:keepLines w:val="0"/>
              <w:pageBreakBefore w:val="0"/>
              <w:widowControl/>
              <w:suppressAutoHyphens/>
              <w:kinsoku/>
              <w:wordWrap/>
              <w:overflowPunct/>
              <w:topLinePunct w:val="0"/>
              <w:bidi w:val="0"/>
              <w:spacing w:beforeLines="0" w:afterLines="0" w:line="360" w:lineRule="auto"/>
              <w:ind w:left="420" w:left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成人：15bmp～300bpm</w:t>
            </w:r>
          </w:p>
          <w:p>
            <w:pPr>
              <w:keepNext w:val="0"/>
              <w:keepLines w:val="0"/>
              <w:pageBreakBefore w:val="0"/>
              <w:widowControl/>
              <w:suppressAutoHyphens/>
              <w:kinsoku/>
              <w:wordWrap/>
              <w:overflowPunct/>
              <w:topLinePunct w:val="0"/>
              <w:bidi w:val="0"/>
              <w:spacing w:beforeLines="0" w:afterLines="0" w:line="360" w:lineRule="auto"/>
              <w:ind w:left="-420" w:leftChars="-200"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19.呼吸测量</w:t>
            </w:r>
          </w:p>
          <w:p>
            <w:pPr>
              <w:keepNext w:val="0"/>
              <w:keepLines w:val="0"/>
              <w:pageBreakBefore w:val="0"/>
              <w:widowControl/>
              <w:numPr>
                <w:ilvl w:val="0"/>
                <w:numId w:val="0"/>
              </w:numPr>
              <w:suppressAutoHyphens/>
              <w:kinsoku/>
              <w:wordWrap/>
              <w:overflowPunct/>
              <w:topLinePunct w:val="0"/>
              <w:bidi w:val="0"/>
              <w:spacing w:beforeLines="0" w:afterLines="0" w:line="360" w:lineRule="auto"/>
              <w:ind w:left="-420" w:left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测量范围：0rpm～120rpm</w:t>
            </w:r>
          </w:p>
          <w:p>
            <w:pPr>
              <w:keepNext w:val="0"/>
              <w:keepLines w:val="0"/>
              <w:pageBreakBefore w:val="0"/>
              <w:widowControl/>
              <w:suppressAutoHyphens/>
              <w:kinsoku/>
              <w:wordWrap/>
              <w:overflowPunct/>
              <w:topLinePunct w:val="0"/>
              <w:bidi w:val="0"/>
              <w:spacing w:beforeLines="0" w:afterLines="0" w:line="360" w:lineRule="auto"/>
              <w:ind w:left="480" w:hanging="420" w:hangingChars="200"/>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20.血氧采用抗干扰和抗弱灌注技术，测量范围 0～100％</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 xml:space="preserve">21.脉率测量  </w:t>
            </w:r>
          </w:p>
          <w:p>
            <w:pPr>
              <w:keepNext w:val="0"/>
              <w:keepLines w:val="0"/>
              <w:pageBreakBefore w:val="0"/>
              <w:widowControl/>
              <w:numPr>
                <w:ilvl w:val="0"/>
                <w:numId w:val="0"/>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测量范围：</w:t>
            </w:r>
            <w:r>
              <w:rPr>
                <w:rFonts w:hint="eastAsia" w:ascii="宋体" w:hAnsi="宋体" w:eastAsia="宋体" w:cs="宋体"/>
                <w:b w:val="0"/>
                <w:bCs w:val="0"/>
                <w:color w:val="auto"/>
                <w:sz w:val="21"/>
                <w:szCs w:val="21"/>
                <w:highlight w:val="none"/>
              </w:rPr>
              <w:t>30bpm～240bpm</w:t>
            </w:r>
          </w:p>
          <w:p>
            <w:pPr>
              <w:keepNext w:val="0"/>
              <w:keepLines w:val="0"/>
              <w:pageBreakBefore w:val="0"/>
              <w:widowControl/>
              <w:numPr>
                <w:ilvl w:val="0"/>
                <w:numId w:val="9"/>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无创血压监测具备手动测量、自动间隔测量、连续测量模式</w:t>
            </w:r>
          </w:p>
          <w:p>
            <w:pPr>
              <w:keepNext w:val="0"/>
              <w:keepLines w:val="0"/>
              <w:pageBreakBefore w:val="0"/>
              <w:widowControl/>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收缩压测量范围： 成人 40～270mmHg</w:t>
            </w:r>
          </w:p>
          <w:p>
            <w:pPr>
              <w:keepNext w:val="0"/>
              <w:keepLines w:val="0"/>
              <w:pageBreakBefore w:val="0"/>
              <w:widowControl/>
              <w:suppressAutoHyphens/>
              <w:kinsoku/>
              <w:wordWrap/>
              <w:overflowPunct/>
              <w:topLinePunct w:val="0"/>
              <w:bidi w:val="0"/>
              <w:spacing w:beforeLines="0" w:afterLines="0" w:line="360" w:lineRule="auto"/>
              <w:ind w:firstLine="2100" w:firstLineChars="10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 xml:space="preserve">小儿 40～200mmHg </w:t>
            </w:r>
          </w:p>
          <w:p>
            <w:pPr>
              <w:keepNext w:val="0"/>
              <w:keepLines w:val="0"/>
              <w:pageBreakBefore w:val="0"/>
              <w:widowControl/>
              <w:suppressAutoHyphens/>
              <w:kinsoku/>
              <w:wordWrap/>
              <w:overflowPunct/>
              <w:topLinePunct w:val="0"/>
              <w:bidi w:val="0"/>
              <w:spacing w:beforeLines="0" w:afterLines="0" w:line="360" w:lineRule="auto"/>
              <w:ind w:firstLine="2100" w:firstLineChars="10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 xml:space="preserve">新生儿 40～135mmHg </w:t>
            </w:r>
          </w:p>
          <w:p>
            <w:pPr>
              <w:keepNext w:val="0"/>
              <w:keepLines w:val="0"/>
              <w:pageBreakBefore w:val="0"/>
              <w:widowControl/>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舒张压测量范围： 成人 10～210mmHg</w:t>
            </w:r>
          </w:p>
          <w:p>
            <w:pPr>
              <w:keepNext w:val="0"/>
              <w:keepLines w:val="0"/>
              <w:pageBreakBefore w:val="0"/>
              <w:widowControl/>
              <w:suppressAutoHyphens/>
              <w:kinsoku/>
              <w:wordWrap/>
              <w:overflowPunct/>
              <w:topLinePunct w:val="0"/>
              <w:bidi w:val="0"/>
              <w:spacing w:beforeLines="0" w:afterLines="0" w:line="360" w:lineRule="auto"/>
              <w:ind w:firstLine="2310" w:firstLineChars="11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 xml:space="preserve">小儿 10～150mmHg </w:t>
            </w:r>
          </w:p>
          <w:p>
            <w:pPr>
              <w:keepNext w:val="0"/>
              <w:keepLines w:val="0"/>
              <w:pageBreakBefore w:val="0"/>
              <w:widowControl/>
              <w:suppressAutoHyphens/>
              <w:kinsoku/>
              <w:wordWrap/>
              <w:overflowPunct/>
              <w:topLinePunct w:val="0"/>
              <w:bidi w:val="0"/>
              <w:spacing w:beforeLines="0" w:afterLines="0" w:line="360" w:lineRule="auto"/>
              <w:ind w:firstLine="2100" w:firstLineChars="1000"/>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 xml:space="preserve">新生儿 10～100mmHg </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23.体温测量，具备双通道测量</w:t>
            </w:r>
          </w:p>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 xml:space="preserve">   范围：</w:t>
            </w:r>
            <w:r>
              <w:rPr>
                <w:rFonts w:hint="eastAsia" w:ascii="宋体" w:hAnsi="宋体" w:eastAsia="宋体" w:cs="宋体"/>
                <w:b w:val="0"/>
                <w:bCs w:val="0"/>
                <w:color w:val="auto"/>
                <w:sz w:val="21"/>
                <w:szCs w:val="21"/>
                <w:highlight w:val="none"/>
              </w:rPr>
              <w:t xml:space="preserve">0℃～50℃（32℉～122℉） </w:t>
            </w:r>
          </w:p>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w:t>
            </w:r>
            <w:r>
              <w:rPr>
                <w:rFonts w:hint="eastAsia" w:ascii="宋体" w:hAnsi="宋体" w:eastAsia="宋体" w:cs="宋体"/>
                <w:b w:val="0"/>
                <w:bCs w:val="0"/>
                <w:color w:val="auto"/>
                <w:kern w:val="0"/>
                <w:sz w:val="21"/>
                <w:szCs w:val="21"/>
                <w:highlight w:val="none"/>
              </w:rPr>
              <w:t>除颤后心电基线恢复时间≤2s</w:t>
            </w:r>
          </w:p>
          <w:p>
            <w:pPr>
              <w:keepNext w:val="0"/>
              <w:keepLines w:val="0"/>
              <w:pageBreakBefore w:val="0"/>
              <w:widowControl/>
              <w:suppressAutoHyphens/>
              <w:kinsoku/>
              <w:wordWrap/>
              <w:overflowPunct/>
              <w:topLinePunct w:val="0"/>
              <w:autoSpaceDE w:val="0"/>
              <w:autoSpaceDN w:val="0"/>
              <w:bidi w:val="0"/>
              <w:adjustRightInd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25.具备高分辨率热敏点阵打印记录仪，记录纸宽50mm,最大可同时输出3道波形 </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26.</w:t>
            </w:r>
            <w:r>
              <w:rPr>
                <w:rFonts w:hint="eastAsia" w:ascii="宋体" w:hAnsi="宋体" w:eastAsia="宋体" w:cs="宋体"/>
                <w:b w:val="0"/>
                <w:bCs w:val="0"/>
                <w:color w:val="auto"/>
                <w:kern w:val="0"/>
                <w:sz w:val="21"/>
                <w:szCs w:val="21"/>
                <w:highlight w:val="none"/>
                <w:lang w:bidi="ar"/>
              </w:rPr>
              <w:t xml:space="preserve">记录仪打印速度 12.5mm/s、25mm/s、50mm/s 可选 </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27.智能报警：</w:t>
            </w:r>
            <w:r>
              <w:rPr>
                <w:rFonts w:hint="eastAsia" w:ascii="宋体" w:hAnsi="宋体" w:eastAsia="宋体" w:cs="宋体"/>
                <w:b w:val="0"/>
                <w:bCs w:val="0"/>
                <w:color w:val="auto"/>
                <w:kern w:val="0"/>
                <w:sz w:val="21"/>
                <w:szCs w:val="21"/>
                <w:highlight w:val="none"/>
                <w:lang w:bidi="ar"/>
              </w:rPr>
              <w:t xml:space="preserve">通过声音、灯光、文字等多种方式进行报警，并提供双色报警指示  </w:t>
            </w:r>
          </w:p>
          <w:p>
            <w:pPr>
              <w:keepNext w:val="0"/>
              <w:keepLines w:val="0"/>
              <w:pageBreakBefore w:val="0"/>
              <w:widowControl/>
              <w:suppressAutoHyphens/>
              <w:kinsoku/>
              <w:wordWrap/>
              <w:overflowPunct/>
              <w:topLinePunct w:val="0"/>
              <w:autoSpaceDE w:val="0"/>
              <w:autoSpaceDN w:val="0"/>
              <w:bidi w:val="0"/>
              <w:adjustRightInd w:val="0"/>
              <w:spacing w:beforeLines="0" w:afterLines="0" w:line="360" w:lineRule="auto"/>
              <w:ind w:left="480" w:hanging="420" w:hanging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28.系统报警：具有声光三级报警；生理参数报警：包含心电</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无创血压</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血氧饱和度等；技术参数报警：包含除颤功能故障</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起搏功能故障等系统故障而触发的报警</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 xml:space="preserve"> </w:t>
            </w:r>
          </w:p>
          <w:p>
            <w:pPr>
              <w:keepNext w:val="0"/>
              <w:keepLines w:val="0"/>
              <w:pageBreakBefore w:val="0"/>
              <w:widowControl/>
              <w:suppressAutoHyphens/>
              <w:kinsoku/>
              <w:wordWrap/>
              <w:overflowPunct/>
              <w:topLinePunct w:val="0"/>
              <w:autoSpaceDE w:val="0"/>
              <w:autoSpaceDN w:val="0"/>
              <w:bidi w:val="0"/>
              <w:adjustRightInd w:val="0"/>
              <w:spacing w:beforeLines="0" w:afterLines="0" w:line="360" w:lineRule="auto"/>
              <w:ind w:left="472" w:hanging="412" w:hanging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29.可充电锂电池，最大能量除颤≥100次，或起搏时间≥2h，或监护时间≥3h，低电量报警后，还可连续进行≥20min的生命体征监护，同时可进行最少 6 次最大能量除颤。</w:t>
            </w:r>
          </w:p>
          <w:p>
            <w:pPr>
              <w:pStyle w:val="9"/>
              <w:keepNext w:val="0"/>
              <w:keepLines w:val="0"/>
              <w:pageBreakBefore w:val="0"/>
              <w:widowControl/>
              <w:suppressAutoHyphens/>
              <w:kinsoku/>
              <w:wordWrap/>
              <w:overflowPunct/>
              <w:topLinePunct w:val="0"/>
              <w:bidi w:val="0"/>
              <w:spacing w:beforeLines="0" w:afterLines="0" w:line="360" w:lineRule="auto"/>
              <w:ind w:left="420" w:leftChars="0" w:hanging="420" w:hanging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30.充电时间：</w:t>
            </w:r>
            <w:r>
              <w:rPr>
                <w:rFonts w:hint="eastAsia" w:ascii="宋体" w:hAnsi="宋体" w:eastAsia="宋体" w:cs="宋体"/>
                <w:b w:val="0"/>
                <w:bCs w:val="0"/>
                <w:color w:val="auto"/>
                <w:sz w:val="21"/>
                <w:szCs w:val="21"/>
                <w:highlight w:val="none"/>
              </w:rPr>
              <w:t xml:space="preserve">关机状态时，充电至100%小于3h；开机状态时，充电至100%小于4.5h </w:t>
            </w:r>
          </w:p>
          <w:p>
            <w:pPr>
              <w:pStyle w:val="9"/>
              <w:keepNext w:val="0"/>
              <w:keepLines w:val="0"/>
              <w:pageBreakBefore w:val="0"/>
              <w:widowControl/>
              <w:suppressAutoHyphens/>
              <w:kinsoku/>
              <w:wordWrap/>
              <w:overflowPunct/>
              <w:topLinePunct w:val="0"/>
              <w:bidi w:val="0"/>
              <w:spacing w:beforeLines="0" w:afterLines="0" w:line="360" w:lineRule="auto"/>
              <w:ind w:left="420" w:leftChars="0" w:hanging="420" w:hanging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31.支持中英文操作界面，AED中英文语音提示 </w:t>
            </w:r>
          </w:p>
          <w:p>
            <w:pPr>
              <w:keepNext w:val="0"/>
              <w:keepLines w:val="0"/>
              <w:pageBreakBefore w:val="0"/>
              <w:widowControl/>
              <w:suppressAutoHyphens/>
              <w:kinsoku/>
              <w:wordWrap/>
              <w:overflowPunct/>
              <w:topLinePunct w:val="0"/>
              <w:autoSpaceDE w:val="0"/>
              <w:autoSpaceDN w:val="0"/>
              <w:bidi w:val="0"/>
              <w:adjustRightInd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rPr>
              <w:t>32.防尘防水等级</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spacing w:val="-5"/>
                <w:sz w:val="21"/>
                <w:szCs w:val="21"/>
                <w:highlight w:val="none"/>
              </w:rPr>
              <w:t xml:space="preserve">IP54 </w:t>
            </w:r>
          </w:p>
          <w:p>
            <w:pPr>
              <w:keepNext w:val="0"/>
              <w:keepLines w:val="0"/>
              <w:pageBreakBefore w:val="0"/>
              <w:widowControl/>
              <w:tabs>
                <w:tab w:val="left" w:pos="4266"/>
              </w:tabs>
              <w:suppressAutoHyphens/>
              <w:kinsoku/>
              <w:wordWrap/>
              <w:overflowPunct/>
              <w:topLinePunct w:val="0"/>
              <w:autoSpaceDE w:val="0"/>
              <w:autoSpaceDN w:val="0"/>
              <w:bidi w:val="0"/>
              <w:adjustRightInd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 xml:space="preserve">.具备USB接口、WIFI功能，可远程监测并导出病人数据 </w:t>
            </w:r>
          </w:p>
          <w:p>
            <w:pPr>
              <w:keepNext w:val="0"/>
              <w:keepLines w:val="0"/>
              <w:pageBreakBefore w:val="0"/>
              <w:widowControl/>
              <w:tabs>
                <w:tab w:val="left" w:pos="4266"/>
              </w:tabs>
              <w:suppressAutoHyphens/>
              <w:kinsoku/>
              <w:wordWrap/>
              <w:overflowPunct/>
              <w:topLinePunct w:val="0"/>
              <w:autoSpaceDE w:val="0"/>
              <w:autoSpaceDN w:val="0"/>
              <w:bidi w:val="0"/>
              <w:adjustRightInd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.具备黑夜触点功能，能在黑暗环境迅速开启并操作设备</w:t>
            </w:r>
          </w:p>
          <w:p>
            <w:pPr>
              <w:keepNext w:val="0"/>
              <w:keepLines w:val="0"/>
              <w:pageBreakBefore w:val="0"/>
              <w:widowControl/>
              <w:tabs>
                <w:tab w:val="left" w:pos="4266"/>
              </w:tabs>
              <w:suppressAutoHyphens/>
              <w:kinsoku/>
              <w:wordWrap/>
              <w:overflowPunct/>
              <w:topLinePunct w:val="0"/>
              <w:autoSpaceDE w:val="0"/>
              <w:autoSpaceDN w:val="0"/>
              <w:bidi w:val="0"/>
              <w:adjustRightInd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.工作环境：工作温度0-50℃，工作湿度10％-95％</w:t>
            </w:r>
          </w:p>
          <w:p>
            <w:pPr>
              <w:keepNext w:val="0"/>
              <w:keepLines w:val="0"/>
              <w:pageBreakBefore w:val="0"/>
              <w:widowControl w:val="0"/>
              <w:suppressLineNumbers w:val="0"/>
              <w:suppressAutoHyphens/>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sz w:val="21"/>
                <w:szCs w:val="21"/>
                <w:highlight w:val="none"/>
              </w:rPr>
              <w:t xml:space="preserve">             储运温度-30-70℃，储运湿度10％-95％</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bidi w:val="0"/>
              <w:spacing w:before="0" w:beforeAutospacing="0" w:after="0" w:afterAutospacing="0" w:line="360" w:lineRule="auto"/>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t>36160</w:t>
            </w:r>
          </w:p>
        </w:tc>
      </w:tr>
      <w:tr>
        <w:tblPrEx>
          <w:tblCellMar>
            <w:top w:w="0" w:type="dxa"/>
            <w:left w:w="108" w:type="dxa"/>
            <w:bottom w:w="0" w:type="dxa"/>
            <w:right w:w="108" w:type="dxa"/>
          </w:tblCellMar>
        </w:tblPrEx>
        <w:trPr>
          <w:trHeight w:val="345" w:hRule="atLeast"/>
          <w:jc w:val="center"/>
        </w:trPr>
        <w:tc>
          <w:tcPr>
            <w:tcW w:w="985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五、天等县龙茗中心卫生院设备</w:t>
            </w:r>
          </w:p>
        </w:tc>
      </w:tr>
      <w:tr>
        <w:tblPrEx>
          <w:tblCellMar>
            <w:top w:w="0" w:type="dxa"/>
            <w:left w:w="108" w:type="dxa"/>
            <w:bottom w:w="0" w:type="dxa"/>
            <w:right w:w="108" w:type="dxa"/>
          </w:tblCellMar>
        </w:tblPrEx>
        <w:trPr>
          <w:trHeight w:val="34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智能通络治疗仪</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1.设备适用在中医科、神经内科、脑病科，骨伤科、康复科等科室使用</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2.中医定向经皮经穴药物透入功能</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3.四通道8穴位输出</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4.内含48种分证型治疗处方</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5.中医辨证处方调制：2～9kHz &amp; 0～150Hz</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6.调制方式：连续调制/间歇调制/断续调制/变频调制</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7.治疗深度分级可调：2～9分级可调</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8.极板输出通道可同步或异步输出</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9.输出电压：输出峰峰值不超过500V；调幅度：0～100﹪分段可调</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10.输出电流：≤110mA；单脉冲能量≤300mJ：动态节律：2～10s</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11.差频变化：差频范围0～96 Hz  变化周期1～10s</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12.热疗输出：极板温度≤45℃</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13.治疗时间：5-40分钟，8档可调。</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14.</w:t>
            </w:r>
            <w:r>
              <w:rPr>
                <w:rFonts w:hint="eastAsia" w:ascii="宋体" w:hAnsi="宋体" w:eastAsia="宋体" w:cs="宋体"/>
                <w:b w:val="0"/>
                <w:bCs w:val="0"/>
                <w:color w:val="auto"/>
                <w:kern w:val="0"/>
                <w:sz w:val="21"/>
                <w:szCs w:val="21"/>
                <w:highlight w:val="none"/>
                <w:lang w:bidi="ar"/>
              </w:rPr>
              <w:t>极板配置：Φ4.6cm多功能圆形治疗极板</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29900</w:t>
            </w:r>
          </w:p>
        </w:tc>
      </w:tr>
      <w:tr>
        <w:tblPrEx>
          <w:tblCellMar>
            <w:top w:w="0" w:type="dxa"/>
            <w:left w:w="108" w:type="dxa"/>
            <w:bottom w:w="0" w:type="dxa"/>
            <w:right w:w="108" w:type="dxa"/>
          </w:tblCellMar>
        </w:tblPrEx>
        <w:trPr>
          <w:trHeight w:val="34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恒温水浴箱</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一、基本特征</w:t>
            </w:r>
          </w:p>
          <w:p>
            <w:pPr>
              <w:keepNext w:val="0"/>
              <w:keepLines w:val="0"/>
              <w:pageBreakBefore w:val="0"/>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恒温水浴箱用于干燥、浓缩、蒸馏、浸渍化学试剂、浸渍药品和生物制品，也可用于水浴恒温加热和其他温度试验， 是生物、遗传、病毒、水产、环保、医药、卫生、生化试验室、分析室、教育科研的必备工具。</w:t>
            </w:r>
          </w:p>
          <w:p>
            <w:pPr>
              <w:keepNext w:val="0"/>
              <w:keepLines w:val="0"/>
              <w:pageBreakBefore w:val="0"/>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二、技术参数</w:t>
            </w:r>
          </w:p>
          <w:p>
            <w:pPr>
              <w:keepNext w:val="0"/>
              <w:keepLines w:val="0"/>
              <w:pageBreakBefore w:val="0"/>
              <w:widowControl/>
              <w:numPr>
                <w:ilvl w:val="0"/>
                <w:numId w:val="10"/>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PID控温技术，LCD液晶显示，清晰直观</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10"/>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冷轧钢外壳，采用静电喷塑处理工艺</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10"/>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工作室水箱选用304不锈钢，一次冲压而成，耐腐蚀</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10"/>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带有磁力搅拌加速水温均匀</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10"/>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输入电源</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AC220V 50Hz</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10"/>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输出功率</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1800W</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10"/>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显示方式</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LCD数码管</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10"/>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温控范围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室温 -100℃</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10"/>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控温精度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≤±0.5℃</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10"/>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工作尺寸</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600×300×1</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0（长×宽×</w:t>
            </w:r>
            <w:r>
              <w:rPr>
                <w:rFonts w:hint="eastAsia" w:ascii="宋体" w:hAnsi="宋体" w:eastAsia="宋体" w:cs="宋体"/>
                <w:b w:val="0"/>
                <w:bCs w:val="0"/>
                <w:color w:val="auto"/>
                <w:sz w:val="21"/>
                <w:szCs w:val="21"/>
                <w:highlight w:val="none"/>
                <w:lang w:eastAsia="zh-CN"/>
              </w:rPr>
              <w:t>高</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10"/>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是否带搅拌功能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搅拌加热的水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是</w:t>
            </w:r>
          </w:p>
          <w:p>
            <w:pPr>
              <w:keepNext w:val="0"/>
              <w:keepLines w:val="0"/>
              <w:pageBreakBefore w:val="0"/>
              <w:widowControl/>
              <w:numPr>
                <w:ilvl w:val="0"/>
                <w:numId w:val="0"/>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12.配置清单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3425"/>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名称</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主机</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电源线</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磁力搅拌子</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保险丝</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说明书</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合格证/保修卡</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1份</w:t>
                  </w:r>
                </w:p>
              </w:tc>
            </w:tr>
          </w:tbl>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1500</w:t>
            </w:r>
          </w:p>
        </w:tc>
      </w:tr>
      <w:tr>
        <w:tblPrEx>
          <w:tblCellMar>
            <w:top w:w="0" w:type="dxa"/>
            <w:left w:w="108" w:type="dxa"/>
            <w:bottom w:w="0" w:type="dxa"/>
            <w:right w:w="108" w:type="dxa"/>
          </w:tblCellMar>
        </w:tblPrEx>
        <w:trPr>
          <w:trHeight w:val="34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洗胃机</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膜片泵作为冲液和吸液的动力源，通过压力传感器和CPU控制。</w:t>
            </w:r>
          </w:p>
          <w:p>
            <w:pPr>
              <w:pStyle w:val="4"/>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2.定量容积式转换缸；</w:t>
            </w:r>
          </w:p>
          <w:p>
            <w:pPr>
              <w:pStyle w:val="4"/>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3.气压驱动换向阀结构；</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4.面板有洗胃循环次数和压力模拟显示状态；</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lang w:val="en-US" w:eastAsia="zh-CN"/>
              </w:rPr>
              <w:t>有</w:t>
            </w:r>
            <w:r>
              <w:rPr>
                <w:rFonts w:hint="eastAsia" w:ascii="宋体" w:hAnsi="宋体" w:eastAsia="宋体" w:cs="宋体"/>
                <w:b w:val="0"/>
                <w:bCs w:val="0"/>
                <w:color w:val="auto"/>
                <w:sz w:val="21"/>
                <w:szCs w:val="21"/>
                <w:highlight w:val="none"/>
              </w:rPr>
              <w:t>手动冲、吸液量平衡装置；</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6.有“口腔档和鼻腔档”两种洗胃模式；</w:t>
            </w:r>
          </w:p>
          <w:p>
            <w:pPr>
              <w:pStyle w:val="4"/>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.流量：≥2 L /min（口腔插管档）；≥1 L /min（鼻腔插管档）；</w:t>
            </w:r>
          </w:p>
          <w:p>
            <w:pPr>
              <w:pStyle w:val="4"/>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 自控液量：冲液量（250ml～350ml）/次；吸液量（350ml～450ml）/次；（注：吸液量大于冲液量，但不应大于150 ml/次）</w:t>
            </w:r>
          </w:p>
          <w:p>
            <w:pPr>
              <w:pStyle w:val="4"/>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.正、负压力设定范围：47 kPa～67 kPa；</w:t>
            </w:r>
          </w:p>
          <w:p>
            <w:pPr>
              <w:pStyle w:val="4"/>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.电源：～220V  50 Hz 、输入功率：110VA；</w:t>
            </w:r>
          </w:p>
          <w:p>
            <w:pPr>
              <w:pStyle w:val="4"/>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.噪声：≤65 dB(A)；</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配置清单</w:t>
            </w:r>
          </w:p>
          <w:tbl>
            <w:tblPr>
              <w:tblStyle w:val="5"/>
              <w:tblW w:w="0" w:type="auto"/>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2569"/>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序号</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基本配置名称</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主机</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电源线</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吸引软管</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专用胃管</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进液过滤器</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排液沉头（Φ8）</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熔丝管</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三通接头</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说明书、合格证、保修卡等</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1套</w:t>
                  </w:r>
                </w:p>
              </w:tc>
            </w:tr>
          </w:tbl>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6000</w:t>
            </w:r>
          </w:p>
        </w:tc>
      </w:tr>
      <w:tr>
        <w:tblPrEx>
          <w:tblCellMar>
            <w:top w:w="0" w:type="dxa"/>
            <w:left w:w="108" w:type="dxa"/>
            <w:bottom w:w="0" w:type="dxa"/>
            <w:right w:w="108" w:type="dxa"/>
          </w:tblCellMar>
        </w:tblPrEx>
        <w:trPr>
          <w:trHeight w:val="492" w:hRule="atLeast"/>
          <w:jc w:val="center"/>
        </w:trPr>
        <w:tc>
          <w:tcPr>
            <w:tcW w:w="9851" w:type="dxa"/>
            <w:gridSpan w:val="5"/>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商务要求</w:t>
            </w:r>
          </w:p>
        </w:tc>
      </w:tr>
      <w:tr>
        <w:tblPrEx>
          <w:tblCellMar>
            <w:top w:w="0" w:type="dxa"/>
            <w:left w:w="108" w:type="dxa"/>
            <w:bottom w:w="0" w:type="dxa"/>
            <w:right w:w="108" w:type="dxa"/>
          </w:tblCellMar>
        </w:tblPrEx>
        <w:trPr>
          <w:trHeight w:val="492" w:hRule="atLeast"/>
          <w:jc w:val="center"/>
        </w:trPr>
        <w:tc>
          <w:tcPr>
            <w:tcW w:w="9851" w:type="dxa"/>
            <w:gridSpan w:val="5"/>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一、合同签订期：自</w:t>
            </w:r>
            <w:r>
              <w:rPr>
                <w:rFonts w:hint="eastAsia" w:ascii="宋体" w:hAnsi="宋体" w:eastAsia="宋体" w:cs="宋体"/>
                <w:b w:val="0"/>
                <w:bCs w:val="0"/>
                <w:color w:val="auto"/>
                <w:sz w:val="21"/>
                <w:szCs w:val="21"/>
                <w:highlight w:val="none"/>
                <w:lang w:eastAsia="zh-CN"/>
              </w:rPr>
              <w:t>成交</w:t>
            </w:r>
            <w:r>
              <w:rPr>
                <w:rFonts w:hint="eastAsia" w:ascii="宋体" w:hAnsi="宋体" w:eastAsia="宋体" w:cs="宋体"/>
                <w:b w:val="0"/>
                <w:bCs w:val="0"/>
                <w:color w:val="auto"/>
                <w:sz w:val="21"/>
                <w:szCs w:val="21"/>
                <w:highlight w:val="none"/>
              </w:rPr>
              <w:t>通知书发出之日起</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日内。</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二、交付时间：自合同签订之日起</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 xml:space="preserve">日内安装调试完毕并验收合格交付使用。 </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三、交付地点：天等县内采购人指定地点。</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w:t>
            </w:r>
            <w:r>
              <w:rPr>
                <w:rFonts w:hint="eastAsia" w:ascii="宋体" w:hAnsi="宋体" w:eastAsia="宋体" w:cs="宋体"/>
                <w:b w:val="0"/>
                <w:bCs w:val="0"/>
                <w:color w:val="auto"/>
                <w:sz w:val="21"/>
                <w:szCs w:val="21"/>
                <w:highlight w:val="none"/>
                <w:lang w:eastAsia="zh-CN"/>
              </w:rPr>
              <w:t>验收要求：</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验收标准、规范：依据国家有关规定、采购文件的要求、</w:t>
            </w:r>
            <w:r>
              <w:rPr>
                <w:rFonts w:hint="eastAsia" w:ascii="宋体" w:hAnsi="宋体" w:eastAsia="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及承诺与本合同约定标准进行验收。</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除国家药监局公布《免于经营备案的第二类医疗器械产品目录》里的第二类医疗器械产品外，在第二类医疗器械产品供货时，成交供应商必须提供有效的第二类医疗器械经营备案证明复印件，否则采购人不予以验收通过。（注：如成交供应商为符合国家现行《医疗器械监督管理条例》第四十三条规定的备案人的，则不需要提供经营备案证明。）</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五、售后服务要求：</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1、质量保证期：按国家有关产品“三包”规定执行“三包”，协助采购</w:t>
            </w:r>
            <w:r>
              <w:rPr>
                <w:rFonts w:hint="eastAsia" w:ascii="宋体" w:hAnsi="宋体" w:eastAsia="宋体" w:cs="宋体"/>
                <w:b w:val="0"/>
                <w:bCs w:val="0"/>
                <w:color w:val="auto"/>
                <w:sz w:val="21"/>
                <w:szCs w:val="21"/>
                <w:highlight w:val="none"/>
                <w:lang w:eastAsia="zh-CN"/>
              </w:rPr>
              <w:t>人</w:t>
            </w:r>
            <w:r>
              <w:rPr>
                <w:rFonts w:hint="eastAsia" w:ascii="宋体" w:hAnsi="宋体" w:eastAsia="宋体" w:cs="宋体"/>
                <w:b w:val="0"/>
                <w:bCs w:val="0"/>
                <w:color w:val="auto"/>
                <w:sz w:val="21"/>
                <w:szCs w:val="21"/>
                <w:highlight w:val="none"/>
              </w:rPr>
              <w:t>进行安装场地设计，安装、调试，安装应符合国家行业相关标准、规范及规定。质保期除特别注明外，最短不得少于1 年（自</w:t>
            </w:r>
            <w:r>
              <w:rPr>
                <w:rFonts w:hint="eastAsia" w:ascii="宋体" w:hAnsi="宋体" w:eastAsia="宋体" w:cs="宋体"/>
                <w:b w:val="0"/>
                <w:bCs w:val="0"/>
                <w:color w:val="auto"/>
                <w:sz w:val="21"/>
                <w:szCs w:val="21"/>
                <w:highlight w:val="none"/>
                <w:lang w:eastAsia="zh-CN"/>
              </w:rPr>
              <w:t>采购人、成交供应商</w:t>
            </w:r>
            <w:r>
              <w:rPr>
                <w:rFonts w:hint="eastAsia" w:ascii="宋体" w:hAnsi="宋体" w:eastAsia="宋体" w:cs="宋体"/>
                <w:b w:val="0"/>
                <w:bCs w:val="0"/>
                <w:color w:val="auto"/>
                <w:sz w:val="21"/>
                <w:szCs w:val="21"/>
                <w:highlight w:val="none"/>
              </w:rPr>
              <w:t>双方验收合格之日起计）；质保期内负责上门服务、维修、更换配件，不得收取任何费用。</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2、响应时间：设备在使用过程中发生质量问题，成交供应商技术人员在接到采购人通知后12小时内响应，24小时内到达采购人指定现场解决处理。</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3、质保期内为</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提供完善的设备操作培训和维修技术人员的培训，确保</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有关人员能独立操作使用设备；培训人数由</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确定。</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4、采购人及</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双方必须安排人员到场，采购人只负责协调及监督工作，</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应当安排足够人员到场负责进行装卸、调试。清理装机产生的木箱等工作。</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5、每半年至少进行一次定期回访以及对设备保养。</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6、供应商应保证提供的是最新机型、最新软件版本、全新未经使用的合格产品。</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六、其他要求：</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1、报价必须含以下部分，包括：</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（1）货物的价格；</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（2）必要的保险费用和各项税金；</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（3）运输、安装、调试、培训、技术支持、售后服务等费用。 </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2、付款方式：</w:t>
            </w:r>
          </w:p>
          <w:p>
            <w:pPr>
              <w:keepNext w:val="0"/>
              <w:keepLines w:val="0"/>
              <w:pageBreakBefore w:val="0"/>
              <w:numPr>
                <w:ilvl w:val="0"/>
                <w:numId w:val="0"/>
              </w:numPr>
              <w:kinsoku/>
              <w:wordWrap/>
              <w:overflowPunct/>
              <w:topLinePunct w:val="0"/>
              <w:bidi w:val="0"/>
              <w:snapToGrid w:val="0"/>
              <w:spacing w:line="360" w:lineRule="auto"/>
              <w:jc w:val="left"/>
              <w:rPr>
                <w:rFonts w:ascii="Times New Roman" w:hAnsi="Times New Roman" w:eastAsia="宋体" w:cs="Times New Roman"/>
                <w:color w:val="auto"/>
                <w:highlight w:val="none"/>
              </w:rPr>
            </w:pPr>
            <w:r>
              <w:rPr>
                <w:rFonts w:hint="eastAsia" w:ascii="宋体" w:hAnsi="宋体" w:eastAsia="宋体" w:cs="宋体"/>
                <w:b w:val="0"/>
                <w:bCs w:val="0"/>
                <w:color w:val="auto"/>
                <w:sz w:val="21"/>
                <w:szCs w:val="21"/>
                <w:highlight w:val="none"/>
              </w:rPr>
              <w:t>无预付款，货物交货验收合格之日起15个工作日内，</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提供并收集送、验货等材料及有效的合同款全额发票交给采购人；采购人按照财务审批流程确认无误后支付合同款给</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pPr>
              <w:keepNext w:val="0"/>
              <w:keepLines w:val="0"/>
              <w:pageBreakBefore w:val="0"/>
              <w:numPr>
                <w:ilvl w:val="0"/>
                <w:numId w:val="11"/>
              </w:numPr>
              <w:kinsoku/>
              <w:wordWrap/>
              <w:overflowPunct/>
              <w:topLinePunct w:val="0"/>
              <w:bidi w:val="0"/>
              <w:snapToGrid w:val="0"/>
              <w:spacing w:line="360" w:lineRule="auto"/>
              <w:jc w:val="left"/>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eastAsia="zh-CN"/>
              </w:rPr>
              <w:t>医疗器械分类：</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bCs/>
                <w:color w:val="auto"/>
                <w:sz w:val="21"/>
                <w:szCs w:val="21"/>
                <w:highlight w:val="none"/>
                <w:lang w:val="en-US" w:eastAsia="zh-CN"/>
              </w:rPr>
            </w:pPr>
            <w:r>
              <w:rPr>
                <w:rFonts w:hint="eastAsia" w:ascii="Times New Roman" w:hAnsi="Times New Roman" w:eastAsia="宋体" w:cs="Times New Roman"/>
                <w:b/>
                <w:bCs/>
                <w:color w:val="auto"/>
                <w:highlight w:val="none"/>
                <w:lang w:val="en-US" w:eastAsia="zh-CN"/>
              </w:rPr>
              <w:t>1.</w:t>
            </w:r>
            <w:r>
              <w:rPr>
                <w:rFonts w:hint="eastAsia" w:ascii="宋体" w:hAnsi="宋体" w:eastAsia="宋体" w:cs="宋体"/>
                <w:b/>
                <w:bCs/>
                <w:color w:val="auto"/>
                <w:sz w:val="21"/>
                <w:szCs w:val="21"/>
                <w:highlight w:val="none"/>
                <w:lang w:val="en-US" w:eastAsia="zh-CN"/>
              </w:rPr>
              <w:t>本项目所采购的医疗器械分类详见附件1。</w:t>
            </w:r>
          </w:p>
          <w:p>
            <w:pPr>
              <w:keepNext w:val="0"/>
              <w:keepLines w:val="0"/>
              <w:pageBreakBefore w:val="0"/>
              <w:numPr>
                <w:ilvl w:val="0"/>
                <w:numId w:val="0"/>
              </w:numPr>
              <w:kinsoku/>
              <w:wordWrap/>
              <w:overflowPunct/>
              <w:topLinePunct w:val="0"/>
              <w:bidi w:val="0"/>
              <w:snapToGrid w:val="0"/>
              <w:spacing w:line="360" w:lineRule="auto"/>
              <w:jc w:val="left"/>
              <w:rPr>
                <w:rFonts w:hint="eastAsia" w:ascii="Times New Roman" w:hAnsi="Times New Roman" w:eastAsia="宋体" w:cs="Times New Roman"/>
                <w:color w:val="auto"/>
                <w:highlight w:val="none"/>
                <w:lang w:eastAsia="zh-CN"/>
              </w:rPr>
            </w:pPr>
            <w:r>
              <w:rPr>
                <w:rFonts w:hint="eastAsia" w:ascii="宋体" w:hAnsi="宋体" w:eastAsia="宋体" w:cs="宋体"/>
                <w:b/>
                <w:bCs/>
                <w:color w:val="auto"/>
                <w:sz w:val="21"/>
                <w:szCs w:val="21"/>
                <w:highlight w:val="none"/>
                <w:lang w:val="en-US" w:eastAsia="zh-CN"/>
              </w:rPr>
              <w:t>2.须在首次响应文件中提供本项目采购的第二、三类医疗器械产品的有效的医疗器械注册证复印件。</w:t>
            </w:r>
          </w:p>
        </w:tc>
      </w:tr>
      <w:tr>
        <w:tblPrEx>
          <w:tblCellMar>
            <w:top w:w="0" w:type="dxa"/>
            <w:left w:w="108" w:type="dxa"/>
            <w:bottom w:w="0" w:type="dxa"/>
            <w:right w:w="108" w:type="dxa"/>
          </w:tblCellMar>
        </w:tblPrEx>
        <w:trPr>
          <w:trHeight w:val="492" w:hRule="atLeast"/>
          <w:jc w:val="center"/>
        </w:trPr>
        <w:tc>
          <w:tcPr>
            <w:tcW w:w="9851" w:type="dxa"/>
            <w:gridSpan w:val="5"/>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其他说明</w:t>
            </w:r>
          </w:p>
        </w:tc>
      </w:tr>
      <w:tr>
        <w:tblPrEx>
          <w:tblCellMar>
            <w:top w:w="0" w:type="dxa"/>
            <w:left w:w="108" w:type="dxa"/>
            <w:bottom w:w="0" w:type="dxa"/>
            <w:right w:w="108" w:type="dxa"/>
          </w:tblCellMar>
        </w:tblPrEx>
        <w:trPr>
          <w:trHeight w:val="492" w:hRule="atLeast"/>
          <w:jc w:val="center"/>
        </w:trPr>
        <w:tc>
          <w:tcPr>
            <w:tcW w:w="9851" w:type="dxa"/>
            <w:gridSpan w:val="5"/>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1、进口产品说明：</w:t>
            </w:r>
          </w:p>
          <w:p>
            <w:pPr>
              <w:keepNext w:val="0"/>
              <w:keepLines w:val="0"/>
              <w:pageBreakBefore w:val="0"/>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本项目货物所涉及的货物不接受进口产品（即通过中国海关报关验放进入中国境内且产自关境外的产品）参与</w:t>
            </w:r>
            <w:r>
              <w:rPr>
                <w:rFonts w:hint="eastAsia" w:ascii="宋体" w:hAnsi="宋体" w:eastAsia="宋体" w:cs="宋体"/>
                <w:b w:val="0"/>
                <w:bCs w:val="0"/>
                <w:color w:val="auto"/>
                <w:sz w:val="21"/>
                <w:szCs w:val="21"/>
                <w:highlight w:val="none"/>
                <w:lang w:val="en-US" w:eastAsia="zh-CN"/>
              </w:rPr>
              <w:t>竞标</w:t>
            </w:r>
            <w:r>
              <w:rPr>
                <w:rFonts w:hint="eastAsia" w:ascii="宋体" w:hAnsi="宋体" w:eastAsia="宋体" w:cs="宋体"/>
                <w:b w:val="0"/>
                <w:bCs w:val="0"/>
                <w:color w:val="auto"/>
                <w:sz w:val="21"/>
                <w:szCs w:val="21"/>
                <w:highlight w:val="none"/>
              </w:rPr>
              <w:t>，如有进口产品参与</w:t>
            </w:r>
            <w:r>
              <w:rPr>
                <w:rFonts w:hint="eastAsia" w:ascii="宋体" w:hAnsi="宋体" w:eastAsia="宋体" w:cs="宋体"/>
                <w:b w:val="0"/>
                <w:bCs w:val="0"/>
                <w:color w:val="auto"/>
                <w:sz w:val="21"/>
                <w:szCs w:val="21"/>
                <w:highlight w:val="none"/>
                <w:lang w:val="en-US" w:eastAsia="zh-CN"/>
              </w:rPr>
              <w:t>竞标</w:t>
            </w:r>
            <w:r>
              <w:rPr>
                <w:rFonts w:hint="eastAsia" w:ascii="宋体" w:hAnsi="宋体" w:eastAsia="宋体" w:cs="宋体"/>
                <w:b w:val="0"/>
                <w:bCs w:val="0"/>
                <w:color w:val="auto"/>
                <w:sz w:val="21"/>
                <w:szCs w:val="21"/>
                <w:highlight w:val="none"/>
              </w:rPr>
              <w:t>的作无效</w:t>
            </w:r>
            <w:r>
              <w:rPr>
                <w:rFonts w:hint="eastAsia" w:ascii="宋体" w:hAnsi="宋体" w:eastAsia="宋体" w:cs="宋体"/>
                <w:b w:val="0"/>
                <w:bCs w:val="0"/>
                <w:color w:val="auto"/>
                <w:sz w:val="21"/>
                <w:szCs w:val="21"/>
                <w:highlight w:val="none"/>
                <w:lang w:val="en-US" w:eastAsia="zh-CN"/>
              </w:rPr>
              <w:t>竞标</w:t>
            </w:r>
            <w:r>
              <w:rPr>
                <w:rFonts w:hint="eastAsia" w:ascii="宋体" w:hAnsi="宋体" w:eastAsia="宋体" w:cs="宋体"/>
                <w:b w:val="0"/>
                <w:bCs w:val="0"/>
                <w:color w:val="auto"/>
                <w:sz w:val="21"/>
                <w:szCs w:val="21"/>
                <w:highlight w:val="none"/>
              </w:rPr>
              <w:t>处理。</w:t>
            </w:r>
          </w:p>
          <w:p>
            <w:pPr>
              <w:keepNext w:val="0"/>
              <w:keepLines w:val="0"/>
              <w:pageBreakBefore w:val="0"/>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2、本项目的核心产品为“需求一览表”中的：第</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项</w:t>
            </w:r>
            <w:r>
              <w:rPr>
                <w:rFonts w:hint="eastAsia" w:ascii="宋体" w:hAnsi="宋体" w:eastAsia="宋体" w:cs="宋体"/>
                <w:b w:val="0"/>
                <w:bCs w:val="0"/>
                <w:color w:val="auto"/>
                <w:sz w:val="21"/>
                <w:szCs w:val="21"/>
                <w:highlight w:val="none"/>
                <w:u w:val="none"/>
              </w:rPr>
              <w:t>产品：</w:t>
            </w:r>
            <w:r>
              <w:rPr>
                <w:rFonts w:hint="eastAsia" w:ascii="宋体" w:hAnsi="宋体" w:eastAsia="宋体" w:cs="宋体"/>
                <w:b w:val="0"/>
                <w:bCs w:val="0"/>
                <w:color w:val="auto"/>
                <w:sz w:val="21"/>
                <w:szCs w:val="21"/>
                <w:highlight w:val="none"/>
                <w:u w:val="single"/>
              </w:rPr>
              <w:t>“呼吸机”</w:t>
            </w:r>
            <w:r>
              <w:rPr>
                <w:rFonts w:hint="eastAsia" w:ascii="宋体" w:hAnsi="宋体" w:eastAsia="宋体" w:cs="宋体"/>
                <w:b w:val="0"/>
                <w:bCs w:val="0"/>
                <w:color w:val="auto"/>
                <w:sz w:val="21"/>
                <w:szCs w:val="21"/>
                <w:highlight w:val="none"/>
              </w:rPr>
              <w:t>。</w:t>
            </w:r>
          </w:p>
        </w:tc>
      </w:tr>
    </w:tbl>
    <w:p>
      <w:pPr>
        <w:pageBreakBefore/>
        <w:rPr>
          <w:rFonts w:hint="eastAsia" w:ascii="宋体" w:hAnsi="宋体" w:eastAsia="宋体" w:cs="宋体"/>
          <w:color w:val="auto"/>
          <w:highlight w:val="none"/>
        </w:rPr>
      </w:pPr>
    </w:p>
    <w:p>
      <w:pPr>
        <w:pStyle w:val="10"/>
        <w:jc w:val="left"/>
        <w:rPr>
          <w:rFonts w:hint="eastAsia" w:eastAsia="宋体" w:cs="宋体"/>
          <w:color w:val="auto"/>
          <w:sz w:val="32"/>
          <w:szCs w:val="32"/>
          <w:highlight w:val="none"/>
          <w:lang w:val="en-US" w:eastAsia="zh-CN"/>
        </w:rPr>
      </w:pPr>
      <w:r>
        <w:rPr>
          <w:rFonts w:hint="eastAsia" w:eastAsia="宋体" w:cs="宋体"/>
          <w:color w:val="auto"/>
          <w:sz w:val="32"/>
          <w:szCs w:val="32"/>
          <w:highlight w:val="none"/>
          <w:lang w:eastAsia="zh-CN"/>
        </w:rPr>
        <w:t>附件</w:t>
      </w:r>
      <w:r>
        <w:rPr>
          <w:rFonts w:hint="eastAsia" w:eastAsia="宋体" w:cs="宋体"/>
          <w:color w:val="auto"/>
          <w:sz w:val="32"/>
          <w:szCs w:val="32"/>
          <w:highlight w:val="none"/>
          <w:lang w:val="en-US" w:eastAsia="zh-CN"/>
        </w:rPr>
        <w:t>1：</w:t>
      </w:r>
    </w:p>
    <w:p>
      <w:pPr>
        <w:rPr>
          <w:rFonts w:hint="eastAsia" w:ascii="Times New Roman" w:hAnsi="Times New Roman" w:eastAsia="宋体" w:cs="宋体"/>
          <w:color w:val="auto"/>
          <w:sz w:val="32"/>
          <w:szCs w:val="32"/>
          <w:highlight w:val="none"/>
          <w:lang w:val="en-US" w:eastAsia="zh-CN"/>
        </w:rPr>
      </w:pPr>
    </w:p>
    <w:tbl>
      <w:tblPr>
        <w:tblStyle w:val="5"/>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5"/>
        <w:gridCol w:w="3375"/>
        <w:gridCol w:w="2415"/>
        <w:gridCol w:w="3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标的名称</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医疗器械产品类别</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lang w:eastAsia="zh-CN"/>
              </w:rPr>
              <w:t>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呼吸机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三类</w:t>
            </w:r>
          </w:p>
        </w:tc>
        <w:tc>
          <w:tcPr>
            <w:tcW w:w="34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天等县人民医院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血液透析机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三类</w:t>
            </w:r>
          </w:p>
        </w:tc>
        <w:tc>
          <w:tcPr>
            <w:tcW w:w="3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电子支气管内窥镜</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二类</w:t>
            </w:r>
          </w:p>
        </w:tc>
        <w:tc>
          <w:tcPr>
            <w:tcW w:w="3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中频电疗仪</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二类</w:t>
            </w:r>
          </w:p>
        </w:tc>
        <w:tc>
          <w:tcPr>
            <w:tcW w:w="3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立式蒸汽灭菌器</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二类</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天等县向都镇中心卫生院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6</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恒温水浴箱</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非医疗器械</w:t>
            </w:r>
          </w:p>
        </w:tc>
        <w:tc>
          <w:tcPr>
            <w:tcW w:w="345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天等县东平镇卫生院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7</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清创车</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非医疗器械</w:t>
            </w:r>
          </w:p>
        </w:tc>
        <w:tc>
          <w:tcPr>
            <w:tcW w:w="345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8</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Style w:val="11"/>
                <w:rFonts w:hint="eastAsia" w:ascii="宋体" w:hAnsi="宋体" w:eastAsia="宋体" w:cs="宋体"/>
                <w:i w:val="0"/>
                <w:iCs w:val="0"/>
                <w:color w:val="auto"/>
                <w:kern w:val="2"/>
                <w:sz w:val="22"/>
                <w:szCs w:val="22"/>
                <w:highlight w:val="none"/>
                <w:lang w:val="en-US" w:eastAsia="zh-CN" w:bidi="ar"/>
              </w:rPr>
              <w:t>电磁波</w:t>
            </w:r>
            <w:r>
              <w:rPr>
                <w:rFonts w:hint="eastAsia" w:ascii="宋体" w:hAnsi="宋体" w:eastAsia="宋体" w:cs="宋体"/>
                <w:i w:val="0"/>
                <w:iCs w:val="0"/>
                <w:color w:val="auto"/>
                <w:kern w:val="0"/>
                <w:sz w:val="22"/>
                <w:szCs w:val="22"/>
                <w:highlight w:val="none"/>
                <w:lang w:val="en-US" w:eastAsia="zh-CN" w:bidi="ar"/>
              </w:rPr>
              <w:t>普</w:t>
            </w:r>
            <w:r>
              <w:rPr>
                <w:rStyle w:val="11"/>
                <w:rFonts w:hint="eastAsia" w:ascii="宋体" w:hAnsi="宋体" w:eastAsia="宋体" w:cs="宋体"/>
                <w:i w:val="0"/>
                <w:iCs w:val="0"/>
                <w:color w:val="auto"/>
                <w:kern w:val="2"/>
                <w:sz w:val="22"/>
                <w:szCs w:val="22"/>
                <w:highlight w:val="none"/>
                <w:lang w:val="en-US" w:eastAsia="zh-CN" w:bidi="ar"/>
              </w:rPr>
              <w:t>治疗仪</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二类</w:t>
            </w:r>
          </w:p>
        </w:tc>
        <w:tc>
          <w:tcPr>
            <w:tcW w:w="345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9</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手术无影灯</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一类</w:t>
            </w:r>
          </w:p>
        </w:tc>
        <w:tc>
          <w:tcPr>
            <w:tcW w:w="345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洗胃机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二类</w:t>
            </w:r>
          </w:p>
        </w:tc>
        <w:tc>
          <w:tcPr>
            <w:tcW w:w="34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天等县进结中心卫生院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除颤仪</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三类</w:t>
            </w:r>
          </w:p>
        </w:tc>
        <w:tc>
          <w:tcPr>
            <w:tcW w:w="3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智能通络治疗仪</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二类</w:t>
            </w:r>
          </w:p>
        </w:tc>
        <w:tc>
          <w:tcPr>
            <w:tcW w:w="34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天等县龙茗中心卫生院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恒温水浴箱</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非医疗器械</w:t>
            </w:r>
          </w:p>
        </w:tc>
        <w:tc>
          <w:tcPr>
            <w:tcW w:w="3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洗胃机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二类</w:t>
            </w:r>
          </w:p>
        </w:tc>
        <w:tc>
          <w:tcPr>
            <w:tcW w:w="3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bl>
    <w:p>
      <w:pPr>
        <w:rPr>
          <w:rFonts w:hint="default" w:cs="宋体"/>
          <w:color w:val="auto"/>
          <w:sz w:val="32"/>
          <w:szCs w:val="32"/>
          <w:highlight w:val="none"/>
          <w:lang w:val="en-US" w:eastAsia="zh-CN"/>
        </w:rPr>
        <w:sectPr>
          <w:footerReference r:id="rId5" w:type="first"/>
          <w:footerReference r:id="rId3" w:type="default"/>
          <w:footerReference r:id="rId4" w:type="even"/>
          <w:footnotePr>
            <w:pos w:val="beneathText"/>
          </w:footnotePr>
          <w:pgSz w:w="11906" w:h="16838"/>
          <w:pgMar w:top="1134" w:right="1134" w:bottom="1134" w:left="1134" w:header="720" w:footer="720" w:gutter="0"/>
          <w:cols w:space="720" w:num="1"/>
          <w:docGrid w:linePitch="360" w:charSpace="0"/>
        </w:sectPr>
      </w:pPr>
    </w:p>
    <w:p>
      <w:pPr>
        <w:pStyle w:val="10"/>
        <w:jc w:val="left"/>
        <w:rPr>
          <w:rFonts w:eastAsia="宋体"/>
          <w:color w:val="auto"/>
          <w:highlight w:val="none"/>
        </w:rPr>
      </w:pPr>
      <w:r>
        <w:rPr>
          <w:rFonts w:hint="eastAsia" w:eastAsia="宋体" w:cs="宋体"/>
          <w:color w:val="auto"/>
          <w:sz w:val="32"/>
          <w:szCs w:val="32"/>
          <w:highlight w:val="none"/>
        </w:rPr>
        <w:t>附件</w:t>
      </w:r>
      <w:r>
        <w:rPr>
          <w:rFonts w:hint="eastAsia" w:eastAsia="宋体" w:cs="宋体"/>
          <w:color w:val="auto"/>
          <w:sz w:val="32"/>
          <w:szCs w:val="32"/>
          <w:highlight w:val="none"/>
          <w:lang w:val="en-US" w:eastAsia="zh-CN"/>
        </w:rPr>
        <w:t>2</w:t>
      </w:r>
      <w:r>
        <w:rPr>
          <w:rFonts w:hint="eastAsia" w:eastAsia="宋体" w:cs="宋体"/>
          <w:color w:val="auto"/>
          <w:sz w:val="32"/>
          <w:szCs w:val="32"/>
          <w:highlight w:val="none"/>
        </w:rPr>
        <w:t>：</w:t>
      </w:r>
    </w:p>
    <w:p>
      <w:pPr>
        <w:spacing w:line="528" w:lineRule="exact"/>
        <w:ind w:left="1871"/>
        <w:rPr>
          <w:rFonts w:ascii="Times New Roman" w:hAnsi="Times New Roman" w:eastAsia="宋体" w:cs="Times New Roman"/>
          <w:color w:val="auto"/>
          <w:highlight w:val="none"/>
        </w:rPr>
      </w:pPr>
      <w:r>
        <w:rPr>
          <w:rFonts w:hint="eastAsia" w:ascii="宋体" w:hAnsi="宋体" w:eastAsia="宋体" w:cs="宋体"/>
          <w:color w:val="auto"/>
          <w:sz w:val="40"/>
          <w:szCs w:val="40"/>
          <w:highlight w:val="none"/>
        </w:rPr>
        <w:t>中小微企业划型标准</w:t>
      </w:r>
    </w:p>
    <w:tbl>
      <w:tblPr>
        <w:tblStyle w:val="5"/>
        <w:tblW w:w="0" w:type="auto"/>
        <w:jc w:val="center"/>
        <w:tblLayout w:type="fixed"/>
        <w:tblCellMar>
          <w:top w:w="0" w:type="dxa"/>
          <w:left w:w="108" w:type="dxa"/>
          <w:bottom w:w="0" w:type="dxa"/>
          <w:right w:w="108" w:type="dxa"/>
        </w:tblCellMar>
      </w:tblPr>
      <w:tblGrid>
        <w:gridCol w:w="1935"/>
        <w:gridCol w:w="1575"/>
        <w:gridCol w:w="1036"/>
        <w:gridCol w:w="1844"/>
        <w:gridCol w:w="1636"/>
        <w:gridCol w:w="1080"/>
      </w:tblGrid>
      <w:tr>
        <w:tblPrEx>
          <w:tblCellMar>
            <w:top w:w="0" w:type="dxa"/>
            <w:left w:w="108" w:type="dxa"/>
            <w:bottom w:w="0" w:type="dxa"/>
            <w:right w:w="108" w:type="dxa"/>
          </w:tblCellMar>
        </w:tblPrEx>
        <w:trPr>
          <w:trHeight w:val="449" w:hRule="atLeast"/>
          <w:jc w:val="center"/>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b/>
                <w:color w:val="auto"/>
                <w:kern w:val="0"/>
                <w:sz w:val="18"/>
                <w:szCs w:val="18"/>
                <w:highlight w:val="none"/>
              </w:rPr>
              <w:t>行业名称</w:t>
            </w:r>
          </w:p>
        </w:tc>
        <w:tc>
          <w:tcPr>
            <w:tcW w:w="1575" w:type="dxa"/>
            <w:tcBorders>
              <w:top w:val="single" w:color="000000" w:sz="4" w:space="0"/>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b/>
                <w:color w:val="auto"/>
                <w:kern w:val="0"/>
                <w:sz w:val="18"/>
                <w:szCs w:val="18"/>
                <w:highlight w:val="none"/>
              </w:rPr>
              <w:t>指标名称</w:t>
            </w:r>
          </w:p>
        </w:tc>
        <w:tc>
          <w:tcPr>
            <w:tcW w:w="1036" w:type="dxa"/>
            <w:tcBorders>
              <w:top w:val="single" w:color="000000" w:sz="4" w:space="0"/>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b/>
                <w:color w:val="auto"/>
                <w:kern w:val="0"/>
                <w:sz w:val="18"/>
                <w:szCs w:val="18"/>
                <w:highlight w:val="none"/>
              </w:rPr>
              <w:t>计量单位</w:t>
            </w:r>
          </w:p>
        </w:tc>
        <w:tc>
          <w:tcPr>
            <w:tcW w:w="1844" w:type="dxa"/>
            <w:tcBorders>
              <w:top w:val="single" w:color="000000" w:sz="4" w:space="0"/>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b/>
                <w:color w:val="auto"/>
                <w:kern w:val="0"/>
                <w:sz w:val="18"/>
                <w:szCs w:val="18"/>
                <w:highlight w:val="none"/>
              </w:rPr>
              <w:t>中型</w:t>
            </w:r>
          </w:p>
        </w:tc>
        <w:tc>
          <w:tcPr>
            <w:tcW w:w="1636" w:type="dxa"/>
            <w:tcBorders>
              <w:top w:val="single" w:color="000000" w:sz="4" w:space="0"/>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b/>
                <w:color w:val="auto"/>
                <w:kern w:val="0"/>
                <w:sz w:val="18"/>
                <w:szCs w:val="18"/>
                <w:highlight w:val="none"/>
              </w:rPr>
              <w:t>小型</w:t>
            </w:r>
          </w:p>
        </w:tc>
        <w:tc>
          <w:tcPr>
            <w:tcW w:w="1080" w:type="dxa"/>
            <w:tcBorders>
              <w:top w:val="single" w:color="000000" w:sz="4" w:space="0"/>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b/>
                <w:color w:val="auto"/>
                <w:kern w:val="0"/>
                <w:sz w:val="18"/>
                <w:szCs w:val="18"/>
                <w:highlight w:val="none"/>
              </w:rPr>
              <w:t>微型</w:t>
            </w:r>
          </w:p>
        </w:tc>
      </w:tr>
      <w:tr>
        <w:tblPrEx>
          <w:tblCellMar>
            <w:top w:w="0" w:type="dxa"/>
            <w:left w:w="108" w:type="dxa"/>
            <w:bottom w:w="0" w:type="dxa"/>
            <w:right w:w="108" w:type="dxa"/>
          </w:tblCellMar>
        </w:tblPrEx>
        <w:trPr>
          <w:trHeight w:val="302" w:hRule="atLeast"/>
          <w:jc w:val="center"/>
        </w:trPr>
        <w:tc>
          <w:tcPr>
            <w:tcW w:w="1935" w:type="dxa"/>
            <w:tcBorders>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color w:val="auto"/>
                <w:highlight w:val="none"/>
              </w:rPr>
            </w:pPr>
            <w:r>
              <w:rPr>
                <w:rFonts w:hint="eastAsia" w:ascii="宋体" w:hAnsi="宋体" w:eastAsia="宋体" w:cs="宋体"/>
                <w:b/>
                <w:bCs/>
                <w:color w:val="auto"/>
                <w:kern w:val="0"/>
                <w:sz w:val="18"/>
                <w:szCs w:val="18"/>
                <w:highlight w:val="none"/>
              </w:rPr>
              <w:t>农、林、牧、渔</w:t>
            </w: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500≤Y＜20000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50≤Y＜500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Y＜50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color w:val="auto"/>
                <w:highlight w:val="none"/>
              </w:rPr>
            </w:pPr>
            <w:r>
              <w:rPr>
                <w:rFonts w:hint="eastAsia" w:ascii="宋体" w:hAnsi="宋体" w:eastAsia="宋体" w:cs="宋体"/>
                <w:b/>
                <w:bCs/>
                <w:color w:val="auto"/>
                <w:kern w:val="0"/>
                <w:sz w:val="18"/>
                <w:szCs w:val="18"/>
                <w:highlight w:val="none"/>
              </w:rPr>
              <w:t>工业</w:t>
            </w: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300≤X＜1000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20≤X＜300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X＜20</w:t>
            </w:r>
          </w:p>
        </w:tc>
      </w:tr>
      <w:tr>
        <w:tblPrEx>
          <w:tblCellMar>
            <w:top w:w="0" w:type="dxa"/>
            <w:left w:w="108" w:type="dxa"/>
            <w:bottom w:w="0" w:type="dxa"/>
            <w:right w:w="108" w:type="dxa"/>
          </w:tblCellMar>
        </w:tblPrEx>
        <w:trPr>
          <w:trHeight w:val="415"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eastAsia="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2000≤Y＜40000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300≤Y＜2000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Y＜300</w:t>
            </w:r>
          </w:p>
        </w:tc>
      </w:tr>
      <w:tr>
        <w:tblPrEx>
          <w:tblCellMar>
            <w:top w:w="0" w:type="dxa"/>
            <w:left w:w="108" w:type="dxa"/>
            <w:bottom w:w="0" w:type="dxa"/>
            <w:right w:w="108" w:type="dxa"/>
          </w:tblCellMar>
        </w:tblPrEx>
        <w:trPr>
          <w:trHeight w:val="415"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color w:val="auto"/>
                <w:highlight w:val="none"/>
              </w:rPr>
            </w:pPr>
            <w:r>
              <w:rPr>
                <w:rFonts w:hint="eastAsia" w:ascii="宋体" w:hAnsi="宋体" w:eastAsia="宋体" w:cs="宋体"/>
                <w:b/>
                <w:bCs/>
                <w:color w:val="auto"/>
                <w:kern w:val="0"/>
                <w:sz w:val="18"/>
                <w:szCs w:val="18"/>
                <w:highlight w:val="none"/>
              </w:rPr>
              <w:t>建筑业</w:t>
            </w: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6000≤Y＜80000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300≤Y＜6000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Y＜300</w:t>
            </w:r>
          </w:p>
        </w:tc>
      </w:tr>
      <w:tr>
        <w:tblPrEx>
          <w:tblCellMar>
            <w:top w:w="0" w:type="dxa"/>
            <w:left w:w="108" w:type="dxa"/>
            <w:bottom w:w="0" w:type="dxa"/>
            <w:right w:w="108" w:type="dxa"/>
          </w:tblCellMar>
        </w:tblPrEx>
        <w:trPr>
          <w:trHeight w:val="415"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eastAsia="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资产总额（Z）</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5000≤Z＜80000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300≤Z＜5000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Z＜300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color w:val="auto"/>
                <w:highlight w:val="none"/>
              </w:rPr>
            </w:pPr>
            <w:r>
              <w:rPr>
                <w:rFonts w:hint="eastAsia" w:ascii="宋体" w:hAnsi="宋体" w:eastAsia="宋体" w:cs="宋体"/>
                <w:b/>
                <w:bCs/>
                <w:color w:val="auto"/>
                <w:kern w:val="0"/>
                <w:sz w:val="18"/>
                <w:szCs w:val="18"/>
                <w:highlight w:val="none"/>
              </w:rPr>
              <w:t>批发业</w:t>
            </w: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20≤X＜200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5≤X＜20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X＜5</w:t>
            </w:r>
          </w:p>
        </w:tc>
      </w:tr>
      <w:tr>
        <w:tblPrEx>
          <w:tblCellMar>
            <w:top w:w="0" w:type="dxa"/>
            <w:left w:w="108" w:type="dxa"/>
            <w:bottom w:w="0" w:type="dxa"/>
            <w:right w:w="108" w:type="dxa"/>
          </w:tblCellMar>
        </w:tblPrEx>
        <w:trPr>
          <w:trHeight w:val="449"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eastAsia="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5000≤Y＜40000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1000≤Y＜5000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Y＜1000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color w:val="auto"/>
                <w:highlight w:val="none"/>
              </w:rPr>
            </w:pPr>
            <w:r>
              <w:rPr>
                <w:rFonts w:hint="eastAsia" w:ascii="宋体" w:hAnsi="宋体" w:eastAsia="宋体" w:cs="宋体"/>
                <w:b/>
                <w:bCs/>
                <w:color w:val="auto"/>
                <w:kern w:val="0"/>
                <w:sz w:val="18"/>
                <w:szCs w:val="18"/>
                <w:highlight w:val="none"/>
              </w:rPr>
              <w:t>零售业</w:t>
            </w: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50≤X＜300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10≤X＜50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X＜10</w:t>
            </w:r>
          </w:p>
        </w:tc>
      </w:tr>
      <w:tr>
        <w:tblPrEx>
          <w:tblCellMar>
            <w:top w:w="0" w:type="dxa"/>
            <w:left w:w="108" w:type="dxa"/>
            <w:bottom w:w="0" w:type="dxa"/>
            <w:right w:w="108" w:type="dxa"/>
          </w:tblCellMar>
        </w:tblPrEx>
        <w:trPr>
          <w:trHeight w:val="302"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eastAsia="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500≤Y＜20000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100≤Y＜500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color w:val="auto"/>
                <w:highlight w:val="none"/>
              </w:rPr>
            </w:pPr>
            <w:r>
              <w:rPr>
                <w:rFonts w:hint="eastAsia" w:ascii="宋体" w:hAnsi="宋体" w:eastAsia="宋体" w:cs="宋体"/>
                <w:b/>
                <w:bCs/>
                <w:color w:val="auto"/>
                <w:kern w:val="0"/>
                <w:sz w:val="18"/>
                <w:szCs w:val="18"/>
                <w:highlight w:val="none"/>
              </w:rPr>
              <w:t>交通运输业</w:t>
            </w: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300≤X＜1000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20≤X＜300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X＜20</w:t>
            </w:r>
          </w:p>
        </w:tc>
      </w:tr>
      <w:tr>
        <w:tblPrEx>
          <w:tblCellMar>
            <w:top w:w="0" w:type="dxa"/>
            <w:left w:w="108" w:type="dxa"/>
            <w:bottom w:w="0" w:type="dxa"/>
            <w:right w:w="108" w:type="dxa"/>
          </w:tblCellMar>
        </w:tblPrEx>
        <w:trPr>
          <w:trHeight w:val="415"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eastAsia="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3000≤Y＜30000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200≤Y＜3000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Y＜200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color w:val="auto"/>
                <w:highlight w:val="none"/>
              </w:rPr>
            </w:pPr>
            <w:r>
              <w:rPr>
                <w:rFonts w:hint="eastAsia" w:ascii="宋体" w:hAnsi="宋体" w:eastAsia="宋体" w:cs="宋体"/>
                <w:b/>
                <w:bCs/>
                <w:color w:val="auto"/>
                <w:kern w:val="0"/>
                <w:sz w:val="18"/>
                <w:szCs w:val="18"/>
                <w:highlight w:val="none"/>
              </w:rPr>
              <w:t>仓储业</w:t>
            </w: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100≤X＜200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20≤X＜100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X＜20</w:t>
            </w:r>
          </w:p>
        </w:tc>
      </w:tr>
      <w:tr>
        <w:tblPrEx>
          <w:tblCellMar>
            <w:top w:w="0" w:type="dxa"/>
            <w:left w:w="108" w:type="dxa"/>
            <w:bottom w:w="0" w:type="dxa"/>
            <w:right w:w="108" w:type="dxa"/>
          </w:tblCellMar>
        </w:tblPrEx>
        <w:trPr>
          <w:trHeight w:val="415"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eastAsia="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1000≤Y＜30000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100≤Y＜1000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color w:val="auto"/>
                <w:highlight w:val="none"/>
              </w:rPr>
            </w:pPr>
            <w:r>
              <w:rPr>
                <w:rFonts w:hint="eastAsia" w:ascii="宋体" w:hAnsi="宋体" w:eastAsia="宋体" w:cs="宋体"/>
                <w:b/>
                <w:bCs/>
                <w:color w:val="auto"/>
                <w:kern w:val="0"/>
                <w:sz w:val="18"/>
                <w:szCs w:val="18"/>
                <w:highlight w:val="none"/>
              </w:rPr>
              <w:t>邮政业</w:t>
            </w: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300≤X＜1000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20≤X＜300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X＜20</w:t>
            </w:r>
          </w:p>
        </w:tc>
      </w:tr>
      <w:tr>
        <w:tblPrEx>
          <w:tblCellMar>
            <w:top w:w="0" w:type="dxa"/>
            <w:left w:w="108" w:type="dxa"/>
            <w:bottom w:w="0" w:type="dxa"/>
            <w:right w:w="108" w:type="dxa"/>
          </w:tblCellMar>
        </w:tblPrEx>
        <w:trPr>
          <w:trHeight w:val="415"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eastAsia="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2000≤Y＜30000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100≤Y＜2000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color w:val="auto"/>
                <w:highlight w:val="none"/>
              </w:rPr>
            </w:pPr>
            <w:r>
              <w:rPr>
                <w:rFonts w:hint="eastAsia" w:ascii="宋体" w:hAnsi="宋体" w:eastAsia="宋体" w:cs="宋体"/>
                <w:b/>
                <w:bCs/>
                <w:color w:val="auto"/>
                <w:kern w:val="0"/>
                <w:sz w:val="18"/>
                <w:szCs w:val="18"/>
                <w:highlight w:val="none"/>
              </w:rPr>
              <w:t>住宿业</w:t>
            </w: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100≤X＜300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10≤X＜100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X＜10</w:t>
            </w:r>
          </w:p>
        </w:tc>
      </w:tr>
      <w:tr>
        <w:tblPrEx>
          <w:tblCellMar>
            <w:top w:w="0" w:type="dxa"/>
            <w:left w:w="108" w:type="dxa"/>
            <w:bottom w:w="0" w:type="dxa"/>
            <w:right w:w="108" w:type="dxa"/>
          </w:tblCellMar>
        </w:tblPrEx>
        <w:trPr>
          <w:trHeight w:val="415"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eastAsia="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2000≤Y＜10000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100≤Y＜2000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color w:val="auto"/>
                <w:highlight w:val="none"/>
              </w:rPr>
            </w:pPr>
            <w:r>
              <w:rPr>
                <w:rFonts w:hint="eastAsia" w:ascii="宋体" w:hAnsi="宋体" w:eastAsia="宋体" w:cs="宋体"/>
                <w:b/>
                <w:bCs/>
                <w:color w:val="auto"/>
                <w:kern w:val="0"/>
                <w:sz w:val="18"/>
                <w:szCs w:val="18"/>
                <w:highlight w:val="none"/>
              </w:rPr>
              <w:t>餐饮业</w:t>
            </w: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100≤X＜300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10≤X＜100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X＜10</w:t>
            </w:r>
          </w:p>
        </w:tc>
      </w:tr>
      <w:tr>
        <w:tblPrEx>
          <w:tblCellMar>
            <w:top w:w="0" w:type="dxa"/>
            <w:left w:w="108" w:type="dxa"/>
            <w:bottom w:w="0" w:type="dxa"/>
            <w:right w:w="108" w:type="dxa"/>
          </w:tblCellMar>
        </w:tblPrEx>
        <w:trPr>
          <w:trHeight w:val="415"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eastAsia="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2000≤Y＜10000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100≤Y＜2000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color w:val="auto"/>
                <w:highlight w:val="none"/>
              </w:rPr>
            </w:pPr>
            <w:r>
              <w:rPr>
                <w:rFonts w:hint="eastAsia" w:ascii="宋体" w:hAnsi="宋体" w:eastAsia="宋体" w:cs="宋体"/>
                <w:b/>
                <w:bCs/>
                <w:color w:val="auto"/>
                <w:kern w:val="0"/>
                <w:sz w:val="18"/>
                <w:szCs w:val="18"/>
                <w:highlight w:val="none"/>
              </w:rPr>
              <w:t>信息传输业</w:t>
            </w: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100≤X＜2000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10≤X＜100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X＜10</w:t>
            </w:r>
          </w:p>
        </w:tc>
      </w:tr>
      <w:tr>
        <w:tblPrEx>
          <w:tblCellMar>
            <w:top w:w="0" w:type="dxa"/>
            <w:left w:w="108" w:type="dxa"/>
            <w:bottom w:w="0" w:type="dxa"/>
            <w:right w:w="108" w:type="dxa"/>
          </w:tblCellMar>
        </w:tblPrEx>
        <w:trPr>
          <w:trHeight w:val="449"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eastAsia="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1000≤Y＜100000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100≤Y＜1000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color w:val="auto"/>
                <w:highlight w:val="none"/>
              </w:rPr>
            </w:pPr>
            <w:r>
              <w:rPr>
                <w:rFonts w:hint="eastAsia" w:ascii="宋体" w:hAnsi="宋体" w:eastAsia="宋体" w:cs="宋体"/>
                <w:b/>
                <w:bCs/>
                <w:color w:val="auto"/>
                <w:kern w:val="0"/>
                <w:sz w:val="18"/>
                <w:szCs w:val="18"/>
                <w:highlight w:val="none"/>
              </w:rPr>
              <w:t>软件和信息技术服务业</w:t>
            </w: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100≤X＜300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10≤X＜100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X＜10</w:t>
            </w:r>
          </w:p>
        </w:tc>
      </w:tr>
      <w:tr>
        <w:tblPrEx>
          <w:tblCellMar>
            <w:top w:w="0" w:type="dxa"/>
            <w:left w:w="108" w:type="dxa"/>
            <w:bottom w:w="0" w:type="dxa"/>
            <w:right w:w="108" w:type="dxa"/>
          </w:tblCellMar>
        </w:tblPrEx>
        <w:trPr>
          <w:trHeight w:val="415"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eastAsia="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1000≤Y＜10000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50≤Y＜1000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Y＜50</w:t>
            </w:r>
          </w:p>
        </w:tc>
      </w:tr>
      <w:tr>
        <w:tblPrEx>
          <w:tblCellMar>
            <w:top w:w="0" w:type="dxa"/>
            <w:left w:w="108" w:type="dxa"/>
            <w:bottom w:w="0" w:type="dxa"/>
            <w:right w:w="108" w:type="dxa"/>
          </w:tblCellMar>
        </w:tblPrEx>
        <w:trPr>
          <w:trHeight w:val="449"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color w:val="auto"/>
                <w:highlight w:val="none"/>
              </w:rPr>
            </w:pPr>
            <w:r>
              <w:rPr>
                <w:rFonts w:hint="eastAsia" w:ascii="宋体" w:hAnsi="宋体" w:eastAsia="宋体" w:cs="宋体"/>
                <w:b/>
                <w:bCs/>
                <w:color w:val="auto"/>
                <w:kern w:val="0"/>
                <w:sz w:val="18"/>
                <w:szCs w:val="18"/>
                <w:highlight w:val="none"/>
              </w:rPr>
              <w:t>房地产开发经营</w:t>
            </w: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1000≤Y＜200000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100≤X＜1000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X＜100</w:t>
            </w:r>
          </w:p>
        </w:tc>
      </w:tr>
      <w:tr>
        <w:tblPrEx>
          <w:tblCellMar>
            <w:top w:w="0" w:type="dxa"/>
            <w:left w:w="108" w:type="dxa"/>
            <w:bottom w:w="0" w:type="dxa"/>
            <w:right w:w="108" w:type="dxa"/>
          </w:tblCellMar>
        </w:tblPrEx>
        <w:trPr>
          <w:trHeight w:val="449"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eastAsia="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资产总额（Z）</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5000≤Z＜10000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2000≤Y＜5000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Y＜2000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color w:val="auto"/>
                <w:highlight w:val="none"/>
              </w:rPr>
            </w:pPr>
            <w:r>
              <w:rPr>
                <w:rFonts w:hint="eastAsia" w:ascii="宋体" w:hAnsi="宋体" w:eastAsia="宋体" w:cs="宋体"/>
                <w:b/>
                <w:bCs/>
                <w:color w:val="auto"/>
                <w:kern w:val="0"/>
                <w:sz w:val="18"/>
                <w:szCs w:val="18"/>
                <w:highlight w:val="none"/>
              </w:rPr>
              <w:t>物业管理</w:t>
            </w: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300≤X＜1000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100≤X＜300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X＜100</w:t>
            </w:r>
          </w:p>
        </w:tc>
      </w:tr>
      <w:tr>
        <w:tblPrEx>
          <w:tblCellMar>
            <w:top w:w="0" w:type="dxa"/>
            <w:left w:w="108" w:type="dxa"/>
            <w:bottom w:w="0" w:type="dxa"/>
            <w:right w:w="108" w:type="dxa"/>
          </w:tblCellMar>
        </w:tblPrEx>
        <w:trPr>
          <w:trHeight w:val="415"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eastAsia="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1000≤Y＜5000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500≤Y＜1000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Y＜500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color w:val="auto"/>
                <w:highlight w:val="none"/>
              </w:rPr>
            </w:pPr>
            <w:r>
              <w:rPr>
                <w:rFonts w:hint="eastAsia" w:ascii="宋体" w:hAnsi="宋体" w:eastAsia="宋体" w:cs="宋体"/>
                <w:b/>
                <w:bCs/>
                <w:color w:val="auto"/>
                <w:kern w:val="0"/>
                <w:sz w:val="18"/>
                <w:szCs w:val="18"/>
                <w:highlight w:val="none"/>
              </w:rPr>
              <w:t>租赁和商务服务业</w:t>
            </w: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100≤X＜300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10≤X＜100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X＜10</w:t>
            </w:r>
          </w:p>
        </w:tc>
      </w:tr>
      <w:tr>
        <w:tblPrEx>
          <w:tblCellMar>
            <w:top w:w="0" w:type="dxa"/>
            <w:left w:w="108" w:type="dxa"/>
            <w:bottom w:w="0" w:type="dxa"/>
            <w:right w:w="108" w:type="dxa"/>
          </w:tblCellMar>
        </w:tblPrEx>
        <w:trPr>
          <w:trHeight w:val="449"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eastAsia="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资产总额（Z）</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8000≤Z＜120000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100≤Z＜8000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Y＜100</w:t>
            </w:r>
          </w:p>
        </w:tc>
      </w:tr>
      <w:tr>
        <w:tblPrEx>
          <w:tblCellMar>
            <w:top w:w="0" w:type="dxa"/>
            <w:left w:w="108" w:type="dxa"/>
            <w:bottom w:w="0" w:type="dxa"/>
            <w:right w:w="108" w:type="dxa"/>
          </w:tblCellMar>
        </w:tblPrEx>
        <w:trPr>
          <w:trHeight w:val="315" w:hRule="atLeast"/>
          <w:jc w:val="center"/>
        </w:trPr>
        <w:tc>
          <w:tcPr>
            <w:tcW w:w="1935" w:type="dxa"/>
            <w:tcBorders>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color w:val="auto"/>
                <w:highlight w:val="none"/>
              </w:rPr>
            </w:pPr>
            <w:r>
              <w:rPr>
                <w:rFonts w:hint="eastAsia" w:ascii="宋体" w:hAnsi="宋体" w:eastAsia="宋体" w:cs="宋体"/>
                <w:b/>
                <w:bCs/>
                <w:color w:val="auto"/>
                <w:kern w:val="0"/>
                <w:sz w:val="18"/>
                <w:szCs w:val="18"/>
                <w:highlight w:val="none"/>
              </w:rPr>
              <w:t>其他未列明行业</w:t>
            </w:r>
          </w:p>
        </w:tc>
        <w:tc>
          <w:tcPr>
            <w:tcW w:w="1575"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100≤X＜300</w:t>
            </w:r>
          </w:p>
        </w:tc>
        <w:tc>
          <w:tcPr>
            <w:tcW w:w="1636"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10≤X＜100</w:t>
            </w:r>
          </w:p>
        </w:tc>
        <w:tc>
          <w:tcPr>
            <w:tcW w:w="1080" w:type="dxa"/>
            <w:tcBorders>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highlight w:val="none"/>
              </w:rPr>
            </w:pPr>
            <w:r>
              <w:rPr>
                <w:rFonts w:hint="eastAsia" w:ascii="宋体" w:hAnsi="宋体" w:eastAsia="宋体" w:cs="宋体"/>
                <w:color w:val="auto"/>
                <w:kern w:val="0"/>
                <w:sz w:val="18"/>
                <w:szCs w:val="18"/>
                <w:highlight w:val="none"/>
              </w:rPr>
              <w:t>X＜10</w:t>
            </w:r>
          </w:p>
        </w:tc>
      </w:tr>
    </w:tbl>
    <w:p>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w:instrText>
    </w:r>
    <w:r>
      <w:rPr>
        <w:rFonts w:ascii="Times New Roman" w:hAnsi="Times New Roman" w:eastAsia="宋体" w:cs="Times New Roman"/>
      </w:rPr>
      <w:fldChar w:fldCharType="separate"/>
    </w:r>
    <w:r>
      <w:rPr>
        <w:rFonts w:ascii="Times New Roman" w:hAnsi="Times New Roman" w:eastAsia="宋体" w:cs="Times New Roman"/>
      </w:rPr>
      <w:t>31</w:t>
    </w:r>
    <w:r>
      <w:rPr>
        <w:rFonts w:ascii="Times New Roman" w:hAnsi="Times New Roman" w:eastAsia="宋体" w:cs="Times New Roman"/>
      </w:rPr>
      <w:fldChar w:fldCharType="end"/>
    </w:r>
  </w:p>
  <w:p>
    <w:pPr>
      <w:pStyle w:val="3"/>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Times New Roman" w:hAnsi="Times New Roman"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8362D"/>
    <w:multiLevelType w:val="multilevel"/>
    <w:tmpl w:val="8D18362D"/>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hanging="420"/>
      </w:pPr>
      <w:rPr>
        <w:rFonts w:hint="default"/>
      </w:rPr>
    </w:lvl>
    <w:lvl w:ilvl="2" w:tentative="0">
      <w:start w:val="1"/>
      <w:numFmt w:val="decimalEnclosedCircleChinese"/>
      <w:lvlText w:val="%3"/>
      <w:lvlJc w:val="left"/>
      <w:pPr>
        <w:tabs>
          <w:tab w:val="left" w:pos="1260"/>
        </w:tabs>
        <w:ind w:left="1660" w:hanging="420"/>
      </w:pPr>
      <w:rPr>
        <w:rFonts w:hint="default"/>
      </w:rPr>
    </w:lvl>
    <w:lvl w:ilvl="3" w:tentative="0">
      <w:start w:val="1"/>
      <w:numFmt w:val="decimal"/>
      <w:lvlText w:val="%4)"/>
      <w:lvlJc w:val="left"/>
      <w:pPr>
        <w:tabs>
          <w:tab w:val="left" w:pos="1680"/>
        </w:tabs>
        <w:ind w:left="2080" w:hanging="420"/>
      </w:pPr>
      <w:rPr>
        <w:rFonts w:hint="default"/>
      </w:rPr>
    </w:lvl>
    <w:lvl w:ilvl="4" w:tentative="0">
      <w:start w:val="1"/>
      <w:numFmt w:val="lowerLetter"/>
      <w:lvlText w:val="%5."/>
      <w:lvlJc w:val="left"/>
      <w:pPr>
        <w:tabs>
          <w:tab w:val="left" w:pos="2100"/>
        </w:tabs>
        <w:ind w:left="2500" w:hanging="420"/>
      </w:pPr>
      <w:rPr>
        <w:rFonts w:hint="default"/>
      </w:rPr>
    </w:lvl>
    <w:lvl w:ilvl="5" w:tentative="0">
      <w:start w:val="1"/>
      <w:numFmt w:val="lowerLetter"/>
      <w:lvlText w:val="%6)"/>
      <w:lvlJc w:val="left"/>
      <w:pPr>
        <w:tabs>
          <w:tab w:val="left" w:pos="2520"/>
        </w:tabs>
        <w:ind w:left="2920" w:hanging="420"/>
      </w:pPr>
      <w:rPr>
        <w:rFonts w:hint="default"/>
      </w:rPr>
    </w:lvl>
    <w:lvl w:ilvl="6" w:tentative="0">
      <w:start w:val="1"/>
      <w:numFmt w:val="lowerRoman"/>
      <w:lvlText w:val="%7."/>
      <w:lvlJc w:val="left"/>
      <w:pPr>
        <w:tabs>
          <w:tab w:val="left" w:pos="2940"/>
        </w:tabs>
        <w:ind w:left="3340" w:hanging="420"/>
      </w:pPr>
      <w:rPr>
        <w:rFonts w:hint="default"/>
      </w:rPr>
    </w:lvl>
    <w:lvl w:ilvl="7" w:tentative="0">
      <w:start w:val="1"/>
      <w:numFmt w:val="lowerRoman"/>
      <w:lvlText w:val="%8)"/>
      <w:lvlJc w:val="left"/>
      <w:pPr>
        <w:tabs>
          <w:tab w:val="left" w:pos="3360"/>
        </w:tabs>
        <w:ind w:left="3760" w:hanging="420"/>
      </w:pPr>
      <w:rPr>
        <w:rFonts w:hint="default"/>
      </w:rPr>
    </w:lvl>
    <w:lvl w:ilvl="8" w:tentative="0">
      <w:start w:val="1"/>
      <w:numFmt w:val="lowerLetter"/>
      <w:lvlText w:val="%9."/>
      <w:lvlJc w:val="left"/>
      <w:pPr>
        <w:tabs>
          <w:tab w:val="left" w:pos="3780"/>
        </w:tabs>
        <w:ind w:left="4180" w:hanging="420"/>
      </w:pPr>
      <w:rPr>
        <w:rFonts w:hint="default"/>
      </w:rPr>
    </w:lvl>
  </w:abstractNum>
  <w:abstractNum w:abstractNumId="1">
    <w:nsid w:val="ABE8089B"/>
    <w:multiLevelType w:val="singleLevel"/>
    <w:tmpl w:val="ABE8089B"/>
    <w:lvl w:ilvl="0" w:tentative="0">
      <w:start w:val="7"/>
      <w:numFmt w:val="chineseCounting"/>
      <w:suff w:val="nothing"/>
      <w:lvlText w:val="%1、"/>
      <w:lvlJc w:val="left"/>
      <w:rPr>
        <w:rFonts w:hint="eastAsia"/>
      </w:rPr>
    </w:lvl>
  </w:abstractNum>
  <w:abstractNum w:abstractNumId="2">
    <w:nsid w:val="BD07B9D4"/>
    <w:multiLevelType w:val="multilevel"/>
    <w:tmpl w:val="BD07B9D4"/>
    <w:lvl w:ilvl="0" w:tentative="0">
      <w:start w:val="1"/>
      <w:numFmt w:val="decimal"/>
      <w:suff w:val="nothing"/>
      <w:lvlText w:val="%1．"/>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EE09287E"/>
    <w:multiLevelType w:val="multilevel"/>
    <w:tmpl w:val="EE09287E"/>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5">
    <w:nsid w:val="0000000A"/>
    <w:multiLevelType w:val="multilevel"/>
    <w:tmpl w:val="0000000A"/>
    <w:lvl w:ilvl="0" w:tentative="0">
      <w:start w:val="1"/>
      <w:numFmt w:val="decimal"/>
      <w:lvlText w:val="%1."/>
      <w:lvlJc w:val="left"/>
      <w:pPr>
        <w:tabs>
          <w:tab w:val="left" w:pos="420"/>
        </w:tabs>
        <w:ind w:left="420" w:hanging="420"/>
      </w:pPr>
      <w:rPr>
        <w:rFonts w:hint="default"/>
        <w:u w:val="none" w:color="auto"/>
      </w:rPr>
    </w:lvl>
    <w:lvl w:ilvl="1" w:tentative="0">
      <w:start w:val="1"/>
      <w:numFmt w:val="lowerLetter"/>
      <w:lvlText w:val="%2)"/>
      <w:lvlJc w:val="left"/>
      <w:pPr>
        <w:tabs>
          <w:tab w:val="left" w:pos="840"/>
        </w:tabs>
        <w:ind w:left="840" w:hanging="420"/>
      </w:pPr>
      <w:rPr>
        <w:rFonts w:hint="default"/>
        <w:u w:val="none" w:color="auto"/>
      </w:rPr>
    </w:lvl>
    <w:lvl w:ilvl="2" w:tentative="0">
      <w:start w:val="1"/>
      <w:numFmt w:val="lowerRoman"/>
      <w:lvlText w:val="%3."/>
      <w:lvlJc w:val="right"/>
      <w:pPr>
        <w:tabs>
          <w:tab w:val="left" w:pos="1260"/>
        </w:tabs>
        <w:ind w:left="1260" w:hanging="420"/>
      </w:pPr>
      <w:rPr>
        <w:rFonts w:hint="default"/>
        <w:u w:val="none" w:color="auto"/>
      </w:rPr>
    </w:lvl>
    <w:lvl w:ilvl="3" w:tentative="0">
      <w:start w:val="1"/>
      <w:numFmt w:val="decimal"/>
      <w:lvlText w:val="%4."/>
      <w:lvlJc w:val="left"/>
      <w:pPr>
        <w:tabs>
          <w:tab w:val="left" w:pos="1680"/>
        </w:tabs>
        <w:ind w:left="1680" w:hanging="420"/>
      </w:pPr>
      <w:rPr>
        <w:rFonts w:hint="default"/>
        <w:u w:val="none" w:color="auto"/>
      </w:rPr>
    </w:lvl>
    <w:lvl w:ilvl="4" w:tentative="0">
      <w:start w:val="1"/>
      <w:numFmt w:val="lowerLetter"/>
      <w:lvlText w:val="%5)"/>
      <w:lvlJc w:val="left"/>
      <w:pPr>
        <w:tabs>
          <w:tab w:val="left" w:pos="2100"/>
        </w:tabs>
        <w:ind w:left="2100" w:hanging="420"/>
      </w:pPr>
      <w:rPr>
        <w:rFonts w:hint="default"/>
        <w:u w:val="none" w:color="auto"/>
      </w:rPr>
    </w:lvl>
    <w:lvl w:ilvl="5" w:tentative="0">
      <w:start w:val="1"/>
      <w:numFmt w:val="lowerRoman"/>
      <w:lvlText w:val="%6."/>
      <w:lvlJc w:val="right"/>
      <w:pPr>
        <w:tabs>
          <w:tab w:val="left" w:pos="2520"/>
        </w:tabs>
        <w:ind w:left="2520" w:hanging="420"/>
      </w:pPr>
      <w:rPr>
        <w:rFonts w:hint="default"/>
        <w:u w:val="none" w:color="auto"/>
      </w:rPr>
    </w:lvl>
    <w:lvl w:ilvl="6" w:tentative="0">
      <w:start w:val="1"/>
      <w:numFmt w:val="decimal"/>
      <w:lvlText w:val="%7."/>
      <w:lvlJc w:val="left"/>
      <w:pPr>
        <w:tabs>
          <w:tab w:val="left" w:pos="2940"/>
        </w:tabs>
        <w:ind w:left="2940" w:hanging="420"/>
      </w:pPr>
      <w:rPr>
        <w:rFonts w:hint="default"/>
        <w:u w:val="none" w:color="auto"/>
      </w:rPr>
    </w:lvl>
    <w:lvl w:ilvl="7" w:tentative="0">
      <w:start w:val="1"/>
      <w:numFmt w:val="lowerLetter"/>
      <w:lvlText w:val="%8)"/>
      <w:lvlJc w:val="left"/>
      <w:pPr>
        <w:tabs>
          <w:tab w:val="left" w:pos="3360"/>
        </w:tabs>
        <w:ind w:left="3360" w:hanging="420"/>
      </w:pPr>
      <w:rPr>
        <w:rFonts w:hint="default"/>
        <w:u w:val="none" w:color="auto"/>
      </w:rPr>
    </w:lvl>
    <w:lvl w:ilvl="8" w:tentative="0">
      <w:start w:val="1"/>
      <w:numFmt w:val="lowerRoman"/>
      <w:lvlText w:val="%9."/>
      <w:lvlJc w:val="right"/>
      <w:pPr>
        <w:tabs>
          <w:tab w:val="left" w:pos="3780"/>
        </w:tabs>
        <w:ind w:left="3780" w:hanging="420"/>
      </w:pPr>
      <w:rPr>
        <w:rFonts w:hint="default"/>
        <w:u w:val="none" w:color="auto"/>
      </w:rPr>
    </w:lvl>
  </w:abstractNum>
  <w:abstractNum w:abstractNumId="6">
    <w:nsid w:val="10B3292C"/>
    <w:multiLevelType w:val="multilevel"/>
    <w:tmpl w:val="10B3292C"/>
    <w:lvl w:ilvl="0" w:tentative="0">
      <w:start w:val="1"/>
      <w:numFmt w:val="decimal"/>
      <w:suff w:val="nothing"/>
      <w:lvlText w:val="%1．"/>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26FD124B"/>
    <w:multiLevelType w:val="multilevel"/>
    <w:tmpl w:val="26FD124B"/>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3A83B711"/>
    <w:multiLevelType w:val="multilevel"/>
    <w:tmpl w:val="3A83B711"/>
    <w:lvl w:ilvl="0" w:tentative="0">
      <w:start w:val="22"/>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3D425AFE"/>
    <w:multiLevelType w:val="singleLevel"/>
    <w:tmpl w:val="3D425AFE"/>
    <w:lvl w:ilvl="0" w:tentative="0">
      <w:start w:val="1"/>
      <w:numFmt w:val="decimal"/>
      <w:lvlText w:val="(%1)"/>
      <w:lvlJc w:val="left"/>
      <w:pPr>
        <w:ind w:left="425" w:hanging="425"/>
      </w:pPr>
      <w:rPr>
        <w:rFonts w:hint="default"/>
      </w:rPr>
    </w:lvl>
  </w:abstractNum>
  <w:abstractNum w:abstractNumId="10">
    <w:nsid w:val="5C9E4361"/>
    <w:multiLevelType w:val="multilevel"/>
    <w:tmpl w:val="5C9E4361"/>
    <w:lvl w:ilvl="0" w:tentative="0">
      <w:start w:val="1"/>
      <w:numFmt w:val="decimal"/>
      <w:suff w:val="nothing"/>
      <w:lvlText w:val="%1．"/>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4"/>
  </w:num>
  <w:num w:numId="2">
    <w:abstractNumId w:val="0"/>
  </w:num>
  <w:num w:numId="3">
    <w:abstractNumId w:val="3"/>
  </w:num>
  <w:num w:numId="4">
    <w:abstractNumId w:val="2"/>
  </w:num>
  <w:num w:numId="5">
    <w:abstractNumId w:val="10"/>
  </w:num>
  <w:num w:numId="6">
    <w:abstractNumId w:val="9"/>
  </w:num>
  <w:num w:numId="7">
    <w:abstractNumId w:val="7"/>
  </w:num>
  <w:num w:numId="8">
    <w:abstractNumId w:val="5"/>
  </w:num>
  <w:num w:numId="9">
    <w:abstractNumId w:val="8"/>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ODFmOGU0Y2RhNTc1YzUzN2NjMTM5MGQ1YTJkOWMifQ=="/>
  </w:docVars>
  <w:rsids>
    <w:rsidRoot w:val="419F42A9"/>
    <w:rsid w:val="1D2C6FB1"/>
    <w:rsid w:val="419F42A9"/>
    <w:rsid w:val="5C2C0026"/>
    <w:rsid w:val="75545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2"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7"/>
    <w:pPr>
      <w:widowControl w:val="0"/>
      <w:suppressAutoHyphens/>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2"/>
    <w:pPr>
      <w:keepNext/>
      <w:keepLines/>
      <w:widowControl w:val="0"/>
      <w:numPr>
        <w:ilvl w:val="0"/>
        <w:numId w:val="1"/>
      </w:numPr>
      <w:suppressAutoHyphens/>
      <w:spacing w:before="340" w:after="330" w:line="576" w:lineRule="auto"/>
      <w:jc w:val="both"/>
      <w:outlineLvl w:val="0"/>
    </w:pPr>
    <w:rPr>
      <w:rFonts w:ascii="Times New Roman" w:hAnsi="Times New Roman" w:eastAsia="宋体" w:cs="Times New Roman"/>
      <w:b/>
      <w:bCs/>
      <w:kern w:val="2"/>
      <w:sz w:val="44"/>
      <w:szCs w:val="44"/>
      <w:lang w:val="en-US" w:eastAsia="zh-CN" w:bidi="ar-SA"/>
    </w:rPr>
  </w:style>
  <w:style w:type="character" w:default="1" w:styleId="6">
    <w:name w:val="Default Paragraph Font"/>
    <w:autoRedefine/>
    <w:semiHidden/>
    <w:qFormat/>
    <w:uiPriority w:val="0"/>
  </w:style>
  <w:style w:type="table" w:default="1" w:styleId="5">
    <w:name w:val="Normal Table"/>
    <w:autoRedefine/>
    <w:semiHidden/>
    <w:uiPriority w:val="0"/>
    <w:tblPr>
      <w:tblCellMar>
        <w:top w:w="0" w:type="dxa"/>
        <w:left w:w="108" w:type="dxa"/>
        <w:bottom w:w="0" w:type="dxa"/>
        <w:right w:w="108" w:type="dxa"/>
      </w:tblCellMar>
    </w:tblPr>
  </w:style>
  <w:style w:type="paragraph" w:styleId="3">
    <w:name w:val="footer"/>
    <w:next w:val="1"/>
    <w:uiPriority w:val="0"/>
    <w:pPr>
      <w:widowControl w:val="0"/>
      <w:tabs>
        <w:tab w:val="center" w:pos="4153"/>
        <w:tab w:val="right" w:pos="8306"/>
      </w:tabs>
      <w:suppressAutoHyphens/>
      <w:snapToGrid w:val="0"/>
      <w:jc w:val="left"/>
    </w:pPr>
    <w:rPr>
      <w:rFonts w:ascii="Times New Roman" w:hAnsi="Times New Roman" w:eastAsia="宋体" w:cs="Times New Roman"/>
      <w:kern w:val="0"/>
      <w:sz w:val="18"/>
      <w:szCs w:val="18"/>
      <w:lang w:val="en-US" w:eastAsia="zh-CN" w:bidi="ar-SA"/>
    </w:rPr>
  </w:style>
  <w:style w:type="paragraph" w:styleId="4">
    <w:name w:val="Normal (Web)"/>
    <w:unhideWhenUsed/>
    <w:qFormat/>
    <w:uiPriority w:val="0"/>
    <w:pPr>
      <w:spacing w:before="100" w:beforeLines="0" w:beforeAutospacing="1" w:after="100" w:afterLines="0" w:afterAutospacing="1"/>
      <w:jc w:val="left"/>
    </w:pPr>
    <w:rPr>
      <w:rFonts w:hint="default" w:ascii="宋体" w:hAnsi="宋体" w:eastAsia="宋体" w:cs="宋体"/>
      <w:kern w:val="0"/>
      <w:sz w:val="24"/>
      <w:szCs w:val="24"/>
    </w:rPr>
  </w:style>
  <w:style w:type="paragraph" w:customStyle="1" w:styleId="7">
    <w:name w:val="招标小标题"/>
    <w:autoRedefine/>
    <w:unhideWhenUsed/>
    <w:qFormat/>
    <w:uiPriority w:val="0"/>
    <w:pPr>
      <w:spacing w:beforeLines="0" w:afterLines="0" w:line="360" w:lineRule="auto"/>
      <w:jc w:val="both"/>
    </w:pPr>
    <w:rPr>
      <w:rFonts w:hint="default" w:ascii="Arial" w:hAnsi="Arial" w:eastAsia="黑体" w:cs="Times New Roman"/>
      <w:kern w:val="2"/>
      <w:sz w:val="30"/>
      <w:szCs w:val="24"/>
    </w:rPr>
  </w:style>
  <w:style w:type="paragraph" w:customStyle="1" w:styleId="8">
    <w:name w:val="招标正文"/>
    <w:autoRedefine/>
    <w:unhideWhenUsed/>
    <w:qFormat/>
    <w:uiPriority w:val="0"/>
    <w:pPr>
      <w:spacing w:beforeLines="0" w:afterLines="0" w:line="360" w:lineRule="auto"/>
      <w:ind w:firstLine="643" w:firstLineChars="200"/>
      <w:jc w:val="both"/>
    </w:pPr>
    <w:rPr>
      <w:rFonts w:hint="default" w:ascii="Arial" w:hAnsi="Arial" w:eastAsia="宋体" w:cs="Times New Roman"/>
      <w:kern w:val="2"/>
      <w:sz w:val="24"/>
      <w:szCs w:val="24"/>
    </w:rPr>
  </w:style>
  <w:style w:type="paragraph" w:customStyle="1" w:styleId="9">
    <w:name w:val="表格正文文字"/>
    <w:autoRedefine/>
    <w:unhideWhenUsed/>
    <w:qFormat/>
    <w:uiPriority w:val="0"/>
    <w:pPr>
      <w:autoSpaceDE w:val="0"/>
      <w:autoSpaceDN w:val="0"/>
      <w:adjustRightInd w:val="0"/>
      <w:snapToGrid w:val="0"/>
      <w:spacing w:beforeLines="0" w:afterLines="0"/>
      <w:ind w:left="105" w:leftChars="50"/>
      <w:jc w:val="left"/>
    </w:pPr>
    <w:rPr>
      <w:rFonts w:hint="eastAsia" w:ascii="微软雅黑" w:hAnsi="微软雅黑" w:eastAsia="微软雅黑" w:cs="Arial"/>
      <w:kern w:val="2"/>
      <w:sz w:val="21"/>
      <w:szCs w:val="21"/>
    </w:rPr>
  </w:style>
  <w:style w:type="paragraph" w:customStyle="1" w:styleId="10">
    <w:name w:val="纯文本1"/>
    <w:next w:val="1"/>
    <w:autoRedefine/>
    <w:qFormat/>
    <w:uiPriority w:val="1650"/>
    <w:pPr>
      <w:widowControl w:val="0"/>
      <w:suppressAutoHyphens/>
      <w:jc w:val="both"/>
    </w:pPr>
    <w:rPr>
      <w:rFonts w:ascii="宋体" w:hAnsi="宋体" w:eastAsia="宋体" w:cs="Courier New"/>
      <w:kern w:val="0"/>
      <w:sz w:val="20"/>
      <w:szCs w:val="21"/>
      <w:lang w:val="en-US" w:eastAsia="zh-CN" w:bidi="ar-SA"/>
    </w:rPr>
  </w:style>
  <w:style w:type="character" w:customStyle="1" w:styleId="11">
    <w:name w:val="15"/>
    <w:uiPriority w:val="0"/>
    <w:rPr>
      <w:rFonts w:hint="eastAsia"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2025-12-08T09:15:00Z</dcterms:created>
  <dc:creator>A+</dc:creator>
  <cp:lastModifiedBy>A+</cp:lastModifiedBy>
  <dcterms:modified xsi:type="dcterms:W3CDTF">2025-12-08T09:19:21Z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68172DA5928846A19F8CC32377862DAD_11</vt:lpwstr>
  </property>
</Properties>
</file>