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r>
        <w:rPr>
          <w:rFonts w:hint="eastAsia" w:hAnsi="宋体"/>
          <w:color w:val="auto"/>
          <w:sz w:val="44"/>
          <w:szCs w:val="44"/>
          <w:highlight w:val="none"/>
          <w:lang w:eastAsia="zh-CN"/>
        </w:rPr>
        <w:t>关于</w:t>
      </w:r>
      <w:r>
        <w:rPr>
          <w:rFonts w:hint="default" w:hAnsi="宋体"/>
          <w:color w:val="auto"/>
          <w:sz w:val="44"/>
          <w:szCs w:val="44"/>
          <w:highlight w:val="none"/>
          <w:lang w:val="en" w:eastAsia="zh-CN"/>
        </w:rPr>
        <w:t>武鸣校区二期学生公寓13、15号楼家具采购</w:t>
      </w:r>
      <w:r>
        <w:rPr>
          <w:rFonts w:hint="eastAsia" w:hAnsi="宋体"/>
          <w:color w:val="auto"/>
          <w:sz w:val="44"/>
          <w:szCs w:val="44"/>
          <w:highlight w:val="none"/>
        </w:rPr>
        <w:t>（</w:t>
      </w:r>
      <w:r>
        <w:rPr>
          <w:rFonts w:hint="default" w:hAnsi="宋体"/>
          <w:color w:val="auto"/>
          <w:sz w:val="44"/>
          <w:szCs w:val="44"/>
          <w:highlight w:val="none"/>
          <w:lang w:val="en"/>
        </w:rPr>
        <w:t>GXZC2025-G1-003125-CGZX</w:t>
      </w:r>
      <w:r>
        <w:rPr>
          <w:rFonts w:hint="eastAsia" w:hAnsi="宋体"/>
          <w:color w:val="auto"/>
          <w:sz w:val="44"/>
          <w:szCs w:val="44"/>
          <w:highlight w:val="none"/>
        </w:rPr>
        <w:t>）公开招标文件</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w:t>
      </w:r>
      <w:r>
        <w:rPr>
          <w:rFonts w:hint="eastAsia" w:hAnsi="宋体"/>
          <w:color w:val="auto"/>
          <w:sz w:val="32"/>
          <w:szCs w:val="32"/>
          <w:highlight w:val="none"/>
          <w:lang w:val="en"/>
        </w:rPr>
        <w:t>广西民族大学</w:t>
      </w:r>
      <w:r>
        <w:rPr>
          <w:rFonts w:hint="eastAsia" w:hAnsi="宋体"/>
          <w:color w:val="auto"/>
          <w:sz w:val="32"/>
          <w:szCs w:val="32"/>
          <w:highlight w:val="none"/>
        </w:rPr>
        <w:t>委托，拟对</w:t>
      </w:r>
      <w:r>
        <w:rPr>
          <w:rFonts w:hint="default" w:hAnsi="宋体"/>
          <w:color w:val="auto"/>
          <w:sz w:val="32"/>
          <w:szCs w:val="32"/>
          <w:highlight w:val="none"/>
          <w:u w:val="single"/>
          <w:lang w:val="en" w:eastAsia="zh-CN"/>
        </w:rPr>
        <w:t>武鸣校区二期学生公寓13、15号楼家具采购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GXZC2025-G1-003125-CGZX</w:t>
      </w:r>
      <w:r>
        <w:rPr>
          <w:rFonts w:hint="eastAsia" w:hAnsi="宋体"/>
          <w:color w:val="auto"/>
          <w:sz w:val="32"/>
          <w:szCs w:val="32"/>
          <w:highlight w:val="none"/>
          <w:u w:val="single"/>
        </w:rPr>
        <w:t>）</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w:t>
      </w:r>
      <w:r>
        <w:rPr>
          <w:rFonts w:hint="eastAsia" w:hAnsi="宋体"/>
          <w:b/>
          <w:bCs/>
          <w:color w:val="auto"/>
          <w:sz w:val="32"/>
          <w:szCs w:val="32"/>
          <w:highlight w:val="none"/>
          <w:lang w:val="en-US" w:eastAsia="zh-CN"/>
        </w:rPr>
        <w:t>11</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20</w:t>
      </w:r>
      <w:r>
        <w:rPr>
          <w:rFonts w:hint="eastAsia" w:hAnsi="宋体"/>
          <w:b/>
          <w:bCs/>
          <w:color w:val="auto"/>
          <w:sz w:val="32"/>
          <w:szCs w:val="32"/>
          <w:highlight w:val="none"/>
          <w:u w:val="single"/>
        </w:rPr>
        <w:t>日</w:t>
      </w:r>
      <w:r>
        <w:rPr>
          <w:rFonts w:hint="eastAsia" w:hAnsi="宋体"/>
          <w:b/>
          <w:bCs/>
          <w:color w:val="auto"/>
          <w:sz w:val="32"/>
          <w:szCs w:val="32"/>
          <w:highlight w:val="none"/>
          <w:u w:val="single"/>
          <w:lang w:val="en-US" w:eastAsia="zh-CN"/>
        </w:rPr>
        <w:t>15</w:t>
      </w:r>
      <w:r>
        <w:rPr>
          <w:rFonts w:hint="eastAsia" w:hAnsi="宋体"/>
          <w:b/>
          <w:bCs/>
          <w:color w:val="auto"/>
          <w:sz w:val="32"/>
          <w:szCs w:val="32"/>
          <w:highlight w:val="none"/>
          <w:u w:val="single"/>
        </w:rPr>
        <w:t>时</w:t>
      </w:r>
      <w:r>
        <w:rPr>
          <w:rFonts w:hint="eastAsia" w:hAnsi="宋体"/>
          <w:b/>
          <w:bCs/>
          <w:color w:val="auto"/>
          <w:sz w:val="32"/>
          <w:szCs w:val="32"/>
          <w:highlight w:val="none"/>
          <w:u w:val="single"/>
          <w:lang w:val="en-US" w:eastAsia="zh-CN"/>
        </w:rPr>
        <w:t>00分</w:t>
      </w:r>
      <w:r>
        <w:rPr>
          <w:rFonts w:hint="eastAsia" w:hAnsi="宋体"/>
          <w:b/>
          <w:bCs/>
          <w:color w:val="auto"/>
          <w:sz w:val="32"/>
          <w:szCs w:val="32"/>
          <w:highlight w:val="none"/>
        </w:rPr>
        <w:t>前</w:t>
      </w:r>
      <w:r>
        <w:rPr>
          <w:rFonts w:hint="eastAsia" w:hAnsi="宋体"/>
          <w:color w:val="auto"/>
          <w:sz w:val="32"/>
          <w:szCs w:val="32"/>
          <w:highlight w:val="none"/>
        </w:rPr>
        <w:t>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w:t>
      </w:r>
      <w:r>
        <w:rPr>
          <w:rFonts w:hAnsi="宋体"/>
          <w:color w:val="auto"/>
          <w:sz w:val="32"/>
          <w:szCs w:val="32"/>
          <w:highlight w:val="none"/>
        </w:rPr>
        <w:t>广西南宁市</w:t>
      </w:r>
      <w:r>
        <w:rPr>
          <w:rFonts w:hint="eastAsia" w:hAnsi="宋体"/>
          <w:color w:val="auto"/>
          <w:sz w:val="32"/>
          <w:szCs w:val="32"/>
          <w:highlight w:val="none"/>
          <w:lang w:eastAsia="zh-CN"/>
        </w:rPr>
        <w:t>青秀区星湖路</w:t>
      </w:r>
      <w:r>
        <w:rPr>
          <w:rFonts w:hint="eastAsia" w:hAnsi="宋体"/>
          <w:color w:val="auto"/>
          <w:sz w:val="32"/>
          <w:szCs w:val="32"/>
          <w:highlight w:val="none"/>
          <w:lang w:val="en-US" w:eastAsia="zh-CN"/>
        </w:rPr>
        <w:t>22号</w:t>
      </w:r>
      <w:r>
        <w:rPr>
          <w:rFonts w:hAnsi="宋体"/>
          <w:color w:val="auto"/>
          <w:sz w:val="32"/>
          <w:szCs w:val="32"/>
          <w:highlight w:val="none"/>
        </w:rPr>
        <w:t>广西壮族自治区政府采购中心</w:t>
      </w:r>
      <w:r>
        <w:rPr>
          <w:rFonts w:hint="eastAsia" w:hAnsi="宋体"/>
          <w:color w:val="auto"/>
          <w:sz w:val="32"/>
          <w:szCs w:val="32"/>
          <w:highlight w:val="none"/>
          <w:lang w:eastAsia="zh-CN"/>
        </w:rPr>
        <w:t>综合楼</w:t>
      </w:r>
      <w:r>
        <w:rPr>
          <w:rFonts w:hint="eastAsia" w:hAnsi="宋体"/>
          <w:color w:val="auto"/>
          <w:sz w:val="32"/>
          <w:szCs w:val="32"/>
          <w:highlight w:val="none"/>
          <w:lang w:val="en-US" w:eastAsia="zh-CN"/>
        </w:rPr>
        <w:t>321</w:t>
      </w:r>
      <w:r>
        <w:rPr>
          <w:rFonts w:hint="eastAsia" w:hAnsi="宋体"/>
          <w:color w:val="auto"/>
          <w:sz w:val="32"/>
          <w:szCs w:val="32"/>
          <w:highlight w:val="none"/>
        </w:rPr>
        <w:t xml:space="preserve">室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w:t>
      </w:r>
      <w:r>
        <w:rPr>
          <w:rFonts w:hint="default" w:hAnsi="宋体"/>
          <w:color w:val="auto"/>
          <w:sz w:val="32"/>
          <w:szCs w:val="32"/>
          <w:highlight w:val="none"/>
          <w:lang w:val="en"/>
        </w:rPr>
        <w:t>廖婕</w:t>
      </w:r>
      <w:r>
        <w:rPr>
          <w:rFonts w:hint="eastAsia" w:hAnsi="宋体"/>
          <w:color w:val="auto"/>
          <w:sz w:val="32"/>
          <w:szCs w:val="32"/>
          <w:highlight w:val="none"/>
        </w:rPr>
        <w:t xml:space="preserve">       联系电话</w:t>
      </w:r>
      <w:r>
        <w:rPr>
          <w:rFonts w:hint="default" w:hAnsi="宋体"/>
          <w:color w:val="auto"/>
          <w:sz w:val="32"/>
          <w:szCs w:val="32"/>
          <w:highlight w:val="none"/>
          <w:lang w:val="en"/>
        </w:rPr>
        <w:t>：</w:t>
      </w:r>
      <w:r>
        <w:rPr>
          <w:rFonts w:hint="eastAsia" w:hAnsi="宋体"/>
          <w:color w:val="auto"/>
          <w:sz w:val="32"/>
          <w:szCs w:val="32"/>
          <w:highlight w:val="none"/>
        </w:rPr>
        <w:t>0771-</w:t>
      </w:r>
      <w:r>
        <w:rPr>
          <w:rFonts w:hint="eastAsia" w:hAnsi="宋体"/>
          <w:color w:val="auto"/>
          <w:sz w:val="32"/>
          <w:szCs w:val="32"/>
          <w:highlight w:val="none"/>
          <w:lang w:val="en-US" w:eastAsia="zh-CN"/>
        </w:rPr>
        <w:t>8600349</w:t>
      </w:r>
    </w:p>
    <w:p>
      <w:pPr>
        <w:spacing w:line="460" w:lineRule="exact"/>
        <w:ind w:firstLine="640" w:firstLineChars="200"/>
        <w:rPr>
          <w:rFonts w:hint="eastAsia" w:hAnsi="宋体"/>
          <w:color w:val="auto"/>
          <w:sz w:val="32"/>
          <w:szCs w:val="32"/>
          <w:highlight w:val="none"/>
        </w:rPr>
      </w:pPr>
      <w:r>
        <w:rPr>
          <w:rFonts w:hint="eastAsia" w:hAnsi="宋体"/>
          <w:color w:val="auto"/>
          <w:sz w:val="32"/>
          <w:szCs w:val="32"/>
          <w:highlight w:val="none"/>
        </w:rPr>
        <w:t>附：</w:t>
      </w:r>
      <w:r>
        <w:rPr>
          <w:rFonts w:hint="default" w:hAnsi="宋体"/>
          <w:color w:val="auto"/>
          <w:sz w:val="32"/>
          <w:szCs w:val="32"/>
          <w:highlight w:val="none"/>
          <w:u w:val="single"/>
          <w:lang w:val="en" w:eastAsia="zh-CN"/>
        </w:rPr>
        <w:t>武鸣校区二期学生公寓13、15号楼家具采购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GXZC2025-G1-003125-CGZX</w:t>
      </w:r>
      <w:r>
        <w:rPr>
          <w:rFonts w:hint="eastAsia" w:hAnsi="宋体"/>
          <w:color w:val="auto"/>
          <w:sz w:val="32"/>
          <w:szCs w:val="32"/>
          <w:highlight w:val="none"/>
          <w:u w:val="single"/>
        </w:rPr>
        <w:t>）</w:t>
      </w:r>
      <w:r>
        <w:rPr>
          <w:rFonts w:hint="eastAsia" w:hAnsi="宋体"/>
          <w:color w:val="auto"/>
          <w:sz w:val="32"/>
          <w:szCs w:val="32"/>
          <w:highlight w:val="none"/>
        </w:rPr>
        <w:t>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default" w:hAnsi="宋体"/>
          <w:color w:val="auto"/>
          <w:sz w:val="32"/>
          <w:szCs w:val="32"/>
          <w:highlight w:val="none"/>
          <w:lang w:val="en" w:eastAsia="zh-CN"/>
        </w:rPr>
        <w:t>5</w:t>
      </w:r>
      <w:r>
        <w:rPr>
          <w:rFonts w:hint="eastAsia" w:hAnsi="宋体"/>
          <w:color w:val="auto"/>
          <w:sz w:val="32"/>
          <w:szCs w:val="32"/>
          <w:highlight w:val="none"/>
        </w:rPr>
        <w:t>年</w:t>
      </w:r>
      <w:r>
        <w:rPr>
          <w:rFonts w:hint="eastAsia" w:hAnsi="宋体"/>
          <w:color w:val="auto"/>
          <w:sz w:val="32"/>
          <w:szCs w:val="32"/>
          <w:highlight w:val="none"/>
          <w:lang w:val="en-US" w:eastAsia="zh-CN"/>
        </w:rPr>
        <w:t>11</w:t>
      </w:r>
      <w:r>
        <w:rPr>
          <w:rFonts w:hint="eastAsia" w:hAnsi="宋体"/>
          <w:color w:val="auto"/>
          <w:sz w:val="32"/>
          <w:szCs w:val="32"/>
          <w:highlight w:val="none"/>
        </w:rPr>
        <w:t>月</w:t>
      </w:r>
      <w:r>
        <w:rPr>
          <w:rFonts w:hint="eastAsia" w:hAnsi="宋体"/>
          <w:color w:val="auto"/>
          <w:sz w:val="32"/>
          <w:szCs w:val="32"/>
          <w:highlight w:val="none"/>
          <w:lang w:val="en-US" w:eastAsia="zh-CN"/>
        </w:rPr>
        <w:t>17</w:t>
      </w:r>
      <w:r>
        <w:rPr>
          <w:rFonts w:hint="eastAsia" w:hAnsi="宋体"/>
          <w:color w:val="auto"/>
          <w:sz w:val="32"/>
          <w:szCs w:val="32"/>
          <w:highlight w:val="none"/>
        </w:rPr>
        <w:t>日</w:t>
      </w:r>
    </w:p>
    <w:p>
      <w:pPr>
        <w:pStyle w:val="552"/>
        <w:pageBreakBefore/>
        <w:widowControl w:val="0"/>
        <w:spacing w:line="480" w:lineRule="exact"/>
        <w:ind w:firstLine="0" w:firstLineChars="0"/>
        <w:jc w:val="center"/>
        <w:rPr>
          <w:rFonts w:ascii="仿宋_GB2312" w:hAnsi="宋体" w:eastAsia="仿宋_GB2312"/>
          <w:sz w:val="28"/>
          <w:szCs w:val="28"/>
        </w:rPr>
      </w:pPr>
      <w:r>
        <w:rPr>
          <w:rFonts w:hint="eastAsia" w:ascii="黑体" w:hAnsi="宋体" w:eastAsia="黑体"/>
          <w:sz w:val="32"/>
          <w:szCs w:val="32"/>
        </w:rPr>
        <w:t>公开招标公告</w:t>
      </w:r>
    </w:p>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rPr>
      </w:pPr>
      <w:r>
        <w:rPr>
          <w:rFonts w:hint="eastAsia" w:ascii="宋体" w:hAnsi="宋体"/>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rPr>
      </w:pPr>
      <w:r>
        <w:rPr>
          <w:rFonts w:hint="eastAsia"/>
          <w:b/>
          <w:bCs/>
        </w:rPr>
        <w:fldChar w:fldCharType="begin"/>
      </w:r>
      <w:r>
        <w:rPr>
          <w:rFonts w:hint="eastAsia"/>
          <w:b/>
          <w:bCs/>
        </w:rPr>
        <w:instrText xml:space="preserve"> HYPERLINK "https://pay.gcy.zfcg.gxzf.gov.cn/budget-quota-index/" \l "/purchase/plan/details/7971830" \t "/home/gxxc/文档\\x/_blank" </w:instrText>
      </w:r>
      <w:r>
        <w:rPr>
          <w:rFonts w:hint="eastAsia"/>
          <w:b/>
          <w:bCs/>
        </w:rPr>
        <w:fldChar w:fldCharType="separate"/>
      </w:r>
      <w:r>
        <w:rPr>
          <w:rFonts w:hint="eastAsia"/>
          <w:b/>
          <w:bCs/>
        </w:rPr>
        <w:t>武鸣校区二期学生公寓13、15号楼家具采</w:t>
      </w:r>
      <w:r>
        <w:rPr>
          <w:rFonts w:hint="eastAsia"/>
          <w:b/>
          <w:bCs/>
        </w:rPr>
        <w:fldChar w:fldCharType="end"/>
      </w:r>
      <w:r>
        <w:rPr>
          <w:rFonts w:hint="eastAsia"/>
          <w:b/>
          <w:bCs/>
        </w:rPr>
        <w:t>购</w:t>
      </w:r>
      <w:r>
        <w:rPr>
          <w:rFonts w:hint="eastAsia"/>
        </w:rPr>
        <w:t>项目的潜在投标人应在广西政府采购云平台（网址：https://www.gcy.zfcg.gxzf.gov.cn）获取招标文件，并于</w:t>
      </w:r>
      <w:r>
        <w:rPr>
          <w:rFonts w:hint="eastAsia"/>
          <w:b/>
          <w:bCs/>
          <w:u w:val="single"/>
        </w:rPr>
        <w:t xml:space="preserve"> 2025年月日 10:00</w:t>
      </w:r>
      <w:r>
        <w:rPr>
          <w:rFonts w:hint="eastAsia"/>
          <w:b/>
          <w:bCs/>
        </w:rPr>
        <w:t>（北京时间）</w:t>
      </w:r>
      <w:r>
        <w:rPr>
          <w:rFonts w:hint="eastAsia"/>
        </w:rPr>
        <w:t>前递交投标文件</w:t>
      </w:r>
      <w:r>
        <w:t>。</w:t>
      </w:r>
    </w:p>
    <w:p>
      <w:pPr>
        <w:widowControl/>
        <w:spacing w:before="75" w:after="75" w:line="360" w:lineRule="exact"/>
        <w:jc w:val="left"/>
        <w:rPr>
          <w:rFonts w:ascii="宋体" w:hAnsi="宋体" w:cs="宋体"/>
          <w:kern w:val="0"/>
          <w:szCs w:val="21"/>
        </w:rPr>
      </w:pPr>
      <w:r>
        <w:rPr>
          <w:rFonts w:hint="eastAsia" w:ascii="宋体" w:hAnsi="宋体" w:cs="宋体"/>
          <w:b/>
          <w:bCs/>
          <w:kern w:val="0"/>
          <w:szCs w:val="21"/>
        </w:rPr>
        <w:t>一、项目基本情况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r>
        <w:rPr>
          <w:rFonts w:hint="eastAsia" w:ascii="宋体" w:hAnsi="宋体" w:cs="黑体"/>
          <w:kern w:val="0"/>
          <w:szCs w:val="21"/>
        </w:rPr>
        <w:t xml:space="preserve"> </w:t>
      </w:r>
      <w:r>
        <w:rPr>
          <w:rFonts w:hint="eastAsia" w:ascii="宋体" w:hAnsi="宋体" w:cs="宋体"/>
          <w:kern w:val="0"/>
          <w:szCs w:val="21"/>
        </w:rPr>
        <w:t> </w:t>
      </w:r>
    </w:p>
    <w:p>
      <w:pPr>
        <w:pStyle w:val="52"/>
        <w:rPr>
          <w:rFonts w:hint="eastAsia" w:hAnsi="宋体" w:cs="宋体"/>
          <w:b w:val="0"/>
          <w:kern w:val="0"/>
          <w:szCs w:val="21"/>
        </w:rPr>
      </w:pPr>
      <w:r>
        <w:rPr>
          <w:rFonts w:hAnsi="宋体" w:cs="宋体"/>
          <w:b w:val="0"/>
          <w:kern w:val="0"/>
          <w:szCs w:val="21"/>
        </w:rPr>
        <w:t>项目编号：</w:t>
      </w:r>
      <w:r>
        <w:rPr>
          <w:rFonts w:hAnsi="宋体" w:cs="宋体"/>
          <w:b w:val="0"/>
          <w:kern w:val="0"/>
          <w:szCs w:val="21"/>
          <w:lang w:val="en"/>
        </w:rPr>
        <w:t>GXZC2025-G1-</w:t>
      </w:r>
      <w:r>
        <w:rPr>
          <w:rFonts w:hint="eastAsia" w:hAnsi="宋体" w:cs="宋体"/>
          <w:b w:val="0"/>
          <w:kern w:val="0"/>
          <w:szCs w:val="21"/>
        </w:rPr>
        <w:t>003125</w:t>
      </w:r>
      <w:r>
        <w:rPr>
          <w:rFonts w:hAnsi="宋体" w:cs="宋体"/>
          <w:b w:val="0"/>
          <w:kern w:val="0"/>
          <w:szCs w:val="21"/>
          <w:lang w:val="en"/>
        </w:rPr>
        <w:t>-CGZX</w:t>
      </w:r>
      <w:r>
        <w:rPr>
          <w:rFonts w:hint="eastAsia" w:hAnsi="宋体" w:cs="宋体"/>
          <w:b w:val="0"/>
          <w:kern w:val="0"/>
          <w:szCs w:val="21"/>
        </w:rPr>
        <w:t xml:space="preserve"> </w:t>
      </w:r>
      <w:r>
        <w:rPr>
          <w:rFonts w:hAnsi="宋体" w:cs="宋体"/>
          <w:b w:val="0"/>
          <w:kern w:val="0"/>
          <w:szCs w:val="21"/>
        </w:rPr>
        <w:t> </w:t>
      </w:r>
    </w:p>
    <w:p>
      <w:pPr>
        <w:pStyle w:val="52"/>
        <w:rPr>
          <w:rFonts w:hAnsi="宋体" w:cs="宋体"/>
          <w:b w:val="0"/>
          <w:bCs/>
          <w:kern w:val="0"/>
          <w:szCs w:val="21"/>
          <w:lang w:val="en"/>
        </w:rPr>
      </w:pPr>
      <w:r>
        <w:rPr>
          <w:rFonts w:hAnsi="宋体" w:cs="宋体"/>
          <w:b w:val="0"/>
          <w:kern w:val="0"/>
          <w:szCs w:val="21"/>
        </w:rPr>
        <w:t>项目名称：</w:t>
      </w:r>
      <w:r>
        <w:rPr>
          <w:rFonts w:hint="eastAsia" w:hAnsi="宋体" w:cs="宋体"/>
          <w:b w:val="0"/>
          <w:kern w:val="0"/>
          <w:szCs w:val="21"/>
        </w:rPr>
        <w:fldChar w:fldCharType="begin"/>
      </w:r>
      <w:r>
        <w:rPr>
          <w:rFonts w:hint="eastAsia" w:hAnsi="宋体" w:cs="宋体"/>
          <w:b w:val="0"/>
          <w:kern w:val="0"/>
          <w:szCs w:val="21"/>
        </w:rPr>
        <w:instrText xml:space="preserve"> HYPERLINK "https://pay.gcy.zfcg.gxzf.gov.cn/budget-quota-index/" \l "/purchase/plan/details/7971830" \t "/home/gxxc/文档\\x/_blank" </w:instrText>
      </w:r>
      <w:r>
        <w:rPr>
          <w:rFonts w:hint="eastAsia" w:hAnsi="宋体" w:cs="宋体"/>
          <w:b w:val="0"/>
          <w:kern w:val="0"/>
          <w:szCs w:val="21"/>
        </w:rPr>
        <w:fldChar w:fldCharType="separate"/>
      </w:r>
      <w:r>
        <w:rPr>
          <w:rFonts w:hint="eastAsia" w:hAnsi="宋体" w:cs="宋体"/>
          <w:b w:val="0"/>
          <w:kern w:val="0"/>
          <w:szCs w:val="21"/>
        </w:rPr>
        <w:t>武鸣校区二期学生公寓13、15号楼家具采</w:t>
      </w:r>
      <w:r>
        <w:rPr>
          <w:rFonts w:hint="eastAsia" w:hAnsi="宋体" w:cs="宋体"/>
          <w:b w:val="0"/>
          <w:kern w:val="0"/>
          <w:szCs w:val="21"/>
        </w:rPr>
        <w:fldChar w:fldCharType="end"/>
      </w:r>
      <w:r>
        <w:rPr>
          <w:rFonts w:hint="eastAsia" w:hAnsi="宋体" w:cs="宋体"/>
          <w:b w:val="0"/>
          <w:kern w:val="0"/>
          <w:szCs w:val="21"/>
        </w:rPr>
        <w:t>购</w:t>
      </w:r>
    </w:p>
    <w:p>
      <w:pPr>
        <w:pStyle w:val="52"/>
        <w:rPr>
          <w:rFonts w:hint="eastAsia" w:hAnsi="宋体" w:cs="宋体"/>
          <w:b w:val="0"/>
          <w:kern w:val="0"/>
          <w:szCs w:val="21"/>
        </w:rPr>
      </w:pPr>
      <w:r>
        <w:rPr>
          <w:rFonts w:hAnsi="宋体" w:cs="宋体"/>
          <w:b w:val="0"/>
          <w:kern w:val="0"/>
          <w:szCs w:val="21"/>
        </w:rPr>
        <w:t>预算</w:t>
      </w:r>
      <w:r>
        <w:rPr>
          <w:rFonts w:hint="eastAsia" w:hAnsi="宋体" w:cs="宋体"/>
          <w:b w:val="0"/>
          <w:kern w:val="0"/>
          <w:szCs w:val="21"/>
        </w:rPr>
        <w:t>总</w:t>
      </w:r>
      <w:r>
        <w:rPr>
          <w:rFonts w:hAnsi="宋体" w:cs="宋体"/>
          <w:b w:val="0"/>
          <w:kern w:val="0"/>
          <w:szCs w:val="21"/>
        </w:rPr>
        <w:t>金额（元）：</w:t>
      </w:r>
      <w:r>
        <w:rPr>
          <w:rFonts w:hint="eastAsia" w:hAnsi="宋体" w:cs="宋体"/>
          <w:b w:val="0"/>
          <w:kern w:val="0"/>
          <w:szCs w:val="21"/>
        </w:rPr>
        <w:t>31416</w:t>
      </w:r>
      <w:r>
        <w:rPr>
          <w:rFonts w:hAnsi="宋体" w:cs="宋体"/>
          <w:b w:val="0"/>
          <w:kern w:val="0"/>
          <w:szCs w:val="21"/>
          <w:lang w:val="en"/>
        </w:rPr>
        <w:t>00</w:t>
      </w:r>
      <w:r>
        <w:rPr>
          <w:rFonts w:hint="eastAsia" w:hAnsi="宋体" w:cs="宋体"/>
          <w:b w:val="0"/>
          <w:kern w:val="0"/>
          <w:szCs w:val="21"/>
        </w:rPr>
        <w:t xml:space="preserve"> </w:t>
      </w:r>
    </w:p>
    <w:p>
      <w:pPr>
        <w:pStyle w:val="52"/>
        <w:rPr>
          <w:rFonts w:hAnsi="宋体" w:cs="宋体"/>
          <w:b w:val="0"/>
          <w:kern w:val="0"/>
          <w:szCs w:val="21"/>
        </w:rPr>
      </w:pPr>
      <w:r>
        <w:rPr>
          <w:rFonts w:hAnsi="宋体" w:cs="宋体"/>
          <w:b w:val="0"/>
          <w:kern w:val="0"/>
          <w:szCs w:val="21"/>
        </w:rPr>
        <w:t>采购需求</w:t>
      </w:r>
    </w:p>
    <w:p>
      <w:pPr>
        <w:pStyle w:val="52"/>
        <w:rPr>
          <w:rFonts w:hAnsi="宋体" w:cs="宋体"/>
          <w:b w:val="0"/>
          <w:kern w:val="0"/>
          <w:szCs w:val="21"/>
          <w:lang w:val="en"/>
        </w:rPr>
      </w:pPr>
      <w:r>
        <w:rPr>
          <w:rFonts w:hAnsi="宋体" w:cs="宋体"/>
          <w:b w:val="0"/>
          <w:kern w:val="0"/>
          <w:szCs w:val="21"/>
        </w:rPr>
        <w:t>标项名称:</w:t>
      </w:r>
      <w:r>
        <w:rPr>
          <w:rFonts w:hint="eastAsia" w:hAnsi="宋体" w:cs="宋体"/>
          <w:kern w:val="0"/>
          <w:szCs w:val="21"/>
        </w:rPr>
        <w:fldChar w:fldCharType="begin"/>
      </w:r>
      <w:r>
        <w:rPr>
          <w:rFonts w:hint="eastAsia" w:hAnsi="宋体" w:cs="宋体"/>
          <w:kern w:val="0"/>
          <w:szCs w:val="21"/>
        </w:rPr>
        <w:instrText xml:space="preserve"> HYPERLINK "https://pay.gcy.zfcg.gxzf.gov.cn/budget-quota-index/" \l "/purchase/plan/details/7971830" \t "/home/gxxc/文档\\x/_blank" </w:instrText>
      </w:r>
      <w:r>
        <w:rPr>
          <w:rFonts w:hint="eastAsia" w:hAnsi="宋体" w:cs="宋体"/>
          <w:kern w:val="0"/>
          <w:szCs w:val="21"/>
        </w:rPr>
        <w:fldChar w:fldCharType="separate"/>
      </w:r>
      <w:r>
        <w:rPr>
          <w:rFonts w:hint="eastAsia" w:hAnsi="宋体" w:cs="宋体"/>
          <w:kern w:val="0"/>
          <w:szCs w:val="21"/>
        </w:rPr>
        <w:t>武鸣校区二期学生公寓13、15号楼家具采</w:t>
      </w:r>
      <w:r>
        <w:rPr>
          <w:rFonts w:hint="eastAsia" w:hAnsi="宋体" w:cs="宋体"/>
          <w:kern w:val="0"/>
          <w:szCs w:val="21"/>
        </w:rPr>
        <w:fldChar w:fldCharType="end"/>
      </w:r>
      <w:r>
        <w:rPr>
          <w:rFonts w:hint="eastAsia" w:hAnsi="宋体" w:cs="宋体"/>
          <w:kern w:val="0"/>
          <w:szCs w:val="21"/>
        </w:rPr>
        <w:t>购</w:t>
      </w:r>
    </w:p>
    <w:p>
      <w:pPr>
        <w:pStyle w:val="52"/>
        <w:spacing w:line="420" w:lineRule="exact"/>
        <w:rPr>
          <w:rFonts w:hint="eastAsia" w:hAnsi="宋体" w:cs="宋体"/>
          <w:kern w:val="0"/>
          <w:szCs w:val="21"/>
        </w:rPr>
      </w:pPr>
      <w:r>
        <w:rPr>
          <w:rFonts w:hAnsi="宋体" w:cs="宋体"/>
          <w:b w:val="0"/>
          <w:kern w:val="0"/>
          <w:szCs w:val="21"/>
        </w:rPr>
        <w:t>数量:</w:t>
      </w:r>
      <w:r>
        <w:rPr>
          <w:rFonts w:hint="eastAsia" w:hAnsi="宋体" w:cs="宋体"/>
          <w:b w:val="0"/>
          <w:kern w:val="0"/>
          <w:szCs w:val="21"/>
        </w:rPr>
        <w:t>1</w:t>
      </w:r>
    </w:p>
    <w:p>
      <w:pPr>
        <w:pStyle w:val="52"/>
        <w:spacing w:line="420" w:lineRule="exact"/>
        <w:rPr>
          <w:rFonts w:hAnsi="宋体" w:cs="宋体"/>
          <w:b w:val="0"/>
          <w:bCs/>
          <w:kern w:val="0"/>
          <w:szCs w:val="21"/>
        </w:rPr>
      </w:pPr>
      <w:r>
        <w:rPr>
          <w:rFonts w:hint="eastAsia" w:hAnsi="宋体" w:cs="宋体"/>
          <w:b w:val="0"/>
          <w:bCs/>
          <w:kern w:val="0"/>
          <w:szCs w:val="21"/>
        </w:rPr>
        <w:t>预算金额（元）:</w:t>
      </w:r>
      <w:r>
        <w:rPr>
          <w:rFonts w:hAnsi="宋体" w:cs="宋体"/>
          <w:b w:val="0"/>
          <w:bCs/>
          <w:kern w:val="0"/>
          <w:szCs w:val="21"/>
          <w:lang w:val="en"/>
        </w:rPr>
        <w:t>31416</w:t>
      </w:r>
      <w:r>
        <w:rPr>
          <w:rFonts w:hint="eastAsia" w:hAnsi="宋体" w:cs="宋体"/>
          <w:b w:val="0"/>
          <w:bCs/>
          <w:kern w:val="0"/>
          <w:szCs w:val="21"/>
          <w:lang w:val="en"/>
        </w:rPr>
        <w:t>00</w:t>
      </w:r>
    </w:p>
    <w:p>
      <w:pPr>
        <w:spacing w:line="420" w:lineRule="exact"/>
        <w:rPr>
          <w:rFonts w:hAnsi="宋体" w:cs="宋体"/>
          <w:b/>
          <w:kern w:val="0"/>
          <w:szCs w:val="21"/>
        </w:rPr>
      </w:pPr>
      <w:r>
        <w:rPr>
          <w:rFonts w:hint="eastAsia" w:hAnsi="宋体" w:cs="宋体"/>
          <w:b/>
          <w:kern w:val="0"/>
          <w:szCs w:val="21"/>
        </w:rPr>
        <w:t xml:space="preserve">    </w:t>
      </w:r>
      <w:r>
        <w:rPr>
          <w:rFonts w:hAnsi="宋体" w:cs="宋体"/>
          <w:bCs/>
          <w:kern w:val="0"/>
          <w:szCs w:val="21"/>
        </w:rPr>
        <w:t>简要规格描述或项目基本概况介绍、用途：</w:t>
      </w:r>
      <w:r>
        <w:rPr>
          <w:rFonts w:hint="eastAsia" w:ascii="宋体" w:hAnsi="宋体" w:cs="宋体"/>
          <w:b/>
          <w:kern w:val="0"/>
          <w:szCs w:val="21"/>
        </w:rPr>
        <w:t>钢结构公寓床1950套（</w:t>
      </w:r>
      <w:r>
        <w:rPr>
          <w:rFonts w:hint="eastAsia"/>
          <w:b/>
          <w:sz w:val="22"/>
        </w:rPr>
        <w:t>含床、衣柜、书柜、电脑桌）</w:t>
      </w:r>
      <w:r>
        <w:rPr>
          <w:rFonts w:hint="eastAsia" w:ascii="宋体" w:hAnsi="宋体" w:cs="宋体"/>
          <w:b/>
          <w:kern w:val="0"/>
          <w:szCs w:val="21"/>
        </w:rPr>
        <w:t>，钢结构无障碍公寓床12套（含床、衣柜、学习桌），椅子1962把，详见招标项</w:t>
      </w:r>
      <w:r>
        <w:rPr>
          <w:rFonts w:hAnsi="宋体" w:cs="宋体"/>
          <w:b/>
          <w:kern w:val="0"/>
          <w:szCs w:val="21"/>
        </w:rPr>
        <w:t>目采购需求。</w:t>
      </w:r>
    </w:p>
    <w:p>
      <w:pPr>
        <w:pStyle w:val="52"/>
        <w:spacing w:line="420" w:lineRule="exact"/>
        <w:rPr>
          <w:rFonts w:hAnsi="宋体" w:cs="宋体"/>
          <w:b w:val="0"/>
          <w:kern w:val="0"/>
          <w:szCs w:val="21"/>
        </w:rPr>
      </w:pPr>
      <w:r>
        <w:rPr>
          <w:rFonts w:hAnsi="宋体" w:cs="宋体"/>
          <w:b w:val="0"/>
          <w:kern w:val="0"/>
          <w:szCs w:val="21"/>
        </w:rPr>
        <w:t>最高限价（如有）：/</w:t>
      </w:r>
    </w:p>
    <w:p>
      <w:pPr>
        <w:pStyle w:val="52"/>
        <w:rPr>
          <w:rFonts w:hint="eastAsia" w:hAnsi="宋体" w:cs="宋体"/>
          <w:b w:val="0"/>
          <w:kern w:val="0"/>
          <w:szCs w:val="21"/>
        </w:rPr>
      </w:pPr>
      <w:r>
        <w:rPr>
          <w:rFonts w:hAnsi="宋体" w:cs="宋体"/>
          <w:b w:val="0"/>
          <w:kern w:val="0"/>
          <w:szCs w:val="21"/>
        </w:rPr>
        <w:t>合同履约期限：自签订合同至履约完成</w:t>
      </w:r>
      <w:r>
        <w:rPr>
          <w:rFonts w:hint="eastAsia" w:hAnsi="宋体" w:cs="宋体"/>
          <w:b w:val="0"/>
          <w:kern w:val="0"/>
          <w:szCs w:val="21"/>
        </w:rPr>
        <w:t>。</w:t>
      </w:r>
    </w:p>
    <w:p>
      <w:pPr>
        <w:pStyle w:val="52"/>
        <w:rPr>
          <w:rFonts w:hint="eastAsia" w:hAnsi="宋体" w:cs="宋体"/>
          <w:b w:val="0"/>
          <w:kern w:val="0"/>
          <w:szCs w:val="21"/>
        </w:rPr>
      </w:pPr>
      <w:r>
        <w:rPr>
          <w:rFonts w:hAnsi="宋体" w:cs="宋体"/>
          <w:b w:val="0"/>
          <w:kern w:val="0"/>
          <w:szCs w:val="21"/>
        </w:rPr>
        <w:t>本标项（否）接受联合体投标</w:t>
      </w:r>
    </w:p>
    <w:p>
      <w:pPr>
        <w:pStyle w:val="52"/>
        <w:rPr>
          <w:rFonts w:hAnsi="宋体" w:cs="宋体"/>
          <w:b w:val="0"/>
          <w:kern w:val="0"/>
          <w:szCs w:val="21"/>
        </w:rPr>
      </w:pPr>
      <w:r>
        <w:rPr>
          <w:rFonts w:hAnsi="宋体" w:cs="宋体"/>
          <w:b w:val="0"/>
          <w:kern w:val="0"/>
          <w:szCs w:val="21"/>
        </w:rPr>
        <w:t>备注：</w:t>
      </w:r>
      <w:r>
        <w:rPr>
          <w:rFonts w:hint="eastAsia" w:hAnsi="宋体"/>
          <w:b w:val="0"/>
        </w:rPr>
        <w:t>本项目为线上电子招标项目，有意向参与本项目的供应商应当做好参与全流程电子招投标交易的充分准备。</w:t>
      </w:r>
    </w:p>
    <w:p>
      <w:pPr>
        <w:widowControl/>
        <w:spacing w:before="75" w:after="75" w:line="360" w:lineRule="exact"/>
        <w:jc w:val="left"/>
        <w:rPr>
          <w:rFonts w:ascii="宋体" w:hAnsi="宋体" w:cs="宋体"/>
          <w:kern w:val="0"/>
          <w:szCs w:val="21"/>
        </w:rPr>
      </w:pPr>
      <w:r>
        <w:rPr>
          <w:rFonts w:hint="eastAsia" w:ascii="宋体" w:hAnsi="宋体" w:cs="宋体"/>
          <w:b/>
          <w:bCs/>
          <w:kern w:val="0"/>
          <w:szCs w:val="21"/>
        </w:rPr>
        <w:t>二、申请人的资格要求：</w:t>
      </w:r>
    </w:p>
    <w:p>
      <w:pPr>
        <w:pStyle w:val="52"/>
        <w:rPr>
          <w:rFonts w:hAnsi="宋体" w:cs="宋体"/>
          <w:b w:val="0"/>
          <w:kern w:val="0"/>
          <w:szCs w:val="21"/>
        </w:rPr>
      </w:pPr>
      <w:r>
        <w:rPr>
          <w:rFonts w:hAnsi="宋体" w:cs="宋体"/>
          <w:b w:val="0"/>
          <w:kern w:val="0"/>
          <w:szCs w:val="21"/>
        </w:rPr>
        <w:t>1.满足《中华人民共和国政府采购法》第二十二条规定；</w:t>
      </w:r>
    </w:p>
    <w:p>
      <w:pPr>
        <w:pStyle w:val="52"/>
        <w:rPr>
          <w:rFonts w:hAnsi="宋体" w:cs="宋体"/>
          <w:b w:val="0"/>
          <w:kern w:val="0"/>
          <w:szCs w:val="21"/>
        </w:rPr>
      </w:pPr>
      <w:r>
        <w:rPr>
          <w:rFonts w:hAnsi="宋体" w:cs="宋体"/>
          <w:b w:val="0"/>
          <w:kern w:val="0"/>
          <w:szCs w:val="21"/>
        </w:rPr>
        <w:t>2.落实政府采购政策需满足的资格要求：</w:t>
      </w:r>
      <w:r>
        <w:rPr>
          <w:rFonts w:hint="eastAsia" w:hAnsi="宋体" w:cs="宋体"/>
          <w:bCs/>
          <w:kern w:val="0"/>
          <w:szCs w:val="21"/>
        </w:rPr>
        <w:t>分标1：本项目专门面向中小企业。</w:t>
      </w:r>
    </w:p>
    <w:p>
      <w:pPr>
        <w:pStyle w:val="52"/>
        <w:rPr>
          <w:rFonts w:hAnsi="宋体" w:cs="宋体"/>
          <w:b w:val="0"/>
          <w:kern w:val="0"/>
          <w:szCs w:val="21"/>
        </w:rPr>
      </w:pPr>
      <w:r>
        <w:rPr>
          <w:rFonts w:hAnsi="宋体" w:cs="宋体"/>
          <w:b w:val="0"/>
          <w:kern w:val="0"/>
          <w:szCs w:val="21"/>
        </w:rPr>
        <w:t>3.本项目的特定资格要求：无</w:t>
      </w:r>
      <w:r>
        <w:rPr>
          <w:rFonts w:hint="eastAsia" w:hAnsi="宋体" w:cs="宋体"/>
          <w:b w:val="0"/>
          <w:kern w:val="0"/>
          <w:szCs w:val="21"/>
        </w:rPr>
        <w:t>。</w:t>
      </w:r>
      <w:r>
        <w:rPr>
          <w:rFonts w:hAnsi="宋体" w:cs="宋体"/>
          <w:b w:val="0"/>
          <w:kern w:val="0"/>
          <w:szCs w:val="21"/>
        </w:rPr>
        <w:t> </w:t>
      </w:r>
    </w:p>
    <w:p>
      <w:pPr>
        <w:widowControl/>
        <w:spacing w:before="75" w:after="75" w:line="360" w:lineRule="exact"/>
        <w:jc w:val="left"/>
        <w:rPr>
          <w:rFonts w:ascii="宋体" w:hAnsi="宋体" w:cs="宋体"/>
          <w:b/>
          <w:bCs/>
          <w:kern w:val="0"/>
          <w:szCs w:val="21"/>
        </w:rPr>
      </w:pPr>
      <w:r>
        <w:rPr>
          <w:rFonts w:hint="eastAsia" w:ascii="宋体" w:hAnsi="宋体" w:cs="宋体"/>
          <w:b/>
          <w:bCs/>
          <w:kern w:val="0"/>
          <w:szCs w:val="21"/>
        </w:rPr>
        <w:t>三、获取招标文件 </w:t>
      </w:r>
    </w:p>
    <w:p>
      <w:pPr>
        <w:pStyle w:val="52"/>
        <w:rPr>
          <w:rFonts w:hint="eastAsia" w:hAnsi="宋体" w:cs="宋体"/>
          <w:b w:val="0"/>
          <w:kern w:val="0"/>
          <w:szCs w:val="21"/>
        </w:rPr>
      </w:pPr>
      <w:r>
        <w:rPr>
          <w:rFonts w:hAnsi="宋体" w:cs="宋体"/>
          <w:b w:val="0"/>
          <w:kern w:val="0"/>
          <w:szCs w:val="21"/>
        </w:rPr>
        <w:t>时间：</w:t>
      </w:r>
      <w:r>
        <w:rPr>
          <w:rFonts w:hAnsi="宋体" w:cs="宋体"/>
          <w:bCs/>
          <w:kern w:val="0"/>
          <w:szCs w:val="21"/>
        </w:rPr>
        <w:t>202</w:t>
      </w:r>
      <w:r>
        <w:rPr>
          <w:rFonts w:hint="eastAsia" w:hAnsi="宋体" w:cs="宋体"/>
          <w:bCs/>
          <w:kern w:val="0"/>
          <w:szCs w:val="21"/>
        </w:rPr>
        <w:t>5</w:t>
      </w:r>
      <w:r>
        <w:rPr>
          <w:rFonts w:hAnsi="宋体" w:cs="宋体"/>
          <w:bCs/>
          <w:kern w:val="0"/>
          <w:szCs w:val="21"/>
        </w:rPr>
        <w:t>年月日至202</w:t>
      </w:r>
      <w:r>
        <w:rPr>
          <w:rFonts w:hint="eastAsia" w:hAnsi="宋体" w:cs="宋体"/>
          <w:bCs/>
          <w:kern w:val="0"/>
          <w:szCs w:val="21"/>
        </w:rPr>
        <w:t>5</w:t>
      </w:r>
      <w:r>
        <w:rPr>
          <w:rFonts w:hAnsi="宋体" w:cs="宋体"/>
          <w:bCs/>
          <w:kern w:val="0"/>
          <w:szCs w:val="21"/>
        </w:rPr>
        <w:t>年月日，每天上午0</w:t>
      </w:r>
      <w:r>
        <w:rPr>
          <w:rFonts w:hAnsi="宋体" w:cs="宋体"/>
          <w:bCs/>
          <w:kern w:val="0"/>
          <w:szCs w:val="21"/>
          <w:lang w:val="en"/>
        </w:rPr>
        <w:t>0</w:t>
      </w:r>
      <w:r>
        <w:rPr>
          <w:rFonts w:hAnsi="宋体" w:cs="宋体"/>
          <w:bCs/>
          <w:kern w:val="0"/>
          <w:szCs w:val="21"/>
        </w:rPr>
        <w:t>:00至12:00</w:t>
      </w:r>
      <w:r>
        <w:rPr>
          <w:rFonts w:hint="eastAsia" w:hAnsi="宋体" w:cs="宋体"/>
          <w:bCs/>
          <w:kern w:val="0"/>
          <w:szCs w:val="21"/>
        </w:rPr>
        <w:t>；</w:t>
      </w:r>
      <w:r>
        <w:rPr>
          <w:rFonts w:hAnsi="宋体" w:cs="宋体"/>
          <w:bCs/>
          <w:kern w:val="0"/>
          <w:szCs w:val="21"/>
        </w:rPr>
        <w:t>下午1</w:t>
      </w:r>
      <w:r>
        <w:rPr>
          <w:rFonts w:hAnsi="宋体" w:cs="宋体"/>
          <w:bCs/>
          <w:kern w:val="0"/>
          <w:szCs w:val="21"/>
          <w:lang w:val="en"/>
        </w:rPr>
        <w:t>2</w:t>
      </w:r>
      <w:r>
        <w:rPr>
          <w:rFonts w:hAnsi="宋体" w:cs="宋体"/>
          <w:bCs/>
          <w:kern w:val="0"/>
          <w:szCs w:val="21"/>
        </w:rPr>
        <w:t>:00至</w:t>
      </w:r>
      <w:r>
        <w:rPr>
          <w:rFonts w:hAnsi="宋体" w:cs="宋体"/>
          <w:bCs/>
          <w:kern w:val="0"/>
          <w:szCs w:val="21"/>
          <w:lang w:val="en"/>
        </w:rPr>
        <w:t>23</w:t>
      </w:r>
      <w:r>
        <w:rPr>
          <w:rFonts w:hAnsi="宋体" w:cs="宋体"/>
          <w:bCs/>
          <w:kern w:val="0"/>
          <w:szCs w:val="21"/>
        </w:rPr>
        <w:t>:</w:t>
      </w:r>
      <w:r>
        <w:rPr>
          <w:rFonts w:hAnsi="宋体" w:cs="宋体"/>
          <w:bCs/>
          <w:kern w:val="0"/>
          <w:szCs w:val="21"/>
          <w:lang w:val="en"/>
        </w:rPr>
        <w:t>59</w:t>
      </w:r>
      <w:r>
        <w:rPr>
          <w:rFonts w:hAnsi="宋体" w:cs="宋体"/>
          <w:b w:val="0"/>
          <w:kern w:val="0"/>
          <w:szCs w:val="21"/>
        </w:rPr>
        <w:t>（北京时间，法定节假日除外）</w:t>
      </w:r>
    </w:p>
    <w:p>
      <w:pPr>
        <w:pStyle w:val="52"/>
        <w:rPr>
          <w:rFonts w:hAnsi="宋体" w:cs="宋体"/>
          <w:b w:val="0"/>
          <w:kern w:val="0"/>
          <w:szCs w:val="21"/>
        </w:rPr>
      </w:pPr>
      <w:r>
        <w:rPr>
          <w:rFonts w:hAnsi="宋体" w:cs="宋体"/>
          <w:b w:val="0"/>
          <w:kern w:val="0"/>
          <w:szCs w:val="21"/>
        </w:rPr>
        <w:t>地点：</w:t>
      </w:r>
      <w:r>
        <w:rPr>
          <w:rFonts w:hint="eastAsia" w:hAnsi="宋体" w:cs="宋体"/>
          <w:szCs w:val="21"/>
        </w:rPr>
        <w:t>广西政府采购云平台线上</w:t>
      </w:r>
      <w:r>
        <w:rPr>
          <w:lang w:val="en"/>
        </w:rPr>
        <w:t>（网址：http://www.gcy.zfcg.gxzf.gov.cn）</w:t>
      </w:r>
      <w:r>
        <w:rPr>
          <w:rFonts w:hAnsi="宋体" w:cs="宋体"/>
          <w:b w:val="0"/>
          <w:kern w:val="0"/>
          <w:szCs w:val="21"/>
        </w:rPr>
        <w:t> </w:t>
      </w:r>
    </w:p>
    <w:p>
      <w:pPr>
        <w:pStyle w:val="52"/>
        <w:spacing w:line="360" w:lineRule="exact"/>
        <w:rPr>
          <w:rFonts w:hint="eastAsia" w:hAnsi="宋体" w:cs="宋体"/>
          <w:b w:val="0"/>
          <w:kern w:val="0"/>
          <w:szCs w:val="21"/>
        </w:rPr>
      </w:pPr>
      <w:r>
        <w:rPr>
          <w:rFonts w:hAnsi="宋体" w:cs="宋体"/>
          <w:b w:val="0"/>
          <w:kern w:val="0"/>
          <w:szCs w:val="21"/>
        </w:rPr>
        <w:t>方式：</w:t>
      </w:r>
      <w:r>
        <w:rPr>
          <w:rStyle w:val="594"/>
          <w:rFonts w:hint="eastAsia" w:cs="宋体"/>
          <w:bCs/>
          <w:szCs w:val="21"/>
        </w:rPr>
        <w:t>请登录广西政府采购云平台（网址：https://www.gcy.zfcg.gxzf.gov.cn）进行报名并获取采购文件</w:t>
      </w:r>
      <w:r>
        <w:rPr>
          <w:rFonts w:hAnsi="宋体" w:cs="宋体"/>
          <w:b w:val="0"/>
          <w:kern w:val="0"/>
          <w:szCs w:val="21"/>
        </w:rPr>
        <w:t>；未注册的供应商可在</w:t>
      </w:r>
      <w:r>
        <w:rPr>
          <w:rFonts w:hAnsi="宋体" w:cs="宋体"/>
          <w:b w:val="0"/>
          <w:kern w:val="0"/>
          <w:szCs w:val="21"/>
          <w:lang w:val="en"/>
        </w:rPr>
        <w:t>广西政府采购云平台</w:t>
      </w:r>
      <w:r>
        <w:rPr>
          <w:rFonts w:hAnsi="宋体" w:cs="宋体"/>
          <w:b w:val="0"/>
          <w:kern w:val="0"/>
          <w:szCs w:val="21"/>
        </w:rPr>
        <w:t>完成注册后再行报名。如在操作过程中遇到问题或需技术支持，</w:t>
      </w:r>
      <w:r>
        <w:rPr>
          <w:rFonts w:hAnsi="宋体" w:cs="宋体"/>
          <w:bCs/>
          <w:kern w:val="0"/>
          <w:szCs w:val="21"/>
        </w:rPr>
        <w:t>请致电政采云客服热线：</w:t>
      </w:r>
      <w:r>
        <w:rPr>
          <w:rFonts w:hAnsi="宋体" w:cs="宋体"/>
          <w:bCs/>
          <w:kern w:val="0"/>
          <w:szCs w:val="21"/>
          <w:u w:val="single"/>
          <w:lang w:val="en"/>
        </w:rPr>
        <w:t>95763</w:t>
      </w:r>
      <w:r>
        <w:rPr>
          <w:rFonts w:hAnsi="宋体" w:cs="宋体"/>
          <w:b w:val="0"/>
          <w:kern w:val="0"/>
          <w:szCs w:val="21"/>
          <w:u w:val="single"/>
        </w:rPr>
        <w:t>。</w:t>
      </w:r>
    </w:p>
    <w:p>
      <w:pPr>
        <w:pStyle w:val="52"/>
        <w:spacing w:line="360" w:lineRule="exact"/>
        <w:rPr>
          <w:rFonts w:hAnsi="宋体" w:cs="宋体"/>
          <w:b w:val="0"/>
          <w:kern w:val="0"/>
          <w:szCs w:val="21"/>
        </w:rPr>
      </w:pPr>
      <w:r>
        <w:rPr>
          <w:rFonts w:hAnsi="宋体" w:cs="宋体"/>
          <w:b w:val="0"/>
          <w:kern w:val="0"/>
          <w:szCs w:val="21"/>
        </w:rPr>
        <w:t>提示：</w:t>
      </w:r>
      <w:r>
        <w:rPr>
          <w:rFonts w:hint="eastAsia" w:hAnsi="宋体" w:cs="宋体"/>
          <w:b w:val="0"/>
          <w:kern w:val="0"/>
          <w:szCs w:val="21"/>
        </w:rPr>
        <w:t>采购</w:t>
      </w:r>
      <w:r>
        <w:rPr>
          <w:rFonts w:hAnsi="宋体" w:cs="宋体"/>
          <w:b w:val="0"/>
          <w:kern w:val="0"/>
          <w:szCs w:val="21"/>
        </w:rPr>
        <w:t>公告附件内的</w:t>
      </w:r>
      <w:r>
        <w:rPr>
          <w:rFonts w:hint="eastAsia" w:hAnsi="宋体" w:cs="宋体"/>
          <w:b w:val="0"/>
          <w:kern w:val="0"/>
          <w:szCs w:val="21"/>
        </w:rPr>
        <w:t>采购文件</w:t>
      </w:r>
      <w:r>
        <w:rPr>
          <w:rFonts w:hAnsi="宋体" w:cs="宋体"/>
          <w:b w:val="0"/>
          <w:kern w:val="0"/>
          <w:szCs w:val="21"/>
        </w:rPr>
        <w:t>仅供阅览使用</w:t>
      </w:r>
      <w:r>
        <w:rPr>
          <w:rFonts w:hint="eastAsia" w:hAnsi="宋体" w:cs="宋体"/>
          <w:b w:val="0"/>
          <w:kern w:val="0"/>
          <w:szCs w:val="21"/>
        </w:rPr>
        <w:t>；</w:t>
      </w:r>
      <w:r>
        <w:rPr>
          <w:rFonts w:hAnsi="宋体" w:cs="宋体"/>
          <w:b w:val="0"/>
          <w:kern w:val="0"/>
          <w:szCs w:val="21"/>
        </w:rPr>
        <w:t>供应商只有在“</w:t>
      </w:r>
      <w:r>
        <w:rPr>
          <w:rFonts w:hAnsi="宋体" w:cs="宋体"/>
          <w:b w:val="0"/>
          <w:kern w:val="0"/>
          <w:szCs w:val="21"/>
          <w:lang w:val="en"/>
        </w:rPr>
        <w:t>广西政府采购云平台</w:t>
      </w:r>
      <w:r>
        <w:rPr>
          <w:rFonts w:hAnsi="宋体" w:cs="宋体"/>
          <w:b w:val="0"/>
          <w:kern w:val="0"/>
          <w:szCs w:val="21"/>
        </w:rPr>
        <w:t>”完成获取</w:t>
      </w:r>
      <w:r>
        <w:rPr>
          <w:rFonts w:hint="eastAsia" w:hAnsi="宋体" w:cs="宋体"/>
          <w:b w:val="0"/>
          <w:kern w:val="0"/>
          <w:szCs w:val="21"/>
        </w:rPr>
        <w:t>采购文件</w:t>
      </w:r>
      <w:r>
        <w:rPr>
          <w:rFonts w:hAnsi="宋体" w:cs="宋体"/>
          <w:b w:val="0"/>
          <w:kern w:val="0"/>
          <w:szCs w:val="21"/>
        </w:rPr>
        <w:t>申请并下载了</w:t>
      </w:r>
      <w:r>
        <w:rPr>
          <w:rFonts w:hint="eastAsia" w:hAnsi="宋体" w:cs="宋体"/>
          <w:b w:val="0"/>
          <w:kern w:val="0"/>
          <w:szCs w:val="21"/>
        </w:rPr>
        <w:t>采购文件</w:t>
      </w:r>
      <w:r>
        <w:rPr>
          <w:rFonts w:hAnsi="宋体" w:cs="宋体"/>
          <w:b w:val="0"/>
          <w:kern w:val="0"/>
          <w:szCs w:val="21"/>
        </w:rPr>
        <w:t>后才视作依法获取</w:t>
      </w:r>
      <w:r>
        <w:rPr>
          <w:rFonts w:hint="eastAsia" w:hAnsi="宋体" w:cs="宋体"/>
          <w:b w:val="0"/>
          <w:kern w:val="0"/>
          <w:szCs w:val="21"/>
        </w:rPr>
        <w:t>采购文件</w:t>
      </w:r>
      <w:r>
        <w:rPr>
          <w:rFonts w:hAnsi="宋体" w:cs="宋体"/>
          <w:b w:val="0"/>
          <w:kern w:val="0"/>
          <w:szCs w:val="21"/>
        </w:rPr>
        <w:t>（法律法规所指的供应商获取</w:t>
      </w:r>
      <w:r>
        <w:rPr>
          <w:rFonts w:hint="eastAsia" w:hAnsi="宋体" w:cs="宋体"/>
          <w:b w:val="0"/>
          <w:kern w:val="0"/>
          <w:szCs w:val="21"/>
        </w:rPr>
        <w:t>采购文件</w:t>
      </w:r>
      <w:r>
        <w:rPr>
          <w:rFonts w:hAnsi="宋体" w:cs="宋体"/>
          <w:b w:val="0"/>
          <w:kern w:val="0"/>
          <w:szCs w:val="21"/>
        </w:rPr>
        <w:t>时间以供应商完成获取</w:t>
      </w:r>
      <w:r>
        <w:rPr>
          <w:rFonts w:hint="eastAsia" w:hAnsi="宋体" w:cs="宋体"/>
          <w:b w:val="0"/>
          <w:kern w:val="0"/>
          <w:szCs w:val="21"/>
        </w:rPr>
        <w:t>采购文件</w:t>
      </w:r>
      <w:r>
        <w:rPr>
          <w:rFonts w:hAnsi="宋体" w:cs="宋体"/>
          <w:b w:val="0"/>
          <w:kern w:val="0"/>
          <w:szCs w:val="21"/>
        </w:rPr>
        <w:t>申请后下载</w:t>
      </w:r>
      <w:r>
        <w:rPr>
          <w:rFonts w:hint="eastAsia" w:hAnsi="宋体" w:cs="宋体"/>
          <w:b w:val="0"/>
          <w:kern w:val="0"/>
          <w:szCs w:val="21"/>
        </w:rPr>
        <w:t>采购文件</w:t>
      </w:r>
      <w:r>
        <w:rPr>
          <w:rFonts w:hAnsi="宋体" w:cs="宋体"/>
          <w:b w:val="0"/>
          <w:kern w:val="0"/>
          <w:szCs w:val="21"/>
        </w:rPr>
        <w:t>的时间为准）。</w:t>
      </w:r>
    </w:p>
    <w:p>
      <w:pPr>
        <w:pStyle w:val="52"/>
        <w:rPr>
          <w:rFonts w:hAnsi="宋体" w:cs="宋体"/>
          <w:b w:val="0"/>
          <w:kern w:val="0"/>
          <w:szCs w:val="21"/>
        </w:rPr>
      </w:pPr>
      <w:r>
        <w:rPr>
          <w:rFonts w:hAnsi="宋体" w:cs="宋体"/>
          <w:b w:val="0"/>
          <w:kern w:val="0"/>
          <w:szCs w:val="21"/>
        </w:rPr>
        <w:t>售价（元）：0 </w:t>
      </w:r>
    </w:p>
    <w:p>
      <w:pPr>
        <w:widowControl/>
        <w:spacing w:before="75" w:after="75" w:line="360" w:lineRule="exact"/>
        <w:jc w:val="left"/>
        <w:rPr>
          <w:rFonts w:ascii="宋体" w:hAnsi="宋体" w:cs="宋体"/>
          <w:b/>
          <w:bCs/>
          <w:kern w:val="0"/>
          <w:szCs w:val="21"/>
        </w:rPr>
      </w:pPr>
      <w:r>
        <w:rPr>
          <w:rFonts w:hint="eastAsia" w:ascii="宋体" w:hAnsi="宋体" w:cs="宋体"/>
          <w:b/>
          <w:bCs/>
          <w:kern w:val="0"/>
          <w:szCs w:val="21"/>
        </w:rPr>
        <w:t>四、提交投标文件截止时间、开标时间和地点</w:t>
      </w:r>
    </w:p>
    <w:p>
      <w:pPr>
        <w:pStyle w:val="52"/>
        <w:rPr>
          <w:rFonts w:hint="eastAsia" w:hAnsi="宋体" w:cs="宋体"/>
          <w:b w:val="0"/>
          <w:kern w:val="0"/>
          <w:szCs w:val="21"/>
        </w:rPr>
      </w:pPr>
      <w:r>
        <w:rPr>
          <w:rFonts w:hAnsi="宋体" w:cs="宋体"/>
          <w:b w:val="0"/>
          <w:kern w:val="0"/>
          <w:szCs w:val="21"/>
        </w:rPr>
        <w:t>提交投标文件截止时间：</w:t>
      </w:r>
      <w:r>
        <w:rPr>
          <w:rFonts w:hAnsi="宋体" w:cs="宋体"/>
          <w:bCs/>
          <w:kern w:val="0"/>
          <w:szCs w:val="21"/>
        </w:rPr>
        <w:t>202</w:t>
      </w:r>
      <w:r>
        <w:rPr>
          <w:rFonts w:hint="eastAsia" w:hAnsi="宋体" w:cs="宋体"/>
          <w:bCs/>
          <w:kern w:val="0"/>
          <w:szCs w:val="21"/>
        </w:rPr>
        <w:t>5年月日</w:t>
      </w:r>
      <w:r>
        <w:rPr>
          <w:rFonts w:hAnsi="宋体" w:cs="宋体"/>
          <w:bCs/>
          <w:kern w:val="0"/>
          <w:szCs w:val="21"/>
        </w:rPr>
        <w:t>10:00（北京时间）</w:t>
      </w:r>
    </w:p>
    <w:p>
      <w:pPr>
        <w:pStyle w:val="52"/>
        <w:rPr>
          <w:rFonts w:hAnsi="宋体" w:cs="宋体"/>
          <w:b w:val="0"/>
          <w:kern w:val="0"/>
          <w:szCs w:val="21"/>
        </w:rPr>
      </w:pPr>
      <w:r>
        <w:rPr>
          <w:rFonts w:hAnsi="宋体" w:cs="宋体"/>
          <w:b w:val="0"/>
          <w:kern w:val="0"/>
          <w:szCs w:val="21"/>
        </w:rPr>
        <w:t>投标地点（网址）：</w:t>
      </w:r>
      <w:r>
        <w:rPr>
          <w:rFonts w:hint="eastAsia" w:hAnsi="宋体" w:cs="宋体"/>
          <w:b w:val="0"/>
          <w:kern w:val="0"/>
          <w:szCs w:val="21"/>
        </w:rPr>
        <w:t>请登录广西政府采购云平台投标客户端投标</w:t>
      </w:r>
      <w:r>
        <w:rPr>
          <w:rFonts w:hAnsi="宋体" w:cs="宋体"/>
          <w:b w:val="0"/>
          <w:kern w:val="0"/>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pStyle w:val="52"/>
        <w:rPr>
          <w:rFonts w:hint="eastAsia" w:hAnsi="宋体" w:cs="宋体"/>
          <w:b w:val="0"/>
          <w:kern w:val="0"/>
          <w:szCs w:val="21"/>
        </w:rPr>
      </w:pPr>
      <w:r>
        <w:rPr>
          <w:rFonts w:hAnsi="宋体" w:cs="宋体"/>
          <w:b w:val="0"/>
          <w:kern w:val="0"/>
          <w:szCs w:val="21"/>
        </w:rPr>
        <w:t>开标时间：</w:t>
      </w:r>
      <w:r>
        <w:rPr>
          <w:rFonts w:hAnsi="宋体" w:cs="宋体"/>
          <w:bCs/>
          <w:kern w:val="0"/>
          <w:szCs w:val="21"/>
        </w:rPr>
        <w:t>202</w:t>
      </w:r>
      <w:r>
        <w:rPr>
          <w:rFonts w:hint="eastAsia" w:hAnsi="宋体" w:cs="宋体"/>
          <w:bCs/>
          <w:kern w:val="0"/>
          <w:szCs w:val="21"/>
        </w:rPr>
        <w:t>5年月日</w:t>
      </w:r>
      <w:r>
        <w:rPr>
          <w:rFonts w:hAnsi="宋体" w:cs="宋体"/>
          <w:bCs/>
          <w:kern w:val="0"/>
          <w:szCs w:val="21"/>
        </w:rPr>
        <w:t>10:00</w:t>
      </w:r>
    </w:p>
    <w:p>
      <w:pPr>
        <w:pStyle w:val="52"/>
        <w:rPr>
          <w:rFonts w:hAnsi="宋体" w:cs="宋体"/>
          <w:b w:val="0"/>
          <w:kern w:val="0"/>
          <w:szCs w:val="21"/>
        </w:rPr>
      </w:pPr>
      <w:r>
        <w:rPr>
          <w:rFonts w:hAnsi="宋体" w:cs="宋体"/>
          <w:b w:val="0"/>
          <w:kern w:val="0"/>
          <w:szCs w:val="21"/>
        </w:rPr>
        <w:t>开标地点：</w:t>
      </w:r>
      <w:r>
        <w:rPr>
          <w:rFonts w:hint="eastAsia" w:hAnsi="宋体" w:cs="宋体"/>
          <w:b w:val="0"/>
          <w:kern w:val="0"/>
          <w:szCs w:val="21"/>
        </w:rPr>
        <w:t>广西壮族自治区南宁市青秀区广西政府采购云平台开标大厅</w:t>
      </w:r>
    </w:p>
    <w:p>
      <w:pPr>
        <w:widowControl/>
        <w:spacing w:before="75" w:after="75" w:line="360" w:lineRule="exact"/>
        <w:jc w:val="left"/>
        <w:rPr>
          <w:rFonts w:ascii="宋体" w:hAnsi="宋体" w:cs="宋体"/>
          <w:b/>
          <w:bCs/>
          <w:kern w:val="0"/>
          <w:szCs w:val="21"/>
        </w:rPr>
      </w:pPr>
      <w:r>
        <w:rPr>
          <w:rFonts w:hint="eastAsia" w:ascii="宋体" w:hAnsi="宋体" w:cs="宋体"/>
          <w:b/>
          <w:bCs/>
          <w:kern w:val="0"/>
          <w:szCs w:val="21"/>
        </w:rPr>
        <w:t>五、公告期限 </w:t>
      </w:r>
    </w:p>
    <w:p>
      <w:pPr>
        <w:pStyle w:val="52"/>
        <w:rPr>
          <w:rFonts w:hint="eastAsia" w:hAnsi="宋体" w:cs="宋体"/>
          <w:b w:val="0"/>
          <w:kern w:val="0"/>
          <w:szCs w:val="21"/>
        </w:rPr>
      </w:pPr>
      <w:r>
        <w:rPr>
          <w:rFonts w:hAnsi="宋体" w:cs="宋体"/>
          <w:b w:val="0"/>
          <w:kern w:val="0"/>
          <w:szCs w:val="21"/>
        </w:rPr>
        <w:t>自本公告发布之日起5个工作日。</w:t>
      </w:r>
    </w:p>
    <w:p>
      <w:pPr>
        <w:widowControl/>
        <w:spacing w:before="75" w:after="75" w:line="360" w:lineRule="exact"/>
        <w:jc w:val="left"/>
        <w:rPr>
          <w:rFonts w:ascii="宋体" w:hAnsi="宋体" w:cs="宋体"/>
          <w:b/>
          <w:bCs/>
          <w:kern w:val="0"/>
          <w:szCs w:val="21"/>
        </w:rPr>
      </w:pPr>
      <w:r>
        <w:rPr>
          <w:rFonts w:hint="eastAsia" w:ascii="宋体" w:hAnsi="宋体" w:cs="宋体"/>
          <w:b/>
          <w:bCs/>
          <w:kern w:val="0"/>
          <w:szCs w:val="21"/>
        </w:rPr>
        <w:t>六、其他补充事宜</w:t>
      </w:r>
    </w:p>
    <w:p>
      <w:pPr>
        <w:pStyle w:val="52"/>
        <w:rPr>
          <w:rFonts w:hint="eastAsia" w:hAnsi="宋体" w:cs="宋体"/>
          <w:b w:val="0"/>
          <w:kern w:val="0"/>
          <w:szCs w:val="21"/>
        </w:rPr>
      </w:pPr>
      <w:r>
        <w:rPr>
          <w:rFonts w:hAnsi="宋体" w:cs="宋体"/>
          <w:b w:val="0"/>
          <w:kern w:val="0"/>
          <w:szCs w:val="21"/>
        </w:rPr>
        <w:t>1.投标保证金（人民币）：</w:t>
      </w:r>
      <w:r>
        <w:rPr>
          <w:rFonts w:hint="eastAsia" w:hAnsi="宋体" w:cs="宋体"/>
          <w:bCs/>
          <w:kern w:val="0"/>
          <w:szCs w:val="21"/>
          <w:u w:val="single"/>
        </w:rPr>
        <w:t>3</w:t>
      </w:r>
      <w:r>
        <w:rPr>
          <w:rFonts w:hAnsi="宋体" w:cs="宋体"/>
          <w:bCs/>
          <w:kern w:val="0"/>
          <w:szCs w:val="21"/>
          <w:u w:val="single"/>
        </w:rPr>
        <w:t>万元。</w:t>
      </w:r>
      <w:r>
        <w:rPr>
          <w:rFonts w:hAnsi="宋体" w:cs="宋体"/>
          <w:bCs/>
          <w:kern w:val="0"/>
          <w:szCs w:val="21"/>
        </w:rPr>
        <w:t xml:space="preserve">(必须足额交纳) </w:t>
      </w:r>
    </w:p>
    <w:p>
      <w:pPr>
        <w:pStyle w:val="52"/>
        <w:rPr>
          <w:rFonts w:hint="eastAsia" w:hAnsi="宋体" w:cs="宋体"/>
          <w:b w:val="0"/>
          <w:kern w:val="0"/>
          <w:szCs w:val="21"/>
        </w:rPr>
      </w:pPr>
      <w:r>
        <w:rPr>
          <w:rFonts w:hAnsi="宋体" w:cs="宋体"/>
          <w:b w:val="0"/>
          <w:kern w:val="0"/>
          <w:szCs w:val="21"/>
        </w:rPr>
        <w:t>（1）投标保证金交纳形式：支票、汇票、本票、网上银行或者</w:t>
      </w:r>
      <w:r>
        <w:rPr>
          <w:rFonts w:hint="eastAsia" w:hAnsi="宋体" w:cs="宋体"/>
          <w:b w:val="0"/>
          <w:kern w:val="0"/>
          <w:szCs w:val="21"/>
        </w:rPr>
        <w:t>金融机构</w:t>
      </w:r>
      <w:r>
        <w:rPr>
          <w:rFonts w:hAnsi="宋体" w:cs="宋体"/>
          <w:b w:val="0"/>
          <w:kern w:val="0"/>
          <w:szCs w:val="21"/>
        </w:rPr>
        <w:t xml:space="preserve">、保险机构出具的保函等非现金形式。 </w:t>
      </w:r>
    </w:p>
    <w:p>
      <w:pPr>
        <w:pStyle w:val="52"/>
        <w:ind w:firstLine="422"/>
        <w:rPr>
          <w:rFonts w:hint="eastAsia" w:hAnsi="宋体" w:cs="宋体"/>
          <w:bCs/>
          <w:kern w:val="0"/>
          <w:szCs w:val="21"/>
        </w:rPr>
      </w:pPr>
      <w:r>
        <w:rPr>
          <w:rFonts w:hAnsi="宋体" w:cs="宋体"/>
          <w:bCs/>
          <w:kern w:val="0"/>
          <w:szCs w:val="21"/>
        </w:rPr>
        <w:t>（2）采用网上银行转账形式的，投标人应于提交投标文件截止时间前将投标保证金交至以下账户。</w:t>
      </w:r>
    </w:p>
    <w:p>
      <w:pPr>
        <w:pStyle w:val="52"/>
        <w:ind w:firstLine="422"/>
        <w:rPr>
          <w:rFonts w:hint="eastAsia" w:hAnsi="宋体" w:cs="宋体"/>
          <w:bCs/>
          <w:kern w:val="0"/>
          <w:szCs w:val="21"/>
        </w:rPr>
      </w:pPr>
      <w:r>
        <w:rPr>
          <w:rFonts w:hAnsi="宋体" w:cs="宋体"/>
          <w:bCs/>
          <w:kern w:val="0"/>
          <w:szCs w:val="21"/>
        </w:rPr>
        <w:t>开户名称：广西壮族自治区政府采购中心</w:t>
      </w:r>
      <w:r>
        <w:rPr>
          <w:rFonts w:hint="eastAsia" w:hAnsi="宋体" w:cs="宋体"/>
          <w:bCs/>
          <w:kern w:val="0"/>
          <w:szCs w:val="21"/>
        </w:rPr>
        <w:t>；</w:t>
      </w:r>
      <w:r>
        <w:rPr>
          <w:rFonts w:hAnsi="宋体" w:cs="宋体"/>
          <w:bCs/>
          <w:kern w:val="0"/>
          <w:szCs w:val="21"/>
        </w:rPr>
        <w:t xml:space="preserve"> </w:t>
      </w:r>
    </w:p>
    <w:p>
      <w:pPr>
        <w:pStyle w:val="52"/>
        <w:ind w:firstLine="422"/>
        <w:rPr>
          <w:rFonts w:hint="eastAsia" w:hAnsi="宋体" w:cs="宋体"/>
          <w:bCs/>
          <w:kern w:val="0"/>
          <w:szCs w:val="21"/>
        </w:rPr>
      </w:pPr>
      <w:r>
        <w:rPr>
          <w:rFonts w:hAnsi="宋体" w:cs="宋体"/>
          <w:bCs/>
          <w:kern w:val="0"/>
          <w:szCs w:val="21"/>
        </w:rPr>
        <w:t>开户银行：</w:t>
      </w:r>
      <w:r>
        <w:rPr>
          <w:rFonts w:hint="eastAsia" w:hAnsi="宋体" w:cs="宋体"/>
          <w:bCs/>
          <w:kern w:val="0"/>
          <w:szCs w:val="21"/>
        </w:rPr>
        <w:t>中国农业银行股份有限公司南宁市古城支行；</w:t>
      </w:r>
      <w:r>
        <w:rPr>
          <w:rFonts w:hAnsi="宋体" w:cs="宋体"/>
          <w:bCs/>
          <w:kern w:val="0"/>
          <w:szCs w:val="21"/>
        </w:rPr>
        <w:t xml:space="preserve"> </w:t>
      </w:r>
    </w:p>
    <w:p>
      <w:pPr>
        <w:pStyle w:val="52"/>
        <w:ind w:firstLine="422"/>
        <w:rPr>
          <w:rFonts w:hint="eastAsia" w:hAnsi="宋体" w:cs="宋体"/>
          <w:bCs/>
          <w:kern w:val="0"/>
          <w:szCs w:val="21"/>
        </w:rPr>
      </w:pPr>
      <w:r>
        <w:rPr>
          <w:rFonts w:hAnsi="宋体" w:cs="宋体"/>
          <w:bCs/>
          <w:kern w:val="0"/>
          <w:szCs w:val="21"/>
        </w:rPr>
        <w:t>银行</w:t>
      </w:r>
      <w:r>
        <w:rPr>
          <w:rFonts w:hint="eastAsia" w:hAnsi="宋体" w:cs="宋体"/>
          <w:bCs/>
          <w:kern w:val="0"/>
          <w:szCs w:val="21"/>
        </w:rPr>
        <w:t>账</w:t>
      </w:r>
      <w:r>
        <w:rPr>
          <w:rFonts w:hAnsi="宋体" w:cs="宋体"/>
          <w:bCs/>
          <w:kern w:val="0"/>
          <w:szCs w:val="21"/>
        </w:rPr>
        <w:t>号：</w:t>
      </w:r>
      <w:r>
        <w:rPr>
          <w:rFonts w:hint="eastAsia" w:hAnsi="宋体" w:cs="宋体"/>
          <w:bCs/>
          <w:kern w:val="0"/>
          <w:szCs w:val="21"/>
        </w:rPr>
        <w:t xml:space="preserve">20009101040051648 </w:t>
      </w:r>
    </w:p>
    <w:p>
      <w:pPr>
        <w:pStyle w:val="52"/>
        <w:rPr>
          <w:rFonts w:hint="eastAsia" w:hAnsi="宋体" w:cs="宋体"/>
          <w:b w:val="0"/>
          <w:kern w:val="0"/>
          <w:szCs w:val="21"/>
        </w:rPr>
      </w:pPr>
      <w:r>
        <w:rPr>
          <w:rFonts w:hAnsi="宋体" w:cs="宋体"/>
          <w:b w:val="0"/>
          <w:kern w:val="0"/>
          <w:szCs w:val="21"/>
        </w:rPr>
        <w:t>（3）采用支票、汇票、本票或者保函等形式的，投标人应于提交投标文件截止时间前递交单独密封的支票、汇票、本票或者保函</w:t>
      </w:r>
      <w:r>
        <w:rPr>
          <w:rFonts w:hint="eastAsia" w:hAnsi="宋体" w:cs="宋体"/>
          <w:bCs/>
          <w:kern w:val="0"/>
          <w:szCs w:val="21"/>
        </w:rPr>
        <w:t>（电子保函除外）</w:t>
      </w:r>
      <w:r>
        <w:rPr>
          <w:rFonts w:hAnsi="宋体" w:cs="宋体"/>
          <w:b w:val="0"/>
          <w:kern w:val="0"/>
          <w:szCs w:val="21"/>
        </w:rPr>
        <w:t xml:space="preserve">原件至我中心财务处。 </w:t>
      </w:r>
    </w:p>
    <w:p>
      <w:pPr>
        <w:pStyle w:val="52"/>
        <w:ind w:firstLine="422"/>
        <w:rPr>
          <w:rFonts w:hint="eastAsia" w:hAnsi="宋体" w:cs="宋体"/>
          <w:bCs/>
          <w:kern w:val="0"/>
          <w:szCs w:val="21"/>
        </w:rPr>
      </w:pPr>
      <w:r>
        <w:rPr>
          <w:rFonts w:hAnsi="宋体" w:cs="宋体"/>
          <w:bCs/>
          <w:kern w:val="0"/>
          <w:szCs w:val="21"/>
        </w:rPr>
        <w:t>（4）本中心财务处联系方式： 地址：</w:t>
      </w:r>
      <w:r>
        <w:rPr>
          <w:rFonts w:hAnsi="宋体" w:cs="宋体"/>
          <w:bCs/>
          <w:kern w:val="0"/>
          <w:szCs w:val="21"/>
          <w:lang w:val="en"/>
        </w:rPr>
        <w:t>广西南宁市星湖路22号广西壮族自治区政府采购中心综合楼3楼306室</w:t>
      </w:r>
      <w:r>
        <w:rPr>
          <w:rFonts w:hAnsi="宋体" w:cs="宋体"/>
          <w:bCs/>
          <w:kern w:val="0"/>
          <w:szCs w:val="21"/>
        </w:rPr>
        <w:t>；</w:t>
      </w:r>
      <w:r>
        <w:rPr>
          <w:rFonts w:hAnsi="宋体" w:cs="宋体"/>
          <w:bCs/>
          <w:kern w:val="0"/>
          <w:szCs w:val="21"/>
          <w:u w:val="single"/>
        </w:rPr>
        <w:t>电话：0771-</w:t>
      </w:r>
      <w:r>
        <w:rPr>
          <w:rFonts w:hint="eastAsia" w:hAnsi="宋体" w:cs="宋体"/>
          <w:bCs/>
          <w:kern w:val="0"/>
          <w:szCs w:val="21"/>
          <w:u w:val="single"/>
        </w:rPr>
        <w:t>8600309</w:t>
      </w:r>
      <w:r>
        <w:rPr>
          <w:rFonts w:hAnsi="宋体" w:cs="宋体"/>
          <w:bCs/>
          <w:kern w:val="0"/>
          <w:szCs w:val="21"/>
          <w:u w:val="single"/>
        </w:rPr>
        <w:t>。</w:t>
      </w:r>
    </w:p>
    <w:p>
      <w:pPr>
        <w:pStyle w:val="52"/>
        <w:rPr>
          <w:rFonts w:hint="eastAsia" w:hAnsi="宋体" w:cs="宋体"/>
          <w:b w:val="0"/>
          <w:kern w:val="0"/>
          <w:szCs w:val="21"/>
        </w:rPr>
      </w:pPr>
      <w:r>
        <w:rPr>
          <w:rFonts w:hAnsi="宋体" w:cs="宋体"/>
          <w:b w:val="0"/>
          <w:kern w:val="0"/>
          <w:szCs w:val="21"/>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52"/>
        <w:rPr>
          <w:rFonts w:hint="eastAsia" w:hAnsi="宋体" w:cs="宋体"/>
          <w:b w:val="0"/>
          <w:kern w:val="0"/>
          <w:szCs w:val="21"/>
        </w:rPr>
      </w:pPr>
      <w:r>
        <w:rPr>
          <w:rFonts w:hAnsi="宋体" w:cs="宋体"/>
          <w:b w:val="0"/>
          <w:kern w:val="0"/>
          <w:szCs w:val="21"/>
        </w:rPr>
        <w:t>3.网上公告媒体查询： 中国政府采购网（www.ccgp.gov.cn）、广西壮族自治区政府采购网（zfcg.gxzf.gov.cn）、广西壮族自治区政府采购中心网站（</w:t>
      </w:r>
      <w:r>
        <w:rPr>
          <w:rFonts w:hint="eastAsia" w:hAnsi="宋体" w:cs="宋体"/>
          <w:kern w:val="0"/>
          <w:szCs w:val="21"/>
        </w:rPr>
        <w:t>gxggzy.gxzf.gov.cn</w:t>
      </w:r>
      <w:r>
        <w:rPr>
          <w:rFonts w:hAnsi="宋体" w:cs="宋体"/>
          <w:b w:val="0"/>
          <w:kern w:val="0"/>
          <w:szCs w:val="21"/>
        </w:rPr>
        <w:t>）。</w:t>
      </w:r>
    </w:p>
    <w:p>
      <w:pPr>
        <w:pStyle w:val="52"/>
        <w:rPr>
          <w:rFonts w:hint="eastAsia" w:hAnsi="宋体" w:cs="宋体"/>
          <w:b w:val="0"/>
          <w:kern w:val="0"/>
          <w:szCs w:val="21"/>
        </w:rPr>
      </w:pPr>
      <w:r>
        <w:rPr>
          <w:rFonts w:hAnsi="宋体" w:cs="宋体"/>
          <w:b w:val="0"/>
          <w:kern w:val="0"/>
          <w:szCs w:val="21"/>
        </w:rPr>
        <w:t>4.其他注意事项：</w:t>
      </w:r>
    </w:p>
    <w:p>
      <w:pPr>
        <w:pStyle w:val="52"/>
        <w:rPr>
          <w:rFonts w:hint="eastAsia" w:hAnsi="宋体" w:cs="宋体"/>
          <w:b w:val="0"/>
          <w:kern w:val="0"/>
          <w:szCs w:val="21"/>
        </w:rPr>
      </w:pPr>
      <w:r>
        <w:rPr>
          <w:rFonts w:hAnsi="宋体" w:cs="宋体"/>
          <w:b w:val="0"/>
          <w:kern w:val="0"/>
          <w:szCs w:val="21"/>
        </w:rPr>
        <w:t>（1）本项目实行电子投标，供应商应按照本项目招标文件和</w:t>
      </w:r>
      <w:r>
        <w:rPr>
          <w:rFonts w:hAnsi="宋体" w:cs="宋体"/>
          <w:bCs/>
          <w:kern w:val="0"/>
          <w:szCs w:val="21"/>
          <w:lang w:val="en"/>
        </w:rPr>
        <w:t>广西政府采购云平台</w:t>
      </w:r>
      <w:r>
        <w:rPr>
          <w:rFonts w:hAnsi="宋体" w:cs="宋体"/>
          <w:b w:val="0"/>
          <w:kern w:val="0"/>
          <w:szCs w:val="21"/>
        </w:rPr>
        <w:t>的要求编制、加密并提交投标文件。供应商在使用系统参与投标过程中遇到涉及平台使用的任何问题，</w:t>
      </w:r>
      <w:r>
        <w:rPr>
          <w:rFonts w:hAnsi="宋体" w:cs="宋体"/>
          <w:bCs/>
          <w:kern w:val="0"/>
          <w:szCs w:val="21"/>
        </w:rPr>
        <w:t>可致电政采云平台技术支持热线咨询，联系方式：</w:t>
      </w:r>
      <w:r>
        <w:rPr>
          <w:rFonts w:hAnsi="宋体" w:cs="宋体"/>
          <w:bCs/>
          <w:kern w:val="0"/>
          <w:szCs w:val="21"/>
          <w:u w:val="single"/>
          <w:lang w:val="en"/>
        </w:rPr>
        <w:t>95763</w:t>
      </w:r>
      <w:r>
        <w:rPr>
          <w:rFonts w:hAnsi="宋体" w:cs="宋体"/>
          <w:b w:val="0"/>
          <w:kern w:val="0"/>
          <w:szCs w:val="21"/>
          <w:u w:val="single"/>
        </w:rPr>
        <w:t>。</w:t>
      </w:r>
      <w:r>
        <w:rPr>
          <w:rFonts w:hAnsi="宋体" w:cs="宋体"/>
          <w:b w:val="0"/>
          <w:kern w:val="0"/>
          <w:szCs w:val="21"/>
        </w:rPr>
        <w:t xml:space="preserve"> </w:t>
      </w:r>
    </w:p>
    <w:p>
      <w:pPr>
        <w:pStyle w:val="52"/>
        <w:rPr>
          <w:rFonts w:hint="eastAsia" w:hAnsi="宋体" w:cs="宋体"/>
          <w:b w:val="0"/>
          <w:kern w:val="0"/>
          <w:szCs w:val="21"/>
        </w:rPr>
      </w:pPr>
      <w:r>
        <w:rPr>
          <w:rFonts w:hAnsi="宋体" w:cs="宋体"/>
          <w:b w:val="0"/>
          <w:kern w:val="0"/>
          <w:szCs w:val="21"/>
        </w:rPr>
        <w:t>（2）供应商应及时熟悉掌握电子标系统操作指南（见政采云电子卖场首页右上角—服务中心—帮助文档—项目采购）：https://service.zcygov.cn/#/knowledges/tree?tag</w:t>
      </w:r>
      <w:r>
        <w:rPr>
          <w:rFonts w:hint="eastAsia" w:hAnsi="宋体" w:cs="宋体"/>
          <w:b w:val="0"/>
          <w:kern w:val="0"/>
          <w:szCs w:val="21"/>
        </w:rPr>
        <w:t>≥</w:t>
      </w:r>
      <w:r>
        <w:rPr>
          <w:rFonts w:hAnsi="宋体" w:cs="宋体"/>
          <w:b w:val="0"/>
          <w:kern w:val="0"/>
          <w:szCs w:val="21"/>
        </w:rPr>
        <w:t xml:space="preserve">AG1DtGwBFdiHxlNdhY0r。 </w:t>
      </w:r>
    </w:p>
    <w:p>
      <w:pPr>
        <w:pStyle w:val="52"/>
        <w:rPr>
          <w:rFonts w:hint="eastAsia" w:hAnsi="宋体" w:cs="宋体"/>
          <w:b w:val="0"/>
          <w:kern w:val="0"/>
          <w:szCs w:val="21"/>
        </w:rPr>
      </w:pPr>
      <w:r>
        <w:rPr>
          <w:rFonts w:hAnsi="宋体" w:cs="宋体"/>
          <w:b w:val="0"/>
          <w:kern w:val="0"/>
          <w:szCs w:val="21"/>
        </w:rPr>
        <w:t xml:space="preserve">（3）供应商应及时完成CA申领和绑定（见广西壮族自治区政府采购网—办事服务—下载专区-政采云CA证书办理操作指南）。 </w:t>
      </w:r>
    </w:p>
    <w:p>
      <w:pPr>
        <w:pStyle w:val="52"/>
        <w:rPr>
          <w:rFonts w:hint="eastAsia" w:hAnsi="宋体" w:cs="宋体"/>
          <w:b w:val="0"/>
          <w:kern w:val="0"/>
          <w:szCs w:val="21"/>
        </w:rPr>
      </w:pPr>
      <w:r>
        <w:rPr>
          <w:rFonts w:hAnsi="宋体" w:cs="宋体"/>
          <w:b w:val="0"/>
          <w:kern w:val="0"/>
          <w:szCs w:val="21"/>
        </w:rPr>
        <w:t>（4）供应商通过</w:t>
      </w:r>
      <w:r>
        <w:rPr>
          <w:rFonts w:hAnsi="宋体" w:cs="宋体"/>
          <w:bCs/>
          <w:kern w:val="0"/>
          <w:szCs w:val="21"/>
          <w:lang w:val="en"/>
        </w:rPr>
        <w:t>广西政府采购云平台</w:t>
      </w:r>
      <w:r>
        <w:rPr>
          <w:rFonts w:hAnsi="宋体" w:cs="宋体"/>
          <w:b w:val="0"/>
          <w:kern w:val="0"/>
          <w:szCs w:val="21"/>
        </w:rPr>
        <w:t>投标客户端软件制作投标文件，</w:t>
      </w:r>
      <w:r>
        <w:rPr>
          <w:rFonts w:hAnsi="宋体" w:cs="宋体"/>
          <w:bCs/>
          <w:kern w:val="0"/>
          <w:szCs w:val="21"/>
          <w:lang w:val="en"/>
        </w:rPr>
        <w:t>广西政府采购云平台</w:t>
      </w:r>
      <w:r>
        <w:rPr>
          <w:rFonts w:hAnsi="宋体" w:cs="宋体"/>
          <w:b w:val="0"/>
          <w:kern w:val="0"/>
          <w:szCs w:val="21"/>
        </w:rPr>
        <w:t xml:space="preserve">投标客户端软件请供应商自行前往下载并安装（见广西壮族自治区政府采购网—办事服务—下载专区-广西壮族自治区全流程电子招投标项目管理系统--供应商客户端）。 </w:t>
      </w:r>
    </w:p>
    <w:p>
      <w:pPr>
        <w:pStyle w:val="52"/>
        <w:rPr>
          <w:rFonts w:hint="eastAsia" w:hAnsi="宋体" w:cs="宋体"/>
          <w:b w:val="0"/>
          <w:kern w:val="0"/>
          <w:szCs w:val="21"/>
        </w:rPr>
      </w:pPr>
      <w:r>
        <w:rPr>
          <w:rFonts w:hAnsi="宋体" w:cs="宋体"/>
          <w:b w:val="0"/>
          <w:kern w:val="0"/>
          <w:szCs w:val="21"/>
        </w:rPr>
        <w:t>（5）因未注册入库、未办理CA数字证书、CA证书故障、操作不当等原因造成无法投标或投标失败等后果由供应商自行承担。</w:t>
      </w:r>
    </w:p>
    <w:p>
      <w:pPr>
        <w:pStyle w:val="52"/>
        <w:spacing w:line="360" w:lineRule="auto"/>
        <w:rPr>
          <w:rFonts w:hint="eastAsia" w:hAnsi="宋体" w:cs="宋体"/>
          <w:b w:val="0"/>
          <w:kern w:val="0"/>
          <w:szCs w:val="21"/>
        </w:rPr>
      </w:pPr>
      <w:r>
        <w:rPr>
          <w:rFonts w:hint="eastAsia" w:hAnsi="宋体" w:cs="宋体"/>
          <w:b w:val="0"/>
          <w:kern w:val="0"/>
          <w:szCs w:val="21"/>
        </w:rPr>
        <w:t>（6）</w:t>
      </w:r>
      <w:r>
        <w:rPr>
          <w:rFonts w:hAnsi="宋体" w:cs="宋体"/>
          <w:b w:val="0"/>
          <w:kern w:val="0"/>
          <w:szCs w:val="21"/>
        </w:rPr>
        <w:t>投标文件网上提交截止后，</w:t>
      </w:r>
      <w:r>
        <w:rPr>
          <w:rFonts w:hAnsi="宋体" w:cs="宋体"/>
          <w:bCs/>
          <w:kern w:val="0"/>
          <w:szCs w:val="21"/>
          <w:lang w:val="en"/>
        </w:rPr>
        <w:t>广西政府采购云平台</w:t>
      </w:r>
      <w:r>
        <w:rPr>
          <w:rFonts w:hAnsi="宋体" w:cs="宋体"/>
          <w:b w:val="0"/>
          <w:kern w:val="0"/>
          <w:szCs w:val="21"/>
        </w:rPr>
        <w:t>（电子标系统）自动提取所有投标文件，各供应商须在开标开始后30分钟内对上传</w:t>
      </w:r>
      <w:r>
        <w:rPr>
          <w:rFonts w:hAnsi="宋体" w:cs="宋体"/>
          <w:bCs/>
          <w:kern w:val="0"/>
          <w:szCs w:val="21"/>
          <w:lang w:val="en"/>
        </w:rPr>
        <w:t>广西政府采购云平台</w:t>
      </w:r>
      <w:r>
        <w:rPr>
          <w:rFonts w:hAnsi="宋体" w:cs="宋体"/>
          <w:b w:val="0"/>
          <w:kern w:val="0"/>
          <w:szCs w:val="21"/>
        </w:rPr>
        <w:t>的投标文件进行解密，所有供应商在规定的解密时限内解密完成或解密时限结束后，本中心开启投标文件；供应商超过解密时限未完成解密的，系统默认其自动放弃。</w:t>
      </w:r>
    </w:p>
    <w:p>
      <w:pPr>
        <w:spacing w:line="360" w:lineRule="auto"/>
        <w:rPr>
          <w:rFonts w:hint="eastAsia"/>
        </w:rPr>
      </w:pPr>
      <w:r>
        <w:rPr>
          <w:rFonts w:hint="eastAsia"/>
        </w:rPr>
        <w:t xml:space="preserve">   </w:t>
      </w:r>
      <w:r>
        <w:t>（7）提交</w:t>
      </w:r>
      <w:r>
        <w:rPr>
          <w:rFonts w:hint="eastAsia"/>
        </w:rPr>
        <w:t>小样</w:t>
      </w:r>
      <w:r>
        <w:t>：</w:t>
      </w:r>
    </w:p>
    <w:p>
      <w:pPr>
        <w:spacing w:line="360" w:lineRule="auto"/>
        <w:ind w:firstLine="420" w:firstLineChars="200"/>
        <w:rPr>
          <w:rFonts w:hint="eastAsia"/>
        </w:rPr>
      </w:pPr>
      <w:r>
        <w:t>1）提交</w:t>
      </w:r>
      <w:r>
        <w:rPr>
          <w:rFonts w:hint="eastAsia"/>
        </w:rPr>
        <w:t>小样的</w:t>
      </w:r>
      <w:r>
        <w:t>时间为</w:t>
      </w:r>
      <w:r>
        <w:rPr>
          <w:b/>
          <w:bCs/>
        </w:rPr>
        <w:t>开标当天提交投标文件截止时间</w:t>
      </w:r>
      <w:r>
        <w:rPr>
          <w:rFonts w:hint="eastAsia"/>
          <w:b/>
          <w:bCs/>
        </w:rPr>
        <w:t>（9：30—10：00）</w:t>
      </w:r>
      <w:r>
        <w:rPr>
          <w:b/>
          <w:bCs/>
        </w:rPr>
        <w:t>前</w:t>
      </w:r>
      <w:r>
        <w:t>。</w:t>
      </w:r>
    </w:p>
    <w:p>
      <w:pPr>
        <w:spacing w:line="360" w:lineRule="auto"/>
        <w:ind w:firstLine="420" w:firstLineChars="200"/>
      </w:pPr>
      <w:r>
        <w:t>2）提交</w:t>
      </w:r>
      <w:r>
        <w:rPr>
          <w:rFonts w:hint="eastAsia"/>
        </w:rPr>
        <w:t>小样的</w:t>
      </w:r>
      <w:r>
        <w:t>地点为</w:t>
      </w:r>
      <w:r>
        <w:rPr>
          <w:rFonts w:hint="eastAsia" w:ascii="宋体" w:hAnsi="宋体"/>
          <w:b/>
          <w:bCs/>
          <w:szCs w:val="21"/>
        </w:rPr>
        <w:t>南宁市星湖路22号评标楼（4号楼）三楼303室</w:t>
      </w:r>
      <w:r>
        <w:t>。</w:t>
      </w:r>
    </w:p>
    <w:p>
      <w:pPr>
        <w:spacing w:line="360" w:lineRule="auto"/>
        <w:ind w:firstLine="420" w:firstLineChars="200"/>
        <w:rPr>
          <w:rFonts w:hint="eastAsia"/>
        </w:rPr>
      </w:pPr>
      <w:r>
        <w:t>3）提交</w:t>
      </w:r>
      <w:r>
        <w:rPr>
          <w:rFonts w:hint="eastAsia"/>
        </w:rPr>
        <w:t>小样</w:t>
      </w:r>
      <w:r>
        <w:t>的代表须向采购代理机构工作人员提供</w:t>
      </w:r>
      <w:r>
        <w:rPr>
          <w:rFonts w:hint="eastAsia"/>
        </w:rPr>
        <w:t>“提交小样</w:t>
      </w:r>
      <w:r>
        <w:t>授权委托书</w:t>
      </w:r>
      <w:r>
        <w:rPr>
          <w:rFonts w:hint="eastAsia"/>
        </w:rPr>
        <w:t>”原件。</w:t>
      </w:r>
    </w:p>
    <w:p>
      <w:pPr>
        <w:spacing w:line="360" w:lineRule="auto"/>
        <w:ind w:firstLine="420" w:firstLineChars="200"/>
        <w:rPr>
          <w:rFonts w:hint="eastAsia"/>
        </w:rPr>
      </w:pPr>
      <w:r>
        <w:rPr>
          <w:rFonts w:hint="eastAsia"/>
        </w:rPr>
        <w:t>4）小样须按“第二章招标项目采购需求”中有关的规定密封（包装）提交。</w:t>
      </w:r>
    </w:p>
    <w:p>
      <w:pPr>
        <w:widowControl/>
        <w:spacing w:before="75" w:after="75" w:line="360" w:lineRule="exact"/>
        <w:jc w:val="left"/>
        <w:rPr>
          <w:rFonts w:ascii="宋体" w:hAnsi="宋体" w:cs="宋体"/>
          <w:b/>
          <w:bCs/>
          <w:kern w:val="0"/>
          <w:szCs w:val="21"/>
        </w:rPr>
      </w:pPr>
      <w:r>
        <w:rPr>
          <w:rFonts w:hint="eastAsia" w:ascii="宋体" w:hAnsi="宋体" w:cs="宋体"/>
          <w:b/>
          <w:bCs/>
          <w:kern w:val="0"/>
          <w:szCs w:val="21"/>
        </w:rPr>
        <w:t>七、对本次采购提出询问，请按以下方式联系</w:t>
      </w:r>
    </w:p>
    <w:p>
      <w:pPr>
        <w:pStyle w:val="52"/>
        <w:rPr>
          <w:rFonts w:hint="eastAsia" w:hAnsi="宋体" w:cs="宋体"/>
          <w:b w:val="0"/>
          <w:kern w:val="0"/>
          <w:szCs w:val="21"/>
        </w:rPr>
      </w:pPr>
      <w:r>
        <w:rPr>
          <w:rFonts w:hAnsi="宋体" w:cs="宋体"/>
          <w:b w:val="0"/>
          <w:kern w:val="0"/>
          <w:szCs w:val="21"/>
        </w:rPr>
        <w:t>1.采购人信息</w:t>
      </w:r>
    </w:p>
    <w:p>
      <w:pPr>
        <w:pStyle w:val="52"/>
        <w:rPr>
          <w:rFonts w:hint="eastAsia" w:hAnsi="宋体" w:cs="宋体"/>
          <w:b w:val="0"/>
          <w:bCs/>
          <w:kern w:val="0"/>
          <w:szCs w:val="21"/>
        </w:rPr>
      </w:pPr>
      <w:r>
        <w:rPr>
          <w:rFonts w:hAnsi="宋体" w:cs="宋体"/>
          <w:b w:val="0"/>
          <w:kern w:val="0"/>
          <w:szCs w:val="21"/>
        </w:rPr>
        <w:t> 名   称：</w:t>
      </w:r>
      <w:r>
        <w:rPr>
          <w:rFonts w:hint="eastAsia" w:hAnsi="宋体"/>
          <w:b w:val="0"/>
        </w:rPr>
        <w:t xml:space="preserve"> </w:t>
      </w:r>
      <w:r>
        <w:rPr>
          <w:rFonts w:hAnsi="宋体" w:cs="Arial"/>
          <w:b w:val="0"/>
          <w:bCs/>
          <w:kern w:val="0"/>
          <w:szCs w:val="21"/>
          <w:lang w:val="en"/>
        </w:rPr>
        <w:t>广西</w:t>
      </w:r>
      <w:r>
        <w:rPr>
          <w:rFonts w:hint="eastAsia" w:hAnsi="宋体" w:cs="Arial"/>
          <w:b w:val="0"/>
          <w:bCs/>
          <w:kern w:val="0"/>
          <w:szCs w:val="21"/>
          <w:lang w:val="en"/>
        </w:rPr>
        <w:t>民族大学</w:t>
      </w:r>
    </w:p>
    <w:p>
      <w:pPr>
        <w:pStyle w:val="52"/>
        <w:rPr>
          <w:rFonts w:hint="eastAsia" w:hAnsi="宋体" w:cs="宋体"/>
          <w:b w:val="0"/>
          <w:bCs/>
          <w:kern w:val="0"/>
          <w:szCs w:val="21"/>
        </w:rPr>
      </w:pPr>
      <w:r>
        <w:rPr>
          <w:rFonts w:hAnsi="宋体" w:cs="宋体"/>
          <w:b w:val="0"/>
          <w:bCs/>
          <w:kern w:val="0"/>
          <w:szCs w:val="21"/>
        </w:rPr>
        <w:t> 地   址：</w:t>
      </w:r>
      <w:r>
        <w:rPr>
          <w:rFonts w:hint="eastAsia" w:hAnsi="宋体"/>
          <w:b w:val="0"/>
          <w:bCs/>
        </w:rPr>
        <w:t xml:space="preserve"> 广西南宁市大学东路188号</w:t>
      </w:r>
    </w:p>
    <w:p>
      <w:pPr>
        <w:pStyle w:val="52"/>
        <w:rPr>
          <w:rFonts w:hint="eastAsia" w:hAnsi="宋体" w:cs="宋体"/>
          <w:b w:val="0"/>
          <w:bCs/>
          <w:kern w:val="0"/>
          <w:szCs w:val="21"/>
        </w:rPr>
      </w:pPr>
      <w:r>
        <w:rPr>
          <w:rFonts w:hAnsi="宋体" w:cs="宋体"/>
          <w:b w:val="0"/>
          <w:bCs/>
          <w:kern w:val="0"/>
          <w:szCs w:val="21"/>
        </w:rPr>
        <w:t> 项目联系人：</w:t>
      </w:r>
      <w:r>
        <w:rPr>
          <w:rFonts w:hint="eastAsia" w:hAnsi="宋体"/>
          <w:b w:val="0"/>
          <w:bCs/>
        </w:rPr>
        <w:t xml:space="preserve"> 杨秋霞</w:t>
      </w:r>
    </w:p>
    <w:p>
      <w:pPr>
        <w:pStyle w:val="52"/>
        <w:rPr>
          <w:rFonts w:hint="eastAsia" w:hAnsi="宋体" w:cs="宋体"/>
          <w:b w:val="0"/>
          <w:bCs/>
          <w:kern w:val="0"/>
          <w:szCs w:val="21"/>
        </w:rPr>
      </w:pPr>
      <w:r>
        <w:rPr>
          <w:rFonts w:hAnsi="宋体" w:cs="宋体"/>
          <w:b w:val="0"/>
          <w:bCs/>
          <w:kern w:val="0"/>
          <w:szCs w:val="21"/>
        </w:rPr>
        <w:t> 项目联系方式：</w:t>
      </w:r>
      <w:r>
        <w:rPr>
          <w:rFonts w:hint="eastAsia" w:hAnsi="宋体"/>
          <w:b w:val="0"/>
          <w:bCs/>
        </w:rPr>
        <w:t xml:space="preserve"> 0771-3265816</w:t>
      </w:r>
    </w:p>
    <w:p>
      <w:pPr>
        <w:pStyle w:val="52"/>
        <w:rPr>
          <w:rFonts w:hAnsi="宋体" w:cs="宋体"/>
          <w:b w:val="0"/>
          <w:kern w:val="0"/>
          <w:szCs w:val="21"/>
        </w:rPr>
      </w:pPr>
      <w:r>
        <w:rPr>
          <w:rFonts w:hAnsi="宋体" w:cs="宋体"/>
          <w:b w:val="0"/>
          <w:kern w:val="0"/>
          <w:szCs w:val="21"/>
        </w:rPr>
        <w:t>2.采购代理机构信息</w:t>
      </w:r>
    </w:p>
    <w:p>
      <w:pPr>
        <w:pStyle w:val="52"/>
        <w:rPr>
          <w:rFonts w:hAnsi="宋体" w:cs="宋体"/>
          <w:b w:val="0"/>
          <w:kern w:val="0"/>
          <w:szCs w:val="21"/>
        </w:rPr>
      </w:pPr>
      <w:r>
        <w:rPr>
          <w:rFonts w:hAnsi="宋体" w:cs="宋体"/>
          <w:b w:val="0"/>
          <w:kern w:val="0"/>
          <w:szCs w:val="21"/>
        </w:rPr>
        <w:t xml:space="preserve"> 名   </w:t>
      </w:r>
      <w:r>
        <w:rPr>
          <w:rFonts w:hint="eastAsia" w:hAnsi="宋体" w:cs="宋体"/>
          <w:b w:val="0"/>
          <w:kern w:val="0"/>
          <w:szCs w:val="21"/>
        </w:rPr>
        <w:t xml:space="preserve"> </w:t>
      </w:r>
      <w:r>
        <w:rPr>
          <w:rFonts w:hAnsi="宋体" w:cs="宋体"/>
          <w:b w:val="0"/>
          <w:kern w:val="0"/>
          <w:szCs w:val="21"/>
        </w:rPr>
        <w:t>称：广西壮族自治区政府采购中心</w:t>
      </w:r>
    </w:p>
    <w:p>
      <w:pPr>
        <w:pStyle w:val="52"/>
        <w:rPr>
          <w:rFonts w:hAnsi="宋体" w:cs="宋体"/>
          <w:b w:val="0"/>
          <w:kern w:val="0"/>
          <w:szCs w:val="21"/>
        </w:rPr>
      </w:pPr>
      <w:r>
        <w:rPr>
          <w:rFonts w:hAnsi="宋体" w:cs="宋体"/>
          <w:b w:val="0"/>
          <w:kern w:val="0"/>
          <w:szCs w:val="21"/>
        </w:rPr>
        <w:t> 地   址：广西南宁市</w:t>
      </w:r>
      <w:r>
        <w:rPr>
          <w:rFonts w:hint="eastAsia" w:hAnsi="宋体" w:cs="宋体"/>
          <w:b w:val="0"/>
          <w:kern w:val="0"/>
          <w:szCs w:val="21"/>
        </w:rPr>
        <w:t>星湖</w:t>
      </w:r>
      <w:r>
        <w:rPr>
          <w:rFonts w:hAnsi="宋体" w:cs="宋体"/>
          <w:b w:val="0"/>
          <w:kern w:val="0"/>
          <w:szCs w:val="21"/>
        </w:rPr>
        <w:t>路</w:t>
      </w:r>
      <w:r>
        <w:rPr>
          <w:rFonts w:hint="eastAsia" w:hAnsi="宋体" w:cs="宋体"/>
          <w:b w:val="0"/>
          <w:kern w:val="0"/>
          <w:szCs w:val="21"/>
        </w:rPr>
        <w:t>22</w:t>
      </w:r>
      <w:r>
        <w:rPr>
          <w:rFonts w:hAnsi="宋体" w:cs="宋体"/>
          <w:b w:val="0"/>
          <w:kern w:val="0"/>
          <w:szCs w:val="21"/>
        </w:rPr>
        <w:t>号</w:t>
      </w:r>
    </w:p>
    <w:p>
      <w:pPr>
        <w:pStyle w:val="52"/>
        <w:rPr>
          <w:rFonts w:hAnsi="宋体" w:cs="宋体"/>
          <w:b w:val="0"/>
          <w:kern w:val="0"/>
          <w:szCs w:val="21"/>
          <w:lang w:val="en"/>
        </w:rPr>
      </w:pPr>
      <w:r>
        <w:rPr>
          <w:rFonts w:hAnsi="宋体" w:cs="宋体"/>
          <w:b w:val="0"/>
          <w:kern w:val="0"/>
          <w:szCs w:val="21"/>
        </w:rPr>
        <w:t> 传    真：</w:t>
      </w:r>
      <w:r>
        <w:rPr>
          <w:rFonts w:hAnsi="宋体" w:cs="宋体"/>
          <w:b w:val="0"/>
          <w:kern w:val="0"/>
          <w:szCs w:val="21"/>
          <w:lang w:val="en"/>
        </w:rPr>
        <w:t>/</w:t>
      </w:r>
    </w:p>
    <w:p>
      <w:pPr>
        <w:pStyle w:val="52"/>
        <w:rPr>
          <w:rFonts w:hint="eastAsia" w:hAnsi="宋体" w:cs="宋体"/>
          <w:b w:val="0"/>
          <w:kern w:val="0"/>
          <w:szCs w:val="21"/>
        </w:rPr>
      </w:pPr>
      <w:r>
        <w:rPr>
          <w:rFonts w:hAnsi="宋体" w:cs="宋体"/>
          <w:b w:val="0"/>
          <w:kern w:val="0"/>
          <w:szCs w:val="21"/>
        </w:rPr>
        <w:t> 项目联系人：</w:t>
      </w:r>
      <w:r>
        <w:rPr>
          <w:rFonts w:hint="eastAsia" w:hAnsi="宋体" w:cs="宋体"/>
          <w:b w:val="0"/>
          <w:kern w:val="0"/>
          <w:szCs w:val="21"/>
        </w:rPr>
        <w:t>廖婕</w:t>
      </w:r>
    </w:p>
    <w:p>
      <w:pPr>
        <w:pStyle w:val="52"/>
        <w:rPr>
          <w:rFonts w:hAnsi="宋体" w:cs="宋体"/>
          <w:b w:val="0"/>
          <w:kern w:val="0"/>
          <w:szCs w:val="21"/>
        </w:rPr>
      </w:pPr>
      <w:r>
        <w:rPr>
          <w:rFonts w:hAnsi="宋体" w:cs="宋体"/>
          <w:b w:val="0"/>
          <w:kern w:val="0"/>
          <w:szCs w:val="21"/>
        </w:rPr>
        <w:t> 项目联系方式：0771-</w:t>
      </w:r>
      <w:r>
        <w:rPr>
          <w:rFonts w:hint="eastAsia" w:hAnsi="宋体" w:cs="宋体"/>
          <w:b w:val="0"/>
          <w:kern w:val="0"/>
          <w:szCs w:val="21"/>
        </w:rPr>
        <w:t>8600349</w:t>
      </w:r>
      <w:r>
        <w:rPr>
          <w:rFonts w:hAnsi="宋体" w:cs="宋体"/>
          <w:b w:val="0"/>
          <w:kern w:val="0"/>
          <w:szCs w:val="21"/>
        </w:rPr>
        <w:t> </w:t>
      </w:r>
    </w:p>
    <w:p>
      <w:pPr>
        <w:widowControl/>
        <w:adjustRightInd w:val="0"/>
        <w:snapToGrid w:val="0"/>
        <w:spacing w:line="400" w:lineRule="exact"/>
        <w:ind w:right="384" w:rightChars="183"/>
        <w:jc w:val="right"/>
        <w:rPr>
          <w:rFonts w:hint="eastAsia" w:ascii="仿宋" w:hAnsi="仿宋" w:eastAsia="仿宋"/>
          <w:sz w:val="28"/>
          <w:szCs w:val="28"/>
        </w:rPr>
      </w:pPr>
    </w:p>
    <w:p>
      <w:pPr>
        <w:snapToGrid w:val="0"/>
        <w:spacing w:line="340" w:lineRule="exact"/>
        <w:ind w:left="238"/>
        <w:jc w:val="right"/>
        <w:rPr>
          <w:rFonts w:hint="eastAsia" w:ascii="宋体" w:hAnsi="宋体"/>
          <w:szCs w:val="21"/>
        </w:rPr>
      </w:pPr>
      <w:r>
        <w:rPr>
          <w:rFonts w:hint="eastAsia" w:ascii="宋体" w:hAnsi="宋体"/>
          <w:szCs w:val="21"/>
        </w:rPr>
        <w:t xml:space="preserve">  广西壮族自治区政府采购中心</w:t>
      </w:r>
    </w:p>
    <w:p>
      <w:pPr>
        <w:pStyle w:val="2"/>
        <w:ind w:firstLine="7665" w:firstLineChars="3650"/>
        <w:rPr>
          <w:rFonts w:hint="eastAsia"/>
          <w:lang w:val="en"/>
        </w:rPr>
      </w:pPr>
      <w:r>
        <w:t>20</w:t>
      </w:r>
      <w:r>
        <w:rPr>
          <w:rFonts w:hint="eastAsia"/>
        </w:rPr>
        <w:t>25年月日</w:t>
      </w:r>
    </w:p>
    <w:p>
      <w:pPr>
        <w:snapToGrid w:val="0"/>
        <w:spacing w:line="340" w:lineRule="exact"/>
        <w:ind w:left="238" w:right="564" w:rightChars="269"/>
        <w:jc w:val="right"/>
      </w:pPr>
    </w:p>
    <w:p>
      <w:pPr>
        <w:snapToGrid w:val="0"/>
        <w:spacing w:line="360" w:lineRule="auto"/>
        <w:ind w:firstLine="420" w:firstLineChars="200"/>
        <w:jc w:val="center"/>
        <w:rPr>
          <w:rFonts w:ascii="宋体" w:hAnsi="宋体"/>
        </w:rPr>
      </w:pPr>
    </w:p>
    <w:p>
      <w:pPr>
        <w:snapToGrid w:val="0"/>
        <w:spacing w:line="360" w:lineRule="auto"/>
        <w:ind w:firstLine="0" w:firstLineChars="0"/>
        <w:jc w:val="both"/>
        <w:rPr>
          <w:rFonts w:ascii="宋体" w:hAnsi="宋体"/>
        </w:rPr>
      </w:pPr>
    </w:p>
    <w:p>
      <w:pPr>
        <w:spacing w:line="480" w:lineRule="auto"/>
        <w:ind w:left="9" w:leftChars="1" w:hanging="7" w:hangingChars="2"/>
        <w:jc w:val="center"/>
        <w:rPr>
          <w:rFonts w:hint="eastAsia" w:ascii="宋体" w:hAnsi="宋体"/>
          <w:b/>
          <w:dstrike/>
          <w:sz w:val="36"/>
          <w:szCs w:val="36"/>
        </w:rPr>
      </w:pPr>
      <w:r>
        <w:rPr>
          <w:rFonts w:hint="eastAsia" w:ascii="仿宋_GB2312" w:hAnsi="宋体" w:eastAsia="仿宋_GB2312"/>
          <w:b/>
          <w:bCs/>
          <w:sz w:val="36"/>
          <w:szCs w:val="36"/>
        </w:rPr>
        <w:t>招</w:t>
      </w:r>
      <w:r>
        <w:rPr>
          <w:rFonts w:hint="eastAsia" w:ascii="仿宋_GB2312" w:hAnsi="宋体" w:eastAsia="仿宋_GB2312"/>
          <w:b/>
          <w:sz w:val="36"/>
          <w:szCs w:val="36"/>
        </w:rPr>
        <w:t>标项目采购需求</w:t>
      </w:r>
    </w:p>
    <w:p>
      <w:pPr>
        <w:spacing w:line="360" w:lineRule="exact"/>
        <w:ind w:left="6" w:firstLine="431"/>
        <w:rPr>
          <w:rFonts w:hint="eastAsia" w:ascii="宋体" w:hAnsi="宋体"/>
          <w:b/>
          <w:bCs/>
          <w:szCs w:val="21"/>
        </w:rPr>
      </w:pPr>
    </w:p>
    <w:p>
      <w:pPr>
        <w:spacing w:line="360" w:lineRule="exact"/>
        <w:ind w:left="6" w:firstLine="431"/>
        <w:rPr>
          <w:rFonts w:ascii="宋体" w:hAnsi="宋体"/>
          <w:b/>
          <w:bCs/>
          <w:szCs w:val="21"/>
        </w:rPr>
      </w:pPr>
      <w:r>
        <w:rPr>
          <w:rFonts w:hint="eastAsia" w:ascii="宋体" w:hAnsi="宋体"/>
          <w:b/>
          <w:bCs/>
          <w:szCs w:val="21"/>
        </w:rPr>
        <w:t>1、本需求的货物品牌型号、技术参数及其性能（配置）仅起参考作用，投标人可选用其他品牌型号替代，但这些替代的产品要实质上相当于或优于参考品牌型号及其技术参数性能（配置）要求。</w:t>
      </w:r>
    </w:p>
    <w:p>
      <w:pPr>
        <w:spacing w:line="360" w:lineRule="exact"/>
        <w:ind w:left="6" w:firstLine="431"/>
        <w:rPr>
          <w:rFonts w:hint="eastAsia" w:ascii="宋体" w:hAnsi="宋体"/>
          <w:b/>
          <w:bCs/>
          <w:szCs w:val="21"/>
        </w:rPr>
      </w:pPr>
      <w:r>
        <w:rPr>
          <w:rFonts w:hint="eastAsia" w:ascii="宋体" w:hAnsi="宋体"/>
          <w:b/>
          <w:bCs/>
          <w:szCs w:val="21"/>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60" w:lineRule="exact"/>
        <w:ind w:left="6" w:firstLine="431"/>
        <w:rPr>
          <w:rFonts w:hint="eastAsia" w:ascii="宋体" w:hAnsi="宋体"/>
          <w:b/>
          <w:bCs/>
          <w:szCs w:val="21"/>
        </w:rPr>
      </w:pPr>
      <w:r>
        <w:rPr>
          <w:rFonts w:hint="eastAsia" w:ascii="宋体" w:hAnsi="宋体"/>
          <w:b/>
          <w:bCs/>
          <w:szCs w:val="21"/>
        </w:rPr>
        <w:t>3、凡在“技术参数及性能（配置）要求”中表述为“标配”或“标准配置”的设备，投标人应在投标报价明细表中将其标配参数详细列明。</w:t>
      </w:r>
    </w:p>
    <w:p>
      <w:pPr>
        <w:spacing w:line="360" w:lineRule="exact"/>
        <w:ind w:left="6" w:firstLine="431"/>
        <w:rPr>
          <w:rFonts w:hint="eastAsia" w:hAnsi="宋体"/>
          <w:b/>
          <w:szCs w:val="21"/>
        </w:rPr>
      </w:pPr>
      <w:r>
        <w:rPr>
          <w:rFonts w:hint="eastAsia" w:hAnsi="宋体"/>
          <w:b/>
          <w:szCs w:val="21"/>
        </w:rPr>
        <w:t>4、</w:t>
      </w:r>
      <w:r>
        <w:rPr>
          <w:rFonts w:hint="eastAsia" w:hAnsi="宋体" w:cs="宋体"/>
          <w:b/>
          <w:sz w:val="22"/>
          <w:szCs w:val="28"/>
        </w:rPr>
        <w:t>招标文件中带“</w:t>
      </w:r>
      <w:r>
        <w:rPr>
          <w:rFonts w:hint="eastAsia" w:hAnsi="宋体"/>
          <w:szCs w:val="21"/>
        </w:rPr>
        <w:t>▲</w:t>
      </w:r>
      <w:r>
        <w:rPr>
          <w:rFonts w:hint="eastAsia" w:hAnsi="宋体" w:cs="宋体"/>
          <w:b/>
          <w:sz w:val="22"/>
          <w:szCs w:val="28"/>
        </w:rPr>
        <w:t>”的条款为本次采购的实质性(关键性)的商务、技术或服务要求，投标人须满足或优于，否则，将会被认定为无效投标</w:t>
      </w:r>
      <w:r>
        <w:rPr>
          <w:rFonts w:hint="eastAsia" w:hAnsi="宋体"/>
          <w:b/>
          <w:szCs w:val="21"/>
        </w:rPr>
        <w:t>。</w:t>
      </w:r>
    </w:p>
    <w:p>
      <w:pPr>
        <w:spacing w:line="360" w:lineRule="exact"/>
        <w:ind w:left="6" w:firstLine="431"/>
        <w:rPr>
          <w:rFonts w:hint="eastAsia" w:hAnsi="宋体"/>
          <w:b/>
          <w:szCs w:val="21"/>
        </w:rPr>
      </w:pPr>
      <w:r>
        <w:rPr>
          <w:rFonts w:hint="eastAsia" w:hAnsi="宋体"/>
          <w:b/>
          <w:szCs w:val="21"/>
        </w:rPr>
        <w:t>5、本项目</w:t>
      </w:r>
      <w:r>
        <w:rPr>
          <w:rFonts w:hint="eastAsia"/>
          <w:b/>
          <w:szCs w:val="21"/>
        </w:rPr>
        <w:t>标的所属行业均为：</w:t>
      </w:r>
      <w:r>
        <w:rPr>
          <w:rFonts w:hint="eastAsia"/>
          <w:b/>
          <w:szCs w:val="21"/>
          <w:u w:val="single"/>
        </w:rPr>
        <w:t xml:space="preserve">  工业   </w:t>
      </w:r>
      <w:r>
        <w:rPr>
          <w:rFonts w:hint="eastAsia"/>
          <w:b/>
          <w:szCs w:val="21"/>
        </w:rPr>
        <w:t xml:space="preserve"> ；</w:t>
      </w:r>
      <w:r>
        <w:rPr>
          <w:rFonts w:hint="eastAsia" w:hAnsi="宋体" w:cs="宋体"/>
          <w:b/>
          <w:bCs/>
          <w:szCs w:val="21"/>
        </w:rPr>
        <w:t>划分依据：</w:t>
      </w:r>
      <w:r>
        <w:rPr>
          <w:rFonts w:hint="eastAsia"/>
          <w:b/>
          <w:szCs w:val="21"/>
        </w:rPr>
        <w:t>《关于印发中小企业划型标准规定的通知》（工信部联企业[2011]300号）</w:t>
      </w:r>
    </w:p>
    <w:p>
      <w:pPr>
        <w:snapToGrid w:val="0"/>
        <w:spacing w:line="400" w:lineRule="exact"/>
        <w:ind w:firstLine="420" w:firstLineChars="200"/>
        <w:rPr>
          <w:rFonts w:hint="eastAsia" w:ascii="宋体" w:hAnsi="宋体"/>
          <w:b/>
          <w:bCs/>
          <w:kern w:val="0"/>
          <w:szCs w:val="21"/>
        </w:rPr>
      </w:pPr>
      <w:r>
        <w:rPr>
          <w:rFonts w:hint="eastAsia" w:ascii="宋体" w:hAnsi="宋体"/>
          <w:b/>
          <w:bCs/>
          <w:kern w:val="0"/>
          <w:szCs w:val="21"/>
        </w:rPr>
        <w:t>6、本项目采购预算：</w:t>
      </w:r>
      <w:r>
        <w:rPr>
          <w:rFonts w:hint="eastAsia" w:ascii="宋体" w:hAnsi="宋体"/>
          <w:b/>
          <w:bCs/>
          <w:kern w:val="0"/>
          <w:szCs w:val="21"/>
          <w:u w:val="single"/>
        </w:rPr>
        <w:t>3141600.00</w:t>
      </w:r>
      <w:r>
        <w:rPr>
          <w:rFonts w:hint="eastAsia" w:ascii="宋体" w:hAnsi="宋体"/>
          <w:b/>
          <w:bCs/>
          <w:kern w:val="0"/>
          <w:szCs w:val="21"/>
        </w:rPr>
        <w:t>元。</w:t>
      </w:r>
    </w:p>
    <w:p>
      <w:pPr>
        <w:pStyle w:val="2"/>
        <w:ind w:firstLine="240"/>
        <w:rPr>
          <w:rFonts w:hint="eastAsia"/>
        </w:rPr>
      </w:pPr>
    </w:p>
    <w:tbl>
      <w:tblPr>
        <w:tblStyle w:val="55"/>
        <w:tblW w:w="95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789"/>
        <w:gridCol w:w="720"/>
        <w:gridCol w:w="734"/>
        <w:gridCol w:w="66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b/>
              </w:rPr>
              <w:t>项号</w:t>
            </w:r>
          </w:p>
        </w:tc>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b/>
              </w:rPr>
              <w:t>货物名称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color w:val="000000"/>
              </w:rPr>
            </w:pPr>
            <w:r>
              <w:rPr>
                <w:rFonts w:hint="eastAsia" w:ascii="宋体" w:hAnsi="宋体" w:cs="宋体"/>
                <w:b/>
              </w:rPr>
              <w:t>单位</w:t>
            </w:r>
          </w:p>
        </w:tc>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color w:val="000000"/>
              </w:rPr>
            </w:pPr>
            <w:r>
              <w:rPr>
                <w:rFonts w:hint="eastAsia" w:ascii="宋体" w:hAnsi="宋体" w:cs="宋体"/>
                <w:b/>
              </w:rPr>
              <w:t>数量</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color w:val="000000"/>
              </w:rPr>
            </w:pPr>
            <w:r>
              <w:rPr>
                <w:rFonts w:hint="eastAsia" w:ascii="宋体" w:hAnsi="宋体" w:cs="宋体"/>
                <w:b/>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szCs w:val="21"/>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sz w:val="22"/>
              </w:rPr>
              <w:t>钢结构公寓床（含床、衣柜、书柜、电脑桌）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Cs w:val="21"/>
              </w:rPr>
              <w:t>套</w:t>
            </w:r>
          </w:p>
        </w:tc>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szCs w:val="21"/>
              </w:rPr>
              <w:t>1950</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napToGrid w:val="0"/>
              <w:spacing w:line="400" w:lineRule="exact"/>
              <w:ind w:left="71" w:leftChars="34"/>
              <w:rPr>
                <w:rFonts w:hint="eastAsia" w:ascii="宋体" w:hAnsi="宋体"/>
                <w:szCs w:val="21"/>
              </w:rPr>
            </w:pPr>
            <w:r>
              <w:rPr>
                <w:rFonts w:hint="eastAsia" w:ascii="宋体" w:hAnsi="宋体"/>
                <w:szCs w:val="21"/>
              </w:rPr>
              <w:t>一、床架的材质及规格要求：</w:t>
            </w:r>
          </w:p>
          <w:p>
            <w:pPr>
              <w:spacing w:line="400" w:lineRule="exact"/>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、公寓床必须符合：</w:t>
            </w:r>
            <w:r>
              <w:rPr>
                <w:rFonts w:ascii="宋体" w:hAnsi="宋体"/>
                <w:szCs w:val="21"/>
              </w:rPr>
              <w:t>QB/T2741-2013</w:t>
            </w:r>
            <w:r>
              <w:rPr>
                <w:rFonts w:hint="eastAsia" w:ascii="宋体" w:hAnsi="宋体"/>
                <w:szCs w:val="21"/>
              </w:rPr>
              <w:t>《学生公寓多功能家具》的相关标准；招标文件有明确要求的，按照招标文件规定执行。钢板厚度及相关部位的材质必须符合相关技术要求，否则视为投标无效。</w:t>
            </w:r>
          </w:p>
          <w:p>
            <w:pPr>
              <w:spacing w:line="400" w:lineRule="exact"/>
              <w:rPr>
                <w:rFonts w:hint="eastAsia" w:ascii="宋体" w:hAnsi="宋体"/>
                <w:szCs w:val="21"/>
              </w:rPr>
            </w:pPr>
            <w:r>
              <w:rPr>
                <w:rFonts w:hint="eastAsia" w:ascii="宋体" w:hAnsi="宋体"/>
                <w:szCs w:val="21"/>
              </w:rPr>
              <w:t>▲2、规格：长2000mm</w:t>
            </w:r>
            <w:r>
              <w:rPr>
                <w:rFonts w:ascii="宋体" w:hAnsi="宋体"/>
                <w:szCs w:val="21"/>
              </w:rPr>
              <w:t>×</w:t>
            </w:r>
            <w:r>
              <w:rPr>
                <w:rFonts w:hint="eastAsia" w:ascii="宋体" w:hAnsi="宋体"/>
                <w:szCs w:val="21"/>
              </w:rPr>
              <w:t>宽≥1000mm</w:t>
            </w:r>
            <w:r>
              <w:rPr>
                <w:rFonts w:ascii="宋体" w:hAnsi="宋体"/>
                <w:szCs w:val="21"/>
              </w:rPr>
              <w:t>×</w:t>
            </w:r>
            <w:r>
              <w:rPr>
                <w:rFonts w:hint="eastAsia" w:ascii="宋体" w:hAnsi="宋体"/>
                <w:szCs w:val="21"/>
              </w:rPr>
              <w:t>高≥2050mm(长净内空=1920mm，</w:t>
            </w:r>
            <w:r>
              <w:rPr>
                <w:rFonts w:ascii="宋体" w:hAnsi="宋体"/>
                <w:szCs w:val="21"/>
              </w:rPr>
              <w:t>±</w:t>
            </w:r>
            <w:r>
              <w:rPr>
                <w:rFonts w:hint="eastAsia" w:ascii="宋体" w:hAnsi="宋体"/>
                <w:szCs w:val="21"/>
              </w:rPr>
              <w:t>20mm)。组合床包含床、衣柜、书柜、电脑桌、</w:t>
            </w:r>
            <w:r>
              <w:rPr>
                <w:rFonts w:hint="eastAsia"/>
                <w:sz w:val="22"/>
              </w:rPr>
              <w:t>椅子</w:t>
            </w:r>
            <w:r>
              <w:rPr>
                <w:rFonts w:hint="eastAsia" w:ascii="宋体" w:hAnsi="宋体"/>
                <w:szCs w:val="21"/>
              </w:rPr>
              <w:t>为一体。</w:t>
            </w:r>
          </w:p>
          <w:p>
            <w:pPr>
              <w:widowControl/>
              <w:shd w:val="clear" w:color="auto" w:fill="FFFFFF"/>
              <w:snapToGrid w:val="0"/>
              <w:spacing w:line="400" w:lineRule="exact"/>
              <w:rPr>
                <w:rFonts w:hint="eastAsia" w:ascii="宋体" w:hAnsi="宋体"/>
                <w:szCs w:val="21"/>
              </w:rPr>
            </w:pPr>
            <w:r>
              <w:rPr>
                <w:rFonts w:hint="eastAsia" w:ascii="宋体" w:hAnsi="宋体"/>
                <w:szCs w:val="21"/>
              </w:rPr>
              <w:t>二、床架材质、规格及技术要求：</w:t>
            </w:r>
          </w:p>
          <w:p>
            <w:pPr>
              <w:spacing w:line="400" w:lineRule="exact"/>
              <w:rPr>
                <w:rFonts w:hint="eastAsia" w:ascii="宋体" w:hAnsi="宋体"/>
                <w:szCs w:val="21"/>
              </w:rPr>
            </w:pPr>
            <w:r>
              <w:rPr>
                <w:rFonts w:hint="eastAsia" w:ascii="宋体" w:hAnsi="宋体"/>
                <w:szCs w:val="21"/>
              </w:rPr>
              <w:t>▲1、立柱：规格≥85mm×85mm，厚度≥1.5mm 闭口型材管，外部半圆，立柱正面有≥3条加强筋，外圆内方高频焊接封口型材管。 材质的力学性能符合</w:t>
            </w:r>
            <w:r>
              <w:rPr>
                <w:rFonts w:ascii="宋体" w:hAnsi="宋体"/>
                <w:szCs w:val="21"/>
              </w:rPr>
              <w:t>GB/T228.1-2021</w:t>
            </w:r>
            <w:r>
              <w:rPr>
                <w:rFonts w:hint="eastAsia" w:ascii="宋体" w:hAnsi="宋体"/>
                <w:szCs w:val="21"/>
              </w:rPr>
              <w:t>《金属材料拉伸试验》标准要求。材管截面参考图如下：</w:t>
            </w:r>
          </w:p>
          <w:p>
            <w:pPr>
              <w:spacing w:before="25" w:line="360" w:lineRule="auto"/>
              <w:jc w:val="center"/>
              <w:rPr>
                <w:rFonts w:hint="eastAsia" w:ascii="宋体" w:hAnsi="宋体"/>
                <w:szCs w:val="21"/>
              </w:rPr>
            </w:pPr>
            <w:r>
              <w:rPr>
                <w:rFonts w:ascii="宋体" w:hAnsi="宋体"/>
                <w:szCs w:val="21"/>
              </w:rPr>
              <w:drawing>
                <wp:inline distT="0" distB="0" distL="114300" distR="114300">
                  <wp:extent cx="1627505" cy="1497965"/>
                  <wp:effectExtent l="0" t="0" r="1079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1627505" cy="1497965"/>
                          </a:xfrm>
                          <a:prstGeom prst="rect">
                            <a:avLst/>
                          </a:prstGeom>
                          <a:noFill/>
                          <a:ln>
                            <a:noFill/>
                          </a:ln>
                        </pic:spPr>
                      </pic:pic>
                    </a:graphicData>
                  </a:graphic>
                </wp:inline>
              </w:drawing>
            </w:r>
          </w:p>
          <w:p>
            <w:pPr>
              <w:spacing w:line="400" w:lineRule="exact"/>
              <w:rPr>
                <w:rFonts w:hint="eastAsia" w:ascii="宋体" w:hAnsi="宋体"/>
                <w:szCs w:val="21"/>
              </w:rPr>
            </w:pPr>
            <w:r>
              <w:rPr>
                <w:rFonts w:hint="eastAsia" w:ascii="宋体" w:hAnsi="宋体"/>
                <w:szCs w:val="21"/>
              </w:rPr>
              <w:t>▲2、床母管：规格≥105mm×44mm，厚度≥1.5mm，正面有≥2条加强筋，底部半圆型高频焊接封口型材管。材质力学性能符合GB/T228.1-2021《金属材料拉伸试验》标准要求。材管截面参考图如下：</w:t>
            </w:r>
          </w:p>
          <w:p>
            <w:pPr>
              <w:spacing w:line="360" w:lineRule="auto"/>
              <w:ind w:firstLine="420" w:firstLineChars="200"/>
              <w:jc w:val="center"/>
              <w:rPr>
                <w:rFonts w:hint="eastAsia" w:ascii="宋体" w:hAnsi="宋体"/>
                <w:szCs w:val="21"/>
              </w:rPr>
            </w:pPr>
            <w:r>
              <w:rPr>
                <w:rFonts w:ascii="宋体" w:hAnsi="宋体"/>
                <w:szCs w:val="21"/>
              </w:rPr>
              <w:drawing>
                <wp:inline distT="0" distB="0" distL="114300" distR="114300">
                  <wp:extent cx="1197610" cy="1782445"/>
                  <wp:effectExtent l="0" t="0" r="254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1197610" cy="1782445"/>
                          </a:xfrm>
                          <a:prstGeom prst="rect">
                            <a:avLst/>
                          </a:prstGeom>
                          <a:noFill/>
                          <a:ln>
                            <a:noFill/>
                          </a:ln>
                        </pic:spPr>
                      </pic:pic>
                    </a:graphicData>
                  </a:graphic>
                </wp:inline>
              </w:drawing>
            </w:r>
          </w:p>
          <w:p>
            <w:pPr>
              <w:spacing w:line="400" w:lineRule="exact"/>
              <w:rPr>
                <w:rFonts w:hint="eastAsia" w:ascii="宋体" w:hAnsi="宋体"/>
                <w:szCs w:val="21"/>
              </w:rPr>
            </w:pPr>
            <w:r>
              <w:rPr>
                <w:rFonts w:hint="eastAsia" w:ascii="宋体" w:hAnsi="宋体"/>
                <w:szCs w:val="21"/>
              </w:rPr>
              <w:t>▲3、立柱下横管：规格≥73mm×42mm，厚度≥1.5mm，底部半圆型高频焊接封口型材管，正面有≥3条加强筋，上端有1条加强筋。材质力学性能符合GB/T228.1-2021《金属材料拉伸试验》标准要求。</w:t>
            </w:r>
          </w:p>
          <w:p>
            <w:pPr>
              <w:spacing w:line="400" w:lineRule="exact"/>
              <w:rPr>
                <w:rFonts w:hint="eastAsia" w:ascii="宋体" w:hAnsi="宋体"/>
                <w:szCs w:val="21"/>
              </w:rPr>
            </w:pPr>
            <w:r>
              <w:rPr>
                <w:rFonts w:hint="eastAsia" w:ascii="宋体" w:hAnsi="宋体"/>
                <w:szCs w:val="21"/>
              </w:rPr>
              <w:t>管材截面参考图如下：</w:t>
            </w:r>
          </w:p>
          <w:p>
            <w:pPr>
              <w:spacing w:line="360" w:lineRule="auto"/>
              <w:ind w:firstLine="420" w:firstLineChars="200"/>
              <w:jc w:val="center"/>
              <w:rPr>
                <w:rFonts w:hint="eastAsia" w:ascii="宋体" w:hAnsi="宋体"/>
                <w:szCs w:val="21"/>
              </w:rPr>
            </w:pPr>
            <w:r>
              <w:rPr>
                <w:rFonts w:ascii="宋体" w:hAnsi="宋体"/>
                <w:szCs w:val="21"/>
              </w:rPr>
              <w:drawing>
                <wp:inline distT="0" distB="0" distL="114300" distR="114300">
                  <wp:extent cx="1413510" cy="1668780"/>
                  <wp:effectExtent l="0" t="0" r="15240" b="762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1413510" cy="1668780"/>
                          </a:xfrm>
                          <a:prstGeom prst="rect">
                            <a:avLst/>
                          </a:prstGeom>
                          <a:noFill/>
                          <a:ln>
                            <a:noFill/>
                          </a:ln>
                        </pic:spPr>
                      </pic:pic>
                    </a:graphicData>
                  </a:graphic>
                </wp:inline>
              </w:drawing>
            </w:r>
          </w:p>
          <w:p>
            <w:pPr>
              <w:spacing w:line="400" w:lineRule="exact"/>
              <w:jc w:val="left"/>
              <w:rPr>
                <w:rFonts w:hint="eastAsia" w:ascii="宋体" w:hAnsi="宋体"/>
                <w:szCs w:val="21"/>
              </w:rPr>
            </w:pPr>
            <w:r>
              <w:rPr>
                <w:rFonts w:hint="eastAsia" w:ascii="宋体" w:hAnsi="宋体"/>
                <w:szCs w:val="21"/>
              </w:rPr>
              <w:t>▲4、立柱后拉杆：规格≥</w:t>
            </w:r>
            <w:r>
              <w:rPr>
                <w:rFonts w:ascii="宋体" w:hAnsi="宋体"/>
                <w:szCs w:val="21"/>
              </w:rPr>
              <w:t>50</w:t>
            </w:r>
            <w:r>
              <w:rPr>
                <w:rFonts w:hint="eastAsia" w:ascii="宋体" w:hAnsi="宋体"/>
                <w:szCs w:val="21"/>
              </w:rPr>
              <w:t>mm×25mm，厚度≥1.5mm方管。</w:t>
            </w:r>
          </w:p>
          <w:p>
            <w:pPr>
              <w:spacing w:line="400" w:lineRule="exact"/>
              <w:jc w:val="left"/>
              <w:rPr>
                <w:rFonts w:hint="eastAsia" w:ascii="宋体" w:hAnsi="宋体"/>
                <w:szCs w:val="21"/>
              </w:rPr>
            </w:pPr>
            <w:r>
              <w:rPr>
                <w:rFonts w:hint="eastAsia" w:ascii="宋体" w:hAnsi="宋体"/>
                <w:szCs w:val="21"/>
              </w:rPr>
              <w:t>▲5、床护栏：采用S形状护栏。三条立柱扣件高度≥330mm×74mm×1.5mm厚钢板一次冲压成型，四周光滑有弧度，扣件上部栏杆采用≥32mm×1.2mm圆管,中部19mm×1.2mm圆管，下面用25mm×25mm×1.2mm厚D型管，床护栏：长≥1200mm×高≥330mm。参考图如下：</w:t>
            </w:r>
          </w:p>
          <w:p>
            <w:pPr>
              <w:spacing w:line="360" w:lineRule="auto"/>
              <w:ind w:firstLine="420" w:firstLineChars="200"/>
              <w:jc w:val="center"/>
              <w:rPr>
                <w:rFonts w:hint="eastAsia" w:ascii="宋体" w:hAnsi="宋体"/>
                <w:szCs w:val="21"/>
              </w:rPr>
            </w:pPr>
            <w:r>
              <w:rPr>
                <w:rFonts w:ascii="宋体" w:hAnsi="宋体"/>
                <w:szCs w:val="21"/>
              </w:rPr>
              <w:drawing>
                <wp:inline distT="0" distB="0" distL="114300" distR="114300">
                  <wp:extent cx="2319655" cy="930910"/>
                  <wp:effectExtent l="0" t="0" r="4445" b="2540"/>
                  <wp:docPr id="4" name="图片 4" descr="C:\Users\ADMINI~1\AppData\Local\Temp\WeChat Files\6107c5b26d6888d8dce9f9af3b149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6107c5b26d6888d8dce9f9af3b149af.png"/>
                          <pic:cNvPicPr>
                            <a:picLocks noChangeAspect="1"/>
                          </pic:cNvPicPr>
                        </pic:nvPicPr>
                        <pic:blipFill>
                          <a:blip r:embed="rId13"/>
                          <a:stretch>
                            <a:fillRect/>
                          </a:stretch>
                        </pic:blipFill>
                        <pic:spPr>
                          <a:xfrm>
                            <a:off x="0" y="0"/>
                            <a:ext cx="2319655" cy="930910"/>
                          </a:xfrm>
                          <a:prstGeom prst="rect">
                            <a:avLst/>
                          </a:prstGeom>
                          <a:noFill/>
                          <a:ln>
                            <a:noFill/>
                          </a:ln>
                        </pic:spPr>
                      </pic:pic>
                    </a:graphicData>
                  </a:graphic>
                </wp:inline>
              </w:drawing>
            </w:r>
          </w:p>
          <w:p>
            <w:pPr>
              <w:spacing w:line="400" w:lineRule="exact"/>
              <w:rPr>
                <w:rFonts w:hint="eastAsia" w:ascii="宋体" w:hAnsi="宋体"/>
                <w:szCs w:val="21"/>
              </w:rPr>
            </w:pPr>
            <w:r>
              <w:rPr>
                <w:rFonts w:hint="eastAsia" w:ascii="宋体" w:hAnsi="宋体"/>
                <w:szCs w:val="21"/>
              </w:rPr>
              <w:t>▲6、</w:t>
            </w:r>
            <w:r>
              <w:rPr>
                <w:rFonts w:ascii="宋体" w:hAnsi="宋体"/>
                <w:szCs w:val="21"/>
              </w:rPr>
              <w:t>床板支撑：</w:t>
            </w:r>
            <w:r>
              <w:rPr>
                <w:rFonts w:hint="eastAsia" w:ascii="宋体" w:hAnsi="宋体"/>
                <w:szCs w:val="21"/>
              </w:rPr>
              <w:t>规格≥</w:t>
            </w:r>
            <w:r>
              <w:rPr>
                <w:rFonts w:ascii="宋体" w:hAnsi="宋体"/>
                <w:szCs w:val="21"/>
              </w:rPr>
              <w:t>2</w:t>
            </w:r>
            <w:r>
              <w:rPr>
                <w:rFonts w:hint="eastAsia" w:ascii="宋体" w:hAnsi="宋体"/>
                <w:szCs w:val="21"/>
              </w:rPr>
              <w:t>0</w:t>
            </w:r>
            <w:r>
              <w:rPr>
                <w:rFonts w:ascii="宋体" w:hAnsi="宋体"/>
                <w:szCs w:val="21"/>
              </w:rPr>
              <w:t>mm×30mm×1.5mm厚优质方管制作。</w:t>
            </w:r>
          </w:p>
          <w:p>
            <w:pPr>
              <w:spacing w:line="400" w:lineRule="exact"/>
              <w:rPr>
                <w:rFonts w:hint="eastAsia" w:ascii="宋体" w:hAnsi="宋体"/>
                <w:szCs w:val="21"/>
              </w:rPr>
            </w:pPr>
            <w:r>
              <w:rPr>
                <w:rFonts w:hint="eastAsia" w:ascii="宋体" w:hAnsi="宋体"/>
                <w:szCs w:val="21"/>
              </w:rPr>
              <w:t>▲7、</w:t>
            </w:r>
            <w:r>
              <w:rPr>
                <w:rFonts w:ascii="宋体" w:hAnsi="宋体"/>
                <w:szCs w:val="21"/>
              </w:rPr>
              <w:t>爬梯：边管采用的是25mm×50mm×1.5mm椭圆管,踩板采用400mm×80mm×1</w:t>
            </w:r>
            <w:r>
              <w:rPr>
                <w:rFonts w:hint="eastAsia" w:ascii="宋体" w:hAnsi="宋体"/>
                <w:szCs w:val="21"/>
              </w:rPr>
              <w:t>.</w:t>
            </w:r>
            <w:r>
              <w:rPr>
                <w:rFonts w:ascii="宋体" w:hAnsi="宋体"/>
                <w:szCs w:val="21"/>
              </w:rPr>
              <w:t>5m</w:t>
            </w:r>
            <w:r>
              <w:rPr>
                <w:rFonts w:hint="eastAsia" w:ascii="宋体" w:hAnsi="宋体"/>
                <w:szCs w:val="21"/>
              </w:rPr>
              <w:t>m</w:t>
            </w:r>
            <w:r>
              <w:rPr>
                <w:rFonts w:ascii="宋体" w:hAnsi="宋体"/>
                <w:szCs w:val="21"/>
              </w:rPr>
              <w:t>优质冷轧钢板与边管整体焊接成型，踩面安装350mm×50mm×2mm一次注塑成型夜光条。</w:t>
            </w:r>
          </w:p>
          <w:p>
            <w:pPr>
              <w:spacing w:line="360" w:lineRule="auto"/>
              <w:jc w:val="center"/>
              <w:rPr>
                <w:rFonts w:hint="eastAsia" w:ascii="宋体" w:hAnsi="宋体"/>
                <w:szCs w:val="21"/>
              </w:rPr>
            </w:pPr>
            <w:r>
              <w:rPr>
                <w:rFonts w:hint="eastAsia" w:ascii="宋体" w:hAnsi="宋体"/>
                <w:szCs w:val="21"/>
              </w:rPr>
              <w:t xml:space="preserve"> </w:t>
            </w:r>
            <w:r>
              <w:rPr>
                <w:rFonts w:ascii="宋体" w:hAnsi="宋体"/>
                <w:szCs w:val="21"/>
              </w:rPr>
              <w:drawing>
                <wp:inline distT="0" distB="0" distL="114300" distR="114300">
                  <wp:extent cx="448310" cy="896620"/>
                  <wp:effectExtent l="0" t="0" r="8890" b="17780"/>
                  <wp:docPr id="7" name="图片 5" descr="06303f2056ec023d0d12bcf6728b1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06303f2056ec023d0d12bcf6728b1dd"/>
                          <pic:cNvPicPr>
                            <a:picLocks noChangeAspect="1"/>
                          </pic:cNvPicPr>
                        </pic:nvPicPr>
                        <pic:blipFill>
                          <a:blip r:embed="rId14"/>
                          <a:srcRect l="32071" r="29698" b="-3160"/>
                          <a:stretch>
                            <a:fillRect/>
                          </a:stretch>
                        </pic:blipFill>
                        <pic:spPr>
                          <a:xfrm>
                            <a:off x="0" y="0"/>
                            <a:ext cx="448310" cy="896620"/>
                          </a:xfrm>
                          <a:prstGeom prst="rect">
                            <a:avLst/>
                          </a:prstGeom>
                          <a:noFill/>
                          <a:ln>
                            <a:noFill/>
                          </a:ln>
                        </pic:spPr>
                      </pic:pic>
                    </a:graphicData>
                  </a:graphic>
                </wp:inline>
              </w:drawing>
            </w:r>
          </w:p>
          <w:p>
            <w:pPr>
              <w:spacing w:line="400" w:lineRule="exact"/>
              <w:rPr>
                <w:rFonts w:hint="eastAsia" w:ascii="宋体" w:hAnsi="宋体"/>
                <w:szCs w:val="21"/>
              </w:rPr>
            </w:pPr>
            <w:r>
              <w:rPr>
                <w:rFonts w:hint="eastAsia" w:ascii="宋体" w:hAnsi="宋体"/>
                <w:szCs w:val="21"/>
              </w:rPr>
              <w:t>▲8、蚊帐杆：采用Φ16mm，厚度≥1.0mm的圆管为支撑,高度≥ 1100mm；</w:t>
            </w:r>
          </w:p>
          <w:p>
            <w:pPr>
              <w:spacing w:line="400" w:lineRule="exact"/>
              <w:rPr>
                <w:rFonts w:hint="eastAsia" w:ascii="宋体" w:hAnsi="宋体"/>
                <w:szCs w:val="21"/>
              </w:rPr>
            </w:pPr>
            <w:r>
              <w:rPr>
                <w:rFonts w:hint="eastAsia" w:ascii="宋体" w:hAnsi="宋体"/>
                <w:szCs w:val="21"/>
              </w:rPr>
              <w:t>▲9、床板：采用 ≥18mm厚杉木板拼接而成，无闪边，板数≤ 7 块，经干燥防腐、防蛀处理，板底加固杉木条为支撑点，制作牢固，双面平整。</w:t>
            </w:r>
          </w:p>
          <w:p>
            <w:pPr>
              <w:spacing w:before="25" w:after="25" w:line="400" w:lineRule="exact"/>
              <w:jc w:val="left"/>
              <w:rPr>
                <w:rFonts w:hint="eastAsia" w:ascii="宋体" w:hAnsi="宋体"/>
                <w:szCs w:val="21"/>
              </w:rPr>
            </w:pPr>
            <w:r>
              <w:rPr>
                <w:rFonts w:hint="eastAsia" w:ascii="宋体" w:hAnsi="宋体"/>
                <w:szCs w:val="21"/>
              </w:rPr>
              <w:t>10、床母卡梢部位钢材厚度≥1.</w:t>
            </w:r>
            <w:r>
              <w:rPr>
                <w:rFonts w:ascii="宋体" w:hAnsi="宋体"/>
                <w:szCs w:val="21"/>
              </w:rPr>
              <w:t>8</w:t>
            </w:r>
            <w:r>
              <w:rPr>
                <w:rFonts w:hint="eastAsia" w:ascii="宋体" w:hAnsi="宋体"/>
                <w:szCs w:val="21"/>
              </w:rPr>
              <w:t>mm,卡梢总宽度≥20mm，卡梢进深≥15mm，床母扣件规格≥200mm×30mm×30mm。</w:t>
            </w:r>
          </w:p>
          <w:p>
            <w:pPr>
              <w:spacing w:line="400" w:lineRule="exact"/>
              <w:rPr>
                <w:rFonts w:hint="eastAsia" w:ascii="宋体" w:hAnsi="宋体"/>
                <w:szCs w:val="21"/>
              </w:rPr>
            </w:pPr>
            <w:r>
              <w:rPr>
                <w:rFonts w:hint="eastAsia" w:ascii="宋体" w:hAnsi="宋体"/>
                <w:szCs w:val="21"/>
              </w:rPr>
              <w:t>11、钢件处理：床体焊接采用二氧化碳气体保护焊，焊痕打磨光滑平整；床表面处理工艺：表面采用亚光静电喷塑工艺，经除锈—预脱脂—除油—水洗—清洗—中和—陶化/磷化—水洗—烘干九工位表面前处理工序。</w:t>
            </w:r>
          </w:p>
          <w:p>
            <w:pPr>
              <w:spacing w:line="400" w:lineRule="exact"/>
              <w:rPr>
                <w:rFonts w:hint="eastAsia" w:ascii="宋体" w:hAnsi="宋体"/>
                <w:szCs w:val="21"/>
              </w:rPr>
            </w:pPr>
            <w:r>
              <w:rPr>
                <w:rFonts w:hint="eastAsia" w:ascii="宋体" w:hAnsi="宋体"/>
                <w:szCs w:val="21"/>
              </w:rPr>
              <w:t>▲12、公寓床立柱底部外套高度≥100mm防潮脚套，塑料件采用ABS工程塑料体注塑成型，起防滑及密封作用（不允许采用3D打印塑料），材质的理化性能等指标整体符合GB/T 32487-2016《塑料家具通用技术条件》、GB 18584-2024《家具中有害物质限量》等相关标准要求。</w:t>
            </w:r>
          </w:p>
          <w:p>
            <w:pPr>
              <w:spacing w:line="400" w:lineRule="exact"/>
              <w:rPr>
                <w:rFonts w:hint="eastAsia" w:ascii="宋体" w:hAnsi="宋体"/>
                <w:szCs w:val="21"/>
              </w:rPr>
            </w:pPr>
            <w:r>
              <w:rPr>
                <w:rFonts w:hint="eastAsia" w:ascii="宋体" w:hAnsi="宋体"/>
                <w:szCs w:val="21"/>
              </w:rPr>
              <w:t>13、安装：整床全部采用卡式连接紧固。</w:t>
            </w:r>
          </w:p>
          <w:p>
            <w:pPr>
              <w:spacing w:line="400" w:lineRule="exact"/>
              <w:rPr>
                <w:rFonts w:hint="eastAsia" w:ascii="宋体" w:hAnsi="宋体"/>
                <w:szCs w:val="21"/>
              </w:rPr>
            </w:pPr>
            <w:r>
              <w:rPr>
                <w:rFonts w:hint="eastAsia" w:ascii="宋体" w:hAnsi="宋体"/>
                <w:szCs w:val="21"/>
              </w:rPr>
              <w:t>14、床表面处理工艺：表面采用亚光静电喷塑工艺，经除锈—预脱脂—除油—水洗—清洗—中和—陶化/磷化—水洗—烘干九工位表面前处理工序。</w:t>
            </w:r>
          </w:p>
          <w:p>
            <w:pPr>
              <w:spacing w:line="400" w:lineRule="exact"/>
              <w:rPr>
                <w:rFonts w:hint="eastAsia" w:ascii="宋体" w:hAnsi="宋体"/>
                <w:szCs w:val="21"/>
              </w:rPr>
            </w:pPr>
            <w:r>
              <w:rPr>
                <w:rFonts w:hint="eastAsia" w:ascii="宋体" w:hAnsi="宋体"/>
                <w:szCs w:val="21"/>
              </w:rPr>
              <w:t>15、塑粉：表面喷涂优质环保环氧聚脂粉，塑粉要求：检测标准符合</w:t>
            </w:r>
            <w:r>
              <w:rPr>
                <w:rFonts w:ascii="宋体" w:hAnsi="宋体"/>
                <w:szCs w:val="21"/>
              </w:rPr>
              <w:t>HG/T 2006-2022《热固性和热塑性粉末涂料》</w:t>
            </w:r>
            <w:r>
              <w:rPr>
                <w:rFonts w:hint="eastAsia" w:ascii="宋体" w:hAnsi="宋体"/>
                <w:szCs w:val="21"/>
              </w:rPr>
              <w:t>。</w:t>
            </w:r>
          </w:p>
          <w:p>
            <w:pPr>
              <w:snapToGrid w:val="0"/>
              <w:spacing w:line="400" w:lineRule="exact"/>
              <w:rPr>
                <w:rFonts w:hint="eastAsia" w:ascii="宋体" w:hAnsi="宋体"/>
                <w:szCs w:val="21"/>
              </w:rPr>
            </w:pPr>
            <w:r>
              <w:rPr>
                <w:rFonts w:hint="eastAsia" w:ascii="宋体" w:hAnsi="宋体"/>
                <w:szCs w:val="21"/>
              </w:rPr>
              <w:t>16、公寓床的邻边垂直度（面板、框架）、翘曲度（面板、正视面板件）、平整度（门、桌面和抽屉面）、着地平稳性、金属外观要求、木制件外观要求、塑料件外观要求、冲击强度、附着力、耐湿热、床类铺面集中静荷载，铺面冲击、书架搁板支撑件强度、扶梯挠度和强度、安全栏静荷载、安装、甲醛释放量（气候箱法）、苯、甲苯、二甲苯、总挥发性有机化合物（TVOC)、家具涂层可迁移元素：铅、铬、镉、汞、锑、钡、硒、砷、黄曲霉、金黄色葡萄球菌、燃烧性能B1级（硬质家具）、密度等满足采购需求及符合相关标准，且无异味，实物检验合格。</w:t>
            </w:r>
          </w:p>
          <w:p>
            <w:pPr>
              <w:spacing w:line="400" w:lineRule="exact"/>
              <w:rPr>
                <w:rFonts w:hint="eastAsia" w:ascii="宋体" w:hAnsi="宋体"/>
                <w:szCs w:val="21"/>
              </w:rPr>
            </w:pPr>
            <w:r>
              <w:rPr>
                <w:rFonts w:hint="eastAsia" w:ascii="宋体" w:hAnsi="宋体"/>
                <w:szCs w:val="21"/>
              </w:rPr>
              <w:t>参考图：</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r>
              <w:drawing>
                <wp:anchor distT="0" distB="0" distL="114300" distR="114300" simplePos="0" relativeHeight="251658240" behindDoc="1" locked="0" layoutInCell="1" allowOverlap="1">
                  <wp:simplePos x="0" y="0"/>
                  <wp:positionH relativeFrom="column">
                    <wp:posOffset>-3765550</wp:posOffset>
                  </wp:positionH>
                  <wp:positionV relativeFrom="paragraph">
                    <wp:posOffset>157480</wp:posOffset>
                  </wp:positionV>
                  <wp:extent cx="3741420" cy="2183765"/>
                  <wp:effectExtent l="0" t="0" r="11430" b="6985"/>
                  <wp:wrapTight wrapText="bothSides">
                    <wp:wrapPolygon>
                      <wp:start x="0" y="0"/>
                      <wp:lineTo x="0" y="21481"/>
                      <wp:lineTo x="21446" y="21481"/>
                      <wp:lineTo x="21446" y="0"/>
                      <wp:lineTo x="0" y="0"/>
                    </wp:wrapPolygon>
                  </wp:wrapTight>
                  <wp:docPr id="8" name="图片 6" descr="2778f976fbfeba8b3f281719c2b9d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2778f976fbfeba8b3f281719c2b9d57"/>
                          <pic:cNvPicPr>
                            <a:picLocks noChangeAspect="1"/>
                          </pic:cNvPicPr>
                        </pic:nvPicPr>
                        <pic:blipFill>
                          <a:blip r:embed="rId15"/>
                          <a:stretch>
                            <a:fillRect/>
                          </a:stretch>
                        </pic:blipFill>
                        <pic:spPr>
                          <a:xfrm>
                            <a:off x="0" y="0"/>
                            <a:ext cx="3741420" cy="2183765"/>
                          </a:xfrm>
                          <a:prstGeom prst="rect">
                            <a:avLst/>
                          </a:prstGeom>
                          <a:noFill/>
                          <a:ln>
                            <a:noFill/>
                          </a:ln>
                        </pic:spPr>
                      </pic:pic>
                    </a:graphicData>
                  </a:graphic>
                </wp:anchor>
              </w:drawing>
            </w: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spacing w:line="360" w:lineRule="auto"/>
              <w:rPr>
                <w:rFonts w:hint="eastAsia" w:ascii="宋体" w:hAnsi="宋体"/>
                <w:szCs w:val="21"/>
              </w:rPr>
            </w:pPr>
            <w:r>
              <w:rPr>
                <w:rFonts w:hint="eastAsia" w:ascii="宋体" w:hAnsi="宋体"/>
                <w:szCs w:val="21"/>
              </w:rPr>
              <w:t>三、组合柜、电脑桌材质及规格要求：</w:t>
            </w:r>
          </w:p>
          <w:p>
            <w:pPr>
              <w:spacing w:line="400" w:lineRule="exact"/>
              <w:jc w:val="left"/>
              <w:rPr>
                <w:rFonts w:hint="eastAsia" w:ascii="宋体" w:hAnsi="宋体"/>
                <w:szCs w:val="21"/>
              </w:rPr>
            </w:pPr>
            <w:r>
              <w:rPr>
                <w:rFonts w:hint="eastAsia" w:ascii="宋体" w:hAnsi="宋体"/>
                <w:szCs w:val="21"/>
              </w:rPr>
              <w:t>1、组合柜整体选用≥0.8mm厚符合GB/T 13237-2013《优质碳素结构钢冷轧钢板和钢带》优质钢板；钢板材质符合国家行业标准，无虚焊、无焊渣，焊点光滑、美观，结实稳固，漆面不脱落，表面光滑无毛刺，无漏喷及留痕，具有耐腐蚀、防水抗老化等性能，力学性能，金属喷漆（塑）涂层理化性能。表面采用优质环保产品环氧聚脂塑粉静电喷塑，经除油、酸洗、磷化、除锈或电解防锈处理，表面光滑无毛刺，具有耐腐蚀、防水抗老化等性能。组合柜底部使用一次性注塑成型的防潮脚套，保证柜体底部镶嵌于胶套内部。</w:t>
            </w:r>
          </w:p>
          <w:p>
            <w:pPr>
              <w:spacing w:line="400" w:lineRule="exact"/>
              <w:jc w:val="left"/>
              <w:rPr>
                <w:rFonts w:hint="eastAsia" w:ascii="宋体" w:hAnsi="宋体"/>
                <w:szCs w:val="21"/>
              </w:rPr>
            </w:pPr>
            <w:r>
              <w:rPr>
                <w:rFonts w:hint="eastAsia" w:ascii="宋体" w:hAnsi="宋体"/>
                <w:szCs w:val="21"/>
              </w:rPr>
              <w:t>▲2、衣柜</w:t>
            </w:r>
          </w:p>
          <w:p>
            <w:pPr>
              <w:spacing w:line="400" w:lineRule="exact"/>
              <w:jc w:val="left"/>
              <w:rPr>
                <w:rFonts w:hint="eastAsia" w:ascii="宋体" w:hAnsi="宋体"/>
                <w:szCs w:val="21"/>
              </w:rPr>
            </w:pPr>
            <w:r>
              <w:rPr>
                <w:rFonts w:hint="eastAsia" w:ascii="宋体" w:hAnsi="宋体"/>
                <w:szCs w:val="21"/>
              </w:rPr>
              <w:t>（1）规格：高≥1700</w:t>
            </w:r>
            <w:r>
              <w:rPr>
                <w:rFonts w:ascii="宋体" w:hAnsi="宋体"/>
                <w:szCs w:val="21"/>
              </w:rPr>
              <w:t>mm</w:t>
            </w:r>
            <w:r>
              <w:rPr>
                <w:rFonts w:hint="eastAsia" w:ascii="宋体" w:hAnsi="宋体"/>
                <w:szCs w:val="21"/>
              </w:rPr>
              <w:t>×宽≥6</w:t>
            </w:r>
            <w:r>
              <w:rPr>
                <w:rFonts w:ascii="宋体" w:hAnsi="宋体"/>
                <w:szCs w:val="21"/>
              </w:rPr>
              <w:t>0</w:t>
            </w:r>
            <w:r>
              <w:rPr>
                <w:rFonts w:hint="eastAsia" w:ascii="宋体" w:hAnsi="宋体"/>
                <w:szCs w:val="21"/>
              </w:rPr>
              <w:t>0</w:t>
            </w:r>
            <w:r>
              <w:rPr>
                <w:rFonts w:ascii="宋体" w:hAnsi="宋体"/>
                <w:szCs w:val="21"/>
              </w:rPr>
              <w:t>mm</w:t>
            </w:r>
            <w:r>
              <w:rPr>
                <w:rFonts w:hint="eastAsia" w:ascii="宋体" w:hAnsi="宋体"/>
                <w:szCs w:val="21"/>
              </w:rPr>
              <w:t>×深≥</w:t>
            </w:r>
            <w:r>
              <w:rPr>
                <w:rFonts w:ascii="宋体" w:hAnsi="宋体"/>
                <w:szCs w:val="21"/>
              </w:rPr>
              <w:t>60</w:t>
            </w:r>
            <w:r>
              <w:rPr>
                <w:rFonts w:hint="eastAsia" w:ascii="宋体" w:hAnsi="宋体"/>
                <w:szCs w:val="21"/>
              </w:rPr>
              <w:t>0</w:t>
            </w:r>
            <w:r>
              <w:rPr>
                <w:rFonts w:ascii="宋体" w:hAnsi="宋体"/>
                <w:szCs w:val="21"/>
              </w:rPr>
              <w:t>mm</w:t>
            </w:r>
            <w:r>
              <w:rPr>
                <w:rFonts w:hint="eastAsia" w:ascii="宋体" w:hAnsi="宋体"/>
                <w:szCs w:val="21"/>
              </w:rPr>
              <w:t>；</w:t>
            </w:r>
          </w:p>
          <w:p>
            <w:pPr>
              <w:spacing w:line="400" w:lineRule="exact"/>
              <w:jc w:val="left"/>
              <w:rPr>
                <w:rFonts w:hint="eastAsia" w:ascii="宋体" w:hAnsi="宋体"/>
                <w:szCs w:val="21"/>
              </w:rPr>
            </w:pPr>
            <w:r>
              <w:rPr>
                <w:rFonts w:hint="eastAsia" w:ascii="宋体" w:hAnsi="宋体"/>
                <w:szCs w:val="21"/>
              </w:rPr>
              <w:t>（2）衣柜内部：内配置铝合金材质≥</w:t>
            </w:r>
            <w:r>
              <w:rPr>
                <w:rFonts w:ascii="宋体" w:hAnsi="宋体"/>
                <w:szCs w:val="21"/>
              </w:rPr>
              <w:t>15mm</w:t>
            </w:r>
            <w:r>
              <w:rPr>
                <w:rFonts w:hint="eastAsia" w:ascii="宋体" w:hAnsi="宋体"/>
                <w:szCs w:val="21"/>
              </w:rPr>
              <w:t>×</w:t>
            </w:r>
            <w:r>
              <w:rPr>
                <w:rFonts w:ascii="宋体" w:hAnsi="宋体"/>
                <w:szCs w:val="21"/>
              </w:rPr>
              <w:t>30mm</w:t>
            </w:r>
            <w:r>
              <w:rPr>
                <w:rFonts w:hint="eastAsia" w:ascii="宋体" w:hAnsi="宋体"/>
                <w:szCs w:val="21"/>
              </w:rPr>
              <w:t>×1.</w:t>
            </w:r>
            <w:r>
              <w:rPr>
                <w:rFonts w:ascii="宋体" w:hAnsi="宋体"/>
                <w:szCs w:val="21"/>
              </w:rPr>
              <w:t>0</w:t>
            </w:r>
            <w:r>
              <w:rPr>
                <w:rFonts w:hint="eastAsia" w:ascii="宋体" w:hAnsi="宋体"/>
                <w:szCs w:val="21"/>
              </w:rPr>
              <w:t>mm厚椭圆管挂衣杆1根，经久耐用，铝合金挂衣杆必须符合GB5237-2008GB/T 5237.1-2017《铝合金建筑型材》的标准要求。</w:t>
            </w:r>
          </w:p>
          <w:p>
            <w:pPr>
              <w:spacing w:line="400" w:lineRule="exact"/>
              <w:rPr>
                <w:rFonts w:hint="eastAsia" w:ascii="宋体" w:hAnsi="宋体"/>
                <w:szCs w:val="21"/>
              </w:rPr>
            </w:pPr>
            <w:r>
              <w:rPr>
                <w:rFonts w:hint="eastAsia" w:ascii="宋体" w:hAnsi="宋体"/>
                <w:szCs w:val="21"/>
              </w:rPr>
              <w:t>（3）衣柜拉手及锁扣：上下二个柜门都配金属拉手，经镀铬处理，圆弧型设计，配凹形槽安全防护，旋转外挂锁扣锁具。成型的凹形槽不凸出柜门表面，手抚摸必须光滑，不能有尖锐棱角存在刮伤、割伤人体的地方。高度≥120mm，宽度≥80mm。</w:t>
            </w:r>
          </w:p>
          <w:p>
            <w:pPr>
              <w:spacing w:line="400" w:lineRule="exact"/>
              <w:rPr>
                <w:rFonts w:ascii="宋体" w:hAnsi="宋体"/>
                <w:szCs w:val="21"/>
              </w:rPr>
            </w:pPr>
            <w:r>
              <w:drawing>
                <wp:anchor distT="0" distB="0" distL="114300" distR="114300" simplePos="0" relativeHeight="251661312" behindDoc="1" locked="0" layoutInCell="1" allowOverlap="1">
                  <wp:simplePos x="0" y="0"/>
                  <wp:positionH relativeFrom="column">
                    <wp:posOffset>1583690</wp:posOffset>
                  </wp:positionH>
                  <wp:positionV relativeFrom="paragraph">
                    <wp:posOffset>53975</wp:posOffset>
                  </wp:positionV>
                  <wp:extent cx="759460" cy="1696085"/>
                  <wp:effectExtent l="0" t="0" r="2540" b="18415"/>
                  <wp:wrapTight wrapText="bothSides">
                    <wp:wrapPolygon>
                      <wp:start x="0" y="0"/>
                      <wp:lineTo x="0" y="21349"/>
                      <wp:lineTo x="21130" y="21349"/>
                      <wp:lineTo x="21130"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grayscl/>
                          </a:blip>
                          <a:stretch>
                            <a:fillRect/>
                          </a:stretch>
                        </pic:blipFill>
                        <pic:spPr>
                          <a:xfrm>
                            <a:off x="0" y="0"/>
                            <a:ext cx="759460" cy="1696085"/>
                          </a:xfrm>
                          <a:prstGeom prst="rect">
                            <a:avLst/>
                          </a:prstGeom>
                          <a:noFill/>
                          <a:ln>
                            <a:noFill/>
                          </a:ln>
                        </pic:spPr>
                      </pic:pic>
                    </a:graphicData>
                  </a:graphic>
                </wp:anchor>
              </w:drawing>
            </w:r>
            <w:r>
              <w:rPr>
                <w:rFonts w:hint="eastAsia" w:ascii="宋体" w:hAnsi="宋体"/>
                <w:szCs w:val="21"/>
              </w:rPr>
              <w:t>参考图：</w:t>
            </w: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spacing w:line="400" w:lineRule="exact"/>
              <w:jc w:val="left"/>
              <w:rPr>
                <w:rFonts w:hint="eastAsia" w:ascii="宋体" w:hAnsi="宋体"/>
                <w:szCs w:val="21"/>
              </w:rPr>
            </w:pPr>
            <w:r>
              <w:rPr>
                <w:rFonts w:hint="eastAsia" w:ascii="宋体" w:hAnsi="宋体"/>
                <w:szCs w:val="21"/>
              </w:rPr>
              <w:t>（4）柜门上下两层，单开门设计，材质选用≥0.8mm厚符合优质冷轧钢板，在接触人体或收藏物品的部位应无毛刺、刃口、棱角，不能存在割伤人体的安全隐患，开合顺畅、无卡顿。柜底配防水脚垫，衣柜门颜色为淡蓝色。</w:t>
            </w:r>
          </w:p>
          <w:p>
            <w:pPr>
              <w:spacing w:line="400" w:lineRule="exact"/>
              <w:jc w:val="left"/>
              <w:rPr>
                <w:rFonts w:hint="eastAsia" w:ascii="宋体" w:hAnsi="宋体"/>
                <w:szCs w:val="21"/>
              </w:rPr>
            </w:pPr>
            <w:r>
              <w:rPr>
                <w:rFonts w:hint="eastAsia" w:ascii="宋体" w:hAnsi="宋体"/>
                <w:szCs w:val="21"/>
              </w:rPr>
              <w:t>▲3、书柜</w:t>
            </w:r>
          </w:p>
          <w:p>
            <w:pPr>
              <w:spacing w:line="400" w:lineRule="exact"/>
              <w:jc w:val="left"/>
              <w:rPr>
                <w:rFonts w:hint="eastAsia" w:ascii="宋体" w:hAnsi="宋体"/>
                <w:szCs w:val="21"/>
              </w:rPr>
            </w:pPr>
            <w:r>
              <w:rPr>
                <w:rFonts w:hint="eastAsia" w:ascii="宋体" w:hAnsi="宋体"/>
                <w:szCs w:val="21"/>
              </w:rPr>
              <w:t>（1）规格：高≥1700</w:t>
            </w:r>
            <w:r>
              <w:rPr>
                <w:rFonts w:ascii="宋体" w:hAnsi="宋体"/>
                <w:szCs w:val="21"/>
              </w:rPr>
              <w:t>mm</w:t>
            </w:r>
            <w:r>
              <w:rPr>
                <w:rFonts w:hint="eastAsia" w:ascii="宋体" w:hAnsi="宋体"/>
                <w:szCs w:val="21"/>
              </w:rPr>
              <w:t>×宽≥280</w:t>
            </w:r>
            <w:r>
              <w:rPr>
                <w:rFonts w:ascii="宋体" w:hAnsi="宋体"/>
                <w:szCs w:val="21"/>
              </w:rPr>
              <w:t>mm</w:t>
            </w:r>
            <w:r>
              <w:rPr>
                <w:rFonts w:hint="eastAsia" w:ascii="宋体" w:hAnsi="宋体"/>
                <w:szCs w:val="21"/>
              </w:rPr>
              <w:t>×深≥6</w:t>
            </w:r>
            <w:r>
              <w:rPr>
                <w:rFonts w:ascii="宋体" w:hAnsi="宋体"/>
                <w:szCs w:val="21"/>
              </w:rPr>
              <w:t>00mm</w:t>
            </w:r>
            <w:r>
              <w:rPr>
                <w:rFonts w:hint="eastAsia" w:ascii="宋体" w:hAnsi="宋体"/>
                <w:szCs w:val="21"/>
              </w:rPr>
              <w:t>；</w:t>
            </w:r>
          </w:p>
          <w:p>
            <w:pPr>
              <w:spacing w:line="400" w:lineRule="exact"/>
              <w:jc w:val="left"/>
              <w:rPr>
                <w:rFonts w:hint="eastAsia" w:ascii="宋体" w:hAnsi="宋体"/>
                <w:szCs w:val="21"/>
              </w:rPr>
            </w:pPr>
            <w:r>
              <w:rPr>
                <w:rFonts w:hint="eastAsia" w:ascii="宋体" w:hAnsi="宋体"/>
                <w:szCs w:val="21"/>
              </w:rPr>
              <w:t>（2）结构要求：柜体分为上下2部分，上部为2层隔板共分3层，下部一层隔板；电脑桌上书架共一层两格，后置与衣柜齐高的挡板，电脑桌上书架尺寸为长≥1</w:t>
            </w:r>
            <w:r>
              <w:rPr>
                <w:rFonts w:ascii="宋体" w:hAnsi="宋体"/>
                <w:szCs w:val="21"/>
              </w:rPr>
              <w:t>035mm</w:t>
            </w:r>
            <w:r>
              <w:rPr>
                <w:rFonts w:hint="eastAsia" w:ascii="宋体" w:hAnsi="宋体"/>
                <w:szCs w:val="21"/>
              </w:rPr>
              <w:t>×深≥240</w:t>
            </w:r>
            <w:r>
              <w:rPr>
                <w:rFonts w:ascii="宋体" w:hAnsi="宋体"/>
                <w:szCs w:val="21"/>
              </w:rPr>
              <w:t>mm</w:t>
            </w:r>
            <w:r>
              <w:rPr>
                <w:rFonts w:hint="eastAsia" w:ascii="宋体" w:hAnsi="宋体"/>
                <w:szCs w:val="21"/>
              </w:rPr>
              <w:t>×高3</w:t>
            </w:r>
            <w:r>
              <w:rPr>
                <w:rFonts w:ascii="宋体" w:hAnsi="宋体"/>
                <w:szCs w:val="21"/>
              </w:rPr>
              <w:t>00mm</w:t>
            </w:r>
            <w:r>
              <w:rPr>
                <w:rFonts w:hint="eastAsia" w:ascii="宋体" w:hAnsi="宋体"/>
                <w:szCs w:val="21"/>
              </w:rPr>
              <w:t>；分左右两部分。</w:t>
            </w:r>
          </w:p>
          <w:p>
            <w:pPr>
              <w:spacing w:line="400" w:lineRule="exact"/>
              <w:rPr>
                <w:rFonts w:hint="eastAsia" w:ascii="宋体" w:hAnsi="宋体"/>
                <w:szCs w:val="21"/>
              </w:rPr>
            </w:pPr>
            <w:r>
              <w:rPr>
                <w:rFonts w:hint="eastAsia" w:ascii="宋体" w:hAnsi="宋体"/>
                <w:szCs w:val="21"/>
              </w:rPr>
              <w:t>▲4、电脑桌</w:t>
            </w:r>
          </w:p>
          <w:p>
            <w:pPr>
              <w:spacing w:line="400" w:lineRule="exact"/>
              <w:rPr>
                <w:rFonts w:hint="eastAsia" w:ascii="宋体" w:hAnsi="宋体"/>
                <w:szCs w:val="21"/>
              </w:rPr>
            </w:pPr>
            <w:r>
              <w:rPr>
                <w:rFonts w:hint="eastAsia" w:ascii="宋体" w:hAnsi="宋体"/>
                <w:szCs w:val="21"/>
              </w:rPr>
              <w:t>（1）规格：</w:t>
            </w:r>
            <w:r>
              <w:rPr>
                <w:rFonts w:ascii="宋体" w:hAnsi="宋体"/>
                <w:szCs w:val="21"/>
              </w:rPr>
              <w:t>1035mm</w:t>
            </w:r>
            <w:r>
              <w:rPr>
                <w:rFonts w:hint="eastAsia" w:ascii="宋体" w:hAnsi="宋体"/>
                <w:szCs w:val="21"/>
              </w:rPr>
              <w:t>×宽≥600</w:t>
            </w:r>
            <w:r>
              <w:rPr>
                <w:rFonts w:ascii="宋体" w:hAnsi="宋体"/>
                <w:szCs w:val="21"/>
              </w:rPr>
              <w:t>mm</w:t>
            </w:r>
            <w:r>
              <w:rPr>
                <w:rFonts w:hint="eastAsia" w:ascii="宋体" w:hAnsi="宋体"/>
                <w:szCs w:val="21"/>
              </w:rPr>
              <w:t>×高≥760</w:t>
            </w:r>
            <w:r>
              <w:rPr>
                <w:rFonts w:ascii="宋体" w:hAnsi="宋体"/>
                <w:szCs w:val="21"/>
              </w:rPr>
              <w:t>mm</w:t>
            </w:r>
            <w:r>
              <w:rPr>
                <w:rFonts w:hint="eastAsia" w:ascii="宋体" w:hAnsi="宋体"/>
                <w:szCs w:val="21"/>
              </w:rPr>
              <w:t>；</w:t>
            </w:r>
          </w:p>
          <w:p>
            <w:pPr>
              <w:spacing w:line="400" w:lineRule="exact"/>
              <w:rPr>
                <w:rFonts w:hint="eastAsia" w:ascii="宋体" w:hAnsi="宋体"/>
                <w:szCs w:val="21"/>
              </w:rPr>
            </w:pPr>
            <w:r>
              <w:rPr>
                <w:rFonts w:hint="eastAsia" w:ascii="宋体" w:hAnsi="宋体"/>
                <w:szCs w:val="21"/>
              </w:rPr>
              <w:t>（2）配置：主机柜带抽斗1个，主机柜宽度300mm（±2mm），深度≥500</w:t>
            </w:r>
            <w:r>
              <w:rPr>
                <w:rFonts w:ascii="宋体" w:hAnsi="宋体"/>
                <w:szCs w:val="21"/>
              </w:rPr>
              <w:t>mm；</w:t>
            </w:r>
            <w:r>
              <w:rPr>
                <w:rFonts w:hint="eastAsia" w:ascii="宋体" w:hAnsi="宋体"/>
                <w:szCs w:val="21"/>
              </w:rPr>
              <w:t>抽斗拉手须与抽斗</w:t>
            </w:r>
            <w:r>
              <w:rPr>
                <w:rFonts w:ascii="宋体" w:hAnsi="宋体"/>
                <w:szCs w:val="21"/>
              </w:rPr>
              <w:t>面</w:t>
            </w:r>
            <w:r>
              <w:rPr>
                <w:rFonts w:hint="eastAsia" w:ascii="宋体" w:hAnsi="宋体"/>
                <w:szCs w:val="21"/>
              </w:rPr>
              <w:t>平齐，镶嵌在门板上面，深蓝色，耐磨光滑。</w:t>
            </w:r>
            <w:r>
              <w:rPr>
                <w:rFonts w:ascii="宋体" w:hAnsi="宋体"/>
                <w:szCs w:val="21"/>
              </w:rPr>
              <w:t>(</w:t>
            </w:r>
            <w:r>
              <w:rPr>
                <w:rFonts w:hint="eastAsia" w:ascii="宋体" w:hAnsi="宋体"/>
                <w:szCs w:val="21"/>
              </w:rPr>
              <w:t>不允许</w:t>
            </w:r>
            <w:r>
              <w:rPr>
                <w:rFonts w:ascii="宋体" w:hAnsi="宋体"/>
                <w:szCs w:val="21"/>
              </w:rPr>
              <w:t>3D</w:t>
            </w:r>
            <w:r>
              <w:rPr>
                <w:rFonts w:hint="eastAsia" w:ascii="宋体" w:hAnsi="宋体"/>
                <w:szCs w:val="21"/>
              </w:rPr>
              <w:t>打印）符合国家相关部门检测，采用优质两节伸缩式导轨。桌面采用E0级环保多层实木板，多层实木板可燃性能达到</w:t>
            </w:r>
            <w:r>
              <w:rPr>
                <w:rFonts w:ascii="宋体" w:hAnsi="宋体"/>
                <w:szCs w:val="21"/>
              </w:rPr>
              <w:t>B2</w:t>
            </w:r>
            <w:r>
              <w:rPr>
                <w:rFonts w:hint="eastAsia" w:ascii="宋体" w:hAnsi="宋体"/>
                <w:szCs w:val="21"/>
              </w:rPr>
              <w:t>等级，桌面板材须符合《GB 18580-2017室内装饰装修材料人造板及其制品中甲醛释放限》的标准；桌面厚度≥25mm；</w:t>
            </w:r>
            <w:r>
              <w:rPr>
                <w:rFonts w:ascii="宋体" w:hAnsi="宋体"/>
                <w:szCs w:val="21"/>
              </w:rPr>
              <w:t>桌面前端采用铝合金</w:t>
            </w:r>
            <w:r>
              <w:rPr>
                <w:rFonts w:hint="eastAsia" w:ascii="宋体" w:hAnsi="宋体"/>
                <w:szCs w:val="21"/>
              </w:rPr>
              <w:t>材质</w:t>
            </w:r>
            <w:r>
              <w:rPr>
                <w:rFonts w:ascii="宋体" w:hAnsi="宋体"/>
                <w:szCs w:val="21"/>
              </w:rPr>
              <w:t>的鸭嘴型封边，鸭嘴型</w:t>
            </w:r>
            <w:r>
              <w:rPr>
                <w:rFonts w:hint="eastAsia" w:ascii="宋体" w:hAnsi="宋体"/>
                <w:szCs w:val="21"/>
              </w:rPr>
              <w:t>尺寸</w:t>
            </w:r>
            <w:r>
              <w:rPr>
                <w:rFonts w:ascii="宋体" w:hAnsi="宋体"/>
                <w:szCs w:val="21"/>
              </w:rPr>
              <w:t>为高</w:t>
            </w:r>
            <w:r>
              <w:rPr>
                <w:rFonts w:hint="eastAsia" w:ascii="宋体" w:hAnsi="宋体"/>
                <w:szCs w:val="21"/>
              </w:rPr>
              <w:t>≥28</w:t>
            </w:r>
            <w:r>
              <w:rPr>
                <w:rFonts w:ascii="宋体" w:hAnsi="宋体"/>
                <w:szCs w:val="21"/>
              </w:rPr>
              <w:t>mm</w:t>
            </w:r>
            <w:r>
              <w:rPr>
                <w:rFonts w:hint="eastAsia" w:ascii="宋体" w:hAnsi="宋体"/>
                <w:szCs w:val="21"/>
              </w:rPr>
              <w:t>×上宽≥40</w:t>
            </w:r>
            <w:r>
              <w:rPr>
                <w:rFonts w:ascii="宋体" w:hAnsi="宋体"/>
                <w:szCs w:val="21"/>
              </w:rPr>
              <w:t>mm</w:t>
            </w:r>
            <w:r>
              <w:rPr>
                <w:rFonts w:hint="eastAsia" w:ascii="宋体" w:hAnsi="宋体"/>
                <w:szCs w:val="21"/>
              </w:rPr>
              <w:t>(下宽≥53</w:t>
            </w:r>
            <w:r>
              <w:rPr>
                <w:rFonts w:ascii="宋体" w:hAnsi="宋体"/>
                <w:szCs w:val="21"/>
              </w:rPr>
              <w:t>mm</w:t>
            </w:r>
            <w:r>
              <w:rPr>
                <w:rFonts w:hint="eastAsia" w:ascii="宋体" w:hAnsi="宋体"/>
                <w:szCs w:val="21"/>
              </w:rPr>
              <w:t>)×厚≥1.2</w:t>
            </w:r>
            <w:r>
              <w:rPr>
                <w:rFonts w:ascii="宋体" w:hAnsi="宋体"/>
                <w:szCs w:val="21"/>
              </w:rPr>
              <w:t>mm</w:t>
            </w:r>
            <w:r>
              <w:rPr>
                <w:rFonts w:hint="eastAsia" w:ascii="宋体" w:hAnsi="宋体"/>
                <w:szCs w:val="21"/>
              </w:rPr>
              <w:t>，两边有封套</w:t>
            </w:r>
            <w:r>
              <w:rPr>
                <w:rFonts w:ascii="宋体" w:hAnsi="宋体"/>
                <w:szCs w:val="21"/>
              </w:rPr>
              <w:t>；</w:t>
            </w:r>
            <w:r>
              <w:rPr>
                <w:rFonts w:hint="eastAsia" w:ascii="宋体" w:hAnsi="宋体"/>
                <w:szCs w:val="21"/>
              </w:rPr>
              <w:t>其余</w:t>
            </w:r>
            <w:r>
              <w:rPr>
                <w:rFonts w:ascii="宋体" w:hAnsi="宋体"/>
                <w:szCs w:val="21"/>
              </w:rPr>
              <w:t>三边采用优质</w:t>
            </w:r>
            <w:r>
              <w:rPr>
                <w:rFonts w:hint="eastAsia" w:ascii="宋体" w:hAnsi="宋体"/>
                <w:szCs w:val="21"/>
              </w:rPr>
              <w:t>≥1.0mm</w:t>
            </w:r>
            <w:r>
              <w:rPr>
                <w:rFonts w:ascii="宋体" w:hAnsi="宋体"/>
                <w:szCs w:val="21"/>
              </w:rPr>
              <w:t>PVC</w:t>
            </w:r>
            <w:r>
              <w:rPr>
                <w:rFonts w:hint="eastAsia" w:ascii="宋体" w:hAnsi="宋体"/>
                <w:szCs w:val="21"/>
              </w:rPr>
              <w:t>材质经</w:t>
            </w:r>
            <w:r>
              <w:rPr>
                <w:rFonts w:ascii="宋体" w:hAnsi="宋体"/>
                <w:szCs w:val="21"/>
              </w:rPr>
              <w:t>全自动化机器封边</w:t>
            </w:r>
            <w:r>
              <w:rPr>
                <w:rFonts w:hint="eastAsia" w:ascii="宋体" w:hAnsi="宋体"/>
                <w:szCs w:val="21"/>
              </w:rPr>
              <w:t>机进行</w:t>
            </w:r>
            <w:r>
              <w:rPr>
                <w:rFonts w:ascii="宋体" w:hAnsi="宋体"/>
                <w:szCs w:val="21"/>
              </w:rPr>
              <w:t>封边，防潮、不易脱落、经久耐用、表面光滑平整，</w:t>
            </w:r>
            <w:r>
              <w:rPr>
                <w:rFonts w:hint="eastAsia" w:ascii="宋体" w:hAnsi="宋体"/>
                <w:szCs w:val="21"/>
              </w:rPr>
              <w:t>不开穿线孔，</w:t>
            </w:r>
            <w:r>
              <w:rPr>
                <w:rFonts w:ascii="宋体" w:hAnsi="宋体"/>
                <w:szCs w:val="21"/>
              </w:rPr>
              <w:t>无褶皱，无波浪型</w:t>
            </w:r>
            <w:r>
              <w:rPr>
                <w:rFonts w:hint="eastAsia" w:ascii="宋体" w:hAnsi="宋体"/>
                <w:szCs w:val="21"/>
              </w:rPr>
              <w:t>。桌面离地高度≥760mm，桌面后端配≥100mm高挡板一块，防止物品掉落</w:t>
            </w:r>
            <w:r>
              <w:rPr>
                <w:rFonts w:hint="eastAsia" w:ascii="宋体" w:hAnsi="宋体"/>
              </w:rPr>
              <w:t>。</w:t>
            </w:r>
          </w:p>
          <w:p>
            <w:pPr>
              <w:pStyle w:val="415"/>
              <w:spacing w:after="0" w:line="400" w:lineRule="exact"/>
              <w:jc w:val="left"/>
              <w:rPr>
                <w:rFonts w:hint="eastAsia" w:ascii="宋体" w:hAnsi="宋体"/>
                <w:szCs w:val="21"/>
              </w:rPr>
            </w:pPr>
            <w:r>
              <w:rPr>
                <w:rFonts w:hint="eastAsia" w:ascii="宋体" w:hAnsi="宋体"/>
                <w:szCs w:val="21"/>
              </w:rPr>
              <w:t>5、组合柜的形状和位置公差、外观性能要求、结构安全、有害物质限量、金属喷涂（塑）涂层、金属件电镀层、力学性能（搁板弯曲试验、搁板支承件强度试验、顶板、底板的持续加载试验、挂衣棍支承件强度试验、结构和底架强度实验、跌落试验、拉门垂直加载试验）可溶性重金属、涂层耐腐蚀、拉门耐久性实验、柜类稳定性，涂层可迁移元素（锑、砷、钡、镉、铬、铅、汞、硒）、领边垂直度、平整度、位差度、分缝、外观要求、拉门垂直加载、拉门水平加载、产品有害物质等满足采购需求及符合相关标准，且无异味，实物检验合格。</w:t>
            </w:r>
          </w:p>
          <w:p>
            <w:pPr>
              <w:spacing w:line="400" w:lineRule="exact"/>
              <w:jc w:val="left"/>
              <w:rPr>
                <w:rFonts w:ascii="宋体" w:hAnsi="宋体"/>
                <w:szCs w:val="21"/>
              </w:rPr>
            </w:pPr>
            <w:r>
              <w:rPr>
                <w:rFonts w:hint="eastAsia" w:ascii="宋体" w:hAnsi="宋体"/>
                <w:szCs w:val="21"/>
              </w:rPr>
              <w:t>参考图：</w:t>
            </w:r>
          </w:p>
          <w:p>
            <w:pPr>
              <w:pStyle w:val="2"/>
              <w:ind w:firstLine="240"/>
              <w:rPr>
                <w:rFonts w:hint="eastAsia"/>
              </w:rPr>
            </w:pPr>
          </w:p>
          <w:p>
            <w:pPr>
              <w:spacing w:line="360" w:lineRule="auto"/>
              <w:jc w:val="left"/>
              <w:rPr>
                <w:rFonts w:hint="eastAsia" w:ascii="宋体" w:hAnsi="宋体"/>
                <w:szCs w:val="21"/>
              </w:rPr>
            </w:pPr>
            <w:r>
              <w:drawing>
                <wp:anchor distT="0" distB="0" distL="114300" distR="114300" simplePos="0" relativeHeight="251659264" behindDoc="1" locked="0" layoutInCell="1" allowOverlap="1">
                  <wp:simplePos x="0" y="0"/>
                  <wp:positionH relativeFrom="column">
                    <wp:posOffset>622935</wp:posOffset>
                  </wp:positionH>
                  <wp:positionV relativeFrom="paragraph">
                    <wp:posOffset>-106680</wp:posOffset>
                  </wp:positionV>
                  <wp:extent cx="3166745" cy="2052955"/>
                  <wp:effectExtent l="0" t="0" r="14605" b="4445"/>
                  <wp:wrapTight wrapText="bothSides">
                    <wp:wrapPolygon>
                      <wp:start x="0" y="0"/>
                      <wp:lineTo x="0" y="21446"/>
                      <wp:lineTo x="21440" y="21446"/>
                      <wp:lineTo x="21440" y="0"/>
                      <wp:lineTo x="0" y="0"/>
                    </wp:wrapPolygon>
                  </wp:wrapTight>
                  <wp:docPr id="10" name="图片 7" descr="G:\1028\微信截图_20201028122553.jpg微信截图_2020102812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G:\1028\微信截图_20201028122553.jpg微信截图_20201028122553"/>
                          <pic:cNvPicPr>
                            <a:picLocks noChangeAspect="1"/>
                          </pic:cNvPicPr>
                        </pic:nvPicPr>
                        <pic:blipFill>
                          <a:blip r:embed="rId17"/>
                          <a:srcRect t="6532" b="9319"/>
                          <a:stretch>
                            <a:fillRect/>
                          </a:stretch>
                        </pic:blipFill>
                        <pic:spPr>
                          <a:xfrm>
                            <a:off x="0" y="0"/>
                            <a:ext cx="3166745" cy="2052955"/>
                          </a:xfrm>
                          <a:prstGeom prst="rect">
                            <a:avLst/>
                          </a:prstGeom>
                          <a:noFill/>
                          <a:ln>
                            <a:noFill/>
                          </a:ln>
                        </pic:spPr>
                      </pic:pic>
                    </a:graphicData>
                  </a:graphic>
                </wp:anchor>
              </w:drawing>
            </w: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400" w:lineRule="exact"/>
              <w:jc w:val="left"/>
              <w:rPr>
                <w:rFonts w:ascii="宋体" w:hAnsi="宋体"/>
                <w:szCs w:val="21"/>
              </w:rPr>
            </w:pPr>
          </w:p>
          <w:p>
            <w:pPr>
              <w:spacing w:line="40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cs="宋体"/>
                <w:bCs/>
                <w:szCs w:val="21"/>
              </w:rPr>
              <w:t>钢结构无障碍 公寓床（</w:t>
            </w:r>
            <w:r>
              <w:rPr>
                <w:rFonts w:hint="eastAsia"/>
                <w:sz w:val="22"/>
              </w:rPr>
              <w:t>含床、衣柜、学习桌）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套</w:t>
            </w:r>
          </w:p>
        </w:tc>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szCs w:val="21"/>
              </w:rPr>
              <w:t>12</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eastAsia" w:ascii="宋体" w:hAnsi="宋体" w:cs="宋体"/>
                <w:szCs w:val="21"/>
              </w:rPr>
            </w:pPr>
            <w:r>
              <w:rPr>
                <w:rFonts w:hint="eastAsia" w:ascii="宋体" w:hAnsi="宋体" w:cs="宋体"/>
                <w:szCs w:val="21"/>
              </w:rPr>
              <w:t>一、无障碍单人床材质及规格要求</w:t>
            </w:r>
          </w:p>
          <w:p>
            <w:pPr>
              <w:overflowPunct w:val="0"/>
              <w:spacing w:line="400" w:lineRule="exact"/>
              <w:rPr>
                <w:rFonts w:hint="eastAsia" w:ascii="宋体" w:hAnsi="宋体" w:cs="宋体"/>
                <w:szCs w:val="21"/>
              </w:rPr>
            </w:pPr>
            <w:r>
              <w:rPr>
                <w:rFonts w:hint="eastAsia" w:ascii="宋体" w:hAnsi="宋体"/>
                <w:szCs w:val="21"/>
              </w:rPr>
              <w:t>▲</w:t>
            </w:r>
            <w:r>
              <w:rPr>
                <w:rFonts w:hint="eastAsia" w:ascii="宋体" w:hAnsi="宋体" w:cs="宋体"/>
                <w:szCs w:val="21"/>
              </w:rPr>
              <w:t>1.规格：长2200mm×宽</w:t>
            </w:r>
            <w:r>
              <w:rPr>
                <w:rFonts w:hint="eastAsia" w:ascii="宋体" w:hAnsi="宋体"/>
                <w:szCs w:val="21"/>
              </w:rPr>
              <w:t>≥</w:t>
            </w:r>
            <w:r>
              <w:rPr>
                <w:rFonts w:hint="eastAsia" w:ascii="宋体" w:hAnsi="宋体" w:cs="宋体"/>
                <w:szCs w:val="21"/>
              </w:rPr>
              <w:t>1200mm×高</w:t>
            </w:r>
            <w:r>
              <w:rPr>
                <w:rFonts w:hint="eastAsia" w:ascii="宋体" w:hAnsi="宋体"/>
                <w:szCs w:val="21"/>
              </w:rPr>
              <w:t>≥</w:t>
            </w:r>
            <w:r>
              <w:rPr>
                <w:rFonts w:hint="eastAsia" w:ascii="宋体" w:hAnsi="宋体" w:cs="宋体"/>
                <w:szCs w:val="21"/>
              </w:rPr>
              <w:t>820mm。(长净内空=1920mm，</w:t>
            </w:r>
            <w:r>
              <w:rPr>
                <w:rFonts w:ascii="宋体" w:hAnsi="宋体" w:cs="宋体"/>
                <w:szCs w:val="21"/>
              </w:rPr>
              <w:t>±</w:t>
            </w:r>
            <w:r>
              <w:rPr>
                <w:rFonts w:hint="eastAsia" w:ascii="宋体" w:hAnsi="宋体" w:cs="宋体"/>
                <w:szCs w:val="21"/>
              </w:rPr>
              <w:t>20mm)</w:t>
            </w:r>
          </w:p>
          <w:p>
            <w:pPr>
              <w:overflowPunct w:val="0"/>
              <w:spacing w:line="400" w:lineRule="exact"/>
              <w:rPr>
                <w:rFonts w:hint="eastAsia" w:ascii="宋体" w:hAnsi="宋体" w:cs="宋体"/>
                <w:szCs w:val="21"/>
              </w:rPr>
            </w:pPr>
            <w:r>
              <w:rPr>
                <w:rFonts w:hint="eastAsia" w:ascii="宋体" w:hAnsi="宋体" w:cs="宋体"/>
                <w:szCs w:val="21"/>
              </w:rPr>
              <w:t>2.铁架床材质要求：选用符合GB/T3094-2012</w:t>
            </w:r>
            <w:r>
              <w:rPr>
                <w:rFonts w:ascii="宋体" w:hAnsi="宋体" w:cs="宋体"/>
                <w:szCs w:val="21"/>
              </w:rPr>
              <w:t>《冷拔异型钢管》</w:t>
            </w:r>
            <w:r>
              <w:rPr>
                <w:rFonts w:hint="eastAsia" w:ascii="宋体" w:hAnsi="宋体" w:cs="宋体"/>
                <w:szCs w:val="21"/>
              </w:rPr>
              <w:t>标准的优质钢管，钢管材质为Q235（或优于Q235）优质钢材，经除油、酸洗、磷化、除锈处理，表面静电喷塑处理，钢管材质符合国家行业标准，无虚焊、无焊渣，焊点光滑、美观，结实稳固，漆面不脱落，灰白色，表面光滑无毛刺，无漏喷及留痕，具有耐腐蚀、防水抗老化等性能，铁架床的结构要求床母与主柱外挂式连接后，每个连接处无需螺栓紧固，有锥度设计。</w:t>
            </w:r>
          </w:p>
          <w:p>
            <w:pPr>
              <w:overflowPunct w:val="0"/>
              <w:spacing w:line="400" w:lineRule="exact"/>
              <w:rPr>
                <w:rFonts w:hint="eastAsia" w:ascii="宋体" w:hAnsi="宋体" w:cs="宋体"/>
                <w:szCs w:val="21"/>
              </w:rPr>
            </w:pPr>
            <w:r>
              <w:rPr>
                <w:rFonts w:hint="eastAsia" w:ascii="宋体" w:hAnsi="宋体"/>
                <w:szCs w:val="21"/>
              </w:rPr>
              <w:t>▲</w:t>
            </w:r>
            <w:r>
              <w:rPr>
                <w:rFonts w:hint="eastAsia" w:ascii="宋体" w:hAnsi="宋体" w:cs="宋体"/>
                <w:szCs w:val="21"/>
              </w:rPr>
              <w:t>3.其他各部分要求</w:t>
            </w:r>
          </w:p>
          <w:p>
            <w:pPr>
              <w:overflowPunct w:val="0"/>
              <w:spacing w:line="400" w:lineRule="exact"/>
              <w:rPr>
                <w:rFonts w:hint="eastAsia" w:ascii="宋体" w:hAnsi="宋体" w:cs="宋体"/>
                <w:szCs w:val="21"/>
              </w:rPr>
            </w:pPr>
            <w:r>
              <w:rPr>
                <w:rFonts w:hint="eastAsia" w:ascii="宋体" w:hAnsi="宋体" w:cs="宋体"/>
                <w:szCs w:val="21"/>
              </w:rPr>
              <w:t>1）立柱：规格</w:t>
            </w:r>
            <w:r>
              <w:rPr>
                <w:rFonts w:hint="eastAsia" w:ascii="宋体" w:hAnsi="宋体"/>
                <w:szCs w:val="21"/>
              </w:rPr>
              <w:t>≥</w:t>
            </w:r>
            <w:r>
              <w:rPr>
                <w:rFonts w:ascii="宋体" w:hAnsi="宋体"/>
                <w:szCs w:val="21"/>
              </w:rPr>
              <w:t>8</w:t>
            </w:r>
            <w:r>
              <w:rPr>
                <w:rFonts w:hint="eastAsia" w:ascii="宋体" w:hAnsi="宋体"/>
                <w:szCs w:val="21"/>
              </w:rPr>
              <w:t>5mm×</w:t>
            </w:r>
            <w:r>
              <w:rPr>
                <w:rFonts w:ascii="宋体" w:hAnsi="宋体"/>
                <w:szCs w:val="21"/>
              </w:rPr>
              <w:t>8</w:t>
            </w:r>
            <w:r>
              <w:rPr>
                <w:rFonts w:hint="eastAsia" w:ascii="宋体" w:hAnsi="宋体"/>
                <w:szCs w:val="21"/>
              </w:rPr>
              <w:t>5mm</w:t>
            </w:r>
            <w:r>
              <w:rPr>
                <w:rFonts w:hint="eastAsia" w:ascii="宋体" w:hAnsi="宋体" w:cs="宋体"/>
                <w:szCs w:val="21"/>
              </w:rPr>
              <w:t>，厚度</w:t>
            </w:r>
            <w:r>
              <w:rPr>
                <w:rFonts w:hint="eastAsia" w:ascii="宋体" w:hAnsi="宋体"/>
                <w:szCs w:val="21"/>
              </w:rPr>
              <w:t>≥</w:t>
            </w:r>
            <w:r>
              <w:rPr>
                <w:rFonts w:hint="eastAsia" w:ascii="宋体" w:hAnsi="宋体" w:cs="宋体"/>
                <w:szCs w:val="21"/>
              </w:rPr>
              <w:t xml:space="preserve">1.5mm闭口型材管，外部半圆，外圆内方高频焊接封口型材管。 </w:t>
            </w:r>
          </w:p>
          <w:p>
            <w:pPr>
              <w:overflowPunct w:val="0"/>
              <w:spacing w:line="400" w:lineRule="exact"/>
              <w:rPr>
                <w:rFonts w:hint="eastAsia" w:ascii="宋体" w:hAnsi="宋体" w:cs="宋体"/>
                <w:szCs w:val="21"/>
              </w:rPr>
            </w:pPr>
            <w:r>
              <w:rPr>
                <w:rFonts w:hint="eastAsia" w:ascii="宋体" w:hAnsi="宋体" w:cs="宋体"/>
                <w:szCs w:val="21"/>
              </w:rPr>
              <w:t>2）床厅（床母）：规格</w:t>
            </w:r>
            <w:r>
              <w:rPr>
                <w:rFonts w:hint="eastAsia" w:ascii="宋体" w:hAnsi="宋体"/>
                <w:szCs w:val="21"/>
              </w:rPr>
              <w:t>≥</w:t>
            </w:r>
            <w:r>
              <w:rPr>
                <w:rFonts w:ascii="宋体" w:hAnsi="宋体" w:cs="宋体"/>
                <w:szCs w:val="21"/>
              </w:rPr>
              <w:t>105</w:t>
            </w:r>
            <w:r>
              <w:rPr>
                <w:rFonts w:hint="eastAsia" w:ascii="宋体" w:hAnsi="宋体" w:cs="宋体"/>
                <w:szCs w:val="21"/>
              </w:rPr>
              <w:t>mm×44mm，厚度</w:t>
            </w:r>
            <w:r>
              <w:rPr>
                <w:rFonts w:hint="eastAsia" w:ascii="宋体" w:hAnsi="宋体"/>
                <w:szCs w:val="21"/>
              </w:rPr>
              <w:t>≥</w:t>
            </w:r>
            <w:r>
              <w:rPr>
                <w:rFonts w:hint="eastAsia" w:ascii="宋体" w:hAnsi="宋体" w:cs="宋体"/>
                <w:szCs w:val="21"/>
              </w:rPr>
              <w:t>1.5mm，正面有不少于两条加强筋，底部半圆型高频焊接封口型材管。</w:t>
            </w:r>
          </w:p>
          <w:p>
            <w:pPr>
              <w:spacing w:line="400" w:lineRule="exact"/>
              <w:jc w:val="left"/>
              <w:rPr>
                <w:rFonts w:hint="eastAsia" w:ascii="宋体" w:hAnsi="宋体" w:cs="宋体"/>
                <w:szCs w:val="21"/>
              </w:rPr>
            </w:pPr>
            <w:r>
              <w:rPr>
                <w:rFonts w:hint="eastAsia" w:ascii="宋体" w:hAnsi="宋体" w:cs="宋体"/>
                <w:szCs w:val="21"/>
              </w:rPr>
              <w:t>3）床横梁与床立柱卡式连接件：采用卡扣式连接（无螺丝连接），连接件采用</w:t>
            </w:r>
            <w:r>
              <w:rPr>
                <w:rFonts w:hint="eastAsia" w:ascii="宋体" w:hAnsi="宋体"/>
                <w:szCs w:val="21"/>
              </w:rPr>
              <w:t>≥</w:t>
            </w:r>
            <w:r>
              <w:rPr>
                <w:rFonts w:hint="eastAsia" w:ascii="宋体" w:hAnsi="宋体" w:cs="宋体"/>
                <w:szCs w:val="21"/>
              </w:rPr>
              <w:t>2.0mm 冷轧钢板冲压成型。</w:t>
            </w:r>
          </w:p>
          <w:p>
            <w:pPr>
              <w:spacing w:line="400" w:lineRule="exact"/>
              <w:rPr>
                <w:rFonts w:hint="eastAsia" w:ascii="宋体" w:hAnsi="宋体" w:cs="宋体"/>
                <w:szCs w:val="21"/>
              </w:rPr>
            </w:pPr>
            <w:r>
              <w:rPr>
                <w:rFonts w:hint="eastAsia" w:ascii="宋体" w:hAnsi="宋体" w:cs="宋体"/>
                <w:szCs w:val="21"/>
              </w:rPr>
              <w:t>4）床横：采用规格≥20mm×30mmmm×1.5mm钢管</w:t>
            </w:r>
          </w:p>
          <w:p>
            <w:pPr>
              <w:spacing w:line="400" w:lineRule="exact"/>
              <w:rPr>
                <w:rFonts w:hint="eastAsia" w:ascii="宋体" w:hAnsi="宋体" w:cs="宋体"/>
                <w:szCs w:val="21"/>
              </w:rPr>
            </w:pPr>
            <w:r>
              <w:rPr>
                <w:rFonts w:hint="eastAsia" w:ascii="宋体" w:hAnsi="宋体" w:cs="宋体"/>
                <w:szCs w:val="21"/>
              </w:rPr>
              <w:t>5）床板：采用厚度</w:t>
            </w:r>
            <w:r>
              <w:rPr>
                <w:rFonts w:hint="eastAsia" w:ascii="宋体" w:hAnsi="宋体"/>
                <w:szCs w:val="21"/>
              </w:rPr>
              <w:t>≥</w:t>
            </w:r>
            <w:r>
              <w:rPr>
                <w:rFonts w:hint="eastAsia" w:ascii="宋体" w:hAnsi="宋体" w:cs="宋体"/>
                <w:szCs w:val="21"/>
              </w:rPr>
              <w:t>1</w:t>
            </w:r>
            <w:r>
              <w:rPr>
                <w:rFonts w:ascii="宋体" w:hAnsi="宋体" w:cs="宋体"/>
                <w:szCs w:val="21"/>
              </w:rPr>
              <w:t>8</w:t>
            </w:r>
            <w:r>
              <w:rPr>
                <w:rFonts w:hint="eastAsia" w:ascii="宋体" w:hAnsi="宋体" w:cs="宋体"/>
                <w:szCs w:val="21"/>
              </w:rPr>
              <w:t>mm 的杉木板；每块床板的拼装板料数量≤7块；固定横条</w:t>
            </w:r>
            <w:r>
              <w:rPr>
                <w:rFonts w:hint="eastAsia" w:ascii="宋体" w:hAnsi="宋体"/>
                <w:szCs w:val="21"/>
              </w:rPr>
              <w:t>≥</w:t>
            </w:r>
            <w:r>
              <w:rPr>
                <w:rFonts w:hint="eastAsia" w:ascii="宋体" w:hAnsi="宋体" w:cs="宋体"/>
                <w:szCs w:val="21"/>
              </w:rPr>
              <w:t>3条，规格为</w:t>
            </w:r>
            <w:r>
              <w:rPr>
                <w:rFonts w:hint="eastAsia" w:ascii="宋体" w:hAnsi="宋体"/>
                <w:szCs w:val="21"/>
              </w:rPr>
              <w:t>≥</w:t>
            </w:r>
            <w:r>
              <w:rPr>
                <w:rFonts w:hint="eastAsia" w:ascii="宋体" w:hAnsi="宋体" w:cs="宋体"/>
                <w:szCs w:val="21"/>
              </w:rPr>
              <w:t>30mm×20mm的实木方料。</w:t>
            </w:r>
          </w:p>
          <w:p>
            <w:pPr>
              <w:spacing w:line="400" w:lineRule="exact"/>
              <w:rPr>
                <w:rFonts w:hint="eastAsia" w:ascii="宋体" w:hAnsi="宋体" w:cs="宋体"/>
                <w:szCs w:val="21"/>
              </w:rPr>
            </w:pPr>
            <w:r>
              <w:rPr>
                <w:rFonts w:hint="eastAsia" w:ascii="宋体" w:hAnsi="宋体" w:cs="宋体"/>
                <w:szCs w:val="21"/>
              </w:rPr>
              <w:t>6）钢件表面处理：床体焊接采用二氧化碳气体保护焊，焊痕打磨光滑平整；表面经过严格的除锈—预脱脂—除油—水洗—清洗—中和—陶化—水洗—烘干九工位表面前处理工序处理。</w:t>
            </w:r>
          </w:p>
          <w:p>
            <w:pPr>
              <w:spacing w:line="400" w:lineRule="exact"/>
              <w:rPr>
                <w:rFonts w:hint="eastAsia" w:ascii="宋体" w:hAnsi="宋体" w:cs="宋体"/>
                <w:szCs w:val="21"/>
              </w:rPr>
            </w:pPr>
            <w:r>
              <w:rPr>
                <w:rFonts w:hint="eastAsia" w:ascii="宋体" w:hAnsi="宋体" w:cs="宋体"/>
                <w:szCs w:val="21"/>
              </w:rPr>
              <w:t>7）床架颜色：灰白色。</w:t>
            </w:r>
          </w:p>
          <w:p>
            <w:pPr>
              <w:spacing w:line="400" w:lineRule="exact"/>
              <w:rPr>
                <w:rFonts w:hint="eastAsia" w:ascii="宋体" w:hAnsi="宋体" w:cs="宋体"/>
                <w:szCs w:val="21"/>
              </w:rPr>
            </w:pPr>
            <w:r>
              <w:rPr>
                <w:rFonts w:hint="eastAsia" w:ascii="宋体" w:hAnsi="宋体" w:cs="宋体"/>
                <w:szCs w:val="21"/>
              </w:rPr>
              <w:t>8）五金件：均采用优质五金配件。</w:t>
            </w:r>
          </w:p>
          <w:p>
            <w:pPr>
              <w:spacing w:line="400" w:lineRule="exact"/>
              <w:jc w:val="left"/>
              <w:rPr>
                <w:rFonts w:hint="eastAsia" w:ascii="宋体" w:hAnsi="宋体" w:cs="宋体"/>
                <w:szCs w:val="21"/>
              </w:rPr>
            </w:pPr>
            <w:r>
              <w:rPr>
                <w:rFonts w:hint="eastAsia" w:ascii="宋体" w:hAnsi="宋体" w:cs="宋体"/>
                <w:szCs w:val="21"/>
              </w:rPr>
              <w:t>9）床下左右各配置一个储物柜规格为宽</w:t>
            </w:r>
            <w:r>
              <w:rPr>
                <w:rFonts w:hint="eastAsia" w:ascii="宋体" w:hAnsi="宋体"/>
                <w:szCs w:val="21"/>
              </w:rPr>
              <w:t>≥</w:t>
            </w:r>
            <w:r>
              <w:rPr>
                <w:rFonts w:hint="eastAsia" w:ascii="宋体" w:hAnsi="宋体" w:cs="宋体"/>
                <w:szCs w:val="21"/>
              </w:rPr>
              <w:t>500</w:t>
            </w:r>
            <w:r>
              <w:rPr>
                <w:rFonts w:ascii="宋体" w:hAnsi="宋体" w:cs="宋体"/>
                <w:szCs w:val="21"/>
              </w:rPr>
              <w:t>mm</w:t>
            </w:r>
            <w:r>
              <w:rPr>
                <w:rFonts w:hint="eastAsia" w:ascii="宋体" w:hAnsi="宋体" w:cs="宋体"/>
                <w:szCs w:val="21"/>
              </w:rPr>
              <w:t>×深</w:t>
            </w:r>
            <w:r>
              <w:rPr>
                <w:rFonts w:hint="eastAsia" w:ascii="宋体" w:hAnsi="宋体"/>
                <w:szCs w:val="21"/>
              </w:rPr>
              <w:t>≥</w:t>
            </w:r>
            <w:r>
              <w:rPr>
                <w:rFonts w:hint="eastAsia" w:ascii="宋体" w:hAnsi="宋体" w:cs="宋体"/>
                <w:szCs w:val="21"/>
              </w:rPr>
              <w:t>400</w:t>
            </w:r>
            <w:r>
              <w:rPr>
                <w:rFonts w:ascii="宋体" w:hAnsi="宋体" w:cs="宋体"/>
                <w:szCs w:val="21"/>
              </w:rPr>
              <w:t>mm</w:t>
            </w:r>
            <w:r>
              <w:rPr>
                <w:rFonts w:hint="eastAsia" w:ascii="宋体" w:hAnsi="宋体" w:cs="宋体"/>
                <w:szCs w:val="21"/>
              </w:rPr>
              <w:t>×高</w:t>
            </w:r>
            <w:r>
              <w:rPr>
                <w:rFonts w:hint="eastAsia" w:ascii="宋体" w:hAnsi="宋体"/>
                <w:szCs w:val="21"/>
              </w:rPr>
              <w:t>≥</w:t>
            </w:r>
            <w:r>
              <w:rPr>
                <w:rFonts w:hint="eastAsia" w:ascii="宋体" w:hAnsi="宋体" w:cs="宋体"/>
                <w:szCs w:val="21"/>
              </w:rPr>
              <w:t>400mm储物柜，储物柜采用</w:t>
            </w:r>
            <w:r>
              <w:rPr>
                <w:rFonts w:hint="eastAsia" w:ascii="宋体" w:hAnsi="宋体"/>
                <w:szCs w:val="21"/>
              </w:rPr>
              <w:t>≥</w:t>
            </w:r>
            <w:r>
              <w:rPr>
                <w:rFonts w:hint="eastAsia" w:ascii="宋体" w:hAnsi="宋体" w:cs="宋体"/>
                <w:szCs w:val="21"/>
              </w:rPr>
              <w:t>0.6mm厚优质钢板制作，中间配置鞋架，鞋架采用Ф19圆管制作，厚度</w:t>
            </w:r>
            <w:r>
              <w:rPr>
                <w:rFonts w:hint="eastAsia" w:ascii="宋体" w:hAnsi="宋体"/>
                <w:szCs w:val="21"/>
              </w:rPr>
              <w:t>≥</w:t>
            </w:r>
            <w:r>
              <w:rPr>
                <w:rFonts w:hint="eastAsia" w:ascii="宋体" w:hAnsi="宋体" w:cs="宋体"/>
                <w:szCs w:val="21"/>
              </w:rPr>
              <w:t>1.2mm。</w:t>
            </w:r>
            <w:r>
              <w:rPr>
                <w:rFonts w:hint="eastAsia" w:ascii="宋体" w:hAnsi="宋体" w:cs="宋体"/>
                <w:szCs w:val="21"/>
              </w:rPr>
              <w:br w:type="textWrapping"/>
            </w:r>
            <w:r>
              <w:rPr>
                <w:rFonts w:hint="eastAsia" w:ascii="宋体" w:hAnsi="宋体"/>
                <w:szCs w:val="21"/>
              </w:rPr>
              <w:t>二、衣柜材质及规格要求</w:t>
            </w:r>
            <w:r>
              <w:rPr>
                <w:rFonts w:hint="eastAsia" w:ascii="宋体" w:hAnsi="宋体"/>
                <w:szCs w:val="21"/>
              </w:rPr>
              <w:br w:type="textWrapping"/>
            </w:r>
            <w:r>
              <w:rPr>
                <w:rFonts w:hint="eastAsia" w:ascii="宋体" w:hAnsi="宋体"/>
                <w:szCs w:val="21"/>
              </w:rPr>
              <w:t>▲1、规格：长≥800mm×宽≥600mm×高≥2000mm。分为上下两层，上柜总高≥600mm,下柜总高≥1400mm，上柜用做被子叠放区，下柜为衣柜，衣柜内配置铝合金材质≥</w:t>
            </w:r>
            <w:r>
              <w:rPr>
                <w:rFonts w:ascii="宋体" w:hAnsi="宋体"/>
                <w:szCs w:val="21"/>
              </w:rPr>
              <w:t>15mm</w:t>
            </w:r>
            <w:r>
              <w:rPr>
                <w:rFonts w:hint="eastAsia" w:ascii="宋体" w:hAnsi="宋体"/>
                <w:szCs w:val="21"/>
              </w:rPr>
              <w:t>×</w:t>
            </w:r>
            <w:r>
              <w:rPr>
                <w:rFonts w:ascii="宋体" w:hAnsi="宋体"/>
                <w:szCs w:val="21"/>
              </w:rPr>
              <w:t>30mm</w:t>
            </w:r>
            <w:r>
              <w:rPr>
                <w:rFonts w:hint="eastAsia" w:ascii="宋体" w:hAnsi="宋体"/>
                <w:szCs w:val="21"/>
              </w:rPr>
              <w:t>×1.</w:t>
            </w:r>
            <w:r>
              <w:rPr>
                <w:rFonts w:ascii="宋体" w:hAnsi="宋体"/>
                <w:szCs w:val="21"/>
              </w:rPr>
              <w:t>0</w:t>
            </w:r>
            <w:r>
              <w:rPr>
                <w:rFonts w:hint="eastAsia" w:ascii="宋体" w:hAnsi="宋体"/>
                <w:szCs w:val="21"/>
              </w:rPr>
              <w:t>mm厚椭圆管挂衣杆1根。</w:t>
            </w:r>
            <w:r>
              <w:rPr>
                <w:rFonts w:hint="eastAsia" w:ascii="宋体" w:hAnsi="宋体"/>
                <w:szCs w:val="21"/>
              </w:rPr>
              <w:br w:type="textWrapping"/>
            </w:r>
            <w:r>
              <w:rPr>
                <w:rFonts w:hint="eastAsia" w:ascii="宋体" w:hAnsi="宋体"/>
                <w:szCs w:val="21"/>
              </w:rPr>
              <w:t>2、衣柜分成长衣区和短衣区，并在右下部分配置两个抽屉及背包存放区。整体基材采用全钢结构，主体材料全部采用≥0.8mm厚冷轧钢板冲压成型，经过静电喷塑，具有抗冲击、耐老化、耐磨、防火，保证不变色等性能。钢板表面经酸洗磷化处理后用环保型粉末静电喷涂。为有效防止钢制部件棱角伤及人体，整套组合柜（书柜、衣柜）所有顶部与侧边连接部位采用高强度PVC材料一次性注塑而成的圆弧形连接件，连接后保证整体坚固，外表平整；</w:t>
            </w:r>
            <w:r>
              <w:rPr>
                <w:rFonts w:ascii="宋体" w:hAnsi="宋体"/>
                <w:szCs w:val="21"/>
              </w:rPr>
              <w:br w:type="textWrapping"/>
            </w:r>
            <w:r>
              <w:rPr>
                <w:rFonts w:hint="eastAsia" w:ascii="宋体" w:hAnsi="宋体"/>
                <w:szCs w:val="21"/>
              </w:rPr>
              <w:t>3.柜门角安装圆弧形门角护套，表面光滑无毛刺抗酸碱腐蚀性能好。</w:t>
            </w:r>
            <w:r>
              <w:rPr>
                <w:rFonts w:ascii="宋体" w:hAnsi="宋体"/>
                <w:szCs w:val="21"/>
              </w:rPr>
              <w:br w:type="textWrapping"/>
            </w:r>
            <w:r>
              <w:rPr>
                <w:rFonts w:hint="eastAsia" w:ascii="宋体" w:hAnsi="宋体" w:cs="宋体"/>
                <w:szCs w:val="21"/>
              </w:rPr>
              <w:t>三、学习桌材质及规格要求</w:t>
            </w:r>
            <w:r>
              <w:rPr>
                <w:rFonts w:ascii="宋体" w:hAnsi="宋体" w:cs="宋体"/>
                <w:szCs w:val="21"/>
              </w:rPr>
              <w:br w:type="textWrapping"/>
            </w:r>
            <w:r>
              <w:rPr>
                <w:rFonts w:hint="eastAsia" w:ascii="宋体" w:hAnsi="宋体"/>
                <w:szCs w:val="21"/>
              </w:rPr>
              <w:t>▲</w:t>
            </w:r>
            <w:r>
              <w:rPr>
                <w:rFonts w:hint="eastAsia" w:ascii="宋体" w:hAnsi="宋体" w:cs="宋体"/>
                <w:szCs w:val="21"/>
              </w:rPr>
              <w:t>1.学习桌分上下两部分，上部为钢制书架，规格：长</w:t>
            </w:r>
            <w:r>
              <w:rPr>
                <w:rFonts w:hint="eastAsia" w:ascii="宋体" w:hAnsi="宋体"/>
                <w:szCs w:val="21"/>
              </w:rPr>
              <w:t>≥</w:t>
            </w:r>
            <w:r>
              <w:rPr>
                <w:rFonts w:hint="eastAsia" w:ascii="宋体" w:hAnsi="宋体" w:cs="宋体"/>
                <w:szCs w:val="21"/>
              </w:rPr>
              <w:t>800</w:t>
            </w:r>
            <w:r>
              <w:rPr>
                <w:rFonts w:ascii="宋体" w:hAnsi="宋体" w:cs="宋体"/>
                <w:szCs w:val="21"/>
              </w:rPr>
              <w:t>mm</w:t>
            </w:r>
            <w:r>
              <w:rPr>
                <w:rFonts w:hint="eastAsia" w:ascii="宋体" w:hAnsi="宋体" w:cs="宋体"/>
                <w:szCs w:val="21"/>
              </w:rPr>
              <w:t>×宽</w:t>
            </w:r>
            <w:r>
              <w:rPr>
                <w:rFonts w:hint="eastAsia" w:ascii="宋体" w:hAnsi="宋体"/>
                <w:szCs w:val="21"/>
              </w:rPr>
              <w:t>≥</w:t>
            </w:r>
            <w:r>
              <w:rPr>
                <w:rFonts w:hint="eastAsia" w:ascii="宋体" w:hAnsi="宋体" w:cs="宋体"/>
                <w:szCs w:val="21"/>
              </w:rPr>
              <w:t>250</w:t>
            </w:r>
            <w:r>
              <w:rPr>
                <w:rFonts w:ascii="宋体" w:hAnsi="宋体" w:cs="宋体"/>
                <w:szCs w:val="21"/>
              </w:rPr>
              <w:t>mm</w:t>
            </w:r>
            <w:r>
              <w:rPr>
                <w:rFonts w:hint="eastAsia" w:ascii="宋体" w:hAnsi="宋体" w:cs="宋体"/>
                <w:szCs w:val="21"/>
              </w:rPr>
              <w:t>×高</w:t>
            </w:r>
            <w:r>
              <w:rPr>
                <w:rFonts w:hint="eastAsia" w:ascii="宋体" w:hAnsi="宋体"/>
                <w:szCs w:val="21"/>
              </w:rPr>
              <w:t>≥</w:t>
            </w:r>
            <w:r>
              <w:rPr>
                <w:rFonts w:hint="eastAsia" w:ascii="宋体" w:hAnsi="宋体" w:cs="宋体"/>
                <w:szCs w:val="21"/>
              </w:rPr>
              <w:t>1040mm,主体材质为</w:t>
            </w:r>
            <w:r>
              <w:rPr>
                <w:rFonts w:hint="eastAsia" w:ascii="宋体" w:hAnsi="宋体"/>
                <w:szCs w:val="21"/>
              </w:rPr>
              <w:t>≥</w:t>
            </w:r>
            <w:r>
              <w:rPr>
                <w:rFonts w:hint="eastAsia" w:ascii="宋体" w:hAnsi="宋体" w:cs="宋体"/>
                <w:szCs w:val="21"/>
              </w:rPr>
              <w:t>0.8mm厚优质钢板；下部为学习桌，规格：长</w:t>
            </w:r>
            <w:r>
              <w:rPr>
                <w:rFonts w:hint="eastAsia" w:ascii="宋体" w:hAnsi="宋体"/>
                <w:szCs w:val="21"/>
              </w:rPr>
              <w:t>≥</w:t>
            </w:r>
            <w:r>
              <w:rPr>
                <w:rFonts w:hint="eastAsia" w:ascii="宋体" w:hAnsi="宋体" w:cs="宋体"/>
                <w:szCs w:val="21"/>
              </w:rPr>
              <w:t>800mm×宽</w:t>
            </w:r>
            <w:r>
              <w:rPr>
                <w:rFonts w:hint="eastAsia" w:ascii="宋体" w:hAnsi="宋体"/>
                <w:szCs w:val="21"/>
              </w:rPr>
              <w:t>≥</w:t>
            </w:r>
            <w:r>
              <w:rPr>
                <w:rFonts w:hint="eastAsia" w:ascii="宋体" w:hAnsi="宋体" w:cs="宋体"/>
                <w:szCs w:val="21"/>
              </w:rPr>
              <w:t>600mm×高</w:t>
            </w:r>
            <w:r>
              <w:rPr>
                <w:rFonts w:hint="eastAsia" w:ascii="宋体" w:hAnsi="宋体"/>
                <w:szCs w:val="21"/>
              </w:rPr>
              <w:t>≥</w:t>
            </w:r>
            <w:r>
              <w:rPr>
                <w:rFonts w:hint="eastAsia" w:ascii="宋体" w:hAnsi="宋体" w:cs="宋体"/>
                <w:szCs w:val="21"/>
              </w:rPr>
              <w:t>760mm,桌面板厚度</w:t>
            </w:r>
            <w:r>
              <w:rPr>
                <w:rFonts w:hint="eastAsia" w:ascii="宋体" w:hAnsi="宋体"/>
                <w:szCs w:val="21"/>
              </w:rPr>
              <w:t>≥</w:t>
            </w:r>
            <w:r>
              <w:rPr>
                <w:rFonts w:hint="eastAsia" w:ascii="宋体" w:hAnsi="宋体" w:cs="宋体"/>
                <w:szCs w:val="21"/>
              </w:rPr>
              <w:t>25mm，桌面基材采用</w:t>
            </w:r>
            <w:r>
              <w:rPr>
                <w:rFonts w:hint="eastAsia" w:ascii="宋体" w:hAnsi="宋体"/>
                <w:szCs w:val="21"/>
              </w:rPr>
              <w:t>≥</w:t>
            </w:r>
            <w:r>
              <w:rPr>
                <w:rFonts w:hint="eastAsia" w:ascii="宋体" w:hAnsi="宋体" w:cs="宋体"/>
                <w:szCs w:val="21"/>
              </w:rPr>
              <w:t>25mm厚E1级环保多层实木板基材饰面，四边为</w:t>
            </w:r>
            <w:r>
              <w:rPr>
                <w:rFonts w:hint="eastAsia" w:ascii="宋体" w:hAnsi="宋体"/>
                <w:szCs w:val="21"/>
              </w:rPr>
              <w:t>≥</w:t>
            </w:r>
            <w:r>
              <w:rPr>
                <w:rFonts w:hint="eastAsia" w:ascii="宋体" w:hAnsi="宋体" w:cs="宋体"/>
                <w:szCs w:val="21"/>
              </w:rPr>
              <w:t>1.</w:t>
            </w:r>
            <w:r>
              <w:rPr>
                <w:rFonts w:ascii="宋体" w:hAnsi="宋体" w:cs="宋体"/>
                <w:szCs w:val="21"/>
              </w:rPr>
              <w:t>4</w:t>
            </w:r>
            <w:r>
              <w:rPr>
                <w:rFonts w:hint="eastAsia" w:ascii="宋体" w:hAnsi="宋体" w:cs="宋体"/>
                <w:szCs w:val="21"/>
              </w:rPr>
              <w:t>mm厚PVC材质，桌面封边要求</w:t>
            </w:r>
            <w:r>
              <w:rPr>
                <w:rFonts w:ascii="宋体" w:hAnsi="宋体" w:cs="宋体"/>
                <w:szCs w:val="21"/>
              </w:rPr>
              <w:t>采用新型抗老化性铝合金PVC封边、由同色系</w:t>
            </w:r>
            <w:r>
              <w:rPr>
                <w:rFonts w:hint="eastAsia" w:ascii="宋体" w:hAnsi="宋体" w:cs="宋体"/>
                <w:szCs w:val="21"/>
              </w:rPr>
              <w:t>厚度</w:t>
            </w:r>
            <w:r>
              <w:rPr>
                <w:rFonts w:hint="eastAsia" w:ascii="宋体" w:hAnsi="宋体"/>
                <w:szCs w:val="21"/>
              </w:rPr>
              <w:t>≥</w:t>
            </w:r>
            <w:r>
              <w:rPr>
                <w:rFonts w:ascii="宋体" w:hAnsi="宋体" w:cs="宋体"/>
                <w:szCs w:val="21"/>
              </w:rPr>
              <w:t>1.4mm</w:t>
            </w:r>
            <w:r>
              <w:rPr>
                <w:rFonts w:hint="eastAsia" w:ascii="宋体" w:hAnsi="宋体" w:cs="宋体"/>
                <w:szCs w:val="21"/>
              </w:rPr>
              <w:t>的</w:t>
            </w:r>
            <w:r>
              <w:rPr>
                <w:rFonts w:ascii="宋体" w:hAnsi="宋体" w:cs="宋体"/>
                <w:szCs w:val="21"/>
              </w:rPr>
              <w:t>PVC中间镶铝合金边条组合，中铝条宽度</w:t>
            </w:r>
            <w:r>
              <w:rPr>
                <w:rFonts w:hint="eastAsia" w:ascii="宋体" w:hAnsi="宋体" w:cs="宋体"/>
                <w:szCs w:val="21"/>
              </w:rPr>
              <w:t>约</w:t>
            </w:r>
            <w:r>
              <w:rPr>
                <w:rFonts w:ascii="宋体" w:hAnsi="宋体" w:cs="宋体"/>
                <w:szCs w:val="21"/>
              </w:rPr>
              <w:t>为</w:t>
            </w:r>
            <w:r>
              <w:rPr>
                <w:rFonts w:hint="eastAsia" w:ascii="宋体" w:hAnsi="宋体"/>
                <w:szCs w:val="21"/>
              </w:rPr>
              <w:t>≥</w:t>
            </w:r>
            <w:r>
              <w:rPr>
                <w:rFonts w:ascii="宋体" w:hAnsi="宋体" w:cs="宋体"/>
                <w:szCs w:val="21"/>
              </w:rPr>
              <w:t>4mm，铝合金中条宽度偏差不得超过±0.5mm，封边工艺采用全自动化机器封边技术，防潮、防晒、耐腐蚀、耐氧化、不易脱落、经久耐用、表面光滑平整，无皱褶无波浪形，防水性能经水滴试验无渗透；</w:t>
            </w:r>
            <w:r>
              <w:rPr>
                <w:rFonts w:hint="eastAsia" w:ascii="宋体" w:hAnsi="宋体" w:cs="宋体"/>
                <w:szCs w:val="21"/>
              </w:rPr>
              <w:t>其他部分采用同色PVC封边；桌面颜色为浅木纹色，学习桌桌脚和抽屉用</w:t>
            </w:r>
            <w:r>
              <w:rPr>
                <w:rFonts w:hint="eastAsia" w:ascii="宋体" w:hAnsi="宋体"/>
                <w:szCs w:val="21"/>
              </w:rPr>
              <w:t>≥</w:t>
            </w:r>
            <w:r>
              <w:rPr>
                <w:rFonts w:hint="eastAsia" w:ascii="宋体" w:hAnsi="宋体" w:cs="宋体"/>
                <w:szCs w:val="21"/>
              </w:rPr>
              <w:t>0.8mm厚优质钢板，桌脚底部配置防潮可调节脚垫。钢板表面经酸洗磷化处理后用环保型粉末静电喷涂。</w:t>
            </w:r>
            <w:r>
              <w:rPr>
                <w:rFonts w:ascii="宋体" w:hAnsi="宋体" w:cs="宋体"/>
                <w:szCs w:val="21"/>
              </w:rPr>
              <w:br w:type="textWrapping"/>
            </w:r>
            <w:r>
              <w:rPr>
                <w:rFonts w:hint="eastAsia" w:ascii="宋体" w:hAnsi="宋体" w:cs="宋体"/>
                <w:szCs w:val="21"/>
              </w:rPr>
              <w:t>2、五金件：抽屉导轨为优质静音阻尼导轨，拉手为铝合金拉手。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椅子</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把</w:t>
            </w:r>
          </w:p>
        </w:tc>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szCs w:val="21"/>
              </w:rPr>
              <w:t>1962</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szCs w:val="21"/>
              </w:rPr>
            </w:pPr>
            <w:r>
              <w:rPr>
                <w:rFonts w:hint="eastAsia" w:ascii="宋体" w:hAnsi="宋体"/>
                <w:szCs w:val="21"/>
              </w:rPr>
              <w:t>椅子材质及规格要求</w:t>
            </w:r>
          </w:p>
          <w:p>
            <w:pPr>
              <w:spacing w:line="400" w:lineRule="exact"/>
              <w:jc w:val="left"/>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cs="宋体"/>
                <w:szCs w:val="21"/>
              </w:rPr>
              <w:t>.规格</w:t>
            </w:r>
            <w:r>
              <w:rPr>
                <w:rFonts w:hint="eastAsia" w:ascii="宋体" w:hAnsi="宋体"/>
                <w:szCs w:val="21"/>
              </w:rPr>
              <w:t>≥</w:t>
            </w:r>
            <w:r>
              <w:rPr>
                <w:rFonts w:ascii="宋体" w:hAnsi="宋体"/>
                <w:szCs w:val="21"/>
              </w:rPr>
              <w:t>380mm×380mm×760mm</w:t>
            </w:r>
            <w:r>
              <w:rPr>
                <w:rFonts w:hint="eastAsia" w:ascii="宋体" w:hAnsi="宋体" w:cs="宋体"/>
                <w:szCs w:val="21"/>
              </w:rPr>
              <w:t>。</w:t>
            </w:r>
          </w:p>
          <w:p>
            <w:pPr>
              <w:spacing w:line="400" w:lineRule="exact"/>
              <w:jc w:val="left"/>
              <w:rPr>
                <w:rFonts w:hint="eastAsia" w:ascii="宋体" w:hAnsi="宋体"/>
                <w:szCs w:val="21"/>
              </w:rPr>
            </w:pPr>
            <w:r>
              <w:rPr>
                <w:rFonts w:ascii="宋体" w:hAnsi="宋体"/>
                <w:szCs w:val="21"/>
              </w:rPr>
              <w:t>2</w:t>
            </w:r>
            <w:r>
              <w:rPr>
                <w:rFonts w:hint="eastAsia" w:ascii="宋体" w:hAnsi="宋体" w:cs="宋体"/>
                <w:szCs w:val="21"/>
              </w:rPr>
              <w:t>.钢木椅产品形状和位置公差、外观性能要求（金属件、木制件、塑料件）、产品安全性能要求（结构安全、有害物质限量）、金属喷漆（塑）涂层理化性能、塑料件理化性能、木制件表面贴面层理化性能等整体符合</w:t>
            </w:r>
            <w:r>
              <w:rPr>
                <w:rFonts w:ascii="宋体" w:hAnsi="宋体" w:cs="宋体"/>
                <w:szCs w:val="21"/>
              </w:rPr>
              <w:t>GB/T 3325-2024</w:t>
            </w:r>
            <w:r>
              <w:rPr>
                <w:rFonts w:hint="eastAsia" w:ascii="宋体" w:hAnsi="宋体" w:cs="宋体"/>
                <w:szCs w:val="21"/>
              </w:rPr>
              <w:t>《金属家具通用技术条件》、GB 28008-2024《家具结构安全技术规范》</w:t>
            </w:r>
            <w:r>
              <w:rPr>
                <w:rFonts w:hint="eastAsia"/>
              </w:rPr>
              <w:t>相关标准要求</w:t>
            </w:r>
            <w:r>
              <w:rPr>
                <w:rFonts w:hint="eastAsia" w:ascii="宋体" w:hAnsi="宋体" w:cs="宋体"/>
                <w:szCs w:val="21"/>
              </w:rPr>
              <w:t>。</w:t>
            </w:r>
          </w:p>
          <w:p>
            <w:pPr>
              <w:spacing w:line="400" w:lineRule="exact"/>
              <w:jc w:val="left"/>
              <w:rPr>
                <w:rFonts w:hint="eastAsia" w:ascii="宋体" w:hAnsi="宋体"/>
                <w:szCs w:val="21"/>
              </w:rPr>
            </w:pPr>
            <w:r>
              <w:rPr>
                <w:rFonts w:hint="eastAsia" w:ascii="宋体" w:hAnsi="宋体"/>
                <w:szCs w:val="21"/>
              </w:rPr>
              <w:t>▲</w:t>
            </w:r>
            <w:r>
              <w:rPr>
                <w:rFonts w:hint="eastAsia" w:ascii="宋体" w:hAnsi="宋体" w:cs="宋体"/>
                <w:szCs w:val="21"/>
              </w:rPr>
              <w:t>3、材质要求</w:t>
            </w:r>
          </w:p>
          <w:p>
            <w:pPr>
              <w:spacing w:line="400" w:lineRule="exact"/>
              <w:jc w:val="left"/>
              <w:rPr>
                <w:rFonts w:hint="eastAsia" w:ascii="宋体" w:hAnsi="宋体"/>
                <w:szCs w:val="21"/>
              </w:rPr>
            </w:pPr>
            <w:r>
              <w:rPr>
                <w:rFonts w:ascii="宋体" w:hAnsi="宋体" w:cs="宋体"/>
                <w:szCs w:val="21"/>
              </w:rPr>
              <w:t>（</w:t>
            </w:r>
            <w:r>
              <w:rPr>
                <w:rFonts w:hint="eastAsia" w:ascii="宋体" w:hAnsi="宋体"/>
                <w:szCs w:val="21"/>
              </w:rPr>
              <w:t>1</w:t>
            </w:r>
            <w:r>
              <w:rPr>
                <w:rFonts w:ascii="宋体" w:hAnsi="宋体" w:cs="宋体"/>
                <w:szCs w:val="21"/>
              </w:rPr>
              <w:t>）椅架脚采用</w:t>
            </w:r>
            <w:r>
              <w:rPr>
                <w:rFonts w:hint="eastAsia" w:ascii="宋体" w:hAnsi="宋体"/>
                <w:szCs w:val="21"/>
              </w:rPr>
              <w:t>≥</w:t>
            </w:r>
            <w:r>
              <w:rPr>
                <w:rFonts w:ascii="宋体" w:hAnsi="宋体"/>
                <w:szCs w:val="21"/>
              </w:rPr>
              <w:t xml:space="preserve">40mm×20mm </w:t>
            </w:r>
            <w:r>
              <w:rPr>
                <w:rFonts w:ascii="宋体" w:hAnsi="宋体" w:cs="宋体"/>
                <w:szCs w:val="21"/>
              </w:rPr>
              <w:t>椭圆型冷轧钢管，壁厚</w:t>
            </w:r>
            <w:r>
              <w:rPr>
                <w:rFonts w:hint="eastAsia" w:ascii="宋体" w:hAnsi="宋体"/>
                <w:szCs w:val="21"/>
              </w:rPr>
              <w:t>≥</w:t>
            </w:r>
            <w:r>
              <w:rPr>
                <w:rFonts w:ascii="宋体" w:hAnsi="宋体"/>
                <w:szCs w:val="21"/>
              </w:rPr>
              <w:t>1.2mm,</w:t>
            </w:r>
            <w:r>
              <w:rPr>
                <w:rFonts w:ascii="宋体" w:hAnsi="宋体" w:cs="宋体"/>
                <w:szCs w:val="21"/>
              </w:rPr>
              <w:t>椅架下焊有铁网架</w:t>
            </w:r>
            <w:r>
              <w:rPr>
                <w:rFonts w:hint="eastAsia" w:ascii="宋体" w:hAnsi="宋体" w:cs="宋体"/>
                <w:szCs w:val="21"/>
              </w:rPr>
              <w:t>，</w:t>
            </w:r>
            <w:r>
              <w:rPr>
                <w:rFonts w:ascii="宋体" w:hAnsi="宋体" w:cs="宋体"/>
                <w:szCs w:val="21"/>
              </w:rPr>
              <w:t>静电喷涂。</w:t>
            </w:r>
          </w:p>
          <w:p>
            <w:pPr>
              <w:spacing w:line="400" w:lineRule="exact"/>
              <w:jc w:val="left"/>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）课椅座面板板材厚≥10mm，主体采用桉木基材的胶合板制作，双面防火板饰面，</w:t>
            </w:r>
            <w:r>
              <w:rPr>
                <w:rFonts w:hint="eastAsia" w:ascii="宋体" w:hAnsi="宋体"/>
                <w:szCs w:val="21"/>
              </w:rPr>
              <w:t>甲醛释放量达到</w:t>
            </w:r>
            <w:r>
              <w:rPr>
                <w:rFonts w:ascii="宋体" w:hAnsi="宋体"/>
                <w:szCs w:val="21"/>
              </w:rPr>
              <w:t>E</w:t>
            </w:r>
            <w:r>
              <w:rPr>
                <w:rFonts w:hint="eastAsia" w:ascii="宋体" w:hAnsi="宋体"/>
                <w:szCs w:val="21"/>
              </w:rPr>
              <w:t>0</w:t>
            </w:r>
            <w:r>
              <w:rPr>
                <w:rFonts w:ascii="宋体" w:hAnsi="宋体"/>
                <w:szCs w:val="21"/>
              </w:rPr>
              <w:t>级控制指标，面板</w:t>
            </w:r>
            <w:r>
              <w:rPr>
                <w:rFonts w:hint="eastAsia" w:ascii="宋体" w:hAnsi="宋体"/>
                <w:szCs w:val="21"/>
              </w:rPr>
              <w:t>板材须符合《GB 18580-2017室内装饰装修材料人造板及其制品中甲醛释放限》的标准，</w:t>
            </w:r>
            <w:r>
              <w:rPr>
                <w:rFonts w:ascii="宋体" w:hAnsi="宋体"/>
                <w:szCs w:val="21"/>
              </w:rPr>
              <w:t>课椅座面板前缘及两角钝圆并向下弯曲，符合人体工程学的设计，面板四周采用灰</w:t>
            </w:r>
            <w:r>
              <w:rPr>
                <w:rFonts w:hint="eastAsia" w:ascii="宋体" w:hAnsi="宋体"/>
                <w:szCs w:val="21"/>
              </w:rPr>
              <w:t>黑</w:t>
            </w:r>
            <w:r>
              <w:rPr>
                <w:rFonts w:ascii="宋体" w:hAnsi="宋体"/>
                <w:szCs w:val="21"/>
              </w:rPr>
              <w:t>色PE注塑成型，注塑边缘与座面圆润连接，无突兀感，增加舒适程度。</w:t>
            </w:r>
          </w:p>
          <w:p>
            <w:pPr>
              <w:spacing w:line="400" w:lineRule="exact"/>
              <w:jc w:val="left"/>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课椅靠背面板板材厚≥10mm，要求是弧形的主体采用桉木基材的胶合板制作，双面防火板饰面，面板的曲率半径700mm（±10mm），宽≥380mm，高≥155mm。靠背面板四周采用灰色PE注塑成型，注塑边缘与座面圆润连接，无突兀感，增加舒适程度。</w:t>
            </w:r>
          </w:p>
          <w:p>
            <w:pPr>
              <w:spacing w:line="400" w:lineRule="exact"/>
              <w:jc w:val="left"/>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）椅脚的脚套为内嵌式</w:t>
            </w:r>
            <w:r>
              <w:rPr>
                <w:rFonts w:hint="eastAsia" w:ascii="宋体" w:hAnsi="宋体"/>
                <w:szCs w:val="21"/>
              </w:rPr>
              <w:t>灰</w:t>
            </w:r>
            <w:r>
              <w:rPr>
                <w:rFonts w:ascii="宋体" w:hAnsi="宋体"/>
                <w:szCs w:val="21"/>
              </w:rPr>
              <w:t>黑色脚套，采用超高分子量PE材料制作，壁厚</w:t>
            </w:r>
            <w:r>
              <w:rPr>
                <w:rFonts w:hint="eastAsia" w:ascii="宋体" w:hAnsi="宋体"/>
                <w:szCs w:val="21"/>
              </w:rPr>
              <w:t>≥</w:t>
            </w:r>
            <w:r>
              <w:rPr>
                <w:rFonts w:ascii="宋体" w:hAnsi="宋体"/>
                <w:szCs w:val="21"/>
              </w:rPr>
              <w:t>2mm,底厚</w:t>
            </w:r>
            <w:r>
              <w:rPr>
                <w:rFonts w:hint="eastAsia" w:ascii="宋体" w:hAnsi="宋体"/>
                <w:szCs w:val="21"/>
              </w:rPr>
              <w:t>≥</w:t>
            </w:r>
            <w:r>
              <w:rPr>
                <w:rFonts w:ascii="宋体" w:hAnsi="宋体"/>
                <w:szCs w:val="21"/>
              </w:rPr>
              <w:t>5mm；进深</w:t>
            </w:r>
            <w:r>
              <w:rPr>
                <w:rFonts w:hint="eastAsia" w:ascii="宋体" w:hAnsi="宋体"/>
                <w:szCs w:val="21"/>
              </w:rPr>
              <w:t>≥</w:t>
            </w:r>
            <w:r>
              <w:rPr>
                <w:rFonts w:ascii="宋体" w:hAnsi="宋体"/>
                <w:szCs w:val="21"/>
              </w:rPr>
              <w:t>20mm，加强筋</w:t>
            </w:r>
            <w:r>
              <w:rPr>
                <w:rFonts w:hint="eastAsia" w:ascii="宋体" w:hAnsi="宋体"/>
                <w:szCs w:val="21"/>
              </w:rPr>
              <w:t>≥</w:t>
            </w:r>
            <w:r>
              <w:rPr>
                <w:rFonts w:ascii="宋体" w:hAnsi="宋体"/>
                <w:szCs w:val="21"/>
              </w:rPr>
              <w:t>3圈, 加强筋厚度</w:t>
            </w:r>
            <w:r>
              <w:rPr>
                <w:rFonts w:hint="eastAsia" w:ascii="宋体" w:hAnsi="宋体"/>
                <w:szCs w:val="21"/>
              </w:rPr>
              <w:t>≥</w:t>
            </w:r>
            <w:r>
              <w:rPr>
                <w:rFonts w:ascii="宋体" w:hAnsi="宋体"/>
                <w:szCs w:val="21"/>
              </w:rPr>
              <w:t>1.2mm，底面直径</w:t>
            </w:r>
            <w:r>
              <w:rPr>
                <w:rFonts w:hint="eastAsia" w:ascii="宋体" w:hAnsi="宋体"/>
                <w:szCs w:val="21"/>
              </w:rPr>
              <w:t>≥</w:t>
            </w:r>
            <w:r>
              <w:rPr>
                <w:rFonts w:ascii="宋体" w:hAnsi="宋体"/>
                <w:szCs w:val="21"/>
              </w:rPr>
              <w:t>22mm×42mm，脚套与桌脚和椅脚应结合紧密</w:t>
            </w:r>
            <w:r>
              <w:rPr>
                <w:rFonts w:hint="eastAsia" w:ascii="宋体" w:hAnsi="宋体"/>
                <w:szCs w:val="21"/>
              </w:rPr>
              <w:t>、</w:t>
            </w:r>
            <w:r>
              <w:rPr>
                <w:rFonts w:ascii="宋体" w:hAnsi="宋体"/>
                <w:szCs w:val="21"/>
              </w:rPr>
              <w:t>牢靠</w:t>
            </w:r>
            <w:r>
              <w:rPr>
                <w:rFonts w:hint="eastAsia" w:ascii="宋体" w:hAnsi="宋体"/>
                <w:szCs w:val="21"/>
              </w:rPr>
              <w:t>、</w:t>
            </w:r>
            <w:r>
              <w:rPr>
                <w:rFonts w:ascii="宋体" w:hAnsi="宋体"/>
                <w:szCs w:val="21"/>
              </w:rPr>
              <w:t>不脱落。</w:t>
            </w:r>
          </w:p>
          <w:p>
            <w:pPr>
              <w:overflowPunct w:val="0"/>
              <w:spacing w:line="400" w:lineRule="exact"/>
              <w:rPr>
                <w:rFonts w:ascii="宋体"/>
                <w:bCs/>
                <w:caps/>
              </w:rPr>
            </w:pPr>
            <w:r>
              <w:rPr>
                <w:rFonts w:hint="eastAsia" w:ascii="宋体"/>
                <w:bCs/>
                <w:caps/>
              </w:rPr>
              <w:t>4、椅子的产品有害物质限量、翘曲度、平整度、邻边垂直度、底脚平稳度、人造板外观、五金件外观、塑料材料冲击强度、塑料件外观、木工要求、漆膜外观要求、安全性、软硬质覆面、喷涂层、电镀层、甲醛释放量未检出、重金属、椅子向前倾翻、椅子侧向倾翻、椅子向后倾翻、座面、椅背联合静载荷、座面、椅背联合耐久性、座面侧向静载荷、椅腿向前静载荷、椅腿侧向静载荷、座面冲击、椅背冲击、椅腿跌落、可溶性重金属、家具涂层可迁移元素、总挥发性有机化合物、邻苯二甲酸酯的总量、多环芳烃、多溴联苯、多溴二苯醚等满足采购需求及符合相关标准，且无异味，实物检验合格。</w:t>
            </w:r>
          </w:p>
          <w:p>
            <w:pPr>
              <w:pStyle w:val="2"/>
              <w:ind w:firstLine="0" w:firstLineChars="0"/>
              <w:rPr>
                <w:sz w:val="21"/>
                <w:szCs w:val="21"/>
              </w:rPr>
            </w:pPr>
            <w:r>
              <w:rPr>
                <w:rFonts w:hint="eastAsia"/>
                <w:sz w:val="21"/>
                <w:szCs w:val="21"/>
              </w:rPr>
              <w:t>参考图：</w:t>
            </w:r>
          </w:p>
          <w:p>
            <w:pPr>
              <w:pStyle w:val="2"/>
              <w:ind w:firstLine="0" w:firstLineChars="0"/>
              <w:rPr>
                <w:sz w:val="21"/>
                <w:szCs w:val="21"/>
              </w:rPr>
            </w:pPr>
            <w:r>
              <w:drawing>
                <wp:anchor distT="0" distB="0" distL="114300" distR="114300" simplePos="0" relativeHeight="251660288" behindDoc="0" locked="0" layoutInCell="1" allowOverlap="1">
                  <wp:simplePos x="0" y="0"/>
                  <wp:positionH relativeFrom="column">
                    <wp:posOffset>1120775</wp:posOffset>
                  </wp:positionH>
                  <wp:positionV relativeFrom="paragraph">
                    <wp:posOffset>104775</wp:posOffset>
                  </wp:positionV>
                  <wp:extent cx="1388110" cy="2019300"/>
                  <wp:effectExtent l="0" t="0" r="2540" b="0"/>
                  <wp:wrapSquare wrapText="bothSides"/>
                  <wp:docPr id="1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pic:cNvPicPr>
                            <a:picLocks noChangeAspect="1"/>
                          </pic:cNvPicPr>
                        </pic:nvPicPr>
                        <pic:blipFill>
                          <a:blip r:embed="rId18"/>
                          <a:stretch>
                            <a:fillRect/>
                          </a:stretch>
                        </pic:blipFill>
                        <pic:spPr>
                          <a:xfrm>
                            <a:off x="0" y="0"/>
                            <a:ext cx="1388110" cy="2019300"/>
                          </a:xfrm>
                          <a:prstGeom prst="rect">
                            <a:avLst/>
                          </a:prstGeom>
                          <a:noFill/>
                          <a:ln>
                            <a:noFill/>
                          </a:ln>
                        </pic:spPr>
                      </pic:pic>
                    </a:graphicData>
                  </a:graphic>
                </wp:anchor>
              </w:drawing>
            </w:r>
          </w:p>
          <w:p>
            <w:pPr>
              <w:pStyle w:val="2"/>
              <w:ind w:firstLine="0" w:firstLineChars="0"/>
              <w:rPr>
                <w:sz w:val="21"/>
                <w:szCs w:val="21"/>
              </w:rPr>
            </w:pPr>
          </w:p>
          <w:p>
            <w:pPr>
              <w:pStyle w:val="2"/>
              <w:ind w:firstLine="0" w:firstLineChars="0"/>
              <w:rPr>
                <w:sz w:val="21"/>
                <w:szCs w:val="21"/>
              </w:rPr>
            </w:pPr>
          </w:p>
          <w:p>
            <w:pPr>
              <w:pStyle w:val="2"/>
              <w:ind w:firstLine="0" w:firstLineChars="0"/>
              <w:rPr>
                <w:rFonts w:hint="eastAsia"/>
                <w:sz w:val="21"/>
                <w:szCs w:val="21"/>
              </w:rPr>
            </w:pPr>
          </w:p>
          <w:p>
            <w:pPr>
              <w:pStyle w:val="2"/>
              <w:ind w:firstLine="0" w:firstLineChars="0"/>
              <w:rPr>
                <w:sz w:val="21"/>
                <w:szCs w:val="21"/>
              </w:rPr>
            </w:pPr>
          </w:p>
          <w:p>
            <w:pPr>
              <w:pStyle w:val="2"/>
              <w:ind w:firstLine="0" w:firstLineChars="0"/>
              <w:rPr>
                <w:sz w:val="21"/>
                <w:szCs w:val="21"/>
              </w:rPr>
            </w:pPr>
          </w:p>
          <w:p>
            <w:pPr>
              <w:pStyle w:val="2"/>
              <w:ind w:firstLine="0" w:firstLineChars="0"/>
              <w:rPr>
                <w:sz w:val="21"/>
                <w:szCs w:val="21"/>
              </w:rPr>
            </w:pPr>
          </w:p>
          <w:p>
            <w:pPr>
              <w:pStyle w:val="2"/>
              <w:ind w:firstLine="0" w:firstLineChars="0"/>
              <w:rPr>
                <w:sz w:val="21"/>
                <w:szCs w:val="21"/>
              </w:rPr>
            </w:pPr>
          </w:p>
          <w:p>
            <w:pPr>
              <w:pStyle w:val="2"/>
              <w:ind w:firstLine="0" w:firstLineChars="0"/>
              <w:rPr>
                <w:rFonts w:hint="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57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szCs w:val="21"/>
              </w:rPr>
            </w:pPr>
            <w:r>
              <w:rPr>
                <w:rFonts w:hint="eastAsia" w:ascii="宋体" w:hAnsi="宋体" w:cs="宋体"/>
                <w:szCs w:val="21"/>
                <w:lang w:bidi="ar"/>
              </w:rPr>
              <w:t>▲</w:t>
            </w:r>
            <w:r>
              <w:rPr>
                <w:rFonts w:hint="eastAsia"/>
                <w:b/>
                <w:bCs/>
                <w:szCs w:val="21"/>
              </w:rPr>
              <w:t>商务及其他要求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Cs w:val="21"/>
                <w:lang w:bidi="ar"/>
              </w:rPr>
              <w:t>▲</w:t>
            </w:r>
            <w:r>
              <w:rPr>
                <w:rFonts w:hint="eastAsia" w:ascii="宋体" w:hAnsi="宋体"/>
                <w:szCs w:val="21"/>
              </w:rPr>
              <w:t>售后服务及其他</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cs="宋体"/>
                <w:bCs/>
                <w:szCs w:val="21"/>
              </w:rPr>
            </w:pPr>
            <w:r>
              <w:rPr>
                <w:rFonts w:hint="eastAsia" w:ascii="宋体" w:hAnsi="宋体" w:cs="宋体"/>
                <w:bCs/>
                <w:szCs w:val="21"/>
              </w:rPr>
              <w:t>1、合同签订期：自中标通知书发出之日起</w:t>
            </w:r>
            <w:r>
              <w:rPr>
                <w:rFonts w:hint="eastAsia" w:ascii="宋体" w:hAnsi="宋体" w:cs="宋体"/>
                <w:bCs/>
                <w:szCs w:val="21"/>
                <w:u w:val="single"/>
              </w:rPr>
              <w:t>15</w:t>
            </w:r>
            <w:r>
              <w:rPr>
                <w:rFonts w:hint="eastAsia" w:ascii="宋体" w:hAnsi="宋体" w:cs="宋体"/>
                <w:bCs/>
                <w:szCs w:val="21"/>
              </w:rPr>
              <w:t>日历日内。</w:t>
            </w:r>
          </w:p>
          <w:p>
            <w:pPr>
              <w:adjustRightInd w:val="0"/>
              <w:snapToGrid w:val="0"/>
              <w:spacing w:line="400" w:lineRule="exact"/>
              <w:rPr>
                <w:rFonts w:hint="eastAsia" w:ascii="宋体" w:hAnsi="宋体" w:cs="宋体"/>
                <w:bCs/>
                <w:szCs w:val="21"/>
              </w:rPr>
            </w:pPr>
            <w:r>
              <w:rPr>
                <w:rFonts w:hint="eastAsia" w:ascii="宋体" w:hAnsi="宋体" w:cs="宋体"/>
                <w:bCs/>
                <w:szCs w:val="21"/>
              </w:rPr>
              <w:t>2、交付使用时间：</w:t>
            </w:r>
            <w:r>
              <w:rPr>
                <w:rFonts w:hint="eastAsia" w:ascii="宋体" w:hAnsi="宋体" w:cs="宋体"/>
                <w:bCs/>
                <w:szCs w:val="21"/>
                <w:u w:val="single"/>
              </w:rPr>
              <w:t>2026年6月8日前</w:t>
            </w:r>
            <w:r>
              <w:rPr>
                <w:rFonts w:hint="eastAsia" w:ascii="宋体" w:hAnsi="宋体" w:cs="宋体"/>
                <w:bCs/>
                <w:szCs w:val="21"/>
              </w:rPr>
              <w:t xml:space="preserve">交付并安装验收完毕。 </w:t>
            </w:r>
          </w:p>
          <w:p>
            <w:pPr>
              <w:adjustRightInd w:val="0"/>
              <w:snapToGrid w:val="0"/>
              <w:spacing w:line="400" w:lineRule="exact"/>
              <w:rPr>
                <w:rFonts w:hint="eastAsia" w:ascii="宋体" w:hAnsi="宋体" w:cs="宋体"/>
                <w:bCs/>
                <w:szCs w:val="21"/>
              </w:rPr>
            </w:pPr>
            <w:r>
              <w:rPr>
                <w:rFonts w:hint="eastAsia" w:ascii="宋体" w:hAnsi="宋体" w:cs="宋体"/>
                <w:bCs/>
                <w:szCs w:val="21"/>
              </w:rPr>
              <w:t>3、交货地点：</w:t>
            </w:r>
            <w:r>
              <w:rPr>
                <w:rFonts w:hint="eastAsia" w:ascii="宋体" w:hAnsi="宋体" w:cs="宋体"/>
                <w:bCs/>
                <w:szCs w:val="21"/>
                <w:u w:val="single"/>
              </w:rPr>
              <w:t>广西南宁市（采购人指定地点）。</w:t>
            </w:r>
          </w:p>
          <w:p>
            <w:pPr>
              <w:adjustRightInd w:val="0"/>
              <w:snapToGrid w:val="0"/>
              <w:spacing w:line="400" w:lineRule="exact"/>
              <w:rPr>
                <w:rFonts w:hint="eastAsia" w:ascii="宋体" w:hAnsi="宋体" w:cs="宋体"/>
                <w:bCs/>
                <w:szCs w:val="21"/>
              </w:rPr>
            </w:pPr>
            <w:r>
              <w:rPr>
                <w:rFonts w:hint="eastAsia" w:ascii="宋体" w:hAnsi="宋体" w:cs="宋体"/>
                <w:bCs/>
                <w:szCs w:val="21"/>
              </w:rPr>
              <w:t>4、交货方式：现场交货。</w:t>
            </w:r>
          </w:p>
          <w:p>
            <w:pPr>
              <w:adjustRightInd w:val="0"/>
              <w:snapToGrid w:val="0"/>
              <w:spacing w:line="400" w:lineRule="exact"/>
              <w:rPr>
                <w:rFonts w:hint="eastAsia" w:ascii="宋体" w:hAnsi="宋体" w:cs="宋体"/>
                <w:bCs/>
                <w:szCs w:val="21"/>
              </w:rPr>
            </w:pPr>
            <w:r>
              <w:rPr>
                <w:rFonts w:hint="eastAsia" w:ascii="宋体" w:hAnsi="宋体" w:cs="宋体"/>
                <w:bCs/>
                <w:szCs w:val="21"/>
              </w:rPr>
              <w:t>5、售后服务要求：</w:t>
            </w:r>
          </w:p>
          <w:p>
            <w:pPr>
              <w:adjustRightInd w:val="0"/>
              <w:snapToGrid w:val="0"/>
              <w:spacing w:line="400" w:lineRule="exact"/>
              <w:rPr>
                <w:rFonts w:hint="eastAsia" w:ascii="宋体" w:hAnsi="宋体" w:cs="宋体"/>
                <w:bCs/>
                <w:szCs w:val="21"/>
              </w:rPr>
            </w:pPr>
            <w:r>
              <w:rPr>
                <w:rFonts w:hint="eastAsia" w:ascii="宋体" w:hAnsi="宋体" w:cs="宋体"/>
                <w:bCs/>
                <w:szCs w:val="21"/>
              </w:rPr>
              <w:t>（1）免费送货上门，按现场条件全程免费安装调试，直至最终验收前产生的所有费用由中标供应商承担；</w:t>
            </w:r>
          </w:p>
          <w:p>
            <w:pPr>
              <w:adjustRightInd w:val="0"/>
              <w:snapToGrid w:val="0"/>
              <w:spacing w:line="400" w:lineRule="exact"/>
              <w:rPr>
                <w:rFonts w:hint="eastAsia" w:ascii="宋体" w:hAnsi="宋体" w:cs="宋体"/>
                <w:bCs/>
                <w:szCs w:val="21"/>
              </w:rPr>
            </w:pPr>
            <w:r>
              <w:rPr>
                <w:rFonts w:hint="eastAsia" w:ascii="宋体" w:hAnsi="宋体" w:cs="宋体"/>
                <w:bCs/>
                <w:szCs w:val="21"/>
              </w:rPr>
              <w:t>（2）</w:t>
            </w:r>
            <w:r>
              <w:rPr>
                <w:rFonts w:hint="eastAsia" w:ascii="宋体" w:hAnsi="宋体" w:cs="宋体"/>
                <w:szCs w:val="21"/>
              </w:rPr>
              <w:t>售后服务承诺基本要求：至少应包括质保期、免费保修期限、到达故障现场时间（维护电话保证7×24小时响应，自接到故障通知起24小时内到达故障现场）、故障出现解决方案、定期维护（注明时间）、质保期内提供专人负责维保（售后服务承诺书内应有维保人员名单及联系方式），故障处理时限（不能超过12小时，对不能修复的保证在24小时内提供替代品或直接更换），质保期满前一个月及质保期内每年进行一次全面检修与保养，保修期外维修方案、其他优惠措施、安装要求及方案</w:t>
            </w:r>
            <w:r>
              <w:rPr>
                <w:rFonts w:hint="eastAsia" w:ascii="宋体" w:hAnsi="宋体" w:cs="宋体"/>
                <w:bCs/>
                <w:szCs w:val="21"/>
              </w:rPr>
              <w:t>；</w:t>
            </w:r>
          </w:p>
          <w:p>
            <w:pPr>
              <w:adjustRightInd w:val="0"/>
              <w:snapToGrid w:val="0"/>
              <w:spacing w:line="400" w:lineRule="exact"/>
              <w:rPr>
                <w:rFonts w:hint="eastAsia" w:ascii="宋体" w:hAnsi="宋体" w:cs="宋体"/>
                <w:bCs/>
                <w:szCs w:val="21"/>
              </w:rPr>
            </w:pPr>
            <w:r>
              <w:rPr>
                <w:rFonts w:hint="eastAsia" w:ascii="宋体" w:hAnsi="宋体" w:cs="宋体"/>
                <w:bCs/>
                <w:szCs w:val="21"/>
              </w:rPr>
              <w:t>（3）验收所需工具、器材由中标供应商自理；各项性能指标达到技术要求的，由供需双方共同签字认可，现场验收；</w:t>
            </w:r>
          </w:p>
          <w:p>
            <w:pPr>
              <w:adjustRightInd w:val="0"/>
              <w:snapToGrid w:val="0"/>
              <w:spacing w:line="400" w:lineRule="exact"/>
              <w:rPr>
                <w:rFonts w:hint="eastAsia" w:ascii="宋体" w:hAnsi="宋体" w:cs="宋体"/>
                <w:bCs/>
                <w:szCs w:val="21"/>
              </w:rPr>
            </w:pPr>
            <w:r>
              <w:rPr>
                <w:rFonts w:hint="eastAsia" w:ascii="宋体" w:hAnsi="宋体" w:cs="宋体"/>
                <w:bCs/>
                <w:szCs w:val="21"/>
              </w:rPr>
              <w:t>（4）中标供应商负责处理解决货物出现的质量及安全问题并承担一切费用，所有非故意性损坏以及正常使用范围内造成的损坏均要免费维修，因人为因素出现的故障不在免费保修范围内，但中标供应商也要积极帮助采购人修理，并提供优惠价格的配件和服务；</w:t>
            </w:r>
          </w:p>
          <w:p>
            <w:pPr>
              <w:widowControl/>
              <w:spacing w:line="360" w:lineRule="exact"/>
              <w:jc w:val="left"/>
              <w:rPr>
                <w:szCs w:val="21"/>
              </w:rPr>
            </w:pPr>
            <w:r>
              <w:rPr>
                <w:rFonts w:hint="eastAsia" w:ascii="宋体" w:hAnsi="宋体" w:cs="宋体"/>
                <w:bCs/>
                <w:szCs w:val="21"/>
              </w:rPr>
              <w:t>6、质量保证期：不少于6年（自最终验收合格之日算），分项货物有要求按分项要求。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Cs w:val="21"/>
                <w:lang w:bidi="ar"/>
              </w:rPr>
              <w:t>▲</w:t>
            </w:r>
            <w:r>
              <w:rPr>
                <w:rFonts w:hint="eastAsia" w:ascii="宋体" w:hAnsi="宋体"/>
                <w:szCs w:val="21"/>
              </w:rPr>
              <w:t>验收标准</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宋体"/>
                <w:szCs w:val="21"/>
              </w:rPr>
            </w:pPr>
            <w:r>
              <w:rPr>
                <w:rFonts w:ascii="宋体" w:hAnsi="宋体"/>
                <w:szCs w:val="21"/>
              </w:rPr>
              <w:t>1</w:t>
            </w:r>
            <w:r>
              <w:rPr>
                <w:rFonts w:hint="eastAsia" w:ascii="宋体" w:hAnsi="宋体"/>
                <w:szCs w:val="21"/>
              </w:rPr>
              <w:t>.所供产品的规格、数量、材质、颜色符合招标文件供应商投标承诺及采购合同约定的要求。</w:t>
            </w:r>
          </w:p>
          <w:p>
            <w:pPr>
              <w:adjustRightInd w:val="0"/>
              <w:snapToGrid w:val="0"/>
              <w:spacing w:line="400" w:lineRule="exact"/>
              <w:rPr>
                <w:rFonts w:ascii="宋体"/>
                <w:szCs w:val="21"/>
              </w:rPr>
            </w:pPr>
            <w:r>
              <w:rPr>
                <w:rFonts w:ascii="宋体" w:hAnsi="宋体"/>
                <w:szCs w:val="21"/>
              </w:rPr>
              <w:t>2</w:t>
            </w:r>
            <w:r>
              <w:rPr>
                <w:rFonts w:hint="eastAsia" w:ascii="宋体" w:hAnsi="宋体"/>
                <w:szCs w:val="21"/>
              </w:rPr>
              <w:t>.所供产品的外观完好，无严重碰撞、表皮脱落、五金件生锈等明显瑕疵。</w:t>
            </w:r>
          </w:p>
          <w:p>
            <w:pPr>
              <w:adjustRightInd w:val="0"/>
              <w:snapToGrid w:val="0"/>
              <w:spacing w:line="400" w:lineRule="exact"/>
              <w:rPr>
                <w:rFonts w:ascii="宋体"/>
                <w:szCs w:val="21"/>
              </w:rPr>
            </w:pPr>
            <w:r>
              <w:rPr>
                <w:rFonts w:hint="eastAsia" w:ascii="宋体" w:hAnsi="宋体"/>
                <w:szCs w:val="21"/>
              </w:rPr>
              <w:t>3.所供产品结构牢固，无安全隐患。</w:t>
            </w:r>
          </w:p>
          <w:p>
            <w:pPr>
              <w:adjustRightInd w:val="0"/>
              <w:snapToGrid w:val="0"/>
              <w:spacing w:line="400" w:lineRule="exact"/>
              <w:rPr>
                <w:rFonts w:hint="eastAsia" w:ascii="宋体" w:hAnsi="宋体"/>
                <w:szCs w:val="21"/>
              </w:rPr>
            </w:pPr>
            <w:r>
              <w:rPr>
                <w:rFonts w:hint="eastAsia" w:ascii="宋体" w:hAnsi="宋体"/>
                <w:szCs w:val="21"/>
              </w:rPr>
              <w:t>4.如有抽检要求的，检测结果符合招标文件供应商投标承诺及采购合同约定的要求。</w:t>
            </w:r>
          </w:p>
          <w:p>
            <w:pPr>
              <w:adjustRightInd w:val="0"/>
              <w:snapToGrid w:val="0"/>
              <w:spacing w:line="400" w:lineRule="exact"/>
              <w:rPr>
                <w:rFonts w:ascii="宋体"/>
                <w:szCs w:val="21"/>
              </w:rPr>
            </w:pPr>
            <w:r>
              <w:rPr>
                <w:rFonts w:hint="eastAsia" w:ascii="宋体" w:hAnsi="宋体"/>
                <w:szCs w:val="21"/>
              </w:rPr>
              <w:t>5.所有产品均已运输至指定地点，并安装调试完毕。</w:t>
            </w:r>
          </w:p>
          <w:p>
            <w:pPr>
              <w:adjustRightInd w:val="0"/>
              <w:snapToGrid w:val="0"/>
              <w:spacing w:line="360" w:lineRule="exact"/>
              <w:rPr>
                <w:szCs w:val="21"/>
              </w:rPr>
            </w:pPr>
            <w:r>
              <w:rPr>
                <w:rFonts w:hint="eastAsia" w:ascii="宋体" w:hAnsi="宋体"/>
                <w:szCs w:val="21"/>
              </w:rPr>
              <w:t>6.招标文件供应商投标承诺及采购合同约定的附件、工具、技术资料等齐全；提供产品使用说明书、产品合格证明材料。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s="宋体"/>
                <w:sz w:val="24"/>
              </w:rPr>
            </w:pPr>
            <w:r>
              <w:rPr>
                <w:rFonts w:hint="eastAsia" w:ascii="宋体" w:hAnsi="宋体" w:cs="宋体"/>
                <w:szCs w:val="21"/>
                <w:lang w:bidi="ar"/>
              </w:rPr>
              <w:t>▲</w:t>
            </w:r>
            <w:r>
              <w:rPr>
                <w:rFonts w:hint="eastAsia" w:ascii="宋体" w:hAnsi="宋体"/>
                <w:szCs w:val="21"/>
              </w:rPr>
              <w:t>投标报价</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cs="宋体"/>
                <w:bCs/>
                <w:szCs w:val="21"/>
              </w:rPr>
            </w:pPr>
            <w:r>
              <w:rPr>
                <w:rFonts w:hint="eastAsia" w:ascii="宋体" w:hAnsi="宋体" w:cs="宋体"/>
                <w:bCs/>
                <w:szCs w:val="21"/>
              </w:rPr>
              <w:t>投标报价为采购人指定地点的现场交货价，包括：</w:t>
            </w:r>
          </w:p>
          <w:p>
            <w:pPr>
              <w:adjustRightInd w:val="0"/>
              <w:snapToGrid w:val="0"/>
              <w:spacing w:line="400" w:lineRule="exact"/>
              <w:rPr>
                <w:rFonts w:hint="eastAsia" w:ascii="宋体" w:hAnsi="宋体" w:cs="宋体"/>
                <w:bCs/>
                <w:szCs w:val="21"/>
              </w:rPr>
            </w:pPr>
            <w:r>
              <w:rPr>
                <w:rFonts w:hint="eastAsia" w:ascii="宋体" w:hAnsi="宋体" w:cs="宋体"/>
                <w:bCs/>
                <w:szCs w:val="21"/>
              </w:rPr>
              <w:t>（1）货物的价格：包括货款、零配件、安装调试费、验收费；</w:t>
            </w:r>
          </w:p>
          <w:p>
            <w:pPr>
              <w:adjustRightInd w:val="0"/>
              <w:snapToGrid w:val="0"/>
              <w:spacing w:line="400" w:lineRule="exact"/>
              <w:rPr>
                <w:rFonts w:hint="eastAsia" w:ascii="宋体" w:hAnsi="宋体" w:cs="宋体"/>
                <w:bCs/>
                <w:szCs w:val="21"/>
              </w:rPr>
            </w:pPr>
            <w:r>
              <w:rPr>
                <w:rFonts w:hint="eastAsia" w:ascii="宋体" w:hAnsi="宋体" w:cs="宋体"/>
                <w:bCs/>
                <w:szCs w:val="21"/>
              </w:rPr>
              <w:t>（2）货物的标准附件、备品备件、专用工具的价格；</w:t>
            </w:r>
          </w:p>
          <w:p>
            <w:pPr>
              <w:adjustRightInd w:val="0"/>
              <w:snapToGrid w:val="0"/>
              <w:spacing w:line="400" w:lineRule="exact"/>
              <w:rPr>
                <w:rFonts w:hint="eastAsia" w:ascii="宋体" w:hAnsi="宋体" w:cs="宋体"/>
                <w:bCs/>
                <w:szCs w:val="21"/>
              </w:rPr>
            </w:pPr>
            <w:r>
              <w:rPr>
                <w:rFonts w:hint="eastAsia" w:ascii="宋体" w:hAnsi="宋体" w:cs="宋体"/>
                <w:bCs/>
                <w:szCs w:val="21"/>
              </w:rPr>
              <w:t>（3）运输、装卸、调试、培训、技术支持、售后服务费；</w:t>
            </w:r>
          </w:p>
          <w:p>
            <w:pPr>
              <w:adjustRightInd w:val="0"/>
              <w:snapToGrid w:val="0"/>
              <w:spacing w:line="400" w:lineRule="exact"/>
              <w:rPr>
                <w:rFonts w:hint="eastAsia" w:ascii="宋体" w:hAnsi="宋体" w:cs="宋体"/>
                <w:bCs/>
                <w:szCs w:val="21"/>
              </w:rPr>
            </w:pPr>
            <w:r>
              <w:rPr>
                <w:rFonts w:hint="eastAsia" w:ascii="宋体" w:hAnsi="宋体" w:cs="宋体"/>
                <w:bCs/>
                <w:szCs w:val="21"/>
              </w:rPr>
              <w:t>（4）按采购人要求进行摆放的费用。</w:t>
            </w:r>
          </w:p>
          <w:p>
            <w:pPr>
              <w:adjustRightInd w:val="0"/>
              <w:snapToGrid w:val="0"/>
              <w:spacing w:line="360" w:lineRule="exact"/>
              <w:rPr>
                <w:szCs w:val="21"/>
              </w:rPr>
            </w:pPr>
            <w:r>
              <w:rPr>
                <w:rFonts w:hint="eastAsia" w:ascii="宋体" w:hAnsi="宋体" w:cs="宋体"/>
                <w:bCs/>
                <w:szCs w:val="21"/>
              </w:rPr>
              <w:t>注：投标人自行考虑完成项目所需的辅材、零配件等数量，投标报价中应包含全部内容，中标后采购人不再另行支付额外费用。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2"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cs="宋体"/>
                <w:szCs w:val="21"/>
                <w:lang w:bidi="ar"/>
              </w:rPr>
              <w:t>▲</w:t>
            </w:r>
            <w:r>
              <w:rPr>
                <w:rFonts w:hint="eastAsia" w:ascii="宋体" w:hAnsi="宋体"/>
                <w:szCs w:val="21"/>
              </w:rPr>
              <w:t>付款方式</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rPr>
                <w:rFonts w:hint="eastAsia" w:ascii="宋体" w:hAnsi="宋体" w:cs="宋体"/>
                <w:bCs/>
                <w:kern w:val="1"/>
                <w:szCs w:val="24"/>
                <w:lang w:val="zh-CN"/>
              </w:rPr>
            </w:pPr>
            <w:r>
              <w:rPr>
                <w:rFonts w:hint="eastAsia" w:ascii="宋体" w:hAnsi="宋体" w:cs="宋体"/>
                <w:bCs/>
                <w:kern w:val="2"/>
                <w:sz w:val="21"/>
                <w:szCs w:val="21"/>
              </w:rPr>
              <w:t>合同签订且采购人收到中标人缴纳的履约保证金后，采购人凭中标人提供的等额发票按合同金额的30%支付预付款，剩余货款在中标人交货安装调试完并经采购人验收合格无异议后，中标人书面提出付款申请并提供等额发票，采购人在收到中标人书面申请后15个工作日内按财务管理相关规定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Cs w:val="21"/>
                <w:lang w:bidi="ar"/>
              </w:rPr>
              <w:t>▲</w:t>
            </w:r>
            <w:r>
              <w:rPr>
                <w:rFonts w:hint="eastAsia" w:ascii="宋体" w:hAnsi="宋体"/>
                <w:szCs w:val="21"/>
              </w:rPr>
              <w:t>履约保证金</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bCs/>
                <w:szCs w:val="21"/>
              </w:rPr>
            </w:pPr>
            <w:r>
              <w:rPr>
                <w:rFonts w:hint="eastAsia" w:ascii="宋体" w:hAnsi="宋体" w:cs="宋体"/>
                <w:bCs/>
                <w:szCs w:val="21"/>
              </w:rPr>
              <w:t>在合同签订后五个工作日内，中标供应商按本合同合计金额2%比例向采购人提交履约保证金，验收合格交付使用后，采购人在规定时限内退还履约保证金。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7"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0" w:firstLineChars="100"/>
              <w:jc w:val="center"/>
              <w:rPr>
                <w:rFonts w:hint="eastAsia" w:ascii="宋体" w:hAnsi="宋体" w:cs="宋体"/>
                <w:sz w:val="24"/>
              </w:rPr>
            </w:pPr>
            <w:r>
              <w:rPr>
                <w:rFonts w:hint="eastAsia" w:ascii="宋体" w:hAnsi="宋体" w:cs="宋体"/>
                <w:szCs w:val="21"/>
                <w:lang w:bidi="ar"/>
              </w:rPr>
              <w:t>▲</w:t>
            </w:r>
            <w:r>
              <w:rPr>
                <w:rFonts w:hint="eastAsia" w:ascii="宋体" w:hAnsi="宋体"/>
                <w:szCs w:val="21"/>
              </w:rPr>
              <w:t>本项目核心产品</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b/>
                <w:szCs w:val="21"/>
              </w:rPr>
            </w:pPr>
            <w:r>
              <w:rPr>
                <w:rFonts w:hint="eastAsia" w:ascii="宋体" w:hAnsi="宋体" w:cs="宋体"/>
                <w:b/>
                <w:szCs w:val="21"/>
              </w:rPr>
              <w:t>投标产品项号1：</w:t>
            </w:r>
            <w:r>
              <w:rPr>
                <w:rFonts w:hint="eastAsia" w:ascii="宋体" w:hAnsi="宋体" w:cs="宋体"/>
                <w:b/>
                <w:szCs w:val="21"/>
                <w:u w:val="single"/>
              </w:rPr>
              <w:t>钢结构公寓（核心产品品牌相同的，视为提供同品牌产品）</w:t>
            </w:r>
          </w:p>
          <w:p>
            <w:pPr>
              <w:adjustRightInd w:val="0"/>
              <w:snapToGrid w:val="0"/>
              <w:spacing w:line="360" w:lineRule="exact"/>
              <w:rPr>
                <w:rFonts w:hint="eastAsia"/>
              </w:rPr>
            </w:pPr>
            <w:r>
              <w:rPr>
                <w:rFonts w:hint="eastAsia" w:ascii="宋体" w:hAnsi="宋体" w:cs="宋体"/>
                <w:bCs/>
                <w:szCs w:val="21"/>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0" w:firstLineChars="100"/>
              <w:jc w:val="center"/>
              <w:rPr>
                <w:rFonts w:hint="eastAsia" w:ascii="宋体" w:hAnsi="宋体" w:cs="宋体"/>
                <w:szCs w:val="21"/>
                <w:lang w:bidi="ar"/>
              </w:rPr>
            </w:pPr>
            <w:r>
              <w:rPr>
                <w:rFonts w:hint="eastAsia" w:ascii="宋体" w:hAnsi="宋体" w:cs="宋体"/>
                <w:szCs w:val="21"/>
                <w:lang w:bidi="ar"/>
              </w:rPr>
              <w:t>▲</w:t>
            </w:r>
            <w:r>
              <w:rPr>
                <w:rFonts w:hint="eastAsia" w:ascii="宋体" w:hAnsi="宋体"/>
                <w:szCs w:val="21"/>
              </w:rPr>
              <w:t>投标样品（小样）要求</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tbl>
            <w:tblPr>
              <w:tblStyle w:val="55"/>
              <w:tblW w:w="7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08"/>
              <w:gridCol w:w="2127"/>
              <w:gridCol w:w="850"/>
              <w:gridCol w:w="1493"/>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pPr>
                    <w:adjustRightInd w:val="0"/>
                    <w:snapToGrid w:val="0"/>
                    <w:spacing w:line="360" w:lineRule="exact"/>
                    <w:jc w:val="center"/>
                    <w:rPr>
                      <w:rFonts w:hint="eastAsia" w:ascii="宋体" w:hAnsi="宋体" w:cs="宋体"/>
                      <w:bCs/>
                      <w:sz w:val="20"/>
                      <w:szCs w:val="20"/>
                    </w:rPr>
                  </w:pPr>
                  <w:r>
                    <w:rPr>
                      <w:rFonts w:hint="eastAsia" w:ascii="宋体" w:hAnsi="宋体" w:cs="宋体"/>
                      <w:bCs/>
                      <w:sz w:val="20"/>
                      <w:szCs w:val="20"/>
                    </w:rPr>
                    <w:t>项号</w:t>
                  </w:r>
                </w:p>
              </w:tc>
              <w:tc>
                <w:tcPr>
                  <w:tcW w:w="708" w:type="dxa"/>
                  <w:noWrap w:val="0"/>
                  <w:vAlign w:val="top"/>
                </w:tcPr>
                <w:p>
                  <w:pPr>
                    <w:adjustRightInd w:val="0"/>
                    <w:snapToGrid w:val="0"/>
                    <w:spacing w:line="360" w:lineRule="exact"/>
                    <w:jc w:val="center"/>
                    <w:rPr>
                      <w:rFonts w:hint="eastAsia" w:ascii="宋体" w:hAnsi="宋体" w:cs="宋体"/>
                      <w:bCs/>
                      <w:sz w:val="20"/>
                      <w:szCs w:val="20"/>
                      <w:highlight w:val="yellow"/>
                    </w:rPr>
                  </w:pPr>
                  <w:r>
                    <w:rPr>
                      <w:rFonts w:hint="eastAsia" w:ascii="宋体" w:hAnsi="宋体" w:cs="宋体"/>
                      <w:sz w:val="20"/>
                      <w:szCs w:val="20"/>
                    </w:rPr>
                    <w:t>产品名称</w:t>
                  </w:r>
                </w:p>
              </w:tc>
              <w:tc>
                <w:tcPr>
                  <w:tcW w:w="2127" w:type="dxa"/>
                  <w:noWrap w:val="0"/>
                  <w:vAlign w:val="top"/>
                </w:tcPr>
                <w:p>
                  <w:pPr>
                    <w:adjustRightInd w:val="0"/>
                    <w:snapToGrid w:val="0"/>
                    <w:spacing w:line="360" w:lineRule="exact"/>
                    <w:jc w:val="center"/>
                    <w:rPr>
                      <w:rFonts w:ascii="宋体" w:hAnsi="宋体" w:cs="宋体"/>
                      <w:bCs/>
                      <w:sz w:val="20"/>
                      <w:szCs w:val="20"/>
                    </w:rPr>
                  </w:pPr>
                  <w:r>
                    <w:rPr>
                      <w:rFonts w:hint="eastAsia" w:ascii="宋体" w:hAnsi="宋体" w:cs="宋体"/>
                      <w:bCs/>
                      <w:sz w:val="20"/>
                      <w:szCs w:val="20"/>
                    </w:rPr>
                    <w:t>小样名称</w:t>
                  </w:r>
                </w:p>
              </w:tc>
              <w:tc>
                <w:tcPr>
                  <w:tcW w:w="850" w:type="dxa"/>
                  <w:noWrap w:val="0"/>
                  <w:vAlign w:val="top"/>
                </w:tcPr>
                <w:p>
                  <w:pPr>
                    <w:adjustRightInd w:val="0"/>
                    <w:snapToGrid w:val="0"/>
                    <w:spacing w:line="360" w:lineRule="exact"/>
                    <w:jc w:val="center"/>
                    <w:rPr>
                      <w:rFonts w:ascii="宋体" w:hAnsi="宋体" w:cs="宋体"/>
                      <w:bCs/>
                      <w:sz w:val="20"/>
                      <w:szCs w:val="20"/>
                    </w:rPr>
                  </w:pPr>
                  <w:r>
                    <w:rPr>
                      <w:rFonts w:hint="eastAsia" w:ascii="宋体" w:hAnsi="宋体" w:cs="宋体"/>
                      <w:bCs/>
                      <w:sz w:val="20"/>
                      <w:szCs w:val="20"/>
                    </w:rPr>
                    <w:t>数量</w:t>
                  </w:r>
                </w:p>
              </w:tc>
              <w:tc>
                <w:tcPr>
                  <w:tcW w:w="1493" w:type="dxa"/>
                  <w:noWrap w:val="0"/>
                  <w:vAlign w:val="top"/>
                </w:tcPr>
                <w:p>
                  <w:pPr>
                    <w:adjustRightInd w:val="0"/>
                    <w:snapToGrid w:val="0"/>
                    <w:spacing w:line="360" w:lineRule="exact"/>
                    <w:jc w:val="center"/>
                    <w:rPr>
                      <w:rFonts w:ascii="宋体" w:hAnsi="宋体" w:cs="宋体"/>
                      <w:bCs/>
                      <w:sz w:val="20"/>
                      <w:szCs w:val="20"/>
                    </w:rPr>
                  </w:pPr>
                  <w:r>
                    <w:rPr>
                      <w:rFonts w:hint="eastAsia" w:ascii="宋体" w:hAnsi="宋体" w:cs="宋体"/>
                      <w:bCs/>
                      <w:sz w:val="20"/>
                      <w:szCs w:val="20"/>
                    </w:rPr>
                    <w:t>规格</w:t>
                  </w:r>
                </w:p>
              </w:tc>
              <w:tc>
                <w:tcPr>
                  <w:tcW w:w="1484" w:type="dxa"/>
                  <w:noWrap w:val="0"/>
                  <w:vAlign w:val="top"/>
                </w:tcPr>
                <w:p>
                  <w:pPr>
                    <w:adjustRightInd w:val="0"/>
                    <w:snapToGrid w:val="0"/>
                    <w:spacing w:line="360" w:lineRule="exact"/>
                    <w:jc w:val="center"/>
                    <w:rPr>
                      <w:rFonts w:ascii="宋体" w:hAnsi="宋体" w:cs="宋体"/>
                      <w:bCs/>
                      <w:sz w:val="20"/>
                      <w:szCs w:val="20"/>
                    </w:rPr>
                  </w:pPr>
                  <w:r>
                    <w:rPr>
                      <w:rFonts w:hint="eastAsia" w:ascii="宋体" w:hAnsi="宋体" w:cs="宋体"/>
                      <w:bCs/>
                      <w:sz w:val="20"/>
                      <w:szCs w:val="20"/>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restart"/>
                  <w:noWrap w:val="0"/>
                  <w:vAlign w:val="top"/>
                </w:tcPr>
                <w:p>
                  <w:pPr>
                    <w:adjustRightInd w:val="0"/>
                    <w:snapToGrid w:val="0"/>
                    <w:spacing w:line="360" w:lineRule="exact"/>
                    <w:jc w:val="center"/>
                    <w:rPr>
                      <w:rFonts w:hint="eastAsia" w:ascii="宋体" w:hAnsi="宋体" w:cs="宋体"/>
                      <w:bCs/>
                      <w:sz w:val="20"/>
                      <w:szCs w:val="20"/>
                    </w:rPr>
                  </w:pPr>
                  <w:r>
                    <w:rPr>
                      <w:rFonts w:hint="eastAsia" w:ascii="宋体" w:hAnsi="宋体" w:cs="宋体"/>
                      <w:bCs/>
                      <w:sz w:val="20"/>
                      <w:szCs w:val="20"/>
                    </w:rPr>
                    <w:t>1</w:t>
                  </w:r>
                </w:p>
              </w:tc>
              <w:tc>
                <w:tcPr>
                  <w:tcW w:w="708" w:type="dxa"/>
                  <w:noWrap w:val="0"/>
                  <w:vAlign w:val="top"/>
                </w:tcPr>
                <w:p>
                  <w:pPr>
                    <w:adjustRightInd w:val="0"/>
                    <w:snapToGrid w:val="0"/>
                    <w:spacing w:line="360" w:lineRule="exact"/>
                    <w:jc w:val="center"/>
                    <w:rPr>
                      <w:rFonts w:ascii="宋体" w:hAnsi="宋体" w:cs="宋体"/>
                      <w:bCs/>
                      <w:sz w:val="20"/>
                      <w:szCs w:val="20"/>
                      <w:highlight w:val="yellow"/>
                    </w:rPr>
                  </w:pPr>
                  <w:r>
                    <w:rPr>
                      <w:rFonts w:hint="eastAsia" w:ascii="宋体" w:hAnsi="宋体" w:cs="宋体"/>
                      <w:sz w:val="20"/>
                      <w:szCs w:val="20"/>
                    </w:rPr>
                    <w:t>床</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立柱（配防潮脚套）</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2件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长度300～350mm</w:t>
                  </w:r>
                </w:p>
              </w:tc>
              <w:tc>
                <w:tcPr>
                  <w:tcW w:w="1484"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一件喷涂，一件裸管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continue"/>
                  <w:noWrap w:val="0"/>
                  <w:vAlign w:val="top"/>
                </w:tcPr>
                <w:p>
                  <w:pPr>
                    <w:adjustRightInd w:val="0"/>
                    <w:snapToGrid w:val="0"/>
                    <w:spacing w:line="360" w:lineRule="exact"/>
                    <w:jc w:val="center"/>
                    <w:rPr>
                      <w:rFonts w:ascii="宋体" w:hAnsi="宋体" w:cs="宋体"/>
                      <w:bCs/>
                      <w:sz w:val="20"/>
                      <w:szCs w:val="20"/>
                    </w:rPr>
                  </w:pPr>
                </w:p>
              </w:tc>
              <w:tc>
                <w:tcPr>
                  <w:tcW w:w="708" w:type="dxa"/>
                  <w:noWrap w:val="0"/>
                  <w:vAlign w:val="top"/>
                </w:tcPr>
                <w:p>
                  <w:pPr>
                    <w:adjustRightInd w:val="0"/>
                    <w:snapToGrid w:val="0"/>
                    <w:spacing w:line="360" w:lineRule="exact"/>
                    <w:jc w:val="center"/>
                    <w:rPr>
                      <w:rFonts w:ascii="宋体" w:hAnsi="宋体" w:cs="宋体"/>
                      <w:bCs/>
                      <w:sz w:val="20"/>
                      <w:szCs w:val="20"/>
                      <w:highlight w:val="yellow"/>
                    </w:rPr>
                  </w:pPr>
                  <w:r>
                    <w:rPr>
                      <w:rFonts w:hint="eastAsia" w:ascii="宋体" w:hAnsi="宋体" w:cs="宋体"/>
                      <w:sz w:val="20"/>
                      <w:szCs w:val="20"/>
                    </w:rPr>
                    <w:t>床</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床母管</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2件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长度300～350mm</w:t>
                  </w:r>
                </w:p>
              </w:tc>
              <w:tc>
                <w:tcPr>
                  <w:tcW w:w="1484" w:type="dxa"/>
                  <w:noWrap w:val="0"/>
                  <w:vAlign w:val="top"/>
                </w:tcPr>
                <w:p>
                  <w:pPr>
                    <w:snapToGrid w:val="0"/>
                    <w:spacing w:line="360" w:lineRule="exact"/>
                    <w:ind w:left="105" w:leftChars="50" w:right="105" w:rightChars="50"/>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3" w:type="dxa"/>
                  <w:vMerge w:val="continue"/>
                  <w:noWrap w:val="0"/>
                  <w:vAlign w:val="top"/>
                </w:tcPr>
                <w:p>
                  <w:pPr>
                    <w:adjustRightInd w:val="0"/>
                    <w:snapToGrid w:val="0"/>
                    <w:spacing w:line="360" w:lineRule="exact"/>
                    <w:jc w:val="center"/>
                    <w:rPr>
                      <w:rFonts w:ascii="宋体" w:hAnsi="宋体" w:cs="宋体"/>
                      <w:bCs/>
                      <w:sz w:val="20"/>
                      <w:szCs w:val="20"/>
                    </w:rPr>
                  </w:pPr>
                </w:p>
              </w:tc>
              <w:tc>
                <w:tcPr>
                  <w:tcW w:w="708" w:type="dxa"/>
                  <w:noWrap w:val="0"/>
                  <w:vAlign w:val="top"/>
                </w:tcPr>
                <w:p>
                  <w:pPr>
                    <w:adjustRightInd w:val="0"/>
                    <w:snapToGrid w:val="0"/>
                    <w:spacing w:line="360" w:lineRule="exact"/>
                    <w:jc w:val="center"/>
                    <w:rPr>
                      <w:rFonts w:ascii="宋体" w:hAnsi="宋体" w:cs="宋体"/>
                      <w:bCs/>
                      <w:sz w:val="20"/>
                      <w:szCs w:val="20"/>
                      <w:highlight w:val="yellow"/>
                    </w:rPr>
                  </w:pPr>
                  <w:r>
                    <w:rPr>
                      <w:rFonts w:hint="eastAsia" w:ascii="宋体" w:hAnsi="宋体" w:cs="宋体"/>
                      <w:sz w:val="20"/>
                      <w:szCs w:val="20"/>
                    </w:rPr>
                    <w:t>床</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卡式连接件</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1件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w:t>
                  </w:r>
                </w:p>
              </w:tc>
              <w:tc>
                <w:tcPr>
                  <w:tcW w:w="1484"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continue"/>
                  <w:noWrap w:val="0"/>
                  <w:vAlign w:val="top"/>
                </w:tcPr>
                <w:p>
                  <w:pPr>
                    <w:adjustRightInd w:val="0"/>
                    <w:snapToGrid w:val="0"/>
                    <w:spacing w:line="360" w:lineRule="exact"/>
                    <w:jc w:val="center"/>
                    <w:rPr>
                      <w:rFonts w:ascii="宋体" w:hAnsi="宋体" w:cs="宋体"/>
                      <w:bCs/>
                      <w:sz w:val="20"/>
                      <w:szCs w:val="20"/>
                    </w:rPr>
                  </w:pPr>
                </w:p>
              </w:tc>
              <w:tc>
                <w:tcPr>
                  <w:tcW w:w="708" w:type="dxa"/>
                  <w:noWrap w:val="0"/>
                  <w:vAlign w:val="top"/>
                </w:tcPr>
                <w:p>
                  <w:pPr>
                    <w:adjustRightInd w:val="0"/>
                    <w:snapToGrid w:val="0"/>
                    <w:spacing w:line="360" w:lineRule="exact"/>
                    <w:jc w:val="center"/>
                    <w:rPr>
                      <w:rFonts w:ascii="宋体" w:hAnsi="宋体" w:cs="宋体"/>
                      <w:bCs/>
                      <w:sz w:val="20"/>
                      <w:szCs w:val="20"/>
                      <w:highlight w:val="yellow"/>
                    </w:rPr>
                  </w:pPr>
                  <w:r>
                    <w:rPr>
                      <w:rFonts w:hint="eastAsia" w:ascii="宋体" w:hAnsi="宋体" w:cs="宋体"/>
                      <w:sz w:val="20"/>
                      <w:szCs w:val="20"/>
                    </w:rPr>
                    <w:t>床</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爬梯</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1件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长度300～350mm</w:t>
                  </w:r>
                </w:p>
              </w:tc>
              <w:tc>
                <w:tcPr>
                  <w:tcW w:w="1484"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continue"/>
                  <w:noWrap w:val="0"/>
                  <w:vAlign w:val="top"/>
                </w:tcPr>
                <w:p>
                  <w:pPr>
                    <w:adjustRightInd w:val="0"/>
                    <w:snapToGrid w:val="0"/>
                    <w:spacing w:line="360" w:lineRule="exact"/>
                    <w:jc w:val="center"/>
                    <w:rPr>
                      <w:rFonts w:ascii="宋体" w:hAnsi="宋体" w:cs="宋体"/>
                      <w:bCs/>
                      <w:sz w:val="20"/>
                      <w:szCs w:val="20"/>
                    </w:rPr>
                  </w:pPr>
                </w:p>
              </w:tc>
              <w:tc>
                <w:tcPr>
                  <w:tcW w:w="708" w:type="dxa"/>
                  <w:noWrap w:val="0"/>
                  <w:vAlign w:val="top"/>
                </w:tcPr>
                <w:p>
                  <w:pPr>
                    <w:adjustRightInd w:val="0"/>
                    <w:snapToGrid w:val="0"/>
                    <w:spacing w:line="360" w:lineRule="exact"/>
                    <w:jc w:val="center"/>
                    <w:rPr>
                      <w:rFonts w:ascii="宋体" w:hAnsi="宋体" w:cs="宋体"/>
                      <w:bCs/>
                      <w:sz w:val="20"/>
                      <w:szCs w:val="20"/>
                      <w:highlight w:val="yellow"/>
                    </w:rPr>
                  </w:pPr>
                  <w:r>
                    <w:rPr>
                      <w:rFonts w:hint="eastAsia" w:ascii="宋体" w:hAnsi="宋体" w:cs="宋体"/>
                      <w:sz w:val="20"/>
                      <w:szCs w:val="20"/>
                    </w:rPr>
                    <w:t>床</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床护栏</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1件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w:t>
                  </w:r>
                </w:p>
              </w:tc>
              <w:tc>
                <w:tcPr>
                  <w:tcW w:w="1484" w:type="dxa"/>
                  <w:noWrap w:val="0"/>
                  <w:vAlign w:val="center"/>
                </w:tcPr>
                <w:p>
                  <w:pPr>
                    <w:snapToGrid w:val="0"/>
                    <w:spacing w:line="360" w:lineRule="exact"/>
                    <w:ind w:left="105" w:leftChars="50" w:right="105" w:rightChars="50"/>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continue"/>
                  <w:noWrap w:val="0"/>
                  <w:vAlign w:val="top"/>
                </w:tcPr>
                <w:p>
                  <w:pPr>
                    <w:adjustRightInd w:val="0"/>
                    <w:snapToGrid w:val="0"/>
                    <w:spacing w:line="360" w:lineRule="exact"/>
                    <w:jc w:val="center"/>
                    <w:rPr>
                      <w:rFonts w:ascii="宋体" w:hAnsi="宋体" w:cs="宋体"/>
                      <w:bCs/>
                      <w:sz w:val="20"/>
                      <w:szCs w:val="20"/>
                    </w:rPr>
                  </w:pPr>
                </w:p>
              </w:tc>
              <w:tc>
                <w:tcPr>
                  <w:tcW w:w="708" w:type="dxa"/>
                  <w:noWrap w:val="0"/>
                  <w:vAlign w:val="top"/>
                </w:tcPr>
                <w:p>
                  <w:pPr>
                    <w:adjustRightInd w:val="0"/>
                    <w:snapToGrid w:val="0"/>
                    <w:spacing w:line="360" w:lineRule="exact"/>
                    <w:rPr>
                      <w:rFonts w:ascii="宋体" w:hAnsi="宋体" w:cs="宋体"/>
                      <w:bCs/>
                      <w:sz w:val="20"/>
                      <w:szCs w:val="20"/>
                      <w:highlight w:val="yellow"/>
                    </w:rPr>
                  </w:pPr>
                  <w:r>
                    <w:rPr>
                      <w:rFonts w:hint="eastAsia" w:ascii="宋体" w:hAnsi="宋体" w:cs="宋体"/>
                      <w:sz w:val="20"/>
                      <w:szCs w:val="20"/>
                    </w:rPr>
                    <w:t>电脑桌</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学习桌面板</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1件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长度700～800mm</w:t>
                  </w:r>
                </w:p>
              </w:tc>
              <w:tc>
                <w:tcPr>
                  <w:tcW w:w="1484" w:type="dxa"/>
                  <w:noWrap w:val="0"/>
                  <w:vAlign w:val="top"/>
                </w:tcPr>
                <w:p>
                  <w:pPr>
                    <w:snapToGrid w:val="0"/>
                    <w:spacing w:line="360" w:lineRule="exact"/>
                    <w:ind w:left="105" w:leftChars="50" w:right="105" w:rightChars="50"/>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3" w:type="dxa"/>
                  <w:vMerge w:val="continue"/>
                  <w:noWrap w:val="0"/>
                  <w:vAlign w:val="top"/>
                </w:tcPr>
                <w:p>
                  <w:pPr>
                    <w:adjustRightInd w:val="0"/>
                    <w:snapToGrid w:val="0"/>
                    <w:spacing w:line="360" w:lineRule="exact"/>
                    <w:jc w:val="center"/>
                    <w:rPr>
                      <w:rFonts w:ascii="宋体" w:hAnsi="宋体" w:cs="宋体"/>
                      <w:bCs/>
                      <w:sz w:val="20"/>
                      <w:szCs w:val="20"/>
                    </w:rPr>
                  </w:pPr>
                </w:p>
              </w:tc>
              <w:tc>
                <w:tcPr>
                  <w:tcW w:w="708" w:type="dxa"/>
                  <w:noWrap w:val="0"/>
                  <w:vAlign w:val="top"/>
                </w:tcPr>
                <w:p>
                  <w:pPr>
                    <w:adjustRightInd w:val="0"/>
                    <w:snapToGrid w:val="0"/>
                    <w:spacing w:line="360" w:lineRule="exact"/>
                    <w:rPr>
                      <w:rFonts w:ascii="宋体" w:hAnsi="宋体" w:cs="宋体"/>
                      <w:bCs/>
                      <w:sz w:val="20"/>
                      <w:szCs w:val="20"/>
                      <w:highlight w:val="yellow"/>
                    </w:rPr>
                  </w:pPr>
                  <w:r>
                    <w:rPr>
                      <w:rFonts w:hint="eastAsia" w:ascii="宋体" w:hAnsi="宋体" w:cs="宋体"/>
                      <w:sz w:val="20"/>
                      <w:szCs w:val="20"/>
                    </w:rPr>
                    <w:t>衣柜</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衣柜上门（配锁具）</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1件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w:t>
                  </w:r>
                </w:p>
              </w:tc>
              <w:tc>
                <w:tcPr>
                  <w:tcW w:w="1484" w:type="dxa"/>
                  <w:noWrap w:val="0"/>
                  <w:vAlign w:val="top"/>
                </w:tcPr>
                <w:p>
                  <w:pPr>
                    <w:snapToGrid w:val="0"/>
                    <w:spacing w:line="360" w:lineRule="exact"/>
                    <w:ind w:left="105" w:leftChars="50" w:right="105" w:rightChars="50"/>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continue"/>
                  <w:noWrap w:val="0"/>
                  <w:vAlign w:val="top"/>
                </w:tcPr>
                <w:p>
                  <w:pPr>
                    <w:adjustRightInd w:val="0"/>
                    <w:snapToGrid w:val="0"/>
                    <w:spacing w:line="360" w:lineRule="exact"/>
                    <w:jc w:val="center"/>
                    <w:rPr>
                      <w:rFonts w:ascii="宋体" w:hAnsi="宋体" w:cs="宋体"/>
                      <w:bCs/>
                      <w:sz w:val="20"/>
                      <w:szCs w:val="20"/>
                    </w:rPr>
                  </w:pPr>
                </w:p>
              </w:tc>
              <w:tc>
                <w:tcPr>
                  <w:tcW w:w="708" w:type="dxa"/>
                  <w:noWrap w:val="0"/>
                  <w:vAlign w:val="top"/>
                </w:tcPr>
                <w:p>
                  <w:pPr>
                    <w:adjustRightInd w:val="0"/>
                    <w:snapToGrid w:val="0"/>
                    <w:spacing w:line="360" w:lineRule="exact"/>
                    <w:rPr>
                      <w:rFonts w:ascii="宋体" w:hAnsi="宋体" w:cs="宋体"/>
                      <w:bCs/>
                      <w:sz w:val="20"/>
                      <w:szCs w:val="20"/>
                      <w:highlight w:val="yellow"/>
                    </w:rPr>
                  </w:pPr>
                  <w:r>
                    <w:rPr>
                      <w:rFonts w:hint="eastAsia" w:ascii="宋体" w:hAnsi="宋体" w:cs="宋体"/>
                      <w:sz w:val="20"/>
                      <w:szCs w:val="20"/>
                    </w:rPr>
                    <w:t>椅子</w:t>
                  </w:r>
                </w:p>
              </w:tc>
              <w:tc>
                <w:tcPr>
                  <w:tcW w:w="2127"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钢木坐板、背板</w:t>
                  </w:r>
                </w:p>
              </w:tc>
              <w:tc>
                <w:tcPr>
                  <w:tcW w:w="850"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各1件</w:t>
                  </w:r>
                </w:p>
              </w:tc>
              <w:tc>
                <w:tcPr>
                  <w:tcW w:w="1493" w:type="dxa"/>
                  <w:noWrap w:val="0"/>
                  <w:vAlign w:val="center"/>
                </w:tcPr>
                <w:p>
                  <w:pPr>
                    <w:snapToGrid w:val="0"/>
                    <w:spacing w:line="360" w:lineRule="exact"/>
                    <w:ind w:left="105" w:leftChars="50" w:right="105" w:rightChars="50"/>
                    <w:jc w:val="center"/>
                    <w:rPr>
                      <w:rFonts w:hint="eastAsia" w:ascii="宋体" w:hAnsi="宋体" w:cs="宋体"/>
                      <w:sz w:val="20"/>
                      <w:szCs w:val="20"/>
                    </w:rPr>
                  </w:pPr>
                  <w:r>
                    <w:rPr>
                      <w:rFonts w:hint="eastAsia" w:ascii="宋体" w:hAnsi="宋体" w:cs="宋体"/>
                      <w:sz w:val="20"/>
                      <w:szCs w:val="20"/>
                    </w:rPr>
                    <w:t>/</w:t>
                  </w:r>
                </w:p>
              </w:tc>
              <w:tc>
                <w:tcPr>
                  <w:tcW w:w="1484" w:type="dxa"/>
                  <w:noWrap w:val="0"/>
                  <w:vAlign w:val="top"/>
                </w:tcPr>
                <w:p>
                  <w:pPr>
                    <w:snapToGrid w:val="0"/>
                    <w:spacing w:line="360" w:lineRule="exact"/>
                    <w:ind w:left="105" w:leftChars="50" w:right="105" w:rightChars="50"/>
                    <w:rPr>
                      <w:rFonts w:hint="eastAsia" w:ascii="宋体" w:hAnsi="宋体" w:cs="宋体"/>
                      <w:sz w:val="20"/>
                      <w:szCs w:val="20"/>
                    </w:rPr>
                  </w:pPr>
                </w:p>
              </w:tc>
            </w:tr>
          </w:tbl>
          <w:p>
            <w:pPr>
              <w:adjustRightInd w:val="0"/>
              <w:snapToGrid w:val="0"/>
              <w:spacing w:line="400" w:lineRule="exact"/>
              <w:rPr>
                <w:rFonts w:hint="eastAsia" w:ascii="宋体" w:hAnsi="宋体" w:cs="宋体"/>
                <w:bCs/>
                <w:szCs w:val="21"/>
              </w:rPr>
            </w:pPr>
            <w:r>
              <w:rPr>
                <w:rFonts w:hint="eastAsia" w:ascii="宋体" w:hAnsi="宋体" w:cs="宋体"/>
                <w:bCs/>
                <w:szCs w:val="21"/>
              </w:rPr>
              <w:t>注明：</w:t>
            </w:r>
          </w:p>
          <w:p>
            <w:pPr>
              <w:tabs>
                <w:tab w:val="center" w:pos="4153"/>
                <w:tab w:val="right" w:pos="8306"/>
              </w:tabs>
              <w:snapToGrid w:val="0"/>
              <w:spacing w:line="400" w:lineRule="exact"/>
              <w:jc w:val="left"/>
              <w:rPr>
                <w:rFonts w:hint="eastAsia" w:ascii="宋体" w:hAnsi="宋体" w:cs="宋体"/>
                <w:bCs/>
                <w:szCs w:val="21"/>
              </w:rPr>
            </w:pPr>
            <w:r>
              <w:rPr>
                <w:rFonts w:hint="eastAsia" w:ascii="宋体" w:hAnsi="宋体" w:cs="宋体"/>
                <w:bCs/>
                <w:szCs w:val="21"/>
              </w:rPr>
              <w:t>（1）所有小样可以统一放进一个箱子（袋子）中提交到采购中心指定的地方；</w:t>
            </w:r>
          </w:p>
          <w:p>
            <w:pPr>
              <w:tabs>
                <w:tab w:val="center" w:pos="4153"/>
                <w:tab w:val="right" w:pos="8306"/>
              </w:tabs>
              <w:snapToGrid w:val="0"/>
              <w:spacing w:line="400" w:lineRule="exact"/>
              <w:jc w:val="left"/>
              <w:rPr>
                <w:rFonts w:hint="eastAsia" w:ascii="宋体" w:hAnsi="宋体" w:cs="宋体"/>
                <w:bCs/>
                <w:szCs w:val="21"/>
              </w:rPr>
            </w:pPr>
            <w:r>
              <w:rPr>
                <w:rFonts w:hint="eastAsia" w:ascii="宋体" w:hAnsi="宋体" w:cs="宋体"/>
                <w:bCs/>
                <w:szCs w:val="21"/>
              </w:rPr>
              <w:t>（2）箱子(袋子)正面贴上投标人名称、项目名称和项目编号等信息的标签；（3）各小样不能出现任何厂家（公司）或投标品牌标识，如出现透露信息的标识，小样不得进行评定；</w:t>
            </w:r>
          </w:p>
          <w:p>
            <w:pPr>
              <w:tabs>
                <w:tab w:val="center" w:pos="4153"/>
                <w:tab w:val="right" w:pos="8306"/>
              </w:tabs>
              <w:snapToGrid w:val="0"/>
              <w:spacing w:line="400" w:lineRule="exact"/>
              <w:jc w:val="left"/>
              <w:rPr>
                <w:rFonts w:hint="eastAsia" w:ascii="宋体" w:hAnsi="宋体" w:cs="宋体"/>
                <w:bCs/>
                <w:szCs w:val="21"/>
              </w:rPr>
            </w:pPr>
            <w:r>
              <w:rPr>
                <w:rFonts w:hint="eastAsia" w:ascii="宋体" w:hAnsi="宋体" w:cs="宋体"/>
                <w:bCs/>
                <w:szCs w:val="21"/>
              </w:rPr>
              <w:t>（4）代理机构工作人员只负责按箱（袋）数接收样品；评标前由采购代理机构工作人员将对投标人的标签进行遮盖，评定小样时由采购代理机构工作人员及评委一起打开，待评定小样完毕后，再统一拆封所有投标人的标签。</w:t>
            </w:r>
          </w:p>
          <w:p>
            <w:pPr>
              <w:spacing w:line="400" w:lineRule="exact"/>
              <w:rPr>
                <w:rFonts w:hint="eastAsia" w:ascii="宋体" w:hAnsi="宋体" w:cs="宋体"/>
                <w:b/>
                <w:szCs w:val="21"/>
              </w:rPr>
            </w:pPr>
            <w:r>
              <w:rPr>
                <w:rFonts w:hint="eastAsia" w:ascii="宋体" w:hAnsi="宋体" w:cs="宋体"/>
                <w:bCs/>
                <w:szCs w:val="21"/>
              </w:rPr>
              <w:t>（5）</w:t>
            </w:r>
            <w:r>
              <w:rPr>
                <w:rFonts w:hint="eastAsia" w:ascii="宋体" w:hAnsi="宋体"/>
                <w:szCs w:val="21"/>
              </w:rPr>
              <w:t>采购结果公告后，中标人小样不退，作为验收依据之一。</w:t>
            </w:r>
            <w:r>
              <w:rPr>
                <w:rFonts w:hint="eastAsia" w:ascii="宋体" w:hAnsi="宋体"/>
                <w:b/>
                <w:bCs/>
                <w:szCs w:val="21"/>
              </w:rPr>
              <w:t>未中标的，在本项目评审结果（中标公告）发出（或接到广西壮族自治区政府采购中心电话通知）后五个工作日内，原路径领回样品，逾期未办理样品领取的，样品处置权交由广西壮族自治区政府采购中心。所造成的损失，由本公司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Cs w:val="21"/>
                <w:lang w:bidi="ar"/>
              </w:rPr>
            </w:pPr>
            <w:r>
              <w:rPr>
                <w:rFonts w:hint="eastAsia" w:ascii="宋体" w:hAnsi="宋体" w:cs="宋体"/>
                <w:szCs w:val="21"/>
                <w:lang w:bidi="ar"/>
              </w:rPr>
              <w:t>▲</w:t>
            </w:r>
            <w:r>
              <w:rPr>
                <w:rFonts w:hint="eastAsia" w:ascii="宋体" w:hAnsi="宋体"/>
                <w:szCs w:val="21"/>
              </w:rPr>
              <w:t>其它要求及说明</w:t>
            </w:r>
          </w:p>
        </w:tc>
        <w:tc>
          <w:tcPr>
            <w:tcW w:w="740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2" w:line="400" w:lineRule="exact"/>
              <w:jc w:val="left"/>
              <w:rPr>
                <w:rFonts w:hint="eastAsia" w:ascii="宋体" w:hAnsi="宋体" w:cs="宋体"/>
                <w:bCs/>
                <w:szCs w:val="21"/>
                <w:lang w:val="zh-CN"/>
              </w:rPr>
            </w:pPr>
            <w:r>
              <w:rPr>
                <w:rFonts w:hint="eastAsia" w:ascii="宋体" w:hAnsi="宋体" w:cs="宋体"/>
                <w:bCs/>
                <w:szCs w:val="21"/>
                <w:lang w:val="zh-CN"/>
              </w:rPr>
              <w:t>1、中标人保证向采购人提供的货物是全新、完整、未使用过的。</w:t>
            </w:r>
          </w:p>
          <w:p>
            <w:pPr>
              <w:adjustRightInd w:val="0"/>
              <w:snapToGrid w:val="0"/>
              <w:spacing w:line="400" w:lineRule="exact"/>
              <w:jc w:val="left"/>
              <w:rPr>
                <w:rFonts w:hint="eastAsia" w:ascii="宋体" w:hAnsi="宋体" w:cs="宋体"/>
                <w:bCs/>
                <w:szCs w:val="21"/>
                <w:lang w:val="zh-CN"/>
              </w:rPr>
            </w:pPr>
            <w:r>
              <w:rPr>
                <w:rFonts w:hint="eastAsia" w:ascii="宋体" w:hAnsi="宋体" w:cs="宋体"/>
                <w:bCs/>
                <w:szCs w:val="21"/>
              </w:rPr>
              <w:t>2</w:t>
            </w:r>
            <w:r>
              <w:rPr>
                <w:rFonts w:hint="eastAsia" w:ascii="宋体" w:hAnsi="宋体" w:cs="宋体"/>
                <w:bCs/>
                <w:szCs w:val="21"/>
                <w:lang w:val="zh-CN"/>
              </w:rPr>
              <w:t>、</w:t>
            </w:r>
            <w:r>
              <w:rPr>
                <w:rFonts w:hint="eastAsia" w:ascii="宋体" w:hAnsi="宋体" w:cs="宋体"/>
                <w:bCs/>
                <w:szCs w:val="21"/>
              </w:rPr>
              <w:t>本项目不接受进口产品（即通过中国海关报关验放进入中国境内且产自关境外的产品）参与投标，如有此类产品参与投标的做投标无效处理。</w:t>
            </w:r>
          </w:p>
          <w:p>
            <w:pPr>
              <w:adjustRightInd w:val="0"/>
              <w:snapToGrid w:val="0"/>
              <w:spacing w:line="400" w:lineRule="exact"/>
              <w:jc w:val="left"/>
              <w:rPr>
                <w:rFonts w:hint="eastAsia" w:ascii="宋体" w:hAnsi="宋体" w:cs="宋体"/>
                <w:bCs/>
                <w:szCs w:val="21"/>
              </w:rPr>
            </w:pPr>
            <w:r>
              <w:rPr>
                <w:rFonts w:hint="eastAsia" w:ascii="宋体" w:hAnsi="宋体" w:cs="宋体"/>
                <w:bCs/>
                <w:szCs w:val="21"/>
              </w:rPr>
              <w:t>3、</w:t>
            </w:r>
            <w:bookmarkStart w:id="0" w:name="_Hlk201939895"/>
            <w:r>
              <w:rPr>
                <w:rFonts w:hint="eastAsia" w:ascii="宋体" w:hAnsi="宋体" w:cs="宋体"/>
                <w:bCs/>
                <w:szCs w:val="21"/>
              </w:rPr>
              <w:t>中标人在中标后必须到设备安装地进行实地勘察，家具的最终外形尺寸须根据房间实际布置进行调整，如需调整，须经采购人确认尺寸并签字同意后再进行调整。</w:t>
            </w:r>
            <w:bookmarkEnd w:id="0"/>
            <w:r>
              <w:rPr>
                <w:rFonts w:hint="eastAsia" w:ascii="宋体" w:hAnsi="宋体" w:cs="宋体"/>
                <w:bCs/>
                <w:szCs w:val="21"/>
              </w:rPr>
              <w:t>对特殊的定制家具及修改的尺寸均包含在投标报价中，投标人在报价时应自行考虑，承诺不因定制或修改家具尺寸的因素而改变投标报价（涉及订做产品投标项目）。</w:t>
            </w:r>
          </w:p>
          <w:p>
            <w:pPr>
              <w:adjustRightInd w:val="0"/>
              <w:snapToGrid w:val="0"/>
              <w:spacing w:line="400" w:lineRule="exact"/>
              <w:jc w:val="left"/>
              <w:rPr>
                <w:rFonts w:hint="eastAsia" w:ascii="宋体" w:hAnsi="宋体" w:cs="宋体"/>
                <w:bCs/>
                <w:szCs w:val="21"/>
              </w:rPr>
            </w:pPr>
            <w:r>
              <w:rPr>
                <w:rFonts w:hint="eastAsia" w:ascii="宋体" w:hAnsi="宋体" w:cs="宋体"/>
                <w:bCs/>
                <w:szCs w:val="21"/>
              </w:rPr>
              <w:t>4、在验收时，将随机抽取货物，进行破坏性验收，费用由中标方负责。</w:t>
            </w:r>
          </w:p>
          <w:p>
            <w:pPr>
              <w:adjustRightInd w:val="0"/>
              <w:snapToGrid w:val="0"/>
              <w:spacing w:line="400" w:lineRule="exact"/>
              <w:jc w:val="left"/>
              <w:rPr>
                <w:rFonts w:hint="eastAsia" w:ascii="宋体" w:hAnsi="宋体" w:cs="宋体"/>
                <w:bCs/>
                <w:szCs w:val="21"/>
              </w:rPr>
            </w:pPr>
            <w:r>
              <w:rPr>
                <w:rFonts w:hint="eastAsia" w:ascii="宋体" w:hAnsi="宋体" w:cs="宋体"/>
                <w:bCs/>
                <w:szCs w:val="21"/>
              </w:rPr>
              <w:t>5、供货安装完毕后，必须提供环境检测报告，检测费用由中标人负责。</w:t>
            </w:r>
          </w:p>
          <w:p>
            <w:pPr>
              <w:adjustRightInd w:val="0"/>
              <w:snapToGrid w:val="0"/>
              <w:spacing w:line="400" w:lineRule="exact"/>
              <w:jc w:val="left"/>
              <w:rPr>
                <w:rFonts w:hint="eastAsia" w:ascii="宋体" w:hAnsi="宋体" w:cs="宋体"/>
                <w:bCs/>
                <w:szCs w:val="21"/>
              </w:rPr>
            </w:pPr>
            <w:r>
              <w:rPr>
                <w:rFonts w:hint="eastAsia" w:ascii="宋体" w:hAnsi="宋体" w:cs="宋体"/>
                <w:bCs/>
                <w:szCs w:val="21"/>
              </w:rPr>
              <w:t>6、在中标公示期内提供在投标文件中提到的所有检测报告及证书对应的材料原件给采购人核查，采购人有权向出具报告的检测单位进行查验复核（若存在虚假应标，采购人有权追究其法律责任没收履约保证金，并向监督部门举报）。</w:t>
            </w:r>
          </w:p>
          <w:p>
            <w:pPr>
              <w:adjustRightInd w:val="0"/>
              <w:snapToGrid w:val="0"/>
              <w:spacing w:line="400" w:lineRule="exact"/>
              <w:jc w:val="left"/>
              <w:rPr>
                <w:rFonts w:hint="eastAsia" w:ascii="宋体" w:hAnsi="宋体" w:cs="宋体"/>
                <w:bCs/>
                <w:szCs w:val="21"/>
              </w:rPr>
            </w:pPr>
            <w:r>
              <w:rPr>
                <w:rFonts w:hint="eastAsia" w:ascii="宋体" w:hAnsi="宋体" w:cs="宋体"/>
                <w:bCs/>
                <w:szCs w:val="21"/>
              </w:rPr>
              <w:t>7、供应商在投标活动中提供任何虚假材料，其投标无效，并报监管部门查处；中标后发现的，中标人须按照《中华人民共和国消费者权益保护法》相关规定赔偿采购人，且民事赔偿并不免除违法投标人的行政与刑事责任。</w:t>
            </w:r>
          </w:p>
          <w:p>
            <w:pPr>
              <w:adjustRightInd w:val="0"/>
              <w:snapToGrid w:val="0"/>
              <w:spacing w:line="400" w:lineRule="exact"/>
              <w:jc w:val="left"/>
              <w:rPr>
                <w:rFonts w:hint="eastAsia" w:ascii="宋体" w:hAnsi="宋体" w:cs="宋体"/>
                <w:bCs/>
                <w:szCs w:val="21"/>
              </w:rPr>
            </w:pPr>
            <w:r>
              <w:rPr>
                <w:rFonts w:hint="eastAsia" w:ascii="宋体" w:hAnsi="宋体" w:cs="宋体"/>
                <w:bCs/>
                <w:szCs w:val="21"/>
              </w:rPr>
              <w:t>8. 投标人或委托服务商可提供具备“设备报修服务平台”的材料。</w:t>
            </w:r>
          </w:p>
          <w:p>
            <w:pPr>
              <w:spacing w:line="400" w:lineRule="exact"/>
              <w:rPr>
                <w:rFonts w:hint="eastAsia" w:ascii="宋体" w:hAnsi="宋体" w:cs="宋体"/>
                <w:b/>
                <w:szCs w:val="21"/>
              </w:rPr>
            </w:pPr>
            <w:r>
              <w:rPr>
                <w:rFonts w:hint="eastAsia" w:ascii="宋体" w:hAnsi="宋体" w:cs="宋体"/>
                <w:bCs/>
                <w:szCs w:val="21"/>
              </w:rPr>
              <w:t>9、严格执行（财库〔2019〕9号）及（财库〔2019〕19号），本次招标类别如有属于政府强制采购产品类别的，须按照（2019年第16号）要求提供依据国家确定的认证机构出具的、处于有效期之内的节能产品认证证书复印件并加盖投标人公章，否则投标无效。</w:t>
            </w:r>
          </w:p>
        </w:tc>
      </w:tr>
    </w:tbl>
    <w:p>
      <w:pPr>
        <w:pStyle w:val="45"/>
        <w:widowControl/>
        <w:spacing w:line="380" w:lineRule="exact"/>
        <w:ind w:left="0" w:leftChars="0" w:firstLine="0"/>
        <w:rPr>
          <w:rFonts w:hint="eastAsia" w:ascii="宋体" w:hAnsi="宋体" w:cs="宋体"/>
          <w:b/>
          <w:bCs/>
          <w:color w:val="000000"/>
          <w:szCs w:val="24"/>
        </w:rPr>
      </w:pPr>
    </w:p>
    <w:p>
      <w:pPr>
        <w:snapToGrid w:val="0"/>
        <w:spacing w:line="360" w:lineRule="auto"/>
        <w:ind w:firstLine="420" w:firstLineChars="200"/>
        <w:jc w:val="left"/>
        <w:rPr>
          <w:rFonts w:hint="eastAsia" w:ascii="宋体" w:hAnsi="宋体" w:cs="宋体"/>
          <w:b/>
          <w:bCs/>
          <w:color w:val="000000"/>
          <w:kern w:val="2"/>
          <w:szCs w:val="24"/>
        </w:rPr>
        <w:sectPr>
          <w:headerReference r:id="rId3" w:type="default"/>
          <w:footerReference r:id="rId4" w:type="default"/>
          <w:pgSz w:w="11906" w:h="16838"/>
          <w:pgMar w:top="1134" w:right="1134" w:bottom="1134" w:left="1134" w:header="851" w:footer="992" w:gutter="0"/>
          <w:pgNumType w:fmt="numberInDash" w:start="1"/>
          <w:cols w:space="720" w:num="1"/>
          <w:docGrid w:type="linesAndChars" w:linePitch="312" w:charSpace="0"/>
        </w:sectPr>
      </w:pPr>
    </w:p>
    <w:p>
      <w:pPr>
        <w:snapToGrid w:val="0"/>
        <w:jc w:val="center"/>
        <w:rPr>
          <w:rFonts w:hint="eastAsia" w:ascii="仿宋_GB2312" w:hAnsi="宋体" w:eastAsia="仿宋_GB2312"/>
          <w:b/>
          <w:szCs w:val="21"/>
        </w:rPr>
      </w:pPr>
      <w:r>
        <w:rPr>
          <w:rFonts w:hint="eastAsia" w:ascii="仿宋_GB2312" w:hAnsi="宋体" w:eastAsia="仿宋_GB2312"/>
          <w:b/>
          <w:sz w:val="32"/>
          <w:szCs w:val="32"/>
        </w:rPr>
        <w:t>投标</w:t>
      </w:r>
      <w:bookmarkStart w:id="1" w:name="_Toc254970526"/>
      <w:bookmarkStart w:id="2" w:name="_Toc254970667"/>
      <w:r>
        <w:rPr>
          <w:rFonts w:hint="eastAsia" w:ascii="仿宋_GB2312" w:hAnsi="宋体" w:eastAsia="仿宋_GB2312"/>
          <w:b/>
          <w:sz w:val="32"/>
          <w:szCs w:val="32"/>
        </w:rPr>
        <w:t>人须知及前附表</w:t>
      </w:r>
      <w:bookmarkEnd w:id="1"/>
      <w:bookmarkEnd w:id="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b/>
                <w:szCs w:val="21"/>
              </w:rPr>
            </w:pPr>
            <w:r>
              <w:rPr>
                <w:rFonts w:hint="eastAsia" w:ascii="宋体" w:hAnsi="宋体"/>
                <w:b/>
                <w:szCs w:val="21"/>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lang w:val="en"/>
              </w:rPr>
            </w:pPr>
            <w:r>
              <w:rPr>
                <w:rFonts w:hint="eastAsia" w:ascii="宋体" w:hAnsi="宋体"/>
                <w:szCs w:val="21"/>
              </w:rPr>
              <w:t>项目名称：</w:t>
            </w:r>
            <w:r>
              <w:rPr>
                <w:rFonts w:hint="eastAsia" w:ascii="宋体" w:hAnsi="宋体"/>
                <w:b/>
                <w:bCs/>
                <w:szCs w:val="21"/>
              </w:rPr>
              <w:fldChar w:fldCharType="begin"/>
            </w:r>
            <w:r>
              <w:rPr>
                <w:rFonts w:hint="eastAsia" w:ascii="宋体" w:hAnsi="宋体"/>
                <w:b/>
                <w:bCs/>
                <w:szCs w:val="21"/>
              </w:rPr>
              <w:instrText xml:space="preserve"> HYPERLINK "https://pay.gcy.zfcg.gxzf.gov.cn/budget-quota-index/" \l "/purchase/plan/details/7971830" \t "/home/gxxc/文档\\x/_blank" </w:instrText>
            </w:r>
            <w:r>
              <w:rPr>
                <w:rFonts w:hint="eastAsia" w:ascii="宋体" w:hAnsi="宋体"/>
                <w:b/>
                <w:bCs/>
                <w:szCs w:val="21"/>
              </w:rPr>
              <w:fldChar w:fldCharType="separate"/>
            </w:r>
            <w:r>
              <w:rPr>
                <w:rFonts w:hint="eastAsia" w:ascii="宋体" w:hAnsi="宋体"/>
                <w:b/>
                <w:bCs/>
                <w:szCs w:val="21"/>
              </w:rPr>
              <w:t>武鸣校区二期学生公寓13、15号楼家具采</w:t>
            </w:r>
            <w:r>
              <w:rPr>
                <w:rFonts w:hint="eastAsia" w:ascii="宋体" w:hAnsi="宋体"/>
                <w:b/>
                <w:bCs/>
                <w:szCs w:val="21"/>
              </w:rPr>
              <w:fldChar w:fldCharType="end"/>
            </w:r>
            <w:r>
              <w:rPr>
                <w:rFonts w:hint="eastAsia" w:ascii="宋体" w:hAnsi="宋体"/>
                <w:b/>
                <w:bCs/>
                <w:szCs w:val="21"/>
              </w:rPr>
              <w:t>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szCs w:val="21"/>
              </w:rPr>
            </w:pPr>
            <w:r>
              <w:rPr>
                <w:rFonts w:hint="eastAsia" w:ascii="宋体" w:hAnsi="宋体"/>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bCs/>
              </w:rPr>
            </w:pPr>
            <w:r>
              <w:rPr>
                <w:rFonts w:hint="eastAsia"/>
                <w:bCs/>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bCs/>
                <w:u w:val="single"/>
              </w:rPr>
            </w:pPr>
            <w:r>
              <w:rPr>
                <w:rFonts w:hint="eastAsia"/>
                <w:bCs/>
              </w:rPr>
              <w:t>投标保证金（人民币）</w:t>
            </w:r>
            <w:r>
              <w:rPr>
                <w:rFonts w:hint="eastAsia"/>
                <w:bCs/>
                <w:u w:val="single"/>
              </w:rPr>
              <w:t xml:space="preserve">      详见“第一章公开招标公告” 。 </w:t>
            </w:r>
          </w:p>
          <w:p>
            <w:pPr>
              <w:snapToGrid w:val="0"/>
              <w:spacing w:line="380" w:lineRule="exact"/>
              <w:rPr>
                <w:rFonts w:hint="eastAsia"/>
                <w:bCs/>
              </w:rPr>
            </w:pPr>
            <w:r>
              <w:rPr>
                <w:rFonts w:hint="eastAsia"/>
                <w:bCs/>
              </w:rPr>
              <w:t>实际交纳的保证金按上述要求，否则视为未交纳保证金。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bCs/>
              </w:rPr>
            </w:pPr>
            <w:r>
              <w:rPr>
                <w:rFonts w:hint="eastAsia"/>
                <w:bCs/>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b/>
                <w:bCs/>
              </w:rPr>
            </w:pPr>
            <w:r>
              <w:rPr>
                <w:rFonts w:hint="eastAsia" w:ascii="宋体" w:hAnsi="宋体"/>
                <w:b/>
                <w:szCs w:val="21"/>
              </w:rPr>
              <w:t>现场勘查：</w:t>
            </w:r>
            <w:r>
              <w:rPr>
                <w:rFonts w:hint="eastAsia" w:ascii="宋体" w:hAnsi="宋体"/>
                <w:b/>
                <w:szCs w:val="21"/>
                <w:u w:val="single"/>
              </w:rPr>
              <w:t xml:space="preserve">      详见“第二章招标项目采购需求 ”（如有）          </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rPr>
            </w:pPr>
            <w:r>
              <w:rPr>
                <w:rFonts w:hint="eastAsia" w:ascii="宋体" w:hAnsi="宋体"/>
                <w:szCs w:val="21"/>
              </w:rPr>
              <w:t>演示时间及地点：</w:t>
            </w:r>
            <w:r>
              <w:rPr>
                <w:rFonts w:hint="eastAsia" w:ascii="宋体" w:hAnsi="宋体"/>
                <w:b/>
                <w:szCs w:val="21"/>
                <w:u w:val="single"/>
              </w:rPr>
              <w:t xml:space="preserve">        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应当以书面形式要求采购人或者本中心作出书面答疑、澄清</w:t>
            </w:r>
            <w:r>
              <w:rPr>
                <w:rFonts w:hint="eastAsia"/>
                <w:szCs w:val="21"/>
              </w:rPr>
              <w:t>；</w:t>
            </w:r>
          </w:p>
          <w:p>
            <w:pPr>
              <w:snapToGrid w:val="0"/>
              <w:spacing w:line="300" w:lineRule="exact"/>
              <w:rPr>
                <w:rFonts w:hint="eastAsia" w:hAnsi="宋体"/>
                <w:szCs w:val="21"/>
              </w:rPr>
            </w:pPr>
            <w:r>
              <w:rPr>
                <w:rFonts w:hint="eastAsia" w:hAnsi="宋体"/>
                <w:szCs w:val="21"/>
              </w:rPr>
              <w:t>（2）询问、质疑：</w:t>
            </w:r>
            <w:r>
              <w:rPr>
                <w:rFonts w:hint="eastAsia" w:hAnsi="宋体"/>
                <w:b/>
                <w:szCs w:val="21"/>
                <w:u w:val="single"/>
              </w:rPr>
              <w:t>如投标人对</w:t>
            </w:r>
            <w:r>
              <w:rPr>
                <w:rFonts w:hint="eastAsia" w:ascii="仿宋_GB2312" w:hAnsi="微软雅黑" w:eastAsia="仿宋_GB2312" w:cs="仿宋_GB2312"/>
                <w:szCs w:val="21"/>
                <w:shd w:val="clear" w:color="auto" w:fill="FFFFFF"/>
              </w:rPr>
              <w:t>政府采购活动事项有疑问或认为招标文件、采购过程和中标结果使其权益受到损害的</w:t>
            </w:r>
            <w:r>
              <w:rPr>
                <w:rFonts w:hint="eastAsia" w:hAnsi="宋体"/>
                <w:szCs w:val="21"/>
              </w:rPr>
              <w:t>，按投标人须知“一、总则（九）询问、质疑和投诉”中的要求向</w:t>
            </w:r>
            <w:r>
              <w:rPr>
                <w:rFonts w:ascii="宋体" w:hAnsi="宋体"/>
                <w:szCs w:val="21"/>
              </w:rPr>
              <w:t>采购人或者采购代理机构</w:t>
            </w:r>
            <w:r>
              <w:rPr>
                <w:rFonts w:hint="eastAsia" w:hAnsi="宋体"/>
                <w:szCs w:val="21"/>
              </w:rPr>
              <w:t>提出书面询问、质疑，并提供必要的证明材料。</w:t>
            </w:r>
          </w:p>
          <w:p>
            <w:pPr>
              <w:snapToGrid w:val="0"/>
              <w:spacing w:line="320" w:lineRule="exact"/>
              <w:rPr>
                <w:rFonts w:hint="eastAsia" w:ascii="宋体" w:hAnsi="宋体"/>
                <w:szCs w:val="21"/>
              </w:rPr>
            </w:pPr>
            <w:r>
              <w:rPr>
                <w:rFonts w:hint="eastAsia" w:hAnsi="宋体"/>
                <w:szCs w:val="21"/>
              </w:rPr>
              <w:t>答疑、澄清内容是招标文件的组成部份，本中心将以书面形式送达所有已报名的投标人。</w:t>
            </w:r>
            <w:r>
              <w:rPr>
                <w:rFonts w:hint="eastAsia" w:hAnsi="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sz w:val="22"/>
              </w:rPr>
            </w:pPr>
            <w:r>
              <w:rPr>
                <w:rFonts w:hint="eastAsia" w:ascii="宋体" w:hAnsi="宋体"/>
                <w:szCs w:val="21"/>
              </w:rPr>
              <w:t>投标文件形式：</w:t>
            </w:r>
            <w:r>
              <w:rPr>
                <w:rFonts w:hint="eastAsia" w:ascii="宋体"/>
                <w:snapToGrid w:val="0"/>
                <w:sz w:val="22"/>
              </w:rPr>
              <w:t>投标供应商应准备电子投标文件。</w:t>
            </w:r>
          </w:p>
          <w:p>
            <w:pPr>
              <w:autoSpaceDE w:val="0"/>
              <w:autoSpaceDN w:val="0"/>
              <w:snapToGrid w:val="0"/>
              <w:spacing w:line="360" w:lineRule="exact"/>
              <w:textAlignment w:val="bottom"/>
              <w:rPr>
                <w:rFonts w:hint="eastAsia" w:ascii="宋体" w:hAnsi="宋体"/>
                <w:szCs w:val="21"/>
              </w:rPr>
            </w:pPr>
            <w:r>
              <w:rPr>
                <w:rFonts w:hint="eastAsia" w:ascii="宋体"/>
                <w:snapToGrid w:val="0"/>
                <w:sz w:val="22"/>
              </w:rPr>
              <w:t>电子投标文件是指通过“</w:t>
            </w:r>
            <w:r>
              <w:rPr>
                <w:rFonts w:ascii="宋体"/>
                <w:snapToGrid w:val="0"/>
                <w:sz w:val="22"/>
                <w:lang w:val="en"/>
              </w:rPr>
              <w:t>广西政府采购云</w:t>
            </w:r>
            <w:r>
              <w:t>电子投标</w:t>
            </w:r>
            <w:r>
              <w:rPr>
                <w:rFonts w:hint="eastAsia" w:ascii="宋体"/>
                <w:snapToGrid w:val="0"/>
                <w:sz w:val="22"/>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sz w:val="22"/>
              </w:rPr>
            </w:pPr>
            <w:r>
              <w:rPr>
                <w:rFonts w:hint="eastAsia" w:ascii="宋体"/>
                <w:snapToGrid w:val="0"/>
                <w:sz w:val="22"/>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sz w:val="22"/>
              </w:rPr>
            </w:pPr>
            <w:r>
              <w:rPr>
                <w:rFonts w:hint="eastAsia" w:ascii="宋体"/>
                <w:snapToGrid w:val="0"/>
                <w:sz w:val="22"/>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sz w:val="22"/>
              </w:rPr>
            </w:pPr>
            <w:r>
              <w:rPr>
                <w:rFonts w:hint="eastAsia" w:ascii="宋体"/>
                <w:snapToGrid w:val="0"/>
                <w:sz w:val="22"/>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snapToGrid w:val="0"/>
                <w:sz w:val="22"/>
              </w:rPr>
            </w:pPr>
            <w:r>
              <w:rPr>
                <w:rFonts w:hint="eastAsia" w:ascii="宋体"/>
                <w:snapToGrid w:val="0"/>
                <w:sz w:val="22"/>
              </w:rPr>
              <w:t>投标文件的上传和提交：本项目通过“广西政府采购云平台（https://www.gcy.zfcg.gxzf.gov.cn）</w:t>
            </w:r>
            <w:r>
              <w:rPr>
                <w:rFonts w:ascii="宋体"/>
                <w:snapToGrid w:val="0"/>
                <w:sz w:val="22"/>
              </w:rPr>
              <w:t>”实行在线投标响应（电子投标），投标供应商应当在投标截止时间前，将生成的“电子加密投标文件”上传提交至“</w:t>
            </w:r>
            <w:r>
              <w:rPr>
                <w:rFonts w:hint="eastAsia" w:ascii="宋体"/>
                <w:snapToGrid w:val="0"/>
                <w:sz w:val="22"/>
              </w:rPr>
              <w:t>广西政府采购云平台</w:t>
            </w:r>
            <w:r>
              <w:rPr>
                <w:rFonts w:ascii="宋体"/>
                <w:snapToGrid w:val="0"/>
                <w:sz w:val="22"/>
              </w:rPr>
              <w:t>”。</w:t>
            </w:r>
          </w:p>
          <w:p>
            <w:pPr>
              <w:spacing w:line="300" w:lineRule="exact"/>
              <w:jc w:val="left"/>
              <w:rPr>
                <w:rFonts w:ascii="宋体"/>
                <w:snapToGrid w:val="0"/>
                <w:sz w:val="22"/>
              </w:rPr>
            </w:pPr>
            <w:r>
              <w:rPr>
                <w:rFonts w:hint="eastAsia" w:ascii="宋体"/>
                <w:snapToGrid w:val="0"/>
                <w:sz w:val="22"/>
              </w:rPr>
              <w:t>“电子加密投标文件”的上传、提交：</w:t>
            </w:r>
          </w:p>
          <w:p>
            <w:pPr>
              <w:spacing w:line="300" w:lineRule="exact"/>
              <w:rPr>
                <w:rFonts w:ascii="宋体"/>
                <w:snapToGrid w:val="0"/>
                <w:sz w:val="22"/>
              </w:rPr>
            </w:pPr>
            <w:r>
              <w:rPr>
                <w:rFonts w:hint="eastAsia" w:ascii="宋体"/>
                <w:snapToGrid w:val="0"/>
                <w:sz w:val="22"/>
              </w:rPr>
              <w:t>a.投标供应商应在投标截止时间前将“电子加密投标文件”成功上传提交至“广西政府采购云平台”，否则投标无效。</w:t>
            </w:r>
          </w:p>
          <w:p>
            <w:pPr>
              <w:spacing w:line="300" w:lineRule="exact"/>
              <w:rPr>
                <w:rFonts w:hint="eastAsia" w:ascii="宋体"/>
                <w:snapToGrid w:val="0"/>
                <w:sz w:val="22"/>
              </w:rPr>
            </w:pPr>
            <w:r>
              <w:rPr>
                <w:rFonts w:hint="eastAsia" w:ascii="宋体"/>
                <w:snapToGrid w:val="0"/>
                <w:sz w:val="22"/>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sz w:val="22"/>
              </w:rPr>
            </w:pPr>
            <w:r>
              <w:rPr>
                <w:rFonts w:hint="eastAsia" w:ascii="宋体"/>
                <w:snapToGrid w:val="0"/>
                <w:sz w:val="22"/>
              </w:rPr>
              <w:t>电子加密投标文件的解密：</w:t>
            </w:r>
          </w:p>
          <w:p>
            <w:pPr>
              <w:spacing w:line="300" w:lineRule="exact"/>
              <w:rPr>
                <w:rFonts w:hint="eastAsia" w:ascii="宋体"/>
                <w:snapToGrid w:val="0"/>
                <w:sz w:val="22"/>
              </w:rPr>
            </w:pPr>
            <w:r>
              <w:rPr>
                <w:rFonts w:hint="eastAsia" w:ascii="宋体"/>
                <w:snapToGrid w:val="0"/>
                <w:sz w:val="22"/>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sz w:val="22"/>
              </w:rPr>
            </w:pPr>
            <w:r>
              <w:rPr>
                <w:rFonts w:hint="eastAsia" w:ascii="宋体"/>
                <w:snapToGrid w:val="0"/>
                <w:sz w:val="22"/>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szCs w:val="21"/>
              </w:rPr>
            </w:pPr>
            <w:r>
              <w:rPr>
                <w:rFonts w:hint="eastAsia" w:ascii="宋体" w:hAnsi="宋体"/>
                <w:szCs w:val="21"/>
              </w:rPr>
              <w:t>投标截止时间及地点：</w:t>
            </w:r>
            <w:r>
              <w:rPr>
                <w:b/>
                <w:u w:val="single"/>
              </w:rPr>
              <w:t xml:space="preserve"> </w:t>
            </w:r>
            <w:r>
              <w:rPr>
                <w:b/>
                <w:u w:val="single"/>
                <w:lang w:val="en"/>
              </w:rPr>
              <w:t>202</w:t>
            </w:r>
            <w:r>
              <w:rPr>
                <w:rFonts w:hint="eastAsia"/>
                <w:b/>
                <w:u w:val="single"/>
              </w:rPr>
              <w:t>5年月日</w:t>
            </w:r>
            <w:r>
              <w:rPr>
                <w:rFonts w:hint="eastAsia"/>
                <w:b/>
              </w:rPr>
              <w:t>上午10时整，广西壮族自治区南宁市青秀区星湖路22号广西壮族自治区政府采购中心开标室</w:t>
            </w:r>
            <w:r>
              <w:rPr>
                <w:rFonts w:hint="eastAsia"/>
                <w:b/>
                <w:u w:val="single"/>
              </w:rPr>
              <w:t>。</w:t>
            </w:r>
            <w:r>
              <w:rPr>
                <w:rFonts w:hint="eastAsia"/>
                <w:b/>
              </w:rPr>
              <w:t>（</w:t>
            </w:r>
            <w:r>
              <w:rPr>
                <w:rFonts w:hint="eastAsia" w:ascii="宋体"/>
                <w:sz w:val="22"/>
              </w:rPr>
              <w:t>本项目采用在线开评标方式，投标供应商无须前往开标现场</w:t>
            </w:r>
            <w:r>
              <w:rPr>
                <w:rFonts w:hint="eastAsia"/>
                <w:b/>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szCs w:val="21"/>
              </w:rPr>
            </w:pPr>
            <w:r>
              <w:rPr>
                <w:rFonts w:hint="eastAsia" w:ascii="宋体" w:hAnsi="宋体"/>
                <w:szCs w:val="21"/>
              </w:rPr>
              <w:t>开标时间及地点：</w:t>
            </w:r>
            <w:r>
              <w:rPr>
                <w:rFonts w:ascii="宋体"/>
                <w:b/>
                <w:u w:val="single"/>
                <w:lang w:val="en"/>
              </w:rPr>
              <w:t>202</w:t>
            </w:r>
            <w:r>
              <w:rPr>
                <w:rFonts w:hint="eastAsia" w:ascii="宋体"/>
                <w:b/>
                <w:u w:val="single"/>
              </w:rPr>
              <w:t>5</w:t>
            </w:r>
            <w:r>
              <w:rPr>
                <w:rFonts w:hint="eastAsia"/>
                <w:b/>
                <w:u w:val="single"/>
              </w:rPr>
              <w:t>年月日</w:t>
            </w:r>
            <w:r>
              <w:rPr>
                <w:rFonts w:hint="eastAsia"/>
                <w:b/>
              </w:rPr>
              <w:t>上午10时整，</w:t>
            </w:r>
            <w:r>
              <w:rPr>
                <w:rFonts w:hint="eastAsia"/>
                <w:b/>
                <w:u w:val="single"/>
              </w:rPr>
              <w:t>广西壮族自治区南宁市青秀区星湖路22号广西壮族自治区政府采购中心开标室。（</w:t>
            </w:r>
            <w:r>
              <w:rPr>
                <w:rFonts w:hint="eastAsia" w:ascii="宋体"/>
                <w:sz w:val="22"/>
              </w:rPr>
              <w:t>本项目采用在线开评标方式，投标供应商无须前往开标现场</w:t>
            </w:r>
            <w:r>
              <w:rPr>
                <w:rFonts w:hint="eastAsia"/>
                <w:b/>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szCs w:val="21"/>
              </w:rPr>
            </w:pPr>
            <w:r>
              <w:rPr>
                <w:rFonts w:hint="eastAsia" w:ascii="宋体" w:hAnsi="宋体"/>
                <w:szCs w:val="21"/>
              </w:rPr>
              <w:t>评标方法：</w:t>
            </w:r>
            <w:r>
              <w:rPr>
                <w:rFonts w:hint="eastAsia" w:ascii="宋体" w:hAnsi="宋体"/>
                <w:b/>
                <w:bCs/>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szCs w:val="21"/>
              </w:rPr>
            </w:pPr>
            <w:r>
              <w:rPr>
                <w:rFonts w:hint="eastAsia" w:ascii="宋体" w:hAnsi="宋体"/>
                <w:szCs w:val="21"/>
              </w:rPr>
              <w:t>中标公告及中标通知书：本中心</w:t>
            </w:r>
            <w:r>
              <w:rPr>
                <w:rFonts w:hint="eastAsia" w:ascii="宋体" w:hAnsi="宋体"/>
                <w:b/>
                <w:bCs/>
                <w:szCs w:val="21"/>
              </w:rPr>
              <w:t>在采购人依法确认中标人后二个工作日内</w:t>
            </w:r>
            <w:r>
              <w:rPr>
                <w:rFonts w:hint="eastAsia" w:ascii="宋体" w:hAnsi="宋体"/>
                <w:szCs w:val="21"/>
              </w:rPr>
              <w:t>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rPr>
            </w:pPr>
            <w:r>
              <w:rPr>
                <w:rFonts w:hint="eastAsia" w:ascii="宋体" w:hAnsi="宋体"/>
                <w:b/>
                <w:bCs/>
                <w:szCs w:val="21"/>
              </w:rPr>
              <w:t>投标文件有效期：</w:t>
            </w:r>
            <w:r>
              <w:rPr>
                <w:rFonts w:hint="eastAsia" w:ascii="宋体" w:hAnsi="宋体" w:cs="Arial"/>
                <w:b/>
                <w:bCs/>
                <w:szCs w:val="21"/>
                <w:u w:val="single"/>
              </w:rPr>
              <w:t xml:space="preserve"> 六十日</w:t>
            </w:r>
            <w:r>
              <w:rPr>
                <w:rFonts w:hint="eastAsia" w:ascii="宋体" w:hAnsi="宋体" w:cs="Arial"/>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b/>
                <w:bCs/>
                <w:szCs w:val="21"/>
              </w:rPr>
            </w:pPr>
            <w:r>
              <w:rPr>
                <w:rFonts w:hint="eastAsia" w:ascii="宋体" w:hAnsi="宋体"/>
                <w:b/>
                <w:bCs/>
                <w:szCs w:val="21"/>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b/>
                <w:bCs/>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rPr>
            </w:pPr>
            <w:r>
              <w:rPr>
                <w:rFonts w:hint="eastAsia"/>
              </w:rPr>
              <w:t>质疑联系部门及联系方式：</w:t>
            </w:r>
          </w:p>
          <w:p>
            <w:pPr>
              <w:snapToGrid w:val="0"/>
              <w:spacing w:line="360" w:lineRule="exact"/>
              <w:rPr>
                <w:rFonts w:hint="eastAsia"/>
              </w:rPr>
            </w:pPr>
            <w:r>
              <w:rPr>
                <w:rFonts w:hint="eastAsia"/>
              </w:rPr>
              <w:t xml:space="preserve">（1）广西壮族自治区政府采购中心内审科     </w:t>
            </w:r>
          </w:p>
          <w:p>
            <w:pPr>
              <w:snapToGrid w:val="0"/>
              <w:spacing w:line="360" w:lineRule="exact"/>
              <w:ind w:firstLine="420" w:firstLineChars="200"/>
              <w:rPr>
                <w:rFonts w:hint="eastAsia"/>
              </w:rPr>
            </w:pPr>
            <w:r>
              <w:rPr>
                <w:rFonts w:hint="eastAsia"/>
              </w:rPr>
              <w:t>电话：0771-8600453</w:t>
            </w:r>
          </w:p>
          <w:p>
            <w:pPr>
              <w:snapToGrid w:val="0"/>
              <w:spacing w:line="360" w:lineRule="exact"/>
              <w:ind w:firstLine="420" w:firstLineChars="200"/>
              <w:rPr>
                <w:rFonts w:hint="eastAsia"/>
              </w:rPr>
            </w:pPr>
            <w:r>
              <w:rPr>
                <w:rFonts w:hint="eastAsia"/>
              </w:rPr>
              <w:t>地址：广西南宁市星湖路22号</w:t>
            </w:r>
          </w:p>
          <w:p>
            <w:pPr>
              <w:snapToGrid w:val="0"/>
              <w:spacing w:line="360" w:lineRule="exact"/>
              <w:rPr>
                <w:rFonts w:hint="eastAsia"/>
                <w:lang w:val="en"/>
              </w:rPr>
            </w:pPr>
            <w:r>
              <w:rPr>
                <w:rFonts w:hint="eastAsia"/>
              </w:rPr>
              <w:t>（2）</w:t>
            </w:r>
            <w:r>
              <w:rPr>
                <w:rFonts w:hint="eastAsia"/>
                <w:lang w:val="en"/>
              </w:rPr>
              <w:t>广西民族大学</w:t>
            </w:r>
          </w:p>
          <w:p>
            <w:pPr>
              <w:snapToGrid w:val="0"/>
              <w:spacing w:line="360" w:lineRule="exact"/>
              <w:ind w:firstLine="420" w:firstLineChars="200"/>
              <w:rPr>
                <w:rFonts w:hint="eastAsia"/>
              </w:rPr>
            </w:pPr>
            <w:r>
              <w:rPr>
                <w:rFonts w:hint="eastAsia"/>
              </w:rPr>
              <w:t>电话： 0771-3265816</w:t>
            </w:r>
          </w:p>
          <w:p>
            <w:pPr>
              <w:snapToGrid w:val="0"/>
              <w:spacing w:line="360" w:lineRule="exact"/>
              <w:ind w:firstLine="420" w:firstLineChars="200"/>
              <w:rPr>
                <w:rFonts w:hint="eastAsia"/>
              </w:rPr>
            </w:pPr>
            <w:r>
              <w:rPr>
                <w:rFonts w:hint="eastAsia"/>
              </w:rPr>
              <w:t>地址： 广西南宁市大学东路188号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b/>
                <w:bCs/>
                <w:szCs w:val="21"/>
              </w:rPr>
            </w:pPr>
            <w:r>
              <w:rPr>
                <w:rFonts w:hint="eastAsia" w:ascii="宋体" w:hAnsi="宋体"/>
                <w:szCs w:val="21"/>
              </w:rPr>
              <w:t>现场提交质疑办理业务时间：质疑期内每个工作日采购人或采购代理机构正常工作时间（其中采购代理机构为9：00-12：00，14：00-17：00）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22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rPr>
            </w:pPr>
            <w:r>
              <w:rPr>
                <w:rFonts w:hint="eastAsia" w:hAnsi="宋体"/>
              </w:rPr>
              <w:t>本招标文件解释权属广西壮族自治区政府采购中心。</w:t>
            </w:r>
          </w:p>
        </w:tc>
      </w:tr>
    </w:tbl>
    <w:p>
      <w:pPr>
        <w:pStyle w:val="29"/>
        <w:snapToGrid w:val="0"/>
        <w:spacing w:before="120" w:after="120" w:line="360" w:lineRule="exact"/>
        <w:jc w:val="center"/>
        <w:rPr>
          <w:rFonts w:hint="eastAsia" w:ascii="仿宋_GB2312" w:hAnsi="宋体" w:eastAsia="仿宋_GB2312"/>
          <w:b/>
          <w:sz w:val="32"/>
          <w:szCs w:val="32"/>
        </w:rPr>
      </w:pPr>
    </w:p>
    <w:p>
      <w:pPr>
        <w:rPr>
          <w:rFonts w:hint="eastAsia" w:ascii="仿宋_GB2312" w:hAnsi="宋体" w:eastAsia="仿宋_GB2312"/>
          <w:b/>
          <w:sz w:val="32"/>
          <w:szCs w:val="32"/>
        </w:rPr>
        <w:sectPr>
          <w:pgSz w:w="11906" w:h="16838"/>
          <w:pgMar w:top="1247" w:right="1247" w:bottom="1247" w:left="1247" w:header="851" w:footer="992" w:gutter="0"/>
          <w:pgNumType w:fmt="decimal"/>
          <w:cols w:space="720" w:num="1"/>
          <w:titlePg/>
          <w:docGrid w:type="lines" w:linePitch="312" w:charSpace="0"/>
        </w:sectPr>
      </w:pPr>
    </w:p>
    <w:p>
      <w:pPr>
        <w:pStyle w:val="29"/>
        <w:snapToGrid w:val="0"/>
        <w:spacing w:before="120" w:after="120" w:line="360" w:lineRule="exact"/>
        <w:jc w:val="center"/>
        <w:rPr>
          <w:rFonts w:hint="eastAsia" w:hAnsi="宋体"/>
          <w:b/>
        </w:rPr>
      </w:pPr>
      <w:r>
        <w:rPr>
          <w:rFonts w:hint="eastAsia" w:ascii="仿宋_GB2312" w:hAnsi="宋体" w:eastAsia="仿宋_GB2312"/>
          <w:b/>
          <w:sz w:val="32"/>
          <w:szCs w:val="32"/>
        </w:rPr>
        <w:t>投标人须知</w:t>
      </w:r>
    </w:p>
    <w:p>
      <w:pPr>
        <w:pStyle w:val="29"/>
        <w:snapToGrid w:val="0"/>
        <w:spacing w:before="120" w:after="120" w:line="360" w:lineRule="exact"/>
        <w:rPr>
          <w:rFonts w:hint="eastAsia" w:hAnsi="宋体"/>
          <w:b/>
        </w:rPr>
      </w:pPr>
      <w:r>
        <w:rPr>
          <w:rFonts w:hint="eastAsia" w:hAnsi="宋体"/>
          <w:b/>
        </w:rPr>
        <w:t>一、总  则</w:t>
      </w:r>
    </w:p>
    <w:p>
      <w:pPr>
        <w:snapToGrid w:val="0"/>
        <w:spacing w:line="360" w:lineRule="exact"/>
        <w:ind w:firstLine="411" w:firstLineChars="196"/>
        <w:jc w:val="left"/>
        <w:outlineLvl w:val="0"/>
        <w:rPr>
          <w:rFonts w:hint="eastAsia" w:ascii="宋体" w:hAnsi="宋体"/>
          <w:b/>
          <w:szCs w:val="21"/>
        </w:rPr>
      </w:pPr>
      <w:bookmarkStart w:id="3" w:name="_Toc254970527"/>
      <w:bookmarkStart w:id="4" w:name="_Toc40865023"/>
      <w:bookmarkStart w:id="5" w:name="_Toc40864907"/>
      <w:bookmarkStart w:id="6" w:name="_Toc40864631"/>
      <w:bookmarkStart w:id="7" w:name="_Toc254970668"/>
      <w:r>
        <w:rPr>
          <w:rFonts w:hint="eastAsia" w:ascii="宋体" w:hAnsi="宋体"/>
          <w:b/>
          <w:szCs w:val="21"/>
        </w:rPr>
        <w:t>（一） 适用范围</w:t>
      </w:r>
      <w:bookmarkEnd w:id="3"/>
      <w:bookmarkEnd w:id="4"/>
      <w:bookmarkEnd w:id="5"/>
      <w:bookmarkEnd w:id="6"/>
      <w:bookmarkEnd w:id="7"/>
    </w:p>
    <w:p>
      <w:pPr>
        <w:snapToGrid w:val="0"/>
        <w:spacing w:line="360" w:lineRule="exact"/>
        <w:ind w:firstLine="420" w:firstLineChars="200"/>
        <w:jc w:val="left"/>
        <w:rPr>
          <w:rFonts w:hint="eastAsia" w:ascii="宋体" w:hAnsi="宋体"/>
          <w:szCs w:val="21"/>
        </w:rPr>
      </w:pPr>
      <w:r>
        <w:rPr>
          <w:rFonts w:hint="eastAsia" w:ascii="宋体" w:hAnsi="宋体"/>
          <w:szCs w:val="21"/>
        </w:rPr>
        <w:t>本招标文件适用于</w:t>
      </w:r>
      <w:r>
        <w:rPr>
          <w:rFonts w:hint="eastAsia" w:ascii="宋体" w:hAnsi="宋体" w:cs="Arial"/>
          <w:szCs w:val="21"/>
        </w:rPr>
        <w:t>本</w:t>
      </w:r>
      <w:r>
        <w:rPr>
          <w:rFonts w:hint="eastAsia" w:ascii="宋体" w:hAnsi="宋体"/>
          <w:szCs w:val="21"/>
        </w:rPr>
        <w:t>项目的招标、投标、评标、定标、验收、合同履约、付款等行为（法律、法规另有规定的，从其规定）。</w:t>
      </w:r>
    </w:p>
    <w:p>
      <w:pPr>
        <w:snapToGrid w:val="0"/>
        <w:spacing w:before="156" w:beforeLines="50" w:line="360" w:lineRule="exact"/>
        <w:ind w:firstLine="308" w:firstLineChars="147"/>
        <w:jc w:val="left"/>
        <w:outlineLvl w:val="0"/>
        <w:rPr>
          <w:rFonts w:hint="eastAsia"/>
          <w:b/>
        </w:rPr>
      </w:pPr>
      <w:bookmarkStart w:id="8" w:name="_Toc40864908"/>
      <w:bookmarkStart w:id="9" w:name="_Toc40864632"/>
      <w:bookmarkStart w:id="10" w:name="_Toc254970528"/>
      <w:bookmarkStart w:id="11" w:name="_Toc40865024"/>
      <w:bookmarkStart w:id="12" w:name="_Toc254970669"/>
      <w:r>
        <w:rPr>
          <w:rFonts w:hint="eastAsia"/>
          <w:b/>
        </w:rPr>
        <w:t>（二）定义</w:t>
      </w:r>
      <w:bookmarkEnd w:id="8"/>
      <w:bookmarkEnd w:id="9"/>
      <w:bookmarkEnd w:id="10"/>
      <w:bookmarkEnd w:id="11"/>
      <w:bookmarkEnd w:id="12"/>
    </w:p>
    <w:p>
      <w:pPr>
        <w:snapToGrid w:val="0"/>
        <w:spacing w:line="360" w:lineRule="exact"/>
        <w:ind w:firstLine="420" w:firstLineChars="200"/>
        <w:jc w:val="left"/>
        <w:rPr>
          <w:rFonts w:hint="eastAsia" w:hAnsi="宋体"/>
        </w:rPr>
      </w:pPr>
      <w:r>
        <w:rPr>
          <w:rFonts w:hint="eastAsia" w:ascii="宋体" w:hAnsi="宋体"/>
          <w:szCs w:val="21"/>
        </w:rPr>
        <w:t>1.</w:t>
      </w:r>
      <w:r>
        <w:rPr>
          <w:rFonts w:hint="eastAsia" w:hAnsi="宋体"/>
        </w:rPr>
        <w:t xml:space="preserve"> “采购人”系指组织本次招标的采购单位。</w:t>
      </w:r>
    </w:p>
    <w:p>
      <w:pPr>
        <w:snapToGrid w:val="0"/>
        <w:spacing w:line="360" w:lineRule="exact"/>
        <w:ind w:firstLine="420" w:firstLineChars="200"/>
        <w:jc w:val="left"/>
        <w:rPr>
          <w:rFonts w:hint="eastAsia" w:ascii="宋体" w:hAnsi="宋体"/>
          <w:szCs w:val="21"/>
        </w:rPr>
      </w:pPr>
      <w:r>
        <w:rPr>
          <w:rFonts w:hint="eastAsia" w:ascii="宋体" w:hAnsi="宋体"/>
          <w:szCs w:val="21"/>
        </w:rPr>
        <w:t>2.</w:t>
      </w:r>
      <w:r>
        <w:rPr>
          <w:rFonts w:hint="eastAsia" w:hAnsi="宋体"/>
        </w:rPr>
        <w:t xml:space="preserve"> “采购代理机构”系指广西壮族自治区政府采购中心（以下简称“本中心</w:t>
      </w:r>
      <w:r>
        <w:rPr>
          <w:rFonts w:hAnsi="宋体"/>
        </w:rPr>
        <w:t>”</w:t>
      </w:r>
      <w:r>
        <w:rPr>
          <w:rFonts w:hint="eastAsia" w:hAnsi="宋体"/>
        </w:rPr>
        <w:t>）。</w:t>
      </w:r>
    </w:p>
    <w:p>
      <w:pPr>
        <w:snapToGrid w:val="0"/>
        <w:spacing w:line="360" w:lineRule="exact"/>
        <w:ind w:firstLine="420" w:firstLineChars="200"/>
        <w:jc w:val="left"/>
        <w:rPr>
          <w:rFonts w:hint="eastAsia" w:ascii="宋体" w:hAnsi="宋体"/>
          <w:szCs w:val="21"/>
        </w:rPr>
      </w:pPr>
      <w:r>
        <w:rPr>
          <w:rFonts w:hint="eastAsia" w:ascii="宋体" w:hAnsi="宋体"/>
          <w:szCs w:val="21"/>
        </w:rPr>
        <w:t>3.</w:t>
      </w:r>
      <w:r>
        <w:rPr>
          <w:rFonts w:hint="eastAsia" w:hAnsi="宋体"/>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szCs w:val="21"/>
        </w:rPr>
      </w:pPr>
      <w:r>
        <w:rPr>
          <w:rFonts w:hint="eastAsia" w:ascii="宋体" w:hAnsi="宋体"/>
          <w:szCs w:val="21"/>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szCs w:val="21"/>
        </w:rPr>
      </w:pPr>
      <w:r>
        <w:rPr>
          <w:rFonts w:hint="eastAsia" w:ascii="宋体" w:hAnsi="宋体"/>
          <w:szCs w:val="21"/>
        </w:rPr>
        <w:t>6.“项目”系指投标人按招标文件规定向采购人提供的产品和服务。</w:t>
      </w:r>
    </w:p>
    <w:p>
      <w:pPr>
        <w:snapToGrid w:val="0"/>
        <w:spacing w:line="360" w:lineRule="exact"/>
        <w:ind w:firstLine="420" w:firstLineChars="200"/>
        <w:jc w:val="left"/>
        <w:rPr>
          <w:rFonts w:hint="eastAsia" w:ascii="宋体" w:hAnsi="宋体"/>
          <w:szCs w:val="21"/>
        </w:rPr>
      </w:pPr>
      <w:r>
        <w:rPr>
          <w:rFonts w:hint="eastAsia" w:ascii="宋体" w:hAnsi="宋体"/>
          <w:szCs w:val="21"/>
        </w:rPr>
        <w:t>7.“书面形式”包括信函、传真、电报等。</w:t>
      </w:r>
    </w:p>
    <w:p>
      <w:pPr>
        <w:snapToGrid w:val="0"/>
        <w:spacing w:line="360" w:lineRule="exact"/>
        <w:ind w:firstLine="420" w:firstLineChars="200"/>
        <w:jc w:val="left"/>
        <w:rPr>
          <w:rFonts w:hint="eastAsia" w:ascii="宋体" w:hAnsi="宋体"/>
          <w:b/>
          <w:bCs/>
          <w:szCs w:val="21"/>
        </w:rPr>
      </w:pPr>
      <w:r>
        <w:rPr>
          <w:rFonts w:hint="eastAsia" w:ascii="宋体" w:hAnsi="宋体"/>
          <w:b/>
          <w:bCs/>
          <w:szCs w:val="21"/>
        </w:rPr>
        <w:t>8.“▲”系指实质性要求条款。</w:t>
      </w:r>
    </w:p>
    <w:p>
      <w:pPr>
        <w:snapToGrid w:val="0"/>
        <w:spacing w:before="156" w:beforeLines="50" w:line="360" w:lineRule="exact"/>
        <w:ind w:firstLine="411" w:firstLineChars="196"/>
        <w:jc w:val="left"/>
        <w:outlineLvl w:val="1"/>
        <w:rPr>
          <w:rFonts w:hint="eastAsia" w:ascii="宋体" w:hAnsi="宋体"/>
          <w:b/>
          <w:szCs w:val="21"/>
        </w:rPr>
      </w:pPr>
      <w:bookmarkStart w:id="13" w:name="_Toc254970529"/>
      <w:bookmarkStart w:id="14" w:name="_Toc254970670"/>
      <w:bookmarkStart w:id="15" w:name="_Toc40864909"/>
      <w:bookmarkStart w:id="16" w:name="_Toc40864633"/>
      <w:bookmarkStart w:id="17" w:name="_Toc40865025"/>
      <w:r>
        <w:rPr>
          <w:rFonts w:hint="eastAsia" w:ascii="宋体" w:hAnsi="宋体"/>
          <w:b/>
          <w:szCs w:val="21"/>
        </w:rPr>
        <w:t>（三）招标方式</w:t>
      </w:r>
      <w:bookmarkEnd w:id="13"/>
      <w:bookmarkEnd w:id="14"/>
      <w:bookmarkEnd w:id="15"/>
      <w:bookmarkEnd w:id="16"/>
      <w:bookmarkEnd w:id="17"/>
    </w:p>
    <w:p>
      <w:pPr>
        <w:snapToGrid w:val="0"/>
        <w:spacing w:line="360" w:lineRule="exact"/>
        <w:ind w:firstLine="420" w:firstLineChars="200"/>
        <w:jc w:val="left"/>
        <w:rPr>
          <w:rFonts w:hint="eastAsia" w:ascii="宋体" w:hAnsi="宋体"/>
          <w:szCs w:val="21"/>
        </w:rPr>
      </w:pPr>
      <w:r>
        <w:rPr>
          <w:rFonts w:hint="eastAsia" w:ascii="宋体" w:hAnsi="宋体"/>
          <w:szCs w:val="21"/>
        </w:rPr>
        <w:t>公开招标方式。</w:t>
      </w:r>
    </w:p>
    <w:p>
      <w:pPr>
        <w:snapToGrid w:val="0"/>
        <w:spacing w:before="156" w:beforeLines="50" w:line="360" w:lineRule="exact"/>
        <w:ind w:firstLine="411" w:firstLineChars="196"/>
        <w:jc w:val="left"/>
        <w:outlineLvl w:val="0"/>
        <w:rPr>
          <w:rFonts w:hint="eastAsia" w:ascii="宋体" w:hAnsi="宋体"/>
          <w:b/>
          <w:szCs w:val="21"/>
        </w:rPr>
      </w:pPr>
      <w:bookmarkStart w:id="18" w:name="_Toc40864910"/>
      <w:bookmarkStart w:id="19" w:name="_Toc40865026"/>
      <w:bookmarkStart w:id="20" w:name="_Toc40864634"/>
      <w:bookmarkStart w:id="21" w:name="_Toc254970671"/>
      <w:bookmarkStart w:id="22" w:name="_Toc254970530"/>
      <w:r>
        <w:rPr>
          <w:rFonts w:hint="eastAsia" w:ascii="宋体" w:hAnsi="宋体"/>
          <w:b/>
          <w:szCs w:val="21"/>
        </w:rPr>
        <w:t>（四）投标委托</w:t>
      </w:r>
      <w:bookmarkEnd w:id="18"/>
      <w:bookmarkEnd w:id="19"/>
      <w:bookmarkEnd w:id="20"/>
      <w:bookmarkEnd w:id="21"/>
      <w:bookmarkEnd w:id="22"/>
    </w:p>
    <w:p>
      <w:pPr>
        <w:pStyle w:val="22"/>
        <w:snapToGrid w:val="0"/>
        <w:spacing w:line="360" w:lineRule="exact"/>
        <w:ind w:firstLine="420" w:firstLineChars="200"/>
        <w:jc w:val="left"/>
        <w:rPr>
          <w:rFonts w:hint="eastAsia" w:ascii="宋体" w:hAnsi="宋体" w:eastAsia="宋体"/>
          <w:sz w:val="21"/>
          <w:szCs w:val="21"/>
        </w:rPr>
      </w:pPr>
      <w:r>
        <w:rPr>
          <w:rFonts w:hint="eastAsia" w:ascii="宋体" w:hAnsi="宋体" w:eastAsia="宋体"/>
          <w:sz w:val="21"/>
          <w:szCs w:val="21"/>
        </w:rPr>
        <w:t>投标人代表须携带有效身份证件。如投标人代表不是法定代表人，须有法定代表人出具的授权委托书（格式见第六章《投标文件格式》）。</w:t>
      </w:r>
    </w:p>
    <w:p>
      <w:pPr>
        <w:snapToGrid w:val="0"/>
        <w:spacing w:before="156" w:beforeLines="50" w:line="360" w:lineRule="exact"/>
        <w:ind w:firstLine="411" w:firstLineChars="196"/>
        <w:jc w:val="left"/>
        <w:outlineLvl w:val="0"/>
        <w:rPr>
          <w:rFonts w:hint="eastAsia" w:ascii="宋体" w:hAnsi="宋体"/>
          <w:b/>
          <w:szCs w:val="21"/>
        </w:rPr>
      </w:pPr>
      <w:bookmarkStart w:id="23" w:name="_Toc254970672"/>
      <w:bookmarkStart w:id="24" w:name="_Toc40864635"/>
      <w:bookmarkStart w:id="25" w:name="_Toc40865027"/>
      <w:bookmarkStart w:id="26" w:name="_Toc40864911"/>
      <w:bookmarkStart w:id="27" w:name="_Toc254970531"/>
      <w:r>
        <w:rPr>
          <w:rFonts w:hint="eastAsia" w:ascii="宋体" w:hAnsi="宋体"/>
          <w:b/>
          <w:szCs w:val="21"/>
        </w:rPr>
        <w:t>（五）投标费用</w:t>
      </w:r>
      <w:bookmarkEnd w:id="23"/>
      <w:bookmarkEnd w:id="24"/>
      <w:bookmarkEnd w:id="25"/>
      <w:bookmarkEnd w:id="26"/>
      <w:bookmarkEnd w:id="27"/>
    </w:p>
    <w:p>
      <w:pPr>
        <w:snapToGrid w:val="0"/>
        <w:spacing w:line="360" w:lineRule="exact"/>
        <w:ind w:firstLine="420" w:firstLineChars="200"/>
        <w:jc w:val="left"/>
        <w:rPr>
          <w:rFonts w:hint="eastAsia" w:ascii="宋体" w:hAnsi="宋体"/>
          <w:szCs w:val="21"/>
        </w:rPr>
      </w:pPr>
      <w:r>
        <w:rPr>
          <w:rFonts w:hint="eastAsia" w:ascii="宋体" w:hAnsi="宋体"/>
          <w:szCs w:val="21"/>
        </w:rPr>
        <w:t>投标人均应自行承担所有与投标有关的全部费用（招标文件有相关的规定除外）。</w:t>
      </w:r>
    </w:p>
    <w:p>
      <w:pPr>
        <w:snapToGrid w:val="0"/>
        <w:spacing w:before="156" w:beforeLines="50" w:line="360" w:lineRule="exact"/>
        <w:ind w:firstLine="411" w:firstLineChars="196"/>
        <w:jc w:val="left"/>
        <w:outlineLvl w:val="0"/>
        <w:rPr>
          <w:rFonts w:ascii="宋体" w:hAnsi="宋体"/>
          <w:b/>
          <w:szCs w:val="21"/>
          <w:lang w:val="en"/>
        </w:rPr>
      </w:pPr>
      <w:bookmarkStart w:id="28" w:name="_Toc40865028"/>
      <w:bookmarkStart w:id="29" w:name="_Toc40864636"/>
      <w:bookmarkStart w:id="30" w:name="_Toc40864912"/>
      <w:r>
        <w:rPr>
          <w:rFonts w:hint="eastAsia" w:ascii="宋体" w:hAnsi="宋体"/>
          <w:b/>
          <w:szCs w:val="21"/>
        </w:rPr>
        <w:t>（六）本项目不接受联合体投标</w:t>
      </w:r>
      <w:bookmarkEnd w:id="28"/>
      <w:bookmarkEnd w:id="29"/>
      <w:bookmarkEnd w:id="30"/>
      <w:r>
        <w:rPr>
          <w:rFonts w:ascii="宋体" w:hAnsi="宋体"/>
          <w:b/>
          <w:szCs w:val="21"/>
          <w:lang w:val="en"/>
        </w:rPr>
        <w:t>。</w:t>
      </w:r>
    </w:p>
    <w:p>
      <w:pPr>
        <w:snapToGrid w:val="0"/>
        <w:spacing w:before="156" w:beforeLines="50" w:line="360" w:lineRule="exact"/>
        <w:ind w:firstLine="411" w:firstLineChars="196"/>
        <w:outlineLvl w:val="0"/>
        <w:rPr>
          <w:rFonts w:hint="eastAsia" w:ascii="宋体" w:hAnsi="宋体" w:cs="宋体"/>
          <w:b/>
          <w:kern w:val="0"/>
          <w:szCs w:val="21"/>
        </w:rPr>
      </w:pPr>
      <w:bookmarkStart w:id="31" w:name="_Toc40864637"/>
      <w:bookmarkStart w:id="32" w:name="_Toc40865029"/>
      <w:bookmarkStart w:id="33" w:name="_Toc40864913"/>
      <w:r>
        <w:rPr>
          <w:rFonts w:hint="eastAsia" w:ascii="宋体" w:hAnsi="宋体"/>
          <w:b/>
          <w:szCs w:val="21"/>
        </w:rPr>
        <w:t>（七）</w:t>
      </w:r>
      <w:r>
        <w:rPr>
          <w:rFonts w:hint="eastAsia" w:ascii="宋体" w:hAnsi="宋体" w:cs="宋体"/>
          <w:b/>
          <w:kern w:val="0"/>
          <w:szCs w:val="21"/>
        </w:rPr>
        <w:t>转包与分包</w:t>
      </w:r>
      <w:bookmarkEnd w:id="31"/>
      <w:bookmarkEnd w:id="32"/>
      <w:bookmarkEnd w:id="33"/>
      <w:r>
        <w:rPr>
          <w:rFonts w:hint="eastAsia" w:ascii="宋体" w:hAnsi="宋体" w:cs="宋体"/>
          <w:b/>
          <w:kern w:val="0"/>
          <w:szCs w:val="21"/>
        </w:rPr>
        <w:t xml:space="preserve">             </w:t>
      </w:r>
    </w:p>
    <w:p>
      <w:pPr>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1.本项目不允许转包。</w:t>
      </w:r>
    </w:p>
    <w:p>
      <w:pPr>
        <w:snapToGrid w:val="0"/>
        <w:spacing w:line="360" w:lineRule="exact"/>
        <w:ind w:firstLine="420" w:firstLineChars="200"/>
        <w:rPr>
          <w:rFonts w:hint="eastAsia" w:ascii="宋体" w:hAnsi="宋体"/>
          <w:szCs w:val="21"/>
        </w:rPr>
      </w:pPr>
      <w:r>
        <w:rPr>
          <w:rFonts w:hint="eastAsia" w:ascii="宋体" w:hAnsi="宋体" w:cs="宋体"/>
          <w:kern w:val="0"/>
          <w:szCs w:val="21"/>
        </w:rPr>
        <w:t>2.本项目不可以分包。</w:t>
      </w:r>
    </w:p>
    <w:p>
      <w:pPr>
        <w:snapToGrid w:val="0"/>
        <w:spacing w:before="156" w:beforeLines="50" w:line="360" w:lineRule="exact"/>
        <w:ind w:firstLine="411" w:firstLineChars="196"/>
        <w:jc w:val="left"/>
        <w:outlineLvl w:val="0"/>
        <w:rPr>
          <w:rFonts w:hint="eastAsia" w:ascii="宋体" w:hAnsi="宋体"/>
          <w:b/>
          <w:szCs w:val="21"/>
        </w:rPr>
      </w:pPr>
      <w:bookmarkStart w:id="34" w:name="_Toc40864638"/>
      <w:bookmarkStart w:id="35" w:name="_Toc40864914"/>
      <w:bookmarkStart w:id="36" w:name="_Toc254970673"/>
      <w:bookmarkStart w:id="37" w:name="_Toc254970532"/>
      <w:bookmarkStart w:id="38" w:name="_Toc40865030"/>
      <w:r>
        <w:rPr>
          <w:rFonts w:hint="eastAsia" w:ascii="宋体" w:hAnsi="宋体"/>
          <w:b/>
          <w:szCs w:val="21"/>
        </w:rPr>
        <w:t>（八）特别说明：</w:t>
      </w:r>
      <w:bookmarkEnd w:id="34"/>
      <w:bookmarkEnd w:id="35"/>
      <w:bookmarkEnd w:id="36"/>
      <w:bookmarkEnd w:id="37"/>
      <w:bookmarkEnd w:id="38"/>
    </w:p>
    <w:p>
      <w:pPr>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szCs w:val="21"/>
        </w:rPr>
        <w:t xml:space="preserve"> 使用综合评分法的采购项目，</w:t>
      </w:r>
      <w:r>
        <w:rPr>
          <w:rFonts w:hint="eastAsia"/>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rPr>
          <w:rFonts w:hint="eastAsia" w:ascii="宋体" w:hAnsi="宋体" w:cs="宋体"/>
          <w:kern w:val="0"/>
          <w:szCs w:val="21"/>
        </w:rPr>
      </w:pPr>
      <w:r>
        <w:rPr>
          <w:rFonts w:hint="eastAsia" w:ascii="宋体" w:hAnsi="宋体" w:cs="宋体"/>
          <w:kern w:val="0"/>
          <w:szCs w:val="21"/>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lang w:val="en"/>
        </w:rPr>
        <w:t>3</w:t>
      </w:r>
      <w:r>
        <w:rPr>
          <w:rFonts w:hint="eastAsia" w:ascii="宋体" w:hAnsi="宋体" w:cs="宋体"/>
          <w:kern w:val="0"/>
          <w:szCs w:val="21"/>
        </w:rPr>
        <w:t>.投标人应仔细阅读招标文件的所有内容，按照招标文件的要求提交投标文件，并对所提供的全部资料的真实性承担法律责任。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lang w:val="en"/>
        </w:rPr>
        <w:t>4</w:t>
      </w:r>
      <w:r>
        <w:rPr>
          <w:rFonts w:hint="eastAsia" w:ascii="宋体" w:hAnsi="宋体" w:cs="宋体"/>
          <w:kern w:val="0"/>
          <w:szCs w:val="21"/>
        </w:rPr>
        <w:t>.投标人在投标活动中提供任何虚假材料、互相串通投标，其投标无效，并报监管部门查处。</w:t>
      </w:r>
    </w:p>
    <w:p>
      <w:pPr>
        <w:snapToGrid w:val="0"/>
        <w:spacing w:line="360" w:lineRule="exact"/>
        <w:ind w:firstLine="420" w:firstLineChars="200"/>
        <w:rPr>
          <w:rFonts w:hint="eastAsia" w:hAnsi="宋体" w:cs="宋体"/>
          <w:kern w:val="0"/>
        </w:rPr>
      </w:pPr>
      <w:bookmarkStart w:id="39" w:name="_Toc254970674"/>
      <w:bookmarkStart w:id="40" w:name="_Toc254970533"/>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.投标截止时间前三天，报名登记的供应商不足三家的，本中心将延迟截标和开标时间不少于十</w:t>
      </w:r>
      <w:r>
        <w:rPr>
          <w:rFonts w:hint="eastAsia" w:hAnsi="宋体" w:cs="宋体"/>
          <w:kern w:val="0"/>
        </w:rPr>
        <w:t>日，并书面通知已报名登记的供应商，并在财政部门指定的政府采购信息发布媒体及本中心网站上发布变更公告。</w:t>
      </w:r>
    </w:p>
    <w:p>
      <w:pPr>
        <w:pStyle w:val="29"/>
        <w:snapToGrid w:val="0"/>
        <w:spacing w:line="360" w:lineRule="exact"/>
        <w:ind w:firstLine="411" w:firstLineChars="196"/>
        <w:outlineLvl w:val="0"/>
        <w:rPr>
          <w:rFonts w:hAnsi="宋体"/>
          <w:b/>
          <w:bCs/>
        </w:rPr>
      </w:pPr>
      <w:bookmarkStart w:id="41" w:name="_Toc40864639"/>
      <w:bookmarkStart w:id="42" w:name="_Toc40864915"/>
      <w:bookmarkStart w:id="43" w:name="_Toc40865031"/>
      <w:r>
        <w:rPr>
          <w:rFonts w:hint="eastAsia" w:hAnsi="宋体"/>
          <w:b/>
          <w:bCs/>
        </w:rPr>
        <w:t>（九）</w:t>
      </w:r>
      <w:bookmarkEnd w:id="39"/>
      <w:bookmarkEnd w:id="40"/>
      <w:r>
        <w:rPr>
          <w:rFonts w:hint="eastAsia" w:hAnsi="宋体"/>
          <w:b/>
        </w:rPr>
        <w:t>询问、质疑和投诉</w:t>
      </w:r>
      <w:bookmarkEnd w:id="41"/>
      <w:bookmarkEnd w:id="42"/>
      <w:bookmarkEnd w:id="43"/>
    </w:p>
    <w:p>
      <w:pPr>
        <w:pStyle w:val="29"/>
        <w:snapToGrid w:val="0"/>
        <w:spacing w:line="360" w:lineRule="exact"/>
        <w:ind w:firstLine="420" w:firstLineChars="200"/>
      </w:pPr>
      <w:r>
        <w:rPr>
          <w:rFonts w:hint="eastAsia"/>
        </w:rPr>
        <w:t>1．投标人对政府采购活动事项有疑问的，可以向采购人、采购代理机构提出询问。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2.投标人认为招标文件、采购过程或中标结果使自己的合法权益受到损害的，应当在知道或者应知其权益受到损害之日起七个工作日内，以书面形式向采购人提出质疑。具体计算时间如下：</w:t>
      </w:r>
    </w:p>
    <w:p>
      <w:pPr>
        <w:pStyle w:val="29"/>
        <w:snapToGrid w:val="0"/>
        <w:spacing w:line="360" w:lineRule="exact"/>
        <w:ind w:firstLine="308" w:firstLineChars="147"/>
        <w:rPr>
          <w:rFonts w:hint="eastAsia"/>
          <w:bCs/>
        </w:rPr>
      </w:pPr>
      <w:r>
        <w:rPr>
          <w:rFonts w:hint="eastAsia"/>
          <w:b/>
        </w:rPr>
        <w:t>（1）对可以质疑的招标文件提出质疑的，为收到招标文件之日；</w:t>
      </w:r>
    </w:p>
    <w:p>
      <w:pPr>
        <w:widowControl/>
        <w:spacing w:line="360" w:lineRule="exact"/>
        <w:jc w:val="left"/>
        <w:rPr>
          <w:rFonts w:hint="eastAsia"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hint="eastAsia" w:ascii="宋体" w:cs="Courier New"/>
          <w:b/>
          <w:szCs w:val="21"/>
        </w:rPr>
      </w:pPr>
      <w:r>
        <w:rPr>
          <w:rFonts w:hint="eastAsia" w:cs="Courier New"/>
          <w:b/>
          <w:szCs w:val="21"/>
        </w:rPr>
        <w:t>（3）对中标结果提出质疑的，为中标结果公告期限届满之日。投标人对采购人的质疑答复不满意或者</w:t>
      </w:r>
      <w:r>
        <w:rPr>
          <w:rFonts w:hint="eastAsia" w:ascii="宋体" w:hAnsi="宋体" w:cs="Courier New"/>
          <w:b/>
          <w:szCs w:val="21"/>
        </w:rPr>
        <w:t>采购人</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rFonts w:hint="eastAsia"/>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rFonts w:hint="eastAsia" w:hAnsi="宋体"/>
          <w:bCs/>
        </w:rPr>
      </w:pPr>
      <w:r>
        <w:rPr>
          <w:rFonts w:hint="eastAsia"/>
          <w:bCs/>
        </w:rPr>
        <w:t>4.采购人、采购代理机构接收质疑函的方式、联系部门、联系电话和地址等信息详见“投标人须知前附表”。</w:t>
      </w:r>
    </w:p>
    <w:p>
      <w:pPr>
        <w:pStyle w:val="29"/>
        <w:snapToGrid w:val="0"/>
        <w:spacing w:line="360" w:lineRule="exact"/>
        <w:ind w:firstLine="411" w:firstLineChars="196"/>
        <w:outlineLvl w:val="0"/>
        <w:rPr>
          <w:rFonts w:hint="eastAsia" w:hAnsi="宋体"/>
          <w:b/>
        </w:rPr>
      </w:pPr>
      <w:bookmarkStart w:id="44" w:name="_Toc40864916"/>
      <w:bookmarkStart w:id="45" w:name="_Toc254970675"/>
      <w:bookmarkStart w:id="46" w:name="_Toc254970534"/>
      <w:bookmarkStart w:id="47" w:name="_Toc40864640"/>
      <w:bookmarkStart w:id="48" w:name="_Toc40865032"/>
      <w:r>
        <w:rPr>
          <w:rFonts w:hint="eastAsia" w:hAnsi="宋体"/>
          <w:b/>
        </w:rPr>
        <w:t>二、招标文件</w:t>
      </w:r>
      <w:bookmarkEnd w:id="44"/>
      <w:bookmarkEnd w:id="45"/>
      <w:bookmarkEnd w:id="46"/>
      <w:bookmarkEnd w:id="47"/>
      <w:bookmarkEnd w:id="48"/>
    </w:p>
    <w:p>
      <w:pPr>
        <w:snapToGrid w:val="0"/>
        <w:spacing w:line="360" w:lineRule="exact"/>
        <w:ind w:firstLine="411" w:firstLineChars="196"/>
        <w:jc w:val="left"/>
        <w:outlineLvl w:val="0"/>
        <w:rPr>
          <w:rFonts w:hint="eastAsia" w:ascii="宋体" w:hAnsi="宋体"/>
          <w:b/>
          <w:szCs w:val="21"/>
        </w:rPr>
      </w:pPr>
      <w:bookmarkStart w:id="49" w:name="_Toc40864917"/>
      <w:bookmarkStart w:id="50" w:name="_Toc40864641"/>
      <w:bookmarkStart w:id="51" w:name="_Toc40865033"/>
      <w:r>
        <w:rPr>
          <w:rFonts w:hint="eastAsia" w:ascii="宋体" w:hAnsi="宋体"/>
          <w:b/>
          <w:szCs w:val="21"/>
        </w:rPr>
        <w:t>（一）招标文件的构成。</w:t>
      </w:r>
      <w:bookmarkEnd w:id="49"/>
      <w:bookmarkEnd w:id="50"/>
      <w:bookmarkEnd w:id="51"/>
    </w:p>
    <w:p>
      <w:pPr>
        <w:snapToGrid w:val="0"/>
        <w:spacing w:line="360" w:lineRule="exact"/>
        <w:ind w:firstLine="420" w:firstLineChars="200"/>
        <w:jc w:val="left"/>
        <w:rPr>
          <w:rFonts w:hint="eastAsia" w:ascii="宋体" w:hAnsi="宋体"/>
          <w:szCs w:val="21"/>
        </w:rPr>
      </w:pPr>
      <w:r>
        <w:rPr>
          <w:rFonts w:hint="eastAsia" w:ascii="宋体" w:hAnsi="宋体"/>
          <w:szCs w:val="21"/>
        </w:rPr>
        <w:t>1.公开招标公告；</w:t>
      </w:r>
    </w:p>
    <w:p>
      <w:pPr>
        <w:snapToGrid w:val="0"/>
        <w:spacing w:line="360" w:lineRule="exact"/>
        <w:ind w:firstLine="420" w:firstLineChars="200"/>
        <w:jc w:val="left"/>
        <w:rPr>
          <w:rFonts w:hint="eastAsia" w:ascii="宋体" w:hAnsi="宋体"/>
          <w:szCs w:val="21"/>
        </w:rPr>
      </w:pPr>
      <w:r>
        <w:rPr>
          <w:rFonts w:hint="eastAsia" w:ascii="宋体" w:hAnsi="宋体"/>
          <w:szCs w:val="21"/>
        </w:rPr>
        <w:t>2.招标项目采购需求</w:t>
      </w:r>
    </w:p>
    <w:p>
      <w:pPr>
        <w:snapToGrid w:val="0"/>
        <w:spacing w:line="360" w:lineRule="exact"/>
        <w:ind w:firstLine="420" w:firstLineChars="200"/>
        <w:jc w:val="left"/>
        <w:rPr>
          <w:rFonts w:hint="eastAsia" w:ascii="宋体" w:hAnsi="宋体"/>
          <w:szCs w:val="21"/>
        </w:rPr>
      </w:pPr>
      <w:r>
        <w:rPr>
          <w:rFonts w:hint="eastAsia" w:ascii="宋体" w:hAnsi="宋体"/>
          <w:szCs w:val="21"/>
        </w:rPr>
        <w:t>3.投标人须知；</w:t>
      </w:r>
    </w:p>
    <w:p>
      <w:pPr>
        <w:snapToGrid w:val="0"/>
        <w:spacing w:line="360" w:lineRule="exact"/>
        <w:ind w:firstLine="420" w:firstLineChars="200"/>
        <w:jc w:val="left"/>
        <w:rPr>
          <w:rFonts w:hint="eastAsia" w:ascii="宋体" w:hAnsi="宋体"/>
          <w:szCs w:val="21"/>
        </w:rPr>
      </w:pPr>
      <w:r>
        <w:rPr>
          <w:rFonts w:hint="eastAsia" w:ascii="宋体" w:hAnsi="宋体"/>
          <w:szCs w:val="21"/>
        </w:rPr>
        <w:t>4.评标方法及评分标准；</w:t>
      </w:r>
    </w:p>
    <w:p>
      <w:pPr>
        <w:snapToGrid w:val="0"/>
        <w:spacing w:line="360" w:lineRule="exact"/>
        <w:ind w:firstLine="420" w:firstLineChars="200"/>
        <w:jc w:val="left"/>
        <w:rPr>
          <w:rFonts w:hint="eastAsia" w:ascii="宋体" w:hAnsi="宋体"/>
          <w:szCs w:val="21"/>
        </w:rPr>
      </w:pPr>
      <w:r>
        <w:rPr>
          <w:rFonts w:hint="eastAsia" w:ascii="宋体" w:hAnsi="宋体"/>
          <w:szCs w:val="21"/>
        </w:rPr>
        <w:t>5.政府采购合同主要条款；</w:t>
      </w:r>
    </w:p>
    <w:p>
      <w:pPr>
        <w:snapToGrid w:val="0"/>
        <w:spacing w:line="360" w:lineRule="exact"/>
        <w:ind w:firstLine="420" w:firstLineChars="200"/>
        <w:jc w:val="left"/>
        <w:rPr>
          <w:rFonts w:hint="eastAsia" w:ascii="宋体" w:hAnsi="宋体"/>
          <w:szCs w:val="21"/>
        </w:rPr>
      </w:pPr>
      <w:r>
        <w:rPr>
          <w:rFonts w:hint="eastAsia" w:ascii="宋体" w:hAnsi="宋体"/>
          <w:szCs w:val="21"/>
        </w:rPr>
        <w:t>6.投标文件格式。</w:t>
      </w:r>
    </w:p>
    <w:p>
      <w:pPr>
        <w:snapToGrid w:val="0"/>
        <w:spacing w:before="156" w:beforeLines="50" w:line="360" w:lineRule="exact"/>
        <w:ind w:firstLine="411" w:firstLineChars="196"/>
        <w:jc w:val="left"/>
        <w:outlineLvl w:val="0"/>
        <w:rPr>
          <w:rFonts w:hint="eastAsia" w:ascii="宋体" w:hAnsi="宋体"/>
          <w:b/>
          <w:szCs w:val="21"/>
        </w:rPr>
      </w:pPr>
      <w:bookmarkStart w:id="52" w:name="_Toc40864642"/>
      <w:bookmarkStart w:id="53" w:name="_Toc40865034"/>
      <w:bookmarkStart w:id="54" w:name="_Toc40864918"/>
      <w:r>
        <w:rPr>
          <w:rFonts w:hint="eastAsia" w:ascii="宋体" w:hAnsi="宋体"/>
          <w:b/>
          <w:szCs w:val="21"/>
        </w:rPr>
        <w:t>（二）投标人的风险</w:t>
      </w:r>
      <w:bookmarkEnd w:id="52"/>
      <w:bookmarkEnd w:id="53"/>
      <w:bookmarkEnd w:id="54"/>
    </w:p>
    <w:p>
      <w:pPr>
        <w:tabs>
          <w:tab w:val="left" w:pos="180"/>
          <w:tab w:val="left" w:pos="1620"/>
        </w:tabs>
        <w:spacing w:line="400" w:lineRule="exact"/>
        <w:ind w:firstLine="420" w:firstLineChars="200"/>
        <w:rPr>
          <w:rFonts w:hint="eastAsia"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szCs w:val="21"/>
        </w:rPr>
        <w:cr/>
      </w:r>
      <w:r>
        <w:rPr>
          <w:rFonts w:hint="eastAsia" w:ascii="宋体" w:hAnsi="宋体" w:cs="Courier New"/>
          <w:szCs w:val="21"/>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pPr>
        <w:pStyle w:val="15"/>
        <w:widowControl w:val="0"/>
        <w:tabs>
          <w:tab w:val="clear" w:pos="454"/>
        </w:tabs>
        <w:snapToGrid w:val="0"/>
        <w:spacing w:before="156" w:beforeLines="50" w:after="0" w:afterLines="0" w:line="360" w:lineRule="exact"/>
        <w:ind w:left="0" w:firstLine="411" w:firstLineChars="196"/>
        <w:outlineLvl w:val="0"/>
        <w:rPr>
          <w:rFonts w:hint="eastAsia" w:ascii="宋体" w:hAnsi="宋体"/>
          <w:b/>
          <w:sz w:val="21"/>
          <w:szCs w:val="21"/>
        </w:rPr>
      </w:pPr>
      <w:bookmarkStart w:id="55" w:name="_Toc40864643"/>
      <w:bookmarkStart w:id="56" w:name="_Toc40864919"/>
      <w:bookmarkStart w:id="57" w:name="_Toc40865035"/>
      <w:r>
        <w:rPr>
          <w:rFonts w:hint="eastAsia" w:ascii="宋体" w:hAnsi="宋体"/>
          <w:b/>
          <w:sz w:val="21"/>
          <w:szCs w:val="21"/>
        </w:rPr>
        <w:t>（三）招标文件的澄清与修改</w:t>
      </w:r>
      <w:bookmarkEnd w:id="55"/>
      <w:bookmarkEnd w:id="56"/>
      <w:bookmarkEnd w:id="57"/>
      <w:r>
        <w:rPr>
          <w:rFonts w:hint="eastAsia" w:ascii="宋体" w:hAnsi="宋体"/>
          <w:b/>
          <w:sz w:val="21"/>
          <w:szCs w:val="21"/>
        </w:rPr>
        <w:t xml:space="preserve"> </w:t>
      </w:r>
    </w:p>
    <w:p>
      <w:pPr>
        <w:pStyle w:val="29"/>
        <w:snapToGrid w:val="0"/>
        <w:spacing w:line="360" w:lineRule="exact"/>
        <w:ind w:firstLine="420" w:firstLineChars="200"/>
        <w:rPr>
          <w:rFonts w:hint="eastAsia" w:hAnsi="宋体"/>
        </w:rPr>
      </w:pPr>
      <w:r>
        <w:rPr>
          <w:rFonts w:hint="eastAsia" w:hAnsi="宋体"/>
        </w:rPr>
        <w:t>1.</w:t>
      </w:r>
      <w:r>
        <w:rPr>
          <w:rFonts w:hint="eastAsia" w:hAnsi="宋体"/>
          <w:bCs/>
        </w:rPr>
        <w:t xml:space="preserve"> 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w:t>
      </w:r>
      <w:r>
        <w:rPr>
          <w:rFonts w:hAnsi="宋体" w:cs="Times New Roman"/>
        </w:rPr>
        <w:t>采购人或者采购代理机构</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snapToGrid w:val="0"/>
        <w:spacing w:line="360" w:lineRule="exact"/>
        <w:ind w:firstLine="420" w:firstLineChars="200"/>
        <w:rPr>
          <w:rFonts w:hint="eastAsia" w:hAnsi="宋体"/>
        </w:rPr>
      </w:pPr>
      <w:r>
        <w:rPr>
          <w:rFonts w:hint="eastAsia" w:hAnsi="宋体"/>
        </w:rPr>
        <w:t>2.本中心必须以书面形式答复投标人要求澄清的问题，并将不包含问题来源的答复书面通知所有报名登记的投标人；除书面答复以外的其他澄清方式及澄清内容均无效。</w:t>
      </w:r>
    </w:p>
    <w:p>
      <w:pPr>
        <w:pStyle w:val="29"/>
        <w:snapToGrid w:val="0"/>
        <w:spacing w:line="360" w:lineRule="exact"/>
        <w:ind w:firstLine="420" w:firstLineChars="200"/>
        <w:rPr>
          <w:rFonts w:hint="eastAsia"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snapToGrid w:val="0"/>
        <w:spacing w:line="360" w:lineRule="exact"/>
        <w:ind w:firstLine="420" w:firstLineChars="200"/>
        <w:rPr>
          <w:rFonts w:hint="eastAsia" w:hAnsi="宋体"/>
        </w:rPr>
      </w:pPr>
      <w:r>
        <w:rPr>
          <w:rFonts w:hint="eastAsia" w:hAnsi="宋体"/>
        </w:rPr>
        <w:t>4.招标文件的答疑、澄清、修改、补充都应该通过本中心以法定形式发布，采购人非通过本机构，不得擅自答疑、澄清、修改、补充招标文件。</w:t>
      </w:r>
    </w:p>
    <w:p>
      <w:pPr>
        <w:pStyle w:val="29"/>
        <w:snapToGrid w:val="0"/>
        <w:spacing w:line="360" w:lineRule="exact"/>
        <w:ind w:firstLine="420" w:firstLineChars="200"/>
        <w:rPr>
          <w:rFonts w:hint="eastAsia"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snapToGrid w:val="0"/>
        <w:spacing w:line="360" w:lineRule="exact"/>
        <w:ind w:firstLine="411" w:firstLineChars="196"/>
        <w:outlineLvl w:val="1"/>
        <w:rPr>
          <w:rFonts w:hint="eastAsia" w:hAnsi="宋体"/>
          <w:b/>
        </w:rPr>
      </w:pPr>
      <w:bookmarkStart w:id="58" w:name="_Toc254970676"/>
      <w:bookmarkStart w:id="59" w:name="_Toc40864644"/>
      <w:bookmarkStart w:id="60" w:name="_Toc40864920"/>
      <w:bookmarkStart w:id="61" w:name="_Toc254970535"/>
      <w:bookmarkStart w:id="62" w:name="_Toc40865036"/>
      <w:r>
        <w:rPr>
          <w:rFonts w:hint="eastAsia" w:hAnsi="宋体"/>
          <w:b/>
        </w:rPr>
        <w:t>三、投标文件的编制</w:t>
      </w:r>
      <w:bookmarkEnd w:id="58"/>
      <w:bookmarkEnd w:id="59"/>
      <w:bookmarkEnd w:id="60"/>
      <w:bookmarkEnd w:id="61"/>
      <w:bookmarkEnd w:id="62"/>
    </w:p>
    <w:p>
      <w:pPr>
        <w:snapToGrid w:val="0"/>
        <w:spacing w:line="360" w:lineRule="exact"/>
        <w:ind w:firstLine="411" w:firstLineChars="196"/>
        <w:jc w:val="left"/>
        <w:outlineLvl w:val="0"/>
        <w:rPr>
          <w:rFonts w:hint="eastAsia" w:ascii="宋体" w:hAnsi="宋体"/>
          <w:b/>
          <w:szCs w:val="21"/>
        </w:rPr>
      </w:pPr>
      <w:bookmarkStart w:id="63" w:name="_Toc40864645"/>
      <w:bookmarkStart w:id="64" w:name="_Toc40865037"/>
      <w:bookmarkStart w:id="65" w:name="_Toc254970677"/>
      <w:bookmarkStart w:id="66" w:name="_Toc40864921"/>
      <w:bookmarkStart w:id="67" w:name="_Toc254970536"/>
      <w:r>
        <w:rPr>
          <w:rFonts w:hint="eastAsia" w:ascii="宋体" w:hAnsi="宋体"/>
          <w:b/>
          <w:szCs w:val="21"/>
        </w:rPr>
        <w:t>（一）投标文件的组成</w:t>
      </w:r>
      <w:bookmarkEnd w:id="63"/>
      <w:bookmarkEnd w:id="64"/>
      <w:bookmarkEnd w:id="65"/>
      <w:bookmarkEnd w:id="66"/>
      <w:bookmarkEnd w:id="67"/>
    </w:p>
    <w:p>
      <w:pPr>
        <w:snapToGrid w:val="0"/>
        <w:spacing w:line="360" w:lineRule="exact"/>
        <w:ind w:firstLine="420" w:firstLineChars="200"/>
        <w:jc w:val="left"/>
        <w:rPr>
          <w:rFonts w:hint="eastAsia" w:ascii="宋体" w:hAnsi="宋体"/>
          <w:szCs w:val="21"/>
        </w:rPr>
      </w:pPr>
      <w:r>
        <w:rPr>
          <w:rFonts w:hint="eastAsia" w:ascii="宋体"/>
          <w:szCs w:val="21"/>
        </w:rPr>
        <w:t>投标文件由资格文件、资信及商务文件、技术文件、投标报价文件</w:t>
      </w:r>
      <w:r>
        <w:rPr>
          <w:rFonts w:hint="eastAsia" w:ascii="宋体"/>
          <w:b/>
          <w:szCs w:val="21"/>
        </w:rPr>
        <w:t>四部份</w:t>
      </w:r>
      <w:r>
        <w:rPr>
          <w:rFonts w:hint="eastAsia" w:ascii="宋体"/>
          <w:szCs w:val="21"/>
        </w:rPr>
        <w:t>组成。</w:t>
      </w:r>
    </w:p>
    <w:p>
      <w:pPr>
        <w:snapToGrid w:val="0"/>
        <w:spacing w:before="156" w:beforeLines="50" w:line="360" w:lineRule="exact"/>
        <w:ind w:firstLine="411" w:firstLineChars="196"/>
        <w:jc w:val="left"/>
        <w:rPr>
          <w:rFonts w:hint="eastAsia" w:ascii="宋体" w:hAnsi="宋体"/>
          <w:b/>
          <w:szCs w:val="21"/>
        </w:rPr>
      </w:pPr>
      <w:r>
        <w:rPr>
          <w:rFonts w:hint="eastAsia" w:ascii="宋体" w:hAnsi="宋体"/>
          <w:b/>
          <w:szCs w:val="21"/>
        </w:rPr>
        <w:t>1.资格文件：</w:t>
      </w:r>
    </w:p>
    <w:p>
      <w:pPr>
        <w:snapToGrid w:val="0"/>
        <w:spacing w:line="360" w:lineRule="exact"/>
        <w:ind w:firstLine="411" w:firstLineChars="196"/>
        <w:jc w:val="left"/>
        <w:rPr>
          <w:rFonts w:hint="eastAsia" w:ascii="宋体" w:hAnsi="宋体"/>
          <w:szCs w:val="21"/>
        </w:rPr>
      </w:pPr>
      <w:r>
        <w:rPr>
          <w:rFonts w:hint="eastAsia" w:ascii="宋体" w:hAnsi="宋体"/>
          <w:b/>
          <w:szCs w:val="21"/>
        </w:rPr>
        <w:t>（1）</w:t>
      </w:r>
      <w:r>
        <w:rPr>
          <w:rFonts w:hint="eastAsia" w:ascii="宋体" w:hAnsi="宋体"/>
          <w:szCs w:val="21"/>
        </w:rPr>
        <w:t>有效的营业执照等证明文件扫描件或其他电子文件；</w:t>
      </w:r>
    </w:p>
    <w:p>
      <w:pPr>
        <w:snapToGrid w:val="0"/>
        <w:spacing w:line="360" w:lineRule="exact"/>
        <w:ind w:firstLine="411" w:firstLineChars="196"/>
        <w:jc w:val="left"/>
        <w:rPr>
          <w:rFonts w:hint="eastAsia" w:hAnsi="宋体"/>
          <w:b/>
          <w:bCs/>
        </w:rPr>
      </w:pPr>
      <w:r>
        <w:rPr>
          <w:rFonts w:hint="eastAsia" w:hAnsi="宋体"/>
          <w:b/>
          <w:bCs/>
        </w:rPr>
        <w:t>①投标人有效的营业执照等证明文件</w:t>
      </w:r>
      <w:r>
        <w:rPr>
          <w:rFonts w:hint="eastAsia" w:ascii="宋体" w:hAnsi="宋体"/>
          <w:b/>
          <w:bCs/>
          <w:szCs w:val="21"/>
        </w:rPr>
        <w:t>扫描件或其他电子文件</w:t>
      </w:r>
      <w:r>
        <w:rPr>
          <w:rFonts w:hint="eastAsia" w:hAnsi="宋体"/>
          <w:b/>
          <w:bCs/>
        </w:rPr>
        <w:t>，同时要加盖单位公章（</w:t>
      </w:r>
      <w:r>
        <w:rPr>
          <w:rFonts w:hint="eastAsia" w:hAnsi="宋体"/>
          <w:b/>
          <w:bCs/>
          <w:u w:val="single"/>
        </w:rPr>
        <w:t>必须提供，原件备查</w:t>
      </w:r>
      <w:r>
        <w:rPr>
          <w:rFonts w:hint="eastAsia" w:hAnsi="宋体"/>
          <w:b/>
          <w:bCs/>
        </w:rPr>
        <w:t>）；</w:t>
      </w:r>
    </w:p>
    <w:p>
      <w:pPr>
        <w:snapToGrid w:val="0"/>
        <w:spacing w:line="360" w:lineRule="exact"/>
        <w:ind w:firstLine="411" w:firstLineChars="196"/>
        <w:jc w:val="left"/>
        <w:rPr>
          <w:rFonts w:hint="eastAsia" w:hAnsi="宋体"/>
        </w:rPr>
      </w:pPr>
      <w:r>
        <w:rPr>
          <w:rFonts w:hint="eastAsia" w:hAnsi="宋体"/>
        </w:rPr>
        <w:t>②对于有经营资质要求的，投标人必须提供有效的经营资质证书副本内页</w:t>
      </w:r>
      <w:r>
        <w:rPr>
          <w:rFonts w:hint="eastAsia" w:ascii="宋体" w:hAnsi="宋体"/>
          <w:szCs w:val="21"/>
        </w:rPr>
        <w:t>扫描件或其他电子文件</w:t>
      </w:r>
      <w:r>
        <w:rPr>
          <w:rFonts w:hint="eastAsia" w:hAnsi="宋体"/>
        </w:rPr>
        <w:t>，同时要加盖单位公章（</w:t>
      </w:r>
      <w:r>
        <w:rPr>
          <w:rFonts w:hint="eastAsia" w:hAnsi="宋体"/>
          <w:u w:val="single"/>
        </w:rPr>
        <w:t>必须提供，原件备查</w:t>
      </w:r>
      <w:r>
        <w:rPr>
          <w:rFonts w:hint="eastAsia" w:hAnsi="宋体"/>
        </w:rPr>
        <w:t>）；</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hint="eastAsia" w:ascii="宋体" w:hAnsi="宋体"/>
          <w:szCs w:val="21"/>
        </w:rPr>
      </w:pPr>
      <w:r>
        <w:rPr>
          <w:rFonts w:hint="eastAsia" w:ascii="宋体" w:hAnsi="宋体"/>
          <w:b/>
          <w:bCs/>
          <w:szCs w:val="21"/>
        </w:rPr>
        <w:t>①</w:t>
      </w:r>
      <w:r>
        <w:rPr>
          <w:rFonts w:hint="eastAsia" w:ascii="宋体" w:hAnsi="宋体" w:cs="宋体"/>
          <w:b/>
          <w:bCs/>
          <w:kern w:val="0"/>
          <w:szCs w:val="21"/>
        </w:rPr>
        <w:t>参加政府采购活动前三年内在经营活动中没有重大违法记录的书面声明</w:t>
      </w:r>
      <w:r>
        <w:rPr>
          <w:rFonts w:hint="eastAsia" w:ascii="宋体" w:hAnsi="宋体"/>
          <w:b/>
          <w:bCs/>
          <w:szCs w:val="21"/>
        </w:rPr>
        <w:t>（格式自拟，必须提供）</w:t>
      </w:r>
      <w:r>
        <w:rPr>
          <w:rFonts w:hint="eastAsia" w:ascii="宋体" w:hAnsi="宋体"/>
          <w:szCs w:val="21"/>
        </w:rPr>
        <w:t>；</w:t>
      </w:r>
    </w:p>
    <w:p>
      <w:pPr>
        <w:snapToGrid w:val="0"/>
        <w:spacing w:line="360" w:lineRule="exact"/>
        <w:ind w:firstLine="411" w:firstLineChars="196"/>
        <w:jc w:val="left"/>
        <w:rPr>
          <w:rFonts w:hint="eastAsia"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szCs w:val="21"/>
        </w:rPr>
      </w:pPr>
      <w:r>
        <w:rPr>
          <w:rFonts w:hint="eastAsia" w:ascii="宋体" w:hAnsi="宋体"/>
          <w:szCs w:val="21"/>
        </w:rPr>
        <w:t xml:space="preserve"> “中国政府采购网”的查询方法：点击“政府采购严重违法失信行为记录名单”进行查询，查询截止时间为本项目投标截止时间前10日至投标截止时间中任意一天。</w:t>
      </w:r>
    </w:p>
    <w:p>
      <w:pPr>
        <w:snapToGrid w:val="0"/>
        <w:spacing w:line="360" w:lineRule="exact"/>
        <w:ind w:firstLine="411" w:firstLineChars="196"/>
        <w:jc w:val="left"/>
        <w:rPr>
          <w:rFonts w:hint="eastAsia"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ind w:firstLine="516" w:firstLineChars="246"/>
        <w:jc w:val="left"/>
        <w:rPr>
          <w:rFonts w:hint="eastAsia" w:ascii="宋体" w:hAnsi="宋体"/>
          <w:b/>
          <w:bCs/>
          <w:szCs w:val="21"/>
        </w:rPr>
      </w:pPr>
      <w:r>
        <w:rPr>
          <w:rFonts w:hint="eastAsia" w:ascii="宋体" w:hAnsi="宋体"/>
          <w:b/>
          <w:bCs/>
          <w:szCs w:val="21"/>
        </w:rPr>
        <w:t>(3)中小企业声明函（必须提供）</w:t>
      </w:r>
    </w:p>
    <w:p>
      <w:pPr>
        <w:snapToGrid w:val="0"/>
        <w:spacing w:before="156" w:beforeLines="50" w:line="360" w:lineRule="exact"/>
        <w:ind w:firstLine="411" w:firstLineChars="196"/>
        <w:jc w:val="left"/>
        <w:rPr>
          <w:rFonts w:hint="eastAsia" w:ascii="宋体" w:hAnsi="宋体"/>
          <w:b/>
          <w:szCs w:val="21"/>
        </w:rPr>
      </w:pPr>
      <w:r>
        <w:rPr>
          <w:rFonts w:hint="eastAsia" w:ascii="宋体" w:hAnsi="宋体"/>
          <w:b/>
          <w:szCs w:val="21"/>
        </w:rPr>
        <w:t>2.资信及商务文件：</w:t>
      </w:r>
    </w:p>
    <w:p>
      <w:pPr>
        <w:snapToGrid w:val="0"/>
        <w:spacing w:line="360" w:lineRule="exact"/>
        <w:ind w:firstLine="411" w:firstLineChars="196"/>
        <w:jc w:val="left"/>
        <w:rPr>
          <w:rFonts w:hint="eastAsia" w:ascii="宋体" w:hAnsi="宋体"/>
          <w:szCs w:val="21"/>
        </w:rPr>
      </w:pPr>
      <w:r>
        <w:rPr>
          <w:rFonts w:hint="eastAsia" w:ascii="宋体" w:hAnsi="宋体"/>
          <w:b/>
          <w:szCs w:val="21"/>
        </w:rPr>
        <w:t>（1）投标保证金的相关证明</w:t>
      </w:r>
      <w:r>
        <w:rPr>
          <w:rFonts w:hint="eastAsia" w:ascii="宋体" w:hAnsi="宋体"/>
          <w:szCs w:val="21"/>
        </w:rPr>
        <w:t>扫描件或其他电子文件</w:t>
      </w:r>
      <w:r>
        <w:rPr>
          <w:rFonts w:hint="eastAsia" w:ascii="宋体" w:hAnsi="宋体"/>
          <w:b/>
          <w:szCs w:val="21"/>
        </w:rPr>
        <w:t>（可单独提交）（</w:t>
      </w:r>
      <w:r>
        <w:rPr>
          <w:rFonts w:hint="eastAsia" w:ascii="宋体" w:hAnsi="宋体"/>
          <w:b/>
          <w:szCs w:val="21"/>
          <w:u w:val="single"/>
        </w:rPr>
        <w:t>必须提供</w:t>
      </w:r>
      <w:r>
        <w:rPr>
          <w:rFonts w:hint="eastAsia" w:ascii="宋体" w:hAnsi="宋体"/>
          <w:b/>
          <w:szCs w:val="21"/>
        </w:rPr>
        <w:t>）</w:t>
      </w:r>
      <w:r>
        <w:rPr>
          <w:rFonts w:hint="eastAsia" w:ascii="宋体" w:hAnsi="宋体"/>
          <w:szCs w:val="21"/>
        </w:rPr>
        <w:t>；</w:t>
      </w:r>
    </w:p>
    <w:p>
      <w:pPr>
        <w:snapToGrid w:val="0"/>
        <w:spacing w:line="360" w:lineRule="exact"/>
        <w:ind w:firstLine="411" w:firstLineChars="196"/>
        <w:jc w:val="left"/>
        <w:rPr>
          <w:rFonts w:hint="eastAsia" w:ascii="宋体" w:hAnsi="宋体"/>
          <w:szCs w:val="21"/>
        </w:rPr>
      </w:pPr>
      <w:r>
        <w:rPr>
          <w:rFonts w:hint="eastAsia" w:ascii="宋体" w:hAnsi="宋体"/>
          <w:b/>
          <w:szCs w:val="21"/>
        </w:rPr>
        <w:t>（2）投标声明书 (格式见第六章)（</w:t>
      </w:r>
      <w:r>
        <w:rPr>
          <w:rFonts w:hint="eastAsia" w:ascii="宋体" w:hAnsi="宋体"/>
          <w:b/>
          <w:szCs w:val="21"/>
          <w:u w:val="single"/>
        </w:rPr>
        <w:t>必须提供）</w:t>
      </w:r>
      <w:r>
        <w:rPr>
          <w:rFonts w:hint="eastAsia" w:ascii="宋体" w:hAnsi="宋体"/>
          <w:szCs w:val="21"/>
        </w:rPr>
        <w:t>；</w:t>
      </w:r>
    </w:p>
    <w:p>
      <w:pPr>
        <w:snapToGrid w:val="0"/>
        <w:spacing w:line="360" w:lineRule="exact"/>
        <w:ind w:firstLine="411" w:firstLineChars="196"/>
        <w:jc w:val="left"/>
        <w:rPr>
          <w:rFonts w:hint="eastAsia" w:ascii="宋体" w:hAnsi="宋体"/>
          <w:szCs w:val="21"/>
        </w:rPr>
      </w:pPr>
      <w:r>
        <w:rPr>
          <w:rFonts w:hint="eastAsia" w:ascii="宋体" w:hAnsi="宋体"/>
          <w:b/>
          <w:szCs w:val="21"/>
        </w:rPr>
        <w:t>（3）法定代表人授权委托书和委托代理人身份证</w:t>
      </w:r>
      <w:r>
        <w:rPr>
          <w:rFonts w:hint="eastAsia" w:ascii="宋体" w:hAnsi="宋体"/>
          <w:szCs w:val="21"/>
        </w:rPr>
        <w:t>扫描件或其他电子文件</w:t>
      </w:r>
      <w:r>
        <w:rPr>
          <w:rFonts w:hint="eastAsia" w:ascii="宋体" w:hAnsi="宋体"/>
          <w:b/>
          <w:szCs w:val="21"/>
        </w:rPr>
        <w:t>（格式见第六章)（必须提供）</w:t>
      </w:r>
      <w:r>
        <w:rPr>
          <w:rFonts w:hint="eastAsia" w:ascii="宋体" w:hAnsi="宋体"/>
          <w:szCs w:val="21"/>
        </w:rPr>
        <w:t>；</w:t>
      </w:r>
      <w:r>
        <w:rPr>
          <w:rFonts w:hint="eastAsia" w:ascii="宋体" w:hAnsi="宋体"/>
          <w:b/>
          <w:szCs w:val="21"/>
        </w:rPr>
        <w:t>当法定代表人参加投标时，必须提供法定代表人身份证</w:t>
      </w:r>
      <w:r>
        <w:rPr>
          <w:rFonts w:hint="eastAsia" w:ascii="宋体" w:hAnsi="宋体"/>
          <w:szCs w:val="21"/>
        </w:rPr>
        <w:t>扫描件或其他电子文件；</w:t>
      </w:r>
    </w:p>
    <w:p>
      <w:pPr>
        <w:snapToGrid w:val="0"/>
        <w:spacing w:line="360" w:lineRule="exact"/>
        <w:ind w:firstLine="411" w:firstLineChars="196"/>
        <w:jc w:val="left"/>
        <w:rPr>
          <w:rFonts w:ascii="宋体" w:hAnsi="宋体"/>
          <w:b/>
          <w:szCs w:val="21"/>
        </w:rPr>
      </w:pPr>
      <w:r>
        <w:rPr>
          <w:rFonts w:hint="eastAsia" w:ascii="宋体" w:hAnsi="宋体"/>
          <w:b/>
          <w:szCs w:val="21"/>
        </w:rPr>
        <w:t>（4）投标截止之日前半年内投标人连续三个月的依法缴纳税费或依法免缴税费的证明（</w:t>
      </w:r>
      <w:r>
        <w:rPr>
          <w:rFonts w:hint="eastAsia" w:ascii="宋体" w:hAnsi="宋体"/>
          <w:szCs w:val="21"/>
        </w:rPr>
        <w:t>扫描件或其他电子文件</w:t>
      </w:r>
      <w:r>
        <w:rPr>
          <w:rFonts w:hint="eastAsia" w:ascii="宋体" w:hAnsi="宋体"/>
          <w:b/>
          <w:szCs w:val="21"/>
        </w:rPr>
        <w:t>，原件备查，格式自拟）（</w:t>
      </w:r>
      <w:r>
        <w:rPr>
          <w:rFonts w:hint="eastAsia" w:ascii="宋体" w:hAnsi="宋体"/>
          <w:b/>
          <w:szCs w:val="21"/>
          <w:u w:val="single"/>
        </w:rPr>
        <w:t>必须提供</w:t>
      </w:r>
      <w:r>
        <w:rPr>
          <w:rFonts w:hint="eastAsia" w:ascii="宋体" w:hAnsi="宋体"/>
          <w:b/>
          <w:szCs w:val="21"/>
        </w:rPr>
        <w:t>）；</w:t>
      </w:r>
      <w:r>
        <w:rPr>
          <w:rFonts w:hint="eastAsia" w:ascii="宋体" w:hAnsi="宋体"/>
          <w:szCs w:val="21"/>
        </w:rPr>
        <w:t>无纳税记录的，应提供由投标人所在地主管国税或地税部门出具的《依法纳税或依法免税证明》（格式自拟，扫描件或其他电子文件，原件备查）。</w:t>
      </w:r>
    </w:p>
    <w:p>
      <w:pPr>
        <w:snapToGrid w:val="0"/>
        <w:spacing w:line="360" w:lineRule="exact"/>
        <w:ind w:firstLine="411" w:firstLineChars="196"/>
        <w:jc w:val="left"/>
        <w:rPr>
          <w:rFonts w:hint="eastAsia" w:ascii="宋体" w:hAnsi="宋体"/>
          <w:szCs w:val="21"/>
        </w:rPr>
      </w:pPr>
      <w:r>
        <w:rPr>
          <w:rFonts w:hint="eastAsia" w:ascii="宋体" w:hAnsi="宋体"/>
          <w:b/>
          <w:szCs w:val="21"/>
        </w:rPr>
        <w:t>（5）投标截止之日前半年内投标人连续三个月的依法缴纳社保费的缴费凭证</w:t>
      </w:r>
      <w:r>
        <w:rPr>
          <w:rFonts w:hint="eastAsia" w:ascii="宋体" w:hAnsi="宋体"/>
          <w:szCs w:val="21"/>
        </w:rPr>
        <w:t>（</w:t>
      </w:r>
      <w:r>
        <w:rPr>
          <w:rFonts w:hint="eastAsia" w:ascii="宋体" w:hAnsi="宋体"/>
          <w:b/>
          <w:szCs w:val="21"/>
        </w:rPr>
        <w:t>扫描件或其他电子文件，原件备查，格式自拟）（</w:t>
      </w:r>
      <w:r>
        <w:rPr>
          <w:rFonts w:hint="eastAsia" w:ascii="宋体" w:hAnsi="宋体"/>
          <w:b/>
          <w:szCs w:val="21"/>
          <w:u w:val="single"/>
        </w:rPr>
        <w:t>必须提供</w:t>
      </w:r>
      <w:r>
        <w:rPr>
          <w:rFonts w:hint="eastAsia" w:ascii="宋体" w:hAnsi="宋体"/>
          <w:b/>
          <w:szCs w:val="21"/>
        </w:rPr>
        <w:t>）；</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line="360" w:lineRule="exact"/>
        <w:jc w:val="left"/>
        <w:rPr>
          <w:rFonts w:hint="eastAsia" w:ascii="宋体" w:hAnsi="宋体"/>
          <w:b/>
          <w:szCs w:val="21"/>
        </w:rPr>
      </w:pPr>
      <w:r>
        <w:rPr>
          <w:rFonts w:hint="eastAsia" w:ascii="宋体" w:hAnsi="宋体"/>
          <w:b/>
          <w:szCs w:val="21"/>
        </w:rPr>
        <w:t xml:space="preserve">    （6）</w:t>
      </w:r>
      <w:r>
        <w:rPr>
          <w:rFonts w:ascii="宋体" w:hAnsi="宋体"/>
          <w:b/>
          <w:szCs w:val="21"/>
        </w:rPr>
        <w:t>财务状况报告</w:t>
      </w:r>
      <w:r>
        <w:rPr>
          <w:rFonts w:hint="eastAsia" w:ascii="宋体" w:hAnsi="宋体"/>
          <w:b/>
          <w:szCs w:val="21"/>
        </w:rPr>
        <w:t>（</w:t>
      </w:r>
      <w:r>
        <w:rPr>
          <w:rFonts w:hint="eastAsia" w:ascii="宋体" w:hAnsi="宋体"/>
          <w:b/>
          <w:szCs w:val="21"/>
          <w:u w:val="single"/>
        </w:rPr>
        <w:t>格式自拟，必须提供</w:t>
      </w:r>
      <w:r>
        <w:rPr>
          <w:rFonts w:hint="eastAsia" w:ascii="宋体" w:hAnsi="宋体"/>
          <w:b/>
          <w:szCs w:val="21"/>
        </w:rPr>
        <w:t>）；</w:t>
      </w:r>
    </w:p>
    <w:p>
      <w:pPr>
        <w:snapToGrid w:val="0"/>
        <w:spacing w:line="360" w:lineRule="exact"/>
        <w:ind w:firstLine="411" w:firstLineChars="196"/>
        <w:jc w:val="left"/>
        <w:rPr>
          <w:rFonts w:hint="eastAsia" w:ascii="宋体" w:hAnsi="宋体"/>
          <w:szCs w:val="21"/>
        </w:rPr>
      </w:pPr>
      <w:r>
        <w:rPr>
          <w:rFonts w:hint="eastAsia" w:ascii="宋体" w:hAnsi="宋体" w:cs="宋体"/>
          <w:b/>
          <w:kern w:val="0"/>
          <w:szCs w:val="21"/>
        </w:rPr>
        <w:t>（7）</w:t>
      </w:r>
      <w:r>
        <w:rPr>
          <w:rFonts w:ascii="宋体" w:hAnsi="宋体"/>
          <w:b/>
          <w:szCs w:val="21"/>
        </w:rPr>
        <w:t>具备履行合同所必需的设备和专业技术能力的证明材料</w:t>
      </w:r>
      <w:r>
        <w:rPr>
          <w:rFonts w:hint="eastAsia" w:ascii="宋体" w:hAnsi="宋体"/>
          <w:b/>
          <w:szCs w:val="21"/>
        </w:rPr>
        <w:t>（</w:t>
      </w:r>
      <w:r>
        <w:rPr>
          <w:rFonts w:hint="eastAsia" w:ascii="宋体" w:hAnsi="宋体"/>
          <w:b/>
          <w:szCs w:val="21"/>
          <w:u w:val="single"/>
        </w:rPr>
        <w:t>内容、格式自拟，必须提供</w:t>
      </w:r>
      <w:r>
        <w:rPr>
          <w:rFonts w:hint="eastAsia" w:ascii="宋体" w:hAnsi="宋体"/>
          <w:b/>
          <w:szCs w:val="21"/>
        </w:rPr>
        <w:t>）</w:t>
      </w:r>
      <w:r>
        <w:rPr>
          <w:rFonts w:hint="eastAsia" w:ascii="宋体" w:hAnsi="宋体" w:cs="宋体"/>
          <w:b/>
          <w:kern w:val="0"/>
          <w:szCs w:val="21"/>
        </w:rPr>
        <w:t>；</w:t>
      </w:r>
    </w:p>
    <w:p>
      <w:pPr>
        <w:snapToGrid w:val="0"/>
        <w:spacing w:line="360" w:lineRule="exact"/>
        <w:ind w:firstLine="411" w:firstLineChars="196"/>
        <w:jc w:val="left"/>
        <w:rPr>
          <w:rFonts w:hint="eastAsia" w:ascii="宋体" w:hAnsi="宋体"/>
          <w:szCs w:val="21"/>
        </w:rPr>
      </w:pPr>
      <w:r>
        <w:rPr>
          <w:rFonts w:ascii="宋体" w:hAnsi="宋体" w:cs="宋体"/>
          <w:kern w:val="0"/>
          <w:szCs w:val="21"/>
        </w:rPr>
        <w:t>（</w:t>
      </w:r>
      <w:r>
        <w:rPr>
          <w:rFonts w:hint="eastAsia" w:ascii="宋体" w:hAnsi="宋体" w:cs="宋体"/>
          <w:kern w:val="0"/>
          <w:szCs w:val="21"/>
        </w:rPr>
        <w:t>8</w:t>
      </w:r>
      <w:r>
        <w:rPr>
          <w:rFonts w:ascii="宋体" w:hAnsi="宋体" w:cs="宋体"/>
          <w:kern w:val="0"/>
          <w:szCs w:val="21"/>
        </w:rPr>
        <w:t>）税务登记证</w:t>
      </w:r>
      <w:r>
        <w:rPr>
          <w:rFonts w:hint="eastAsia" w:ascii="宋体" w:hAnsi="宋体"/>
          <w:szCs w:val="21"/>
        </w:rPr>
        <w:t>扫描件（如有）</w:t>
      </w:r>
      <w:r>
        <w:rPr>
          <w:rFonts w:hint="eastAsia" w:ascii="宋体" w:hAnsi="宋体" w:cs="宋体"/>
          <w:kern w:val="0"/>
          <w:szCs w:val="21"/>
        </w:rPr>
        <w:t>；</w:t>
      </w:r>
    </w:p>
    <w:p>
      <w:pPr>
        <w:snapToGrid w:val="0"/>
        <w:spacing w:line="360" w:lineRule="exact"/>
        <w:ind w:firstLine="411" w:firstLineChars="196"/>
        <w:jc w:val="left"/>
        <w:rPr>
          <w:rFonts w:hint="eastAsia" w:ascii="宋体" w:hAnsi="宋体"/>
          <w:szCs w:val="21"/>
        </w:rPr>
      </w:pPr>
      <w:r>
        <w:rPr>
          <w:rFonts w:hint="eastAsia" w:ascii="宋体" w:hAnsi="宋体"/>
          <w:szCs w:val="21"/>
        </w:rPr>
        <w:t>（9）产品销售许可证；</w:t>
      </w:r>
    </w:p>
    <w:p>
      <w:pPr>
        <w:snapToGrid w:val="0"/>
        <w:spacing w:line="360" w:lineRule="exact"/>
        <w:ind w:firstLine="411" w:firstLineChars="196"/>
        <w:jc w:val="left"/>
        <w:rPr>
          <w:rFonts w:hint="eastAsia" w:ascii="宋体" w:hAnsi="宋体"/>
          <w:szCs w:val="21"/>
        </w:rPr>
      </w:pPr>
      <w:r>
        <w:rPr>
          <w:rFonts w:hint="eastAsia" w:ascii="宋体" w:hAnsi="宋体"/>
          <w:szCs w:val="21"/>
        </w:rPr>
        <w:t>（10）安全生产许可证扫描件或其他电子文件、产品代理资格证明文件扫描件或其他电子文件；</w:t>
      </w:r>
    </w:p>
    <w:p>
      <w:pPr>
        <w:snapToGrid w:val="0"/>
        <w:spacing w:line="360" w:lineRule="exact"/>
        <w:ind w:firstLine="411" w:firstLineChars="196"/>
        <w:jc w:val="left"/>
        <w:rPr>
          <w:rFonts w:hint="eastAsia" w:ascii="宋体" w:hAnsi="宋体"/>
          <w:b/>
          <w:szCs w:val="21"/>
        </w:rPr>
      </w:pPr>
      <w:r>
        <w:rPr>
          <w:rFonts w:hint="eastAsia" w:ascii="宋体" w:hAnsi="宋体"/>
          <w:szCs w:val="21"/>
        </w:rPr>
        <w:t>（11）</w:t>
      </w:r>
      <w:r>
        <w:rPr>
          <w:rFonts w:hint="eastAsia" w:ascii="宋体" w:hAnsi="宋体"/>
          <w:b/>
          <w:szCs w:val="21"/>
        </w:rPr>
        <w:t>商务及其他要求响应表</w:t>
      </w:r>
      <w:r>
        <w:rPr>
          <w:rFonts w:hint="eastAsia" w:ascii="宋体" w:hAnsi="宋体"/>
          <w:szCs w:val="21"/>
        </w:rPr>
        <w:t>（格式见第六章）</w:t>
      </w:r>
      <w:r>
        <w:rPr>
          <w:rFonts w:hint="eastAsia" w:ascii="宋体" w:hAnsi="宋体"/>
          <w:b/>
          <w:szCs w:val="21"/>
        </w:rPr>
        <w:t>（</w:t>
      </w:r>
      <w:r>
        <w:rPr>
          <w:rFonts w:hint="eastAsia" w:ascii="宋体" w:hAnsi="宋体"/>
          <w:b/>
          <w:szCs w:val="21"/>
          <w:u w:val="single"/>
        </w:rPr>
        <w:t>必须提供</w:t>
      </w:r>
      <w:r>
        <w:rPr>
          <w:rFonts w:hint="eastAsia" w:ascii="宋体" w:hAnsi="宋体"/>
          <w:b/>
          <w:szCs w:val="21"/>
        </w:rPr>
        <w:t>）；</w:t>
      </w:r>
    </w:p>
    <w:p>
      <w:pPr>
        <w:snapToGrid w:val="0"/>
        <w:spacing w:line="360" w:lineRule="exact"/>
        <w:ind w:firstLine="210" w:firstLineChars="100"/>
        <w:jc w:val="left"/>
        <w:rPr>
          <w:rFonts w:hint="eastAsia" w:ascii="宋体" w:hAnsi="宋体"/>
          <w:b/>
          <w:szCs w:val="21"/>
        </w:rPr>
      </w:pPr>
      <w:r>
        <w:rPr>
          <w:rFonts w:hint="eastAsia" w:hAnsi="宋体"/>
        </w:rPr>
        <w:t>▲</w:t>
      </w:r>
      <w:r>
        <w:rPr>
          <w:rFonts w:hint="eastAsia" w:ascii="宋体" w:hAnsi="宋体"/>
          <w:b/>
          <w:szCs w:val="21"/>
        </w:rPr>
        <w:t>（12）招标项目采购需求中要求必须提供的材料等；</w:t>
      </w:r>
    </w:p>
    <w:p>
      <w:pPr>
        <w:snapToGrid w:val="0"/>
        <w:spacing w:line="360" w:lineRule="exact"/>
        <w:ind w:firstLine="411" w:firstLineChars="196"/>
        <w:jc w:val="left"/>
        <w:rPr>
          <w:rFonts w:hint="eastAsia" w:ascii="宋体" w:hAnsi="宋体"/>
          <w:b/>
          <w:szCs w:val="21"/>
        </w:rPr>
      </w:pPr>
      <w:r>
        <w:rPr>
          <w:rFonts w:hint="eastAsia" w:ascii="宋体" w:hAnsi="宋体"/>
          <w:szCs w:val="21"/>
        </w:rPr>
        <w:t>（13）具备法律、行政法规规定的其他条件的证明材料</w:t>
      </w:r>
      <w:r>
        <w:rPr>
          <w:rFonts w:hint="eastAsia" w:ascii="宋体" w:hAnsi="宋体"/>
          <w:b/>
          <w:szCs w:val="21"/>
        </w:rPr>
        <w:t>(如有规定,则必须提供)。</w:t>
      </w:r>
    </w:p>
    <w:p>
      <w:pPr>
        <w:snapToGrid w:val="0"/>
        <w:spacing w:line="360" w:lineRule="exact"/>
        <w:ind w:firstLine="411" w:firstLineChars="196"/>
        <w:jc w:val="left"/>
        <w:rPr>
          <w:rFonts w:hint="eastAsia" w:ascii="宋体" w:hAnsi="宋体"/>
          <w:b/>
          <w:szCs w:val="21"/>
        </w:rPr>
      </w:pPr>
      <w:r>
        <w:rPr>
          <w:rFonts w:hint="eastAsia" w:ascii="宋体" w:hAnsi="宋体"/>
          <w:b/>
          <w:bCs/>
          <w:szCs w:val="21"/>
        </w:rPr>
        <w:t xml:space="preserve"> 可作为投标人资信评分的资质证明材料（可选）  </w:t>
      </w:r>
    </w:p>
    <w:p>
      <w:pPr>
        <w:snapToGrid w:val="0"/>
        <w:spacing w:line="360" w:lineRule="exact"/>
        <w:ind w:left="936" w:leftChars="196" w:hanging="525" w:hangingChars="250"/>
        <w:jc w:val="left"/>
        <w:rPr>
          <w:rFonts w:hint="eastAsia" w:ascii="宋体" w:hAnsi="宋体"/>
          <w:szCs w:val="21"/>
        </w:rPr>
      </w:pPr>
      <w:r>
        <w:rPr>
          <w:rFonts w:hint="eastAsia" w:ascii="宋体" w:hAnsi="宋体"/>
          <w:szCs w:val="21"/>
        </w:rPr>
        <w:t>（14）类似案例成功的业绩（投标人同类项目实施情况一览表、合同扫描件、用户验收报告、用户评价）；</w:t>
      </w:r>
    </w:p>
    <w:p>
      <w:pPr>
        <w:snapToGrid w:val="0"/>
        <w:spacing w:line="360" w:lineRule="exact"/>
        <w:ind w:firstLine="420" w:firstLineChars="200"/>
        <w:jc w:val="left"/>
        <w:rPr>
          <w:rFonts w:hint="eastAsia" w:ascii="宋体" w:hAnsi="宋体"/>
          <w:szCs w:val="21"/>
        </w:rPr>
      </w:pPr>
      <w:r>
        <w:rPr>
          <w:rFonts w:hint="eastAsia" w:ascii="宋体" w:hAnsi="宋体"/>
          <w:szCs w:val="21"/>
        </w:rPr>
        <w:t>（15）其他特殊资质证书（如本地化服务能力等）；</w:t>
      </w:r>
    </w:p>
    <w:p>
      <w:pPr>
        <w:snapToGrid w:val="0"/>
        <w:spacing w:line="360" w:lineRule="exact"/>
        <w:ind w:firstLine="411" w:firstLineChars="196"/>
        <w:jc w:val="left"/>
        <w:rPr>
          <w:rFonts w:hint="eastAsia" w:ascii="宋体" w:hAnsi="宋体"/>
          <w:b/>
          <w:szCs w:val="21"/>
        </w:rPr>
      </w:pPr>
      <w:r>
        <w:rPr>
          <w:rFonts w:hint="eastAsia" w:ascii="宋体" w:hAnsi="宋体"/>
          <w:b/>
          <w:szCs w:val="21"/>
        </w:rPr>
        <w:t>（</w:t>
      </w:r>
      <w:r>
        <w:rPr>
          <w:rFonts w:hint="eastAsia" w:ascii="宋体" w:hAnsi="宋体"/>
          <w:szCs w:val="21"/>
        </w:rPr>
        <w:t>16</w:t>
      </w:r>
      <w:r>
        <w:rPr>
          <w:rFonts w:hint="eastAsia" w:ascii="宋体" w:hAnsi="宋体"/>
          <w:b/>
          <w:szCs w:val="21"/>
        </w:rPr>
        <w:t>）</w:t>
      </w:r>
      <w:r>
        <w:rPr>
          <w:rFonts w:hint="eastAsia" w:ascii="宋体" w:hAnsi="宋体"/>
          <w:szCs w:val="21"/>
        </w:rPr>
        <w:t>节能环保产品或政府强制采购节能产品清单证书</w:t>
      </w:r>
      <w:r>
        <w:rPr>
          <w:rFonts w:hint="eastAsia" w:ascii="宋体" w:hAnsi="宋体"/>
          <w:b/>
          <w:szCs w:val="21"/>
        </w:rPr>
        <w:t>；</w:t>
      </w:r>
    </w:p>
    <w:p>
      <w:pPr>
        <w:snapToGrid w:val="0"/>
        <w:spacing w:line="360" w:lineRule="exact"/>
        <w:ind w:firstLine="411" w:firstLineChars="196"/>
        <w:jc w:val="left"/>
        <w:rPr>
          <w:rFonts w:hint="eastAsia" w:ascii="宋体" w:hAnsi="宋体"/>
          <w:szCs w:val="21"/>
        </w:rPr>
      </w:pPr>
      <w:r>
        <w:rPr>
          <w:rFonts w:hint="eastAsia" w:ascii="宋体" w:hAnsi="宋体"/>
          <w:szCs w:val="21"/>
        </w:rPr>
        <w:t>（17）投标人质量管理和质量保证体系等方面的认证证书；</w:t>
      </w:r>
    </w:p>
    <w:p>
      <w:pPr>
        <w:snapToGrid w:val="0"/>
        <w:spacing w:line="360" w:lineRule="exact"/>
        <w:ind w:firstLine="411" w:firstLineChars="196"/>
        <w:jc w:val="left"/>
        <w:rPr>
          <w:rFonts w:hint="eastAsia" w:ascii="宋体" w:hAnsi="宋体"/>
          <w:szCs w:val="21"/>
        </w:rPr>
      </w:pPr>
      <w:r>
        <w:rPr>
          <w:rFonts w:hint="eastAsia" w:ascii="宋体" w:hAnsi="宋体"/>
          <w:szCs w:val="21"/>
        </w:rPr>
        <w:t>（18）投标人认为可以证明其能力或业绩的其他材料；</w:t>
      </w:r>
    </w:p>
    <w:p>
      <w:pPr>
        <w:snapToGrid w:val="0"/>
        <w:spacing w:line="360" w:lineRule="exact"/>
        <w:ind w:firstLine="411" w:firstLineChars="196"/>
        <w:jc w:val="left"/>
        <w:rPr>
          <w:rFonts w:hint="eastAsia" w:ascii="宋体" w:hAnsi="宋体"/>
          <w:szCs w:val="21"/>
        </w:rPr>
      </w:pPr>
      <w:r>
        <w:rPr>
          <w:rFonts w:hint="eastAsia" w:ascii="宋体" w:hAnsi="宋体"/>
          <w:szCs w:val="21"/>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ascii="宋体" w:hAnsi="宋体"/>
          <w:szCs w:val="21"/>
        </w:rPr>
      </w:pPr>
      <w:r>
        <w:rPr>
          <w:rFonts w:hint="eastAsia" w:ascii="宋体" w:hAnsi="宋体"/>
          <w:szCs w:val="21"/>
        </w:rPr>
        <w:t>（20）投标人情况介绍。</w:t>
      </w:r>
    </w:p>
    <w:p>
      <w:pPr>
        <w:snapToGrid w:val="0"/>
        <w:spacing w:line="360" w:lineRule="exact"/>
        <w:ind w:firstLine="411" w:firstLineChars="196"/>
        <w:jc w:val="left"/>
        <w:rPr>
          <w:rFonts w:hint="eastAsia" w:ascii="宋体" w:hAnsi="宋体"/>
          <w:b/>
          <w:szCs w:val="21"/>
        </w:rPr>
      </w:pPr>
      <w:r>
        <w:rPr>
          <w:rFonts w:hint="eastAsia" w:ascii="宋体" w:hAnsi="宋体"/>
          <w:b/>
          <w:szCs w:val="21"/>
        </w:rPr>
        <w:t>3.技术文件</w:t>
      </w:r>
    </w:p>
    <w:p>
      <w:pPr>
        <w:snapToGrid w:val="0"/>
        <w:spacing w:line="360" w:lineRule="exact"/>
        <w:ind w:firstLine="420" w:firstLineChars="200"/>
        <w:jc w:val="left"/>
        <w:rPr>
          <w:rFonts w:hint="eastAsia"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hint="eastAsia" w:ascii="宋体" w:hAnsi="宋体"/>
          <w:szCs w:val="21"/>
        </w:rPr>
      </w:pPr>
      <w:r>
        <w:rPr>
          <w:rFonts w:hint="eastAsia" w:ascii="宋体" w:hAnsi="宋体"/>
          <w:szCs w:val="21"/>
        </w:rPr>
        <w:t>（2）</w:t>
      </w:r>
      <w:r>
        <w:rPr>
          <w:rFonts w:hint="eastAsia" w:ascii="宋体" w:hAnsi="宋体"/>
          <w:b/>
          <w:szCs w:val="21"/>
        </w:rPr>
        <w:t>技术响应表（</w:t>
      </w:r>
      <w:r>
        <w:rPr>
          <w:rFonts w:hint="eastAsia" w:ascii="宋体" w:hAnsi="宋体"/>
          <w:b/>
          <w:szCs w:val="21"/>
          <w:u w:val="single"/>
        </w:rPr>
        <w:t>必须提供</w:t>
      </w:r>
      <w:r>
        <w:rPr>
          <w:rFonts w:hint="eastAsia" w:ascii="宋体" w:hAnsi="宋体"/>
          <w:b/>
          <w:szCs w:val="21"/>
        </w:rPr>
        <w:t>）；</w:t>
      </w:r>
    </w:p>
    <w:p>
      <w:pPr>
        <w:snapToGrid w:val="0"/>
        <w:spacing w:line="360" w:lineRule="exact"/>
        <w:ind w:firstLine="420" w:firstLineChars="200"/>
        <w:jc w:val="left"/>
        <w:rPr>
          <w:rFonts w:hint="eastAsia"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hint="eastAsia" w:ascii="宋体" w:hAnsi="宋体"/>
          <w:szCs w:val="21"/>
        </w:rPr>
      </w:pPr>
      <w:r>
        <w:rPr>
          <w:rFonts w:hint="eastAsia" w:ascii="宋体" w:hAnsi="宋体"/>
          <w:szCs w:val="21"/>
        </w:rPr>
        <w:t>（4）</w:t>
      </w:r>
      <w:r>
        <w:rPr>
          <w:rFonts w:hint="eastAsia"/>
          <w:b/>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w:t>
      </w:r>
      <w:r>
        <w:rPr>
          <w:rFonts w:hint="eastAsia" w:ascii="宋体" w:hAnsi="宋体"/>
          <w:b/>
          <w:szCs w:val="21"/>
          <w:u w:val="single"/>
        </w:rPr>
        <w:t>格式自拟,必须提供</w:t>
      </w:r>
      <w:r>
        <w:rPr>
          <w:rFonts w:hint="eastAsia" w:ascii="宋体" w:hAnsi="宋体"/>
          <w:b/>
          <w:szCs w:val="21"/>
        </w:rPr>
        <w:t>)</w:t>
      </w:r>
      <w:r>
        <w:rPr>
          <w:rFonts w:hint="eastAsia" w:ascii="宋体" w:hAnsi="宋体"/>
          <w:szCs w:val="21"/>
        </w:rPr>
        <w:t>；</w:t>
      </w:r>
    </w:p>
    <w:p>
      <w:pPr>
        <w:snapToGrid w:val="0"/>
        <w:spacing w:line="360" w:lineRule="exact"/>
        <w:ind w:firstLine="420" w:firstLineChars="200"/>
        <w:jc w:val="left"/>
        <w:rPr>
          <w:rFonts w:hint="eastAsia"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hint="eastAsia" w:ascii="宋体" w:hAnsi="宋体"/>
          <w:szCs w:val="21"/>
        </w:rPr>
      </w:pPr>
      <w:r>
        <w:rPr>
          <w:rFonts w:hint="eastAsia" w:ascii="宋体" w:hAnsi="宋体"/>
          <w:szCs w:val="21"/>
        </w:rPr>
        <w:t>（8）投标人需要说明的其他文件和说明（格式略）；</w:t>
      </w:r>
    </w:p>
    <w:p>
      <w:pPr>
        <w:snapToGrid w:val="0"/>
        <w:spacing w:line="360" w:lineRule="exact"/>
        <w:ind w:firstLine="210" w:firstLineChars="100"/>
        <w:jc w:val="left"/>
        <w:rPr>
          <w:rFonts w:hint="eastAsia" w:ascii="宋体" w:hAnsi="宋体"/>
          <w:szCs w:val="21"/>
        </w:rPr>
      </w:pPr>
      <w:r>
        <w:rPr>
          <w:rFonts w:hint="eastAsia" w:ascii="宋体" w:hAnsi="宋体"/>
          <w:szCs w:val="21"/>
        </w:rPr>
        <w:t>▲（9）招标项目采购需求中要求必须提供的材料。</w:t>
      </w:r>
    </w:p>
    <w:p>
      <w:pPr>
        <w:snapToGrid w:val="0"/>
        <w:spacing w:before="156" w:beforeLines="50" w:line="360" w:lineRule="exact"/>
        <w:ind w:firstLine="411" w:firstLineChars="196"/>
        <w:jc w:val="left"/>
        <w:rPr>
          <w:rFonts w:hint="eastAsia" w:ascii="宋体" w:hAnsi="宋体"/>
          <w:b/>
          <w:szCs w:val="21"/>
        </w:rPr>
      </w:pPr>
      <w:r>
        <w:rPr>
          <w:rFonts w:hint="eastAsia" w:ascii="宋体" w:hAnsi="宋体"/>
          <w:b/>
          <w:szCs w:val="21"/>
        </w:rPr>
        <w:t>4.报价文件：</w:t>
      </w:r>
    </w:p>
    <w:p>
      <w:pPr>
        <w:tabs>
          <w:tab w:val="left" w:pos="3870"/>
          <w:tab w:val="left" w:pos="4085"/>
        </w:tabs>
        <w:snapToGrid w:val="0"/>
        <w:spacing w:line="360" w:lineRule="exact"/>
        <w:ind w:firstLine="420" w:firstLineChars="200"/>
        <w:jc w:val="left"/>
        <w:rPr>
          <w:rFonts w:hint="eastAsia" w:ascii="宋体" w:hAnsi="宋体"/>
          <w:szCs w:val="21"/>
        </w:rPr>
      </w:pPr>
      <w:r>
        <w:rPr>
          <w:rFonts w:hint="eastAsia" w:ascii="宋体" w:hAnsi="宋体"/>
          <w:szCs w:val="21"/>
        </w:rPr>
        <w:t>（1）投标函（格式见第六章</w:t>
      </w:r>
      <w:r>
        <w:rPr>
          <w:rFonts w:ascii="宋体" w:hAnsi="宋体"/>
          <w:szCs w:val="21"/>
          <w:lang w:val="en"/>
        </w:rPr>
        <w:t>，</w:t>
      </w:r>
      <w:r>
        <w:rPr>
          <w:rFonts w:hint="eastAsia" w:ascii="宋体" w:hAnsi="宋体"/>
          <w:b/>
          <w:bCs/>
          <w:szCs w:val="21"/>
        </w:rPr>
        <w:t>必须提供</w:t>
      </w:r>
      <w:r>
        <w:rPr>
          <w:rFonts w:hint="eastAsia" w:ascii="宋体" w:hAnsi="宋体"/>
          <w:szCs w:val="21"/>
        </w:rPr>
        <w:t xml:space="preserve">）； </w:t>
      </w:r>
    </w:p>
    <w:p>
      <w:pPr>
        <w:tabs>
          <w:tab w:val="left" w:pos="3870"/>
          <w:tab w:val="left" w:pos="4085"/>
        </w:tabs>
        <w:snapToGrid w:val="0"/>
        <w:spacing w:line="360" w:lineRule="exact"/>
        <w:ind w:firstLine="420" w:firstLineChars="200"/>
        <w:jc w:val="left"/>
        <w:rPr>
          <w:rFonts w:hint="eastAsia" w:ascii="宋体" w:hAnsi="宋体"/>
          <w:szCs w:val="21"/>
        </w:rPr>
      </w:pPr>
      <w:r>
        <w:rPr>
          <w:rFonts w:hint="eastAsia" w:ascii="宋体" w:hAnsi="宋体"/>
          <w:szCs w:val="21"/>
        </w:rPr>
        <w:t>（2）投标报价明细表（格式见第六章，</w:t>
      </w:r>
      <w:r>
        <w:rPr>
          <w:rFonts w:hint="eastAsia" w:ascii="宋体" w:hAnsi="宋体"/>
          <w:b/>
          <w:bCs/>
          <w:szCs w:val="21"/>
        </w:rPr>
        <w:t>必须提供</w:t>
      </w:r>
      <w:r>
        <w:rPr>
          <w:rFonts w:hint="eastAsia" w:ascii="宋体" w:hAnsi="宋体"/>
          <w:szCs w:val="21"/>
        </w:rPr>
        <w:t>）；</w:t>
      </w:r>
    </w:p>
    <w:p>
      <w:pPr>
        <w:tabs>
          <w:tab w:val="left" w:pos="3870"/>
          <w:tab w:val="left" w:pos="4085"/>
        </w:tabs>
        <w:snapToGrid w:val="0"/>
        <w:spacing w:line="360" w:lineRule="exact"/>
        <w:ind w:firstLine="420" w:firstLineChars="200"/>
        <w:jc w:val="left"/>
        <w:rPr>
          <w:rFonts w:hint="eastAsia" w:ascii="宋体" w:hAnsi="宋体"/>
          <w:szCs w:val="21"/>
        </w:rPr>
      </w:pPr>
      <w:r>
        <w:rPr>
          <w:rFonts w:hint="eastAsia" w:ascii="宋体" w:hAnsi="宋体"/>
          <w:szCs w:val="21"/>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szCs w:val="21"/>
        </w:rPr>
      </w:pPr>
      <w:r>
        <w:rPr>
          <w:rFonts w:hint="eastAsia" w:ascii="宋体" w:hAnsi="宋体"/>
          <w:szCs w:val="21"/>
        </w:rPr>
        <w:t>（4）开标一览表（格式见第六章</w:t>
      </w:r>
      <w:r>
        <w:rPr>
          <w:rFonts w:ascii="宋体" w:hAnsi="宋体"/>
          <w:szCs w:val="21"/>
          <w:lang w:val="en"/>
        </w:rPr>
        <w:t>，</w:t>
      </w:r>
      <w:r>
        <w:rPr>
          <w:rFonts w:hint="eastAsia" w:ascii="宋体" w:hAnsi="宋体"/>
          <w:b/>
          <w:bCs/>
          <w:szCs w:val="21"/>
        </w:rPr>
        <w:t>必须提供</w:t>
      </w:r>
      <w:r>
        <w:rPr>
          <w:rFonts w:hint="eastAsia" w:ascii="宋体" w:hAnsi="宋体"/>
          <w:szCs w:val="21"/>
        </w:rPr>
        <w:t>）。</w:t>
      </w:r>
    </w:p>
    <w:p>
      <w:pPr>
        <w:pStyle w:val="48"/>
        <w:spacing w:line="360" w:lineRule="exact"/>
        <w:ind w:firstLine="420" w:firstLineChars="200"/>
        <w:rPr>
          <w:rFonts w:ascii="宋体" w:hAnsi="宋体"/>
          <w:szCs w:val="21"/>
        </w:rPr>
      </w:pPr>
      <w:bookmarkStart w:id="68" w:name="_Toc254970537"/>
      <w:bookmarkStart w:id="69" w:name="_Toc254970678"/>
      <w:r>
        <w:rPr>
          <w:rFonts w:hint="eastAsia" w:ascii="宋体" w:hAnsi="宋体"/>
          <w:szCs w:val="21"/>
        </w:rPr>
        <w:t>▲</w:t>
      </w:r>
      <w:r>
        <w:rPr>
          <w:rFonts w:hint="eastAsia" w:ascii="宋体" w:hAnsi="宋体"/>
          <w:b/>
          <w:bCs/>
          <w:szCs w:val="21"/>
        </w:rPr>
        <w:t>注：法定代表人授权委托书、投标声明书、投标函、开标一览表必须招标文件格式要求签署和加盖单位公章。</w:t>
      </w:r>
    </w:p>
    <w:p>
      <w:pPr>
        <w:snapToGrid w:val="0"/>
        <w:spacing w:line="360" w:lineRule="exact"/>
        <w:ind w:firstLine="411" w:firstLineChars="196"/>
        <w:jc w:val="left"/>
        <w:outlineLvl w:val="0"/>
        <w:rPr>
          <w:rFonts w:hint="eastAsia" w:ascii="宋体" w:hAnsi="宋体"/>
          <w:b/>
          <w:szCs w:val="21"/>
        </w:rPr>
      </w:pPr>
      <w:bookmarkStart w:id="70" w:name="_Toc40864646"/>
      <w:bookmarkStart w:id="71" w:name="_Toc40865038"/>
      <w:bookmarkStart w:id="72" w:name="_Toc40864922"/>
      <w:r>
        <w:rPr>
          <w:rFonts w:hint="eastAsia" w:ascii="宋体" w:hAnsi="宋体"/>
          <w:b/>
          <w:szCs w:val="21"/>
        </w:rPr>
        <w:t>（二）投标文件的语言及计量</w:t>
      </w:r>
      <w:bookmarkEnd w:id="68"/>
      <w:bookmarkEnd w:id="69"/>
      <w:bookmarkEnd w:id="70"/>
      <w:bookmarkEnd w:id="71"/>
      <w:bookmarkEnd w:id="72"/>
    </w:p>
    <w:p>
      <w:pPr>
        <w:snapToGrid w:val="0"/>
        <w:spacing w:line="360" w:lineRule="exact"/>
        <w:ind w:firstLine="420" w:firstLineChars="200"/>
        <w:jc w:val="left"/>
        <w:rPr>
          <w:rFonts w:hint="eastAsia"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1" w:firstLineChars="196"/>
        <w:jc w:val="left"/>
        <w:outlineLvl w:val="0"/>
        <w:rPr>
          <w:rFonts w:hint="eastAsia" w:ascii="宋体" w:hAnsi="宋体"/>
          <w:b/>
          <w:szCs w:val="21"/>
        </w:rPr>
      </w:pPr>
      <w:bookmarkStart w:id="73" w:name="_Toc40864923"/>
      <w:bookmarkStart w:id="74" w:name="_Toc40864647"/>
      <w:bookmarkStart w:id="75" w:name="_Toc254970538"/>
      <w:bookmarkStart w:id="76" w:name="_Toc40865039"/>
      <w:bookmarkStart w:id="77" w:name="_Toc254970679"/>
      <w:r>
        <w:rPr>
          <w:rFonts w:hint="eastAsia" w:ascii="宋体" w:hAnsi="宋体"/>
          <w:b/>
          <w:szCs w:val="21"/>
        </w:rPr>
        <w:t>（三）投标报价</w:t>
      </w:r>
      <w:bookmarkEnd w:id="73"/>
      <w:bookmarkEnd w:id="74"/>
      <w:bookmarkEnd w:id="75"/>
      <w:bookmarkEnd w:id="76"/>
      <w:bookmarkEnd w:id="77"/>
    </w:p>
    <w:p>
      <w:pPr>
        <w:pStyle w:val="29"/>
        <w:snapToGrid w:val="0"/>
        <w:spacing w:line="360" w:lineRule="exact"/>
        <w:ind w:firstLine="420" w:firstLineChars="200"/>
        <w:jc w:val="left"/>
        <w:rPr>
          <w:rFonts w:hAnsi="宋体"/>
          <w:b/>
          <w:bCs/>
        </w:rPr>
      </w:pPr>
      <w:r>
        <w:rPr>
          <w:rFonts w:hint="eastAsia" w:hAnsi="宋体"/>
        </w:rPr>
        <w:t>1.投标报价应按招标文件中相关附表格式填写。</w:t>
      </w:r>
      <w:r>
        <w:rPr>
          <w:rFonts w:hint="eastAsia" w:hAnsi="宋体"/>
          <w:b/>
          <w:bCs/>
        </w:rPr>
        <w:t>投标人可就《招标项目采购需求》中的货物和服务内容作完整唯一报价。</w:t>
      </w:r>
    </w:p>
    <w:p>
      <w:pPr>
        <w:pStyle w:val="29"/>
        <w:snapToGrid w:val="0"/>
        <w:spacing w:line="360" w:lineRule="exact"/>
        <w:ind w:firstLine="420" w:firstLineChars="200"/>
        <w:jc w:val="left"/>
        <w:rPr>
          <w:rFonts w:hint="eastAsia" w:hAnsi="宋体"/>
        </w:rPr>
      </w:pPr>
      <w:r>
        <w:rPr>
          <w:rFonts w:hint="eastAsia" w:hAnsi="宋体"/>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szCs w:val="21"/>
        </w:rPr>
      </w:pPr>
      <w:r>
        <w:rPr>
          <w:rFonts w:hint="eastAsia" w:ascii="宋体" w:hAnsi="宋体"/>
          <w:szCs w:val="21"/>
        </w:rPr>
        <w:t>3.投标文件只允许有一个报价，有选择的或有条件的报价将不予接受。</w:t>
      </w:r>
    </w:p>
    <w:p>
      <w:pPr>
        <w:pStyle w:val="15"/>
        <w:widowControl w:val="0"/>
        <w:tabs>
          <w:tab w:val="clear" w:pos="454"/>
        </w:tabs>
        <w:snapToGrid w:val="0"/>
        <w:spacing w:before="156" w:beforeLines="50" w:after="120" w:afterLines="0" w:line="360" w:lineRule="exact"/>
        <w:ind w:left="0" w:firstLine="411" w:firstLineChars="196"/>
        <w:outlineLvl w:val="0"/>
        <w:rPr>
          <w:rFonts w:hint="eastAsia" w:ascii="宋体" w:hAnsi="宋体"/>
          <w:b/>
          <w:sz w:val="21"/>
          <w:szCs w:val="21"/>
        </w:rPr>
      </w:pPr>
      <w:bookmarkStart w:id="78" w:name="_Toc40864924"/>
      <w:bookmarkStart w:id="79" w:name="_Toc40865040"/>
      <w:bookmarkStart w:id="80" w:name="_Toc40864648"/>
      <w:r>
        <w:rPr>
          <w:rFonts w:hint="eastAsia" w:ascii="宋体" w:hAnsi="宋体"/>
          <w:b/>
          <w:sz w:val="21"/>
          <w:szCs w:val="21"/>
        </w:rPr>
        <w:t>（四）投标文件的有效期</w:t>
      </w:r>
      <w:bookmarkEnd w:id="78"/>
      <w:bookmarkEnd w:id="79"/>
      <w:bookmarkEnd w:id="80"/>
    </w:p>
    <w:p>
      <w:pPr>
        <w:pStyle w:val="15"/>
        <w:widowControl w:val="0"/>
        <w:tabs>
          <w:tab w:val="clear" w:pos="454"/>
        </w:tabs>
        <w:snapToGrid w:val="0"/>
        <w:spacing w:after="120" w:afterLines="0" w:line="360" w:lineRule="exact"/>
        <w:ind w:left="0" w:firstLine="420" w:firstLineChars="200"/>
        <w:rPr>
          <w:rFonts w:hint="eastAsia" w:ascii="宋体" w:hAnsi="宋体"/>
          <w:sz w:val="21"/>
          <w:szCs w:val="21"/>
        </w:rPr>
      </w:pPr>
      <w:r>
        <w:rPr>
          <w:rFonts w:hint="eastAsia" w:ascii="宋体" w:hAnsi="宋体"/>
          <w:sz w:val="21"/>
          <w:szCs w:val="21"/>
        </w:rPr>
        <w:t>1.自投标截止日起</w:t>
      </w:r>
      <w:r>
        <w:rPr>
          <w:rFonts w:hint="eastAsia" w:ascii="宋体" w:hAnsi="宋体"/>
          <w:sz w:val="21"/>
          <w:szCs w:val="21"/>
          <w:u w:val="single"/>
        </w:rPr>
        <w:t>60</w:t>
      </w:r>
      <w:r>
        <w:rPr>
          <w:rFonts w:hint="eastAsia" w:ascii="宋体" w:hAnsi="宋体"/>
          <w:sz w:val="21"/>
          <w:szCs w:val="21"/>
        </w:rPr>
        <w:t>天投标文件应保持有效。有效期不足的投标文件将被拒绝。</w:t>
      </w:r>
    </w:p>
    <w:p>
      <w:pPr>
        <w:pStyle w:val="15"/>
        <w:widowControl w:val="0"/>
        <w:tabs>
          <w:tab w:val="clear" w:pos="454"/>
        </w:tabs>
        <w:snapToGrid w:val="0"/>
        <w:spacing w:after="120" w:afterLines="0" w:line="360" w:lineRule="exact"/>
        <w:ind w:left="0" w:firstLine="420" w:firstLineChars="200"/>
        <w:rPr>
          <w:rFonts w:hint="eastAsia"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szCs w:val="21"/>
        </w:rPr>
      </w:pPr>
      <w:bookmarkStart w:id="81" w:name="_Toc254970539"/>
      <w:bookmarkStart w:id="82" w:name="_Toc40864925"/>
      <w:bookmarkStart w:id="83" w:name="_Toc254970680"/>
      <w:bookmarkStart w:id="84" w:name="_Toc40865041"/>
      <w:bookmarkStart w:id="85" w:name="_Toc40864649"/>
      <w:r>
        <w:rPr>
          <w:rFonts w:hint="eastAsia" w:ascii="宋体" w:hAnsi="宋体"/>
          <w:szCs w:val="21"/>
        </w:rPr>
        <w:t>3.投标人可拒绝接受延期要求而不会导致投标保证金被没收。同意延长有效期的投标人需要相应延长投标保证金的有效期，但不能修改投标文件。</w:t>
      </w:r>
      <w:bookmarkEnd w:id="81"/>
      <w:bookmarkEnd w:id="82"/>
      <w:bookmarkEnd w:id="83"/>
      <w:bookmarkEnd w:id="84"/>
      <w:bookmarkEnd w:id="85"/>
      <w:r>
        <w:rPr>
          <w:rFonts w:hint="eastAsia" w:ascii="宋体" w:hAnsi="宋体"/>
          <w:b/>
          <w:szCs w:val="21"/>
        </w:rPr>
        <w:t xml:space="preserve"> </w:t>
      </w:r>
    </w:p>
    <w:p>
      <w:pPr>
        <w:snapToGrid w:val="0"/>
        <w:spacing w:line="360" w:lineRule="exact"/>
        <w:ind w:firstLine="420" w:firstLineChars="200"/>
        <w:jc w:val="left"/>
        <w:outlineLvl w:val="0"/>
        <w:rPr>
          <w:rFonts w:hint="eastAsia" w:ascii="宋体" w:hAnsi="宋体"/>
          <w:b/>
          <w:szCs w:val="21"/>
        </w:rPr>
      </w:pPr>
      <w:bookmarkStart w:id="86" w:name="_Toc40864650"/>
      <w:bookmarkStart w:id="87" w:name="_Toc40864926"/>
      <w:bookmarkStart w:id="88" w:name="_Toc254970540"/>
      <w:bookmarkStart w:id="89" w:name="_Toc254970681"/>
      <w:bookmarkStart w:id="90" w:name="_Toc40865042"/>
      <w:r>
        <w:rPr>
          <w:rFonts w:hint="eastAsia" w:ascii="宋体" w:hAnsi="宋体"/>
          <w:szCs w:val="21"/>
        </w:rPr>
        <w:t>4.中标人的投标文件自开标之日起至合同履行完毕止均应保持有效。</w:t>
      </w:r>
      <w:bookmarkEnd w:id="86"/>
      <w:bookmarkEnd w:id="87"/>
      <w:bookmarkEnd w:id="88"/>
      <w:bookmarkEnd w:id="89"/>
      <w:bookmarkEnd w:id="90"/>
    </w:p>
    <w:p>
      <w:pPr>
        <w:snapToGrid w:val="0"/>
        <w:spacing w:before="156" w:beforeLines="50" w:line="360" w:lineRule="exact"/>
        <w:ind w:firstLine="411" w:firstLineChars="196"/>
        <w:jc w:val="left"/>
        <w:outlineLvl w:val="0"/>
        <w:rPr>
          <w:rFonts w:hint="eastAsia" w:ascii="宋体" w:hAnsi="宋体"/>
          <w:b/>
          <w:szCs w:val="21"/>
        </w:rPr>
      </w:pPr>
      <w:bookmarkStart w:id="91" w:name="_Toc40865043"/>
      <w:bookmarkStart w:id="92" w:name="_Toc40864927"/>
      <w:bookmarkStart w:id="93" w:name="_Toc254970541"/>
      <w:bookmarkStart w:id="94" w:name="_Toc40864651"/>
      <w:bookmarkStart w:id="95" w:name="_Toc254970682"/>
      <w:r>
        <w:rPr>
          <w:rFonts w:hint="eastAsia" w:ascii="宋体" w:hAnsi="宋体"/>
          <w:b/>
          <w:szCs w:val="21"/>
        </w:rPr>
        <w:t>（五）投标保证金</w:t>
      </w:r>
      <w:bookmarkEnd w:id="91"/>
      <w:bookmarkEnd w:id="92"/>
      <w:bookmarkEnd w:id="93"/>
      <w:bookmarkEnd w:id="94"/>
      <w:bookmarkEnd w:id="95"/>
    </w:p>
    <w:p>
      <w:pPr>
        <w:pStyle w:val="29"/>
        <w:spacing w:line="420" w:lineRule="exact"/>
        <w:ind w:left="840" w:leftChars="200" w:hanging="420" w:hangingChars="200"/>
        <w:rPr>
          <w:rFonts w:hint="eastAsia" w:hAnsi="宋体"/>
        </w:rPr>
      </w:pPr>
      <w:r>
        <w:rPr>
          <w:rFonts w:hint="eastAsia" w:hAnsi="宋体"/>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szCs w:val="21"/>
        </w:rPr>
      </w:pPr>
      <w:r>
        <w:rPr>
          <w:rFonts w:hint="eastAsia" w:ascii="宋体" w:hAnsi="宋体"/>
          <w:szCs w:val="21"/>
        </w:rPr>
        <w:t>2.保证金交纳形式：</w:t>
      </w:r>
      <w:r>
        <w:rPr>
          <w:rFonts w:hint="eastAsia" w:hAnsi="宋体"/>
          <w:szCs w:val="21"/>
        </w:rPr>
        <w:t>支票、汇票、本票、</w:t>
      </w:r>
      <w:r>
        <w:rPr>
          <w:rFonts w:hint="eastAsia" w:hAnsi="宋体" w:cs="Arial"/>
          <w:bCs/>
        </w:rPr>
        <w:t>网上银行</w:t>
      </w:r>
      <w:r>
        <w:rPr>
          <w:rFonts w:hint="eastAsia" w:hAnsi="宋体"/>
          <w:szCs w:val="22"/>
        </w:rPr>
        <w:t>或者银行、保险机构出具的保函</w:t>
      </w:r>
      <w:r>
        <w:rPr>
          <w:rFonts w:hint="eastAsia" w:hAnsi="宋体"/>
          <w:szCs w:val="21"/>
        </w:rPr>
        <w:t>等非现金形式提交</w:t>
      </w:r>
      <w:r>
        <w:rPr>
          <w:rFonts w:hint="eastAsia" w:ascii="宋体" w:hAnsi="宋体"/>
          <w:szCs w:val="21"/>
        </w:rPr>
        <w:t>。</w:t>
      </w:r>
    </w:p>
    <w:p>
      <w:pPr>
        <w:snapToGrid w:val="0"/>
        <w:spacing w:line="360" w:lineRule="exact"/>
        <w:ind w:firstLine="420" w:firstLineChars="200"/>
        <w:jc w:val="left"/>
        <w:rPr>
          <w:rFonts w:hint="eastAsia" w:ascii="宋体" w:hAnsi="宋体"/>
          <w:szCs w:val="21"/>
        </w:rPr>
      </w:pPr>
      <w:r>
        <w:rPr>
          <w:rFonts w:hint="eastAsia" w:ascii="宋体" w:hAnsi="宋体"/>
          <w:szCs w:val="21"/>
        </w:rPr>
        <w:t>3.</w:t>
      </w:r>
      <w:r>
        <w:rPr>
          <w:rFonts w:ascii="宋体" w:hAnsi="宋体"/>
          <w:szCs w:val="21"/>
        </w:rPr>
        <w:t xml:space="preserve"> 投标人应按本须知</w:t>
      </w:r>
      <w:r>
        <w:rPr>
          <w:rFonts w:hint="eastAsia" w:ascii="宋体" w:hAnsi="宋体"/>
          <w:szCs w:val="21"/>
        </w:rPr>
        <w:t>及</w:t>
      </w:r>
      <w:r>
        <w:rPr>
          <w:rFonts w:ascii="宋体" w:hAnsi="宋体"/>
          <w:szCs w:val="21"/>
        </w:rPr>
        <w:t>招标公告中所明确的开户名称、开户银行、账号，于投标截止前交到本中心账户上</w:t>
      </w:r>
      <w:r>
        <w:rPr>
          <w:rFonts w:hint="eastAsia" w:ascii="宋体" w:hAnsi="宋体"/>
          <w:szCs w:val="21"/>
        </w:rPr>
        <w:t>或本中心财务处</w:t>
      </w:r>
      <w:r>
        <w:rPr>
          <w:rFonts w:ascii="宋体" w:hAnsi="宋体"/>
          <w:szCs w:val="21"/>
        </w:rPr>
        <w:t>（投标人交纳投标保证金时应充分考虑保证金到达本中心账户上的</w:t>
      </w:r>
      <w:r>
        <w:rPr>
          <w:rFonts w:hint="eastAsia" w:ascii="宋体" w:hAnsi="宋体"/>
          <w:szCs w:val="21"/>
        </w:rPr>
        <w:t>清算</w:t>
      </w:r>
      <w:r>
        <w:rPr>
          <w:rFonts w:ascii="宋体" w:hAnsi="宋体"/>
          <w:szCs w:val="21"/>
        </w:rPr>
        <w:t>时间）。</w:t>
      </w:r>
    </w:p>
    <w:p>
      <w:pPr>
        <w:pStyle w:val="29"/>
        <w:spacing w:line="420" w:lineRule="exact"/>
        <w:ind w:left="988" w:leftChars="301" w:hanging="356" w:hangingChars="198"/>
        <w:rPr>
          <w:rFonts w:hint="eastAsia"/>
          <w:b/>
          <w:sz w:val="18"/>
          <w:szCs w:val="18"/>
        </w:rPr>
      </w:pPr>
      <w:r>
        <w:rPr>
          <w:rFonts w:hint="eastAsia" w:hAnsi="宋体"/>
          <w:b/>
          <w:sz w:val="18"/>
          <w:szCs w:val="18"/>
        </w:rPr>
        <w:t>注：①</w:t>
      </w:r>
      <w:r>
        <w:rPr>
          <w:rFonts w:hint="eastAsia"/>
          <w:b/>
          <w:sz w:val="18"/>
          <w:szCs w:val="18"/>
        </w:rPr>
        <w:t>办理投标保证金手续时，请务必在保证金凭据上注明或写明项目名称及项目编号，以免耽误投标。</w:t>
      </w:r>
    </w:p>
    <w:p>
      <w:pPr>
        <w:snapToGrid w:val="0"/>
        <w:spacing w:line="360" w:lineRule="exact"/>
        <w:ind w:firstLine="980" w:firstLineChars="545"/>
        <w:jc w:val="left"/>
        <w:rPr>
          <w:rFonts w:hint="eastAsia" w:hAnsi="宋体"/>
          <w:b/>
          <w:sz w:val="18"/>
          <w:szCs w:val="18"/>
        </w:rPr>
      </w:pPr>
      <w:r>
        <w:rPr>
          <w:rFonts w:hint="eastAsia" w:hAnsi="宋体"/>
          <w:b/>
          <w:sz w:val="18"/>
          <w:szCs w:val="18"/>
        </w:rPr>
        <w:t>②</w:t>
      </w:r>
      <w:r>
        <w:rPr>
          <w:rFonts w:hint="eastAsia" w:ascii="宋体" w:hAnsi="宋体"/>
          <w:b/>
          <w:sz w:val="18"/>
          <w:szCs w:val="18"/>
        </w:rPr>
        <w:t>未中标人的投标保证金在中标通知书发出后5个工作日内退还，</w:t>
      </w:r>
      <w:r>
        <w:rPr>
          <w:rFonts w:hint="eastAsia" w:hAnsi="宋体"/>
          <w:b/>
          <w:sz w:val="18"/>
          <w:szCs w:val="18"/>
        </w:rPr>
        <w:t>不计利息。</w:t>
      </w:r>
    </w:p>
    <w:p>
      <w:pPr>
        <w:snapToGrid w:val="0"/>
        <w:spacing w:line="360" w:lineRule="exact"/>
        <w:ind w:firstLine="980" w:firstLineChars="545"/>
        <w:jc w:val="left"/>
        <w:rPr>
          <w:rFonts w:hint="eastAsia" w:ascii="宋体" w:hAnsi="宋体"/>
          <w:b/>
          <w:sz w:val="18"/>
          <w:szCs w:val="18"/>
        </w:rPr>
      </w:pPr>
      <w:r>
        <w:rPr>
          <w:rFonts w:hint="eastAsia" w:hAnsi="宋体"/>
          <w:b/>
          <w:sz w:val="18"/>
          <w:szCs w:val="18"/>
        </w:rPr>
        <w:t>③</w:t>
      </w:r>
      <w:r>
        <w:rPr>
          <w:rFonts w:hint="eastAsia" w:ascii="宋体" w:hAnsi="宋体"/>
          <w:b/>
          <w:sz w:val="18"/>
          <w:szCs w:val="18"/>
        </w:rPr>
        <w:t>中标人的</w:t>
      </w:r>
      <w:r>
        <w:rPr>
          <w:rFonts w:ascii="宋体" w:hAnsi="宋体"/>
          <w:b/>
          <w:sz w:val="18"/>
          <w:szCs w:val="18"/>
        </w:rPr>
        <w:t>投标保证金自政府采购合同签订之日起</w:t>
      </w:r>
      <w:r>
        <w:rPr>
          <w:rFonts w:hint="eastAsia" w:ascii="宋体" w:hAnsi="宋体"/>
          <w:b/>
          <w:sz w:val="18"/>
          <w:szCs w:val="18"/>
        </w:rPr>
        <w:t>5</w:t>
      </w:r>
      <w:r>
        <w:rPr>
          <w:rFonts w:ascii="宋体" w:hAnsi="宋体"/>
          <w:b/>
          <w:sz w:val="18"/>
          <w:szCs w:val="18"/>
        </w:rPr>
        <w:t>个工作日内</w:t>
      </w:r>
      <w:r>
        <w:rPr>
          <w:rFonts w:hint="eastAsia" w:ascii="宋体" w:hAnsi="宋体"/>
          <w:b/>
          <w:sz w:val="18"/>
          <w:szCs w:val="18"/>
        </w:rPr>
        <w:t>（合同签订后送达本中心)后</w:t>
      </w:r>
      <w:r>
        <w:rPr>
          <w:rFonts w:ascii="宋体" w:hAnsi="宋体"/>
          <w:b/>
          <w:sz w:val="18"/>
          <w:szCs w:val="18"/>
        </w:rPr>
        <w:t>退还</w:t>
      </w:r>
      <w:r>
        <w:rPr>
          <w:rFonts w:hint="eastAsia" w:ascii="宋体" w:hAnsi="宋体"/>
          <w:b/>
          <w:sz w:val="18"/>
          <w:szCs w:val="18"/>
        </w:rPr>
        <w:t>，不计利息。</w:t>
      </w:r>
    </w:p>
    <w:p>
      <w:pPr>
        <w:spacing w:line="400" w:lineRule="exact"/>
        <w:ind w:firstLine="420" w:firstLineChars="200"/>
        <w:rPr>
          <w:rFonts w:hint="eastAsia" w:ascii="宋体" w:hAnsi="宋体"/>
          <w:b/>
          <w:sz w:val="18"/>
          <w:szCs w:val="18"/>
        </w:rPr>
      </w:pPr>
      <w:r>
        <w:rPr>
          <w:rFonts w:hint="eastAsia" w:ascii="宋体" w:hAnsi="宋体"/>
          <w:szCs w:val="21"/>
        </w:rPr>
        <w:t>4.本项目保证金事宜请联系中心财务处（电话：0771-8600309，地址：</w:t>
      </w:r>
      <w:r>
        <w:rPr>
          <w:rFonts w:hAnsi="宋体" w:cs="宋体"/>
          <w:bCs/>
          <w:kern w:val="0"/>
          <w:szCs w:val="21"/>
          <w:lang w:val="en"/>
        </w:rPr>
        <w:t>广西南宁市星湖路22号广西壮族自治区政府采购中心综合楼3楼306室</w:t>
      </w:r>
      <w:r>
        <w:rPr>
          <w:rFonts w:hint="eastAsia" w:ascii="宋体" w:hAnsi="宋体"/>
          <w:szCs w:val="21"/>
        </w:rPr>
        <w:t>）。</w:t>
      </w:r>
    </w:p>
    <w:p>
      <w:pPr>
        <w:snapToGrid w:val="0"/>
        <w:spacing w:line="360" w:lineRule="exact"/>
        <w:ind w:firstLine="420" w:firstLineChars="200"/>
        <w:jc w:val="left"/>
        <w:rPr>
          <w:rFonts w:hint="eastAsia" w:ascii="宋体" w:hAnsi="宋体"/>
          <w:szCs w:val="21"/>
        </w:rPr>
      </w:pPr>
      <w:r>
        <w:rPr>
          <w:rFonts w:hint="eastAsia" w:ascii="宋体" w:hAnsi="宋体"/>
          <w:szCs w:val="21"/>
        </w:rPr>
        <w:t xml:space="preserve">5. </w:t>
      </w:r>
      <w:r>
        <w:rPr>
          <w:rFonts w:ascii="宋体" w:hAnsi="宋体" w:cs="宋体"/>
          <w:kern w:val="0"/>
          <w:szCs w:val="21"/>
        </w:rPr>
        <w:t>中标人</w:t>
      </w:r>
      <w:r>
        <w:rPr>
          <w:rFonts w:ascii="宋体" w:hAnsi="宋体" w:cs="宋体"/>
          <w:b/>
          <w:bCs/>
          <w:kern w:val="0"/>
          <w:szCs w:val="21"/>
        </w:rPr>
        <w:t>应在中标通知书发出</w:t>
      </w:r>
      <w:r>
        <w:rPr>
          <w:rFonts w:hint="eastAsia" w:ascii="宋体" w:hAnsi="宋体" w:cs="宋体"/>
          <w:b/>
          <w:bCs/>
          <w:kern w:val="0"/>
          <w:szCs w:val="21"/>
        </w:rPr>
        <w:t>之日起</w:t>
      </w:r>
      <w:r>
        <w:rPr>
          <w:rFonts w:hint="eastAsia" w:ascii="宋体" w:hAnsi="宋体" w:cs="宋体"/>
          <w:b/>
          <w:bCs/>
          <w:kern w:val="0"/>
          <w:szCs w:val="21"/>
          <w:u w:val="single"/>
        </w:rPr>
        <w:t xml:space="preserve">   </w:t>
      </w:r>
      <w:r>
        <w:rPr>
          <w:rFonts w:hint="eastAsia" w:ascii="宋体" w:hAnsi="宋体"/>
          <w:b/>
          <w:bCs/>
          <w:szCs w:val="21"/>
          <w:u w:val="single"/>
        </w:rPr>
        <w:t xml:space="preserve">25  </w:t>
      </w:r>
      <w:r>
        <w:rPr>
          <w:rFonts w:hint="eastAsia" w:ascii="宋体" w:hAnsi="宋体"/>
          <w:b/>
          <w:bCs/>
          <w:szCs w:val="21"/>
        </w:rPr>
        <w:t>日内</w:t>
      </w:r>
      <w:r>
        <w:rPr>
          <w:rFonts w:hint="eastAsia" w:ascii="宋体" w:hAnsi="宋体"/>
          <w:szCs w:val="21"/>
        </w:rPr>
        <w:t>与采购人签订合同</w:t>
      </w:r>
      <w:r>
        <w:rPr>
          <w:rFonts w:hint="eastAsia" w:hAnsi="宋体"/>
          <w:b/>
          <w:u w:val="single"/>
        </w:rPr>
        <w:t>（采购需求另有规定的，按采购需求要求执行）</w:t>
      </w:r>
      <w:r>
        <w:rPr>
          <w:rFonts w:hint="eastAsia" w:ascii="宋体" w:hAnsi="宋体"/>
          <w:szCs w:val="21"/>
        </w:rPr>
        <w:t>。</w:t>
      </w:r>
    </w:p>
    <w:p>
      <w:pPr>
        <w:pStyle w:val="29"/>
        <w:spacing w:line="400" w:lineRule="exact"/>
        <w:ind w:firstLine="420" w:firstLineChars="200"/>
        <w:rPr>
          <w:rFonts w:hint="eastAsia" w:hAnsi="宋体"/>
        </w:rPr>
      </w:pPr>
      <w:r>
        <w:rPr>
          <w:rFonts w:hint="eastAsia"/>
        </w:rPr>
        <w:t>6.投标保证金不计息。</w:t>
      </w:r>
    </w:p>
    <w:p>
      <w:pPr>
        <w:snapToGrid w:val="0"/>
        <w:spacing w:line="360" w:lineRule="exact"/>
        <w:ind w:firstLine="411" w:firstLineChars="196"/>
        <w:jc w:val="left"/>
        <w:rPr>
          <w:rFonts w:hint="eastAsia" w:ascii="宋体" w:hAnsi="宋体"/>
          <w:b/>
          <w:bCs/>
          <w:szCs w:val="21"/>
        </w:rPr>
      </w:pPr>
      <w:r>
        <w:rPr>
          <w:rFonts w:hint="eastAsia" w:ascii="宋体" w:hAnsi="宋体"/>
          <w:b/>
          <w:bCs/>
          <w:szCs w:val="21"/>
        </w:rPr>
        <w:t>7.投标人有下列情形之一的，投标保证金将不予退还：</w:t>
      </w:r>
    </w:p>
    <w:p>
      <w:pPr>
        <w:snapToGrid w:val="0"/>
        <w:spacing w:line="360" w:lineRule="exact"/>
        <w:ind w:firstLine="411" w:firstLineChars="196"/>
        <w:jc w:val="left"/>
        <w:rPr>
          <w:rFonts w:hint="eastAsia" w:ascii="宋体" w:hAnsi="宋体"/>
          <w:szCs w:val="21"/>
        </w:rPr>
      </w:pPr>
      <w:r>
        <w:rPr>
          <w:rFonts w:hint="eastAsia" w:ascii="宋体" w:hAnsi="宋体"/>
          <w:b/>
          <w:szCs w:val="21"/>
        </w:rPr>
        <w:t>（1）</w:t>
      </w:r>
      <w:r>
        <w:rPr>
          <w:rFonts w:hint="eastAsia" w:ascii="宋体" w:hAnsi="宋体"/>
          <w:szCs w:val="21"/>
        </w:rPr>
        <w:t>投标人在投标有效期内撤回投标文件的；</w:t>
      </w:r>
    </w:p>
    <w:p>
      <w:pPr>
        <w:snapToGrid w:val="0"/>
        <w:spacing w:line="360" w:lineRule="exact"/>
        <w:ind w:firstLine="411" w:firstLineChars="196"/>
        <w:jc w:val="left"/>
        <w:rPr>
          <w:rFonts w:hint="eastAsia" w:ascii="宋体" w:hAnsi="宋体"/>
          <w:szCs w:val="21"/>
        </w:rPr>
      </w:pPr>
      <w:r>
        <w:rPr>
          <w:rFonts w:hint="eastAsia" w:ascii="宋体" w:hAnsi="宋体"/>
          <w:b/>
          <w:szCs w:val="21"/>
        </w:rPr>
        <w:t>（2）</w:t>
      </w:r>
      <w:r>
        <w:rPr>
          <w:rFonts w:hint="eastAsia" w:ascii="宋体" w:hAnsi="宋体"/>
          <w:szCs w:val="21"/>
        </w:rPr>
        <w:t>投标人在投标过程中弄虚作假，提供虚假材料的；</w:t>
      </w:r>
    </w:p>
    <w:p>
      <w:pPr>
        <w:snapToGrid w:val="0"/>
        <w:spacing w:line="360" w:lineRule="exact"/>
        <w:ind w:firstLine="411" w:firstLineChars="196"/>
        <w:jc w:val="left"/>
        <w:rPr>
          <w:rFonts w:hint="eastAsia" w:ascii="宋体" w:hAnsi="宋体"/>
          <w:szCs w:val="21"/>
        </w:rPr>
      </w:pPr>
      <w:r>
        <w:rPr>
          <w:rFonts w:hint="eastAsia" w:ascii="宋体" w:hAnsi="宋体"/>
          <w:b/>
          <w:szCs w:val="21"/>
        </w:rPr>
        <w:t>（3）</w:t>
      </w:r>
      <w:r>
        <w:rPr>
          <w:rFonts w:hint="eastAsia" w:ascii="宋体" w:hAnsi="宋体"/>
          <w:szCs w:val="21"/>
        </w:rPr>
        <w:t>中标人无正当理由不与采购人签订合同的；</w:t>
      </w:r>
    </w:p>
    <w:p>
      <w:pPr>
        <w:snapToGrid w:val="0"/>
        <w:spacing w:line="360" w:lineRule="exact"/>
        <w:ind w:firstLine="411" w:firstLineChars="196"/>
        <w:rPr>
          <w:rFonts w:hint="eastAsia" w:ascii="宋体" w:hAnsi="宋体"/>
          <w:szCs w:val="21"/>
        </w:rPr>
      </w:pPr>
      <w:r>
        <w:rPr>
          <w:rFonts w:hint="eastAsia" w:ascii="宋体" w:hAnsi="宋体"/>
          <w:b/>
          <w:szCs w:val="21"/>
        </w:rPr>
        <w:t>（4）</w:t>
      </w:r>
      <w:r>
        <w:rPr>
          <w:rFonts w:hint="eastAsia" w:ascii="宋体" w:hAnsi="宋体"/>
          <w:bCs/>
          <w:spacing w:val="-4"/>
          <w:szCs w:val="21"/>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szCs w:val="21"/>
        </w:rPr>
      </w:pPr>
      <w:r>
        <w:rPr>
          <w:rFonts w:hint="eastAsia" w:ascii="宋体" w:hAnsi="宋体"/>
          <w:b/>
          <w:szCs w:val="21"/>
        </w:rPr>
        <w:t>（5）</w:t>
      </w:r>
      <w:r>
        <w:rPr>
          <w:rFonts w:hint="eastAsia" w:ascii="宋体" w:hAnsi="宋体"/>
          <w:szCs w:val="21"/>
        </w:rPr>
        <w:t>拒绝履行合同义务的；</w:t>
      </w:r>
    </w:p>
    <w:p>
      <w:pPr>
        <w:snapToGrid w:val="0"/>
        <w:spacing w:line="360" w:lineRule="exact"/>
        <w:ind w:firstLine="420" w:firstLineChars="200"/>
        <w:rPr>
          <w:rFonts w:hint="eastAsia" w:ascii="宋体" w:hAnsi="宋体"/>
          <w:szCs w:val="21"/>
        </w:rPr>
      </w:pPr>
      <w:r>
        <w:rPr>
          <w:rFonts w:hint="eastAsia" w:ascii="宋体" w:hAnsi="宋体"/>
          <w:szCs w:val="21"/>
        </w:rPr>
        <w:t>（6）其他严重扰乱招投标程序的。</w:t>
      </w:r>
    </w:p>
    <w:p>
      <w:pPr>
        <w:snapToGrid w:val="0"/>
        <w:spacing w:before="156" w:beforeLines="50" w:line="360" w:lineRule="exact"/>
        <w:ind w:firstLine="411" w:firstLineChars="196"/>
        <w:jc w:val="left"/>
        <w:outlineLvl w:val="0"/>
        <w:rPr>
          <w:rFonts w:hint="eastAsia" w:ascii="宋体" w:hAnsi="宋体"/>
          <w:b/>
          <w:szCs w:val="21"/>
        </w:rPr>
      </w:pPr>
      <w:bookmarkStart w:id="96" w:name="_Toc254970542"/>
      <w:bookmarkStart w:id="97" w:name="_Toc40865044"/>
      <w:bookmarkStart w:id="98" w:name="_Toc40864652"/>
      <w:bookmarkStart w:id="99" w:name="_Toc254970683"/>
      <w:bookmarkStart w:id="100" w:name="_Toc40864928"/>
      <w:r>
        <w:rPr>
          <w:rFonts w:hint="eastAsia" w:ascii="宋体" w:hAnsi="宋体"/>
          <w:b/>
          <w:szCs w:val="21"/>
        </w:rPr>
        <w:t>（六）投标文件的签署和份数</w:t>
      </w:r>
      <w:bookmarkEnd w:id="96"/>
      <w:bookmarkEnd w:id="97"/>
      <w:bookmarkEnd w:id="98"/>
      <w:bookmarkEnd w:id="99"/>
      <w:bookmarkEnd w:id="100"/>
    </w:p>
    <w:p>
      <w:pPr>
        <w:adjustRightInd w:val="0"/>
        <w:snapToGrid w:val="0"/>
        <w:spacing w:line="400" w:lineRule="exact"/>
        <w:ind w:firstLine="420" w:firstLineChars="200"/>
        <w:jc w:val="left"/>
        <w:rPr>
          <w:rFonts w:hint="eastAsia" w:ascii="宋体" w:hAnsi="宋体"/>
          <w:szCs w:val="21"/>
        </w:rPr>
      </w:pPr>
      <w:bookmarkStart w:id="101" w:name="_Toc40864653"/>
      <w:bookmarkStart w:id="102" w:name="_Toc40864929"/>
      <w:bookmarkStart w:id="103" w:name="_Toc40865045"/>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 投标文件份数：见投标人须知及前附表。</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snapToGrid w:val="0"/>
        <w:spacing w:before="156" w:beforeLines="50" w:line="360" w:lineRule="exact"/>
        <w:ind w:firstLine="308" w:firstLineChars="147"/>
        <w:jc w:val="left"/>
        <w:outlineLvl w:val="0"/>
        <w:rPr>
          <w:rFonts w:hint="eastAsia" w:ascii="宋体" w:hAnsi="宋体"/>
          <w:b/>
          <w:szCs w:val="21"/>
        </w:rPr>
      </w:pPr>
      <w:r>
        <w:rPr>
          <w:rFonts w:hint="eastAsia" w:ascii="宋体" w:hAnsi="宋体"/>
          <w:b/>
          <w:szCs w:val="21"/>
        </w:rPr>
        <w:t>（七）</w:t>
      </w:r>
      <w:bookmarkEnd w:id="101"/>
      <w:bookmarkEnd w:id="102"/>
      <w:bookmarkEnd w:id="103"/>
      <w:r>
        <w:rPr>
          <w:rFonts w:hint="eastAsia"/>
          <w:b/>
        </w:rPr>
        <w:t>投标文件的上传、提交、修改、撤回和解密</w:t>
      </w:r>
    </w:p>
    <w:p>
      <w:pPr>
        <w:adjustRightInd w:val="0"/>
        <w:snapToGrid w:val="0"/>
        <w:spacing w:line="400" w:lineRule="exact"/>
        <w:ind w:firstLine="210" w:firstLineChars="100"/>
        <w:jc w:val="left"/>
        <w:rPr>
          <w:rFonts w:hint="eastAsia"/>
          <w:b/>
        </w:rPr>
      </w:pPr>
      <w:bookmarkStart w:id="104" w:name="_Toc40864654"/>
      <w:bookmarkStart w:id="105" w:name="_Toc40864930"/>
      <w:bookmarkStart w:id="106" w:name="_Toc40865046"/>
      <w:r>
        <w:rPr>
          <w:rFonts w:hint="eastAsia" w:hAnsi="宋体"/>
        </w:rPr>
        <w:t>▲</w:t>
      </w:r>
      <w:r>
        <w:rPr>
          <w:rFonts w:hint="eastAsia" w:ascii="宋体" w:hAnsi="宋体"/>
          <w:szCs w:val="21"/>
        </w:rPr>
        <w:t xml:space="preserve">1. </w:t>
      </w:r>
      <w:r>
        <w:rPr>
          <w:rFonts w:hint="eastAsia"/>
          <w:b/>
        </w:rPr>
        <w:t>投标文件的上传、提交：见投标人须知及前附表。</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w:t>
      </w:r>
      <w:r>
        <w:rPr>
          <w:rFonts w:hint="eastAsia" w:ascii="宋体" w:hAnsi="宋体" w:cs="仿宋_GB2312"/>
          <w:kern w:val="0"/>
          <w:szCs w:val="21"/>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04" w:firstLineChars="200"/>
        <w:rPr>
          <w:rFonts w:hint="eastAsia" w:ascii="宋体" w:hAnsi="宋体"/>
          <w:spacing w:val="-4"/>
          <w:szCs w:val="21"/>
        </w:rPr>
      </w:pPr>
      <w:r>
        <w:rPr>
          <w:rFonts w:hint="eastAsia" w:ascii="宋体" w:hAnsi="宋体"/>
          <w:spacing w:val="-4"/>
          <w:szCs w:val="21"/>
        </w:rPr>
        <w:t>3.</w:t>
      </w:r>
      <w:r>
        <w:rPr>
          <w:rFonts w:hint="eastAsia" w:ascii="宋体"/>
          <w:snapToGrid w:val="0"/>
          <w:szCs w:val="21"/>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04" w:firstLineChars="200"/>
        <w:jc w:val="left"/>
        <w:rPr>
          <w:rFonts w:hint="eastAsia"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szCs w:val="21"/>
        </w:rPr>
      </w:pPr>
      <w:r>
        <w:rPr>
          <w:rFonts w:hint="eastAsia" w:ascii="宋体" w:hAnsi="宋体"/>
          <w:b/>
          <w:szCs w:val="21"/>
        </w:rPr>
        <w:t>（八）投标无效的情形</w:t>
      </w:r>
      <w:bookmarkEnd w:id="104"/>
      <w:bookmarkEnd w:id="105"/>
      <w:bookmarkEnd w:id="106"/>
    </w:p>
    <w:p>
      <w:pPr>
        <w:pStyle w:val="22"/>
        <w:adjustRightInd w:val="0"/>
        <w:snapToGrid w:val="0"/>
        <w:spacing w:line="400" w:lineRule="exact"/>
        <w:ind w:firstLine="411" w:firstLineChars="196"/>
        <w:rPr>
          <w:rFonts w:ascii="宋体" w:hAnsi="宋体" w:eastAsia="宋体"/>
          <w:bCs/>
          <w:sz w:val="21"/>
          <w:szCs w:val="21"/>
        </w:rPr>
      </w:pPr>
      <w:bookmarkStart w:id="107" w:name="_Toc40865048"/>
      <w:bookmarkStart w:id="108" w:name="_Toc40864656"/>
      <w:bookmarkStart w:id="109" w:name="_Toc40864932"/>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w:t>
      </w:r>
      <w:r>
        <w:rPr>
          <w:rFonts w:ascii="宋体" w:hAnsi="宋体" w:eastAsia="宋体"/>
          <w:bCs/>
          <w:sz w:val="21"/>
          <w:szCs w:val="21"/>
          <w:lang w:val="en"/>
        </w:rPr>
        <w:t>广西政府采购云</w:t>
      </w:r>
      <w:r>
        <w:rPr>
          <w:rFonts w:hint="eastAsia" w:ascii="宋体" w:hAnsi="宋体" w:eastAsia="宋体"/>
          <w:bCs/>
          <w:sz w:val="21"/>
          <w:szCs w:val="21"/>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spacing w:val="-4"/>
          <w:sz w:val="21"/>
          <w:szCs w:val="21"/>
        </w:rPr>
      </w:pPr>
      <w:r>
        <w:rPr>
          <w:rFonts w:hint="eastAsia" w:ascii="宋体" w:hAnsi="宋体" w:eastAsia="宋体"/>
          <w:spacing w:val="-4"/>
          <w:sz w:val="21"/>
          <w:szCs w:val="21"/>
        </w:rPr>
        <w:t>1.在符合性审查和资格性审查时，如发现下列情形之一的，投标文件将被视为无效：</w:t>
      </w:r>
      <w:bookmarkEnd w:id="107"/>
      <w:bookmarkEnd w:id="108"/>
      <w:bookmarkEnd w:id="109"/>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10" w:name="_Toc40865049"/>
      <w:bookmarkStart w:id="111" w:name="_Toc40864933"/>
      <w:bookmarkStart w:id="112" w:name="_Toc40864657"/>
      <w:r>
        <w:rPr>
          <w:rFonts w:hint="eastAsia" w:ascii="宋体" w:hAnsi="宋体" w:eastAsia="宋体" w:cs="仿宋_GB2312"/>
          <w:kern w:val="0"/>
          <w:szCs w:val="21"/>
          <w:lang w:val="zh-CN"/>
        </w:rPr>
        <w:t>（1）超越了按照法律法规规定必须获得行政许可或者行政审批的经营范围的；</w:t>
      </w:r>
      <w:bookmarkEnd w:id="110"/>
      <w:bookmarkEnd w:id="111"/>
      <w:bookmarkEnd w:id="112"/>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13" w:name="_Toc40864934"/>
      <w:bookmarkStart w:id="114" w:name="_Toc40865050"/>
      <w:bookmarkStart w:id="115" w:name="_Toc40864658"/>
      <w:r>
        <w:rPr>
          <w:rFonts w:hint="eastAsia" w:ascii="宋体" w:hAnsi="宋体" w:eastAsia="宋体" w:cs="仿宋_GB2312"/>
          <w:kern w:val="0"/>
          <w:szCs w:val="21"/>
          <w:lang w:val="zh-CN"/>
        </w:rPr>
        <w:t>（2）资格证明文件不全的，或者不符合招标文件标明的资格要求的；</w:t>
      </w:r>
      <w:bookmarkEnd w:id="113"/>
      <w:bookmarkEnd w:id="114"/>
      <w:bookmarkEnd w:id="115"/>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16" w:name="_Toc40864935"/>
      <w:bookmarkStart w:id="117" w:name="_Toc40865051"/>
      <w:bookmarkStart w:id="118" w:name="_Toc40864659"/>
      <w:r>
        <w:rPr>
          <w:rFonts w:hint="eastAsia" w:ascii="宋体" w:hAnsi="宋体" w:eastAsia="宋体" w:cs="仿宋_GB2312"/>
          <w:kern w:val="0"/>
          <w:szCs w:val="21"/>
          <w:lang w:val="zh-CN"/>
        </w:rPr>
        <w:t>（3）投标文件无法定代表人（负责人）或其授权委托代理人签字，或未提供法定代表人（负责人）授权委托书、投标声明书或者填写项目不齐全的；</w:t>
      </w:r>
      <w:bookmarkEnd w:id="116"/>
      <w:bookmarkEnd w:id="117"/>
      <w:bookmarkEnd w:id="118"/>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19" w:name="_Toc40865052"/>
      <w:bookmarkStart w:id="120" w:name="_Toc40864660"/>
      <w:bookmarkStart w:id="121" w:name="_Toc40864936"/>
      <w:r>
        <w:rPr>
          <w:rFonts w:hint="eastAsia" w:ascii="宋体" w:hAnsi="宋体" w:eastAsia="宋体" w:cs="仿宋_GB2312"/>
          <w:kern w:val="0"/>
          <w:szCs w:val="21"/>
          <w:lang w:val="zh-CN"/>
        </w:rPr>
        <w:t>（4）投标代表人未能出具身份证明或与法定代表人（负责人）授权委托人身份不符的；</w:t>
      </w:r>
      <w:bookmarkEnd w:id="119"/>
      <w:bookmarkEnd w:id="120"/>
      <w:bookmarkEnd w:id="121"/>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22" w:name="_Toc40864661"/>
      <w:bookmarkStart w:id="123" w:name="_Toc40865053"/>
      <w:bookmarkStart w:id="124" w:name="_Toc40864937"/>
      <w:r>
        <w:rPr>
          <w:rFonts w:hint="eastAsia" w:ascii="宋体" w:hAnsi="宋体" w:eastAsia="宋体" w:cs="仿宋_GB2312"/>
          <w:kern w:val="0"/>
          <w:szCs w:val="21"/>
          <w:lang w:val="zh-CN"/>
        </w:rPr>
        <w:t>（5）项目不齐全或者内容虚假的；</w:t>
      </w:r>
      <w:bookmarkEnd w:id="122"/>
      <w:bookmarkEnd w:id="123"/>
      <w:bookmarkEnd w:id="124"/>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25" w:name="_Toc40864938"/>
      <w:bookmarkStart w:id="126" w:name="_Toc40865054"/>
      <w:bookmarkStart w:id="127" w:name="_Toc40864662"/>
      <w:r>
        <w:rPr>
          <w:rFonts w:hint="eastAsia" w:ascii="宋体" w:hAnsi="宋体" w:eastAsia="宋体" w:cs="仿宋_GB2312"/>
          <w:kern w:val="0"/>
          <w:szCs w:val="21"/>
          <w:lang w:val="zh-CN"/>
        </w:rPr>
        <w:t>（6）投标文件的实质性内容未使用中文表述、意思表述不明确、前后矛盾或者使用计量单位不符合投标文件要求的（经评标委员会认定并允许其当场更正的笔误除外）；</w:t>
      </w:r>
      <w:bookmarkEnd w:id="125"/>
      <w:bookmarkEnd w:id="126"/>
      <w:bookmarkEnd w:id="127"/>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28" w:name="_Toc40865055"/>
      <w:bookmarkStart w:id="129" w:name="_Toc40864939"/>
      <w:bookmarkStart w:id="130" w:name="_Toc40864663"/>
      <w:r>
        <w:rPr>
          <w:rFonts w:hint="eastAsia" w:ascii="宋体" w:hAnsi="宋体" w:eastAsia="宋体" w:cs="仿宋_GB2312"/>
          <w:kern w:val="0"/>
          <w:szCs w:val="21"/>
          <w:lang w:val="zh-CN"/>
        </w:rPr>
        <w:t>（7）投标有效期、交付使用时间、质保期等商务条款不能满足招标文件要求的；</w:t>
      </w:r>
      <w:bookmarkEnd w:id="128"/>
      <w:bookmarkEnd w:id="129"/>
      <w:bookmarkEnd w:id="130"/>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31" w:name="_Toc40865056"/>
      <w:bookmarkStart w:id="132" w:name="_Toc40864664"/>
      <w:bookmarkStart w:id="133" w:name="_Toc40864940"/>
      <w:r>
        <w:rPr>
          <w:rFonts w:hint="eastAsia" w:ascii="宋体" w:hAnsi="宋体" w:eastAsia="宋体" w:cs="仿宋_GB2312"/>
          <w:kern w:val="0"/>
          <w:szCs w:val="21"/>
          <w:lang w:val="zh-CN"/>
        </w:rPr>
        <w:t>（8）未实质性响应招标文件要求或者投标文件有招标方不能接受的附加条件的；</w:t>
      </w:r>
      <w:bookmarkEnd w:id="131"/>
      <w:bookmarkEnd w:id="132"/>
      <w:bookmarkEnd w:id="133"/>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34" w:name="_Toc40864666"/>
      <w:bookmarkStart w:id="135" w:name="_Toc40864942"/>
      <w:bookmarkStart w:id="136" w:name="_Toc40865058"/>
      <w:r>
        <w:rPr>
          <w:rFonts w:hint="eastAsia" w:ascii="宋体" w:hAnsi="宋体" w:eastAsia="宋体" w:cs="仿宋_GB2312"/>
          <w:kern w:val="0"/>
          <w:szCs w:val="21"/>
          <w:lang w:val="zh-CN"/>
        </w:rPr>
        <w:t>（9）未按照招标文件的规定提交投标保证金的（说明：评标时，评标委员会将以本中心财务室编制的《采购文件购买名单及保证金收缴情况表》作为评审依据）。</w:t>
      </w:r>
    </w:p>
    <w:p>
      <w:pPr>
        <w:adjustRightInd w:val="0"/>
        <w:snapToGrid w:val="0"/>
        <w:spacing w:line="400" w:lineRule="exact"/>
        <w:ind w:firstLine="420" w:firstLineChars="200"/>
        <w:jc w:val="left"/>
        <w:rPr>
          <w:rFonts w:hint="eastAsia" w:ascii="宋体" w:hAnsi="宋体" w:eastAsia="宋体" w:cs="仿宋_GB2312"/>
          <w:kern w:val="0"/>
          <w:szCs w:val="21"/>
          <w:lang w:val="zh-CN"/>
        </w:rPr>
      </w:pPr>
      <w:r>
        <w:rPr>
          <w:rFonts w:hint="eastAsia" w:ascii="宋体" w:hAnsi="宋体" w:eastAsia="宋体" w:cs="仿宋_GB2312"/>
          <w:kern w:val="0"/>
          <w:szCs w:val="21"/>
          <w:lang w:val="zh-CN"/>
        </w:rPr>
        <w:t>2.在技术评审时，如发现下列情形之一的，投标文件将被视为无效：</w:t>
      </w:r>
      <w:bookmarkEnd w:id="134"/>
      <w:bookmarkEnd w:id="135"/>
      <w:bookmarkEnd w:id="136"/>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37" w:name="_Toc40864667"/>
      <w:bookmarkStart w:id="138" w:name="_Toc40865059"/>
      <w:bookmarkStart w:id="139" w:name="_Toc40864943"/>
      <w:r>
        <w:rPr>
          <w:rFonts w:hint="eastAsia" w:ascii="宋体" w:hAnsi="宋体" w:eastAsia="宋体" w:cs="仿宋_GB2312"/>
          <w:kern w:val="0"/>
          <w:szCs w:val="21"/>
          <w:lang w:val="zh-CN"/>
        </w:rPr>
        <w:t>（1）未提供或未如实提供投标货物的技术参数，或者投标文件标明的响应或偏离与事实不符或虚假投标的；</w:t>
      </w:r>
      <w:bookmarkEnd w:id="137"/>
      <w:bookmarkEnd w:id="138"/>
      <w:bookmarkEnd w:id="139"/>
    </w:p>
    <w:p>
      <w:pPr>
        <w:pStyle w:val="22"/>
        <w:snapToGrid w:val="0"/>
        <w:spacing w:line="360" w:lineRule="exact"/>
        <w:ind w:firstLine="395" w:firstLineChars="196"/>
        <w:outlineLvl w:val="0"/>
        <w:rPr>
          <w:rFonts w:hint="eastAsia" w:ascii="宋体" w:hAnsi="宋体" w:eastAsia="宋体"/>
          <w:spacing w:val="-4"/>
          <w:sz w:val="21"/>
          <w:szCs w:val="21"/>
        </w:rPr>
      </w:pPr>
      <w:bookmarkStart w:id="140" w:name="_Toc40864668"/>
      <w:bookmarkStart w:id="141" w:name="_Toc40865060"/>
      <w:bookmarkStart w:id="142" w:name="_Toc40864944"/>
      <w:r>
        <w:rPr>
          <w:rFonts w:hint="eastAsia" w:ascii="宋体" w:hAnsi="宋体" w:eastAsia="宋体"/>
          <w:spacing w:val="-4"/>
          <w:sz w:val="21"/>
          <w:szCs w:val="21"/>
        </w:rPr>
        <w:t>（2）明显不符合招标文件要求的规格型号、质量标准，或者与招标文件中的技术指标、主要功能项目发生实质性偏离的；</w:t>
      </w:r>
      <w:bookmarkEnd w:id="140"/>
      <w:bookmarkEnd w:id="141"/>
      <w:bookmarkEnd w:id="142"/>
    </w:p>
    <w:p>
      <w:pPr>
        <w:pStyle w:val="22"/>
        <w:snapToGrid w:val="0"/>
        <w:spacing w:line="360" w:lineRule="exact"/>
        <w:ind w:firstLine="395" w:firstLineChars="196"/>
        <w:outlineLvl w:val="0"/>
        <w:rPr>
          <w:rFonts w:hint="eastAsia" w:ascii="宋体" w:hAnsi="宋体" w:eastAsia="宋体"/>
          <w:b/>
          <w:bCs/>
          <w:spacing w:val="-4"/>
          <w:sz w:val="21"/>
          <w:szCs w:val="21"/>
        </w:rPr>
      </w:pPr>
      <w:bookmarkStart w:id="143" w:name="_Toc40864945"/>
      <w:bookmarkStart w:id="144" w:name="_Toc40865061"/>
      <w:bookmarkStart w:id="145" w:name="_Toc40864669"/>
      <w:r>
        <w:rPr>
          <w:rFonts w:hint="eastAsia" w:ascii="宋体" w:hAnsi="宋体" w:eastAsia="宋体"/>
          <w:b/>
          <w:bCs/>
          <w:spacing w:val="-4"/>
          <w:sz w:val="21"/>
          <w:szCs w:val="21"/>
        </w:rPr>
        <w:t>（3）标注 “▲”的技术、性能指标发生负偏离达1项（含）以上的；</w:t>
      </w:r>
      <w:bookmarkEnd w:id="143"/>
      <w:bookmarkEnd w:id="144"/>
      <w:bookmarkEnd w:id="145"/>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46" w:name="_Toc40865062"/>
      <w:bookmarkStart w:id="147" w:name="_Toc40864946"/>
      <w:bookmarkStart w:id="148" w:name="_Toc40864670"/>
      <w:r>
        <w:rPr>
          <w:rFonts w:hint="eastAsia" w:ascii="宋体" w:hAnsi="宋体" w:eastAsia="宋体" w:cs="仿宋_GB2312"/>
          <w:kern w:val="0"/>
          <w:szCs w:val="21"/>
          <w:lang w:val="zh-CN"/>
        </w:rPr>
        <w:t>（4）投标技术方案不明确，存在一个或一个以上备选（替换）投标方案的；</w:t>
      </w:r>
      <w:bookmarkEnd w:id="146"/>
      <w:bookmarkEnd w:id="147"/>
      <w:bookmarkEnd w:id="148"/>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49" w:name="_Toc40865063"/>
      <w:bookmarkStart w:id="150" w:name="_Toc40864947"/>
      <w:bookmarkStart w:id="151" w:name="_Toc40864671"/>
      <w:r>
        <w:rPr>
          <w:rFonts w:hint="eastAsia" w:ascii="宋体" w:hAnsi="宋体" w:eastAsia="宋体" w:cs="仿宋_GB2312"/>
          <w:kern w:val="0"/>
          <w:szCs w:val="21"/>
          <w:lang w:val="zh-CN"/>
        </w:rPr>
        <w:t>（5）与其他参加本次投标供应商的投标文件（技术文件）的文字表述内容差错相同二处以上的。</w:t>
      </w:r>
      <w:bookmarkEnd w:id="149"/>
      <w:bookmarkEnd w:id="150"/>
      <w:bookmarkEnd w:id="151"/>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52" w:name="_Toc40864672"/>
      <w:bookmarkStart w:id="153" w:name="_Toc40865064"/>
      <w:bookmarkStart w:id="154" w:name="_Toc40864948"/>
      <w:r>
        <w:rPr>
          <w:rFonts w:hint="eastAsia" w:ascii="宋体" w:hAnsi="宋体" w:eastAsia="宋体" w:cs="仿宋_GB2312"/>
          <w:kern w:val="0"/>
          <w:szCs w:val="21"/>
          <w:lang w:val="zh-CN"/>
        </w:rPr>
        <w:t>3.在报价评审时，如发现下列情形之一的，投标文件将被视为无效：</w:t>
      </w:r>
      <w:bookmarkEnd w:id="152"/>
      <w:bookmarkEnd w:id="153"/>
      <w:bookmarkEnd w:id="154"/>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55" w:name="_Toc40865065"/>
      <w:bookmarkStart w:id="156" w:name="_Toc40864949"/>
      <w:bookmarkStart w:id="157" w:name="_Toc40864673"/>
      <w:r>
        <w:rPr>
          <w:rFonts w:hint="eastAsia" w:ascii="宋体" w:hAnsi="宋体" w:eastAsia="宋体" w:cs="仿宋_GB2312"/>
          <w:kern w:val="0"/>
          <w:szCs w:val="21"/>
          <w:lang w:val="zh-CN"/>
        </w:rPr>
        <w:t>（1）未采用人民币报价或者未按照招标文件标明的币种报价的；</w:t>
      </w:r>
      <w:bookmarkEnd w:id="155"/>
      <w:bookmarkEnd w:id="156"/>
      <w:bookmarkEnd w:id="157"/>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58" w:name="_Toc40864950"/>
      <w:bookmarkStart w:id="159" w:name="_Toc40864674"/>
      <w:bookmarkStart w:id="160" w:name="_Toc40865066"/>
      <w:r>
        <w:rPr>
          <w:rFonts w:hint="eastAsia" w:ascii="宋体" w:hAnsi="宋体" w:eastAsia="宋体" w:cs="仿宋_GB2312"/>
          <w:kern w:val="0"/>
          <w:szCs w:val="21"/>
          <w:lang w:val="zh-CN"/>
        </w:rPr>
        <w:t>（2）报价超出最高限价，或者超出采购预算（最高限价）金额，采购人不能支付的；</w:t>
      </w:r>
      <w:bookmarkEnd w:id="158"/>
      <w:bookmarkEnd w:id="159"/>
      <w:bookmarkEnd w:id="160"/>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61" w:name="_Toc40865067"/>
      <w:bookmarkStart w:id="162" w:name="_Toc40864951"/>
      <w:bookmarkStart w:id="163" w:name="_Toc40864675"/>
      <w:r>
        <w:rPr>
          <w:rFonts w:hint="eastAsia" w:ascii="宋体" w:hAnsi="宋体" w:eastAsia="宋体" w:cs="仿宋_GB2312"/>
          <w:kern w:val="0"/>
          <w:szCs w:val="21"/>
          <w:lang w:val="zh-CN"/>
        </w:rPr>
        <w:t>（3）投标报价具有选择性，或者开标价格与投标文件承诺的优惠（折扣）价格不一致的。</w:t>
      </w:r>
      <w:bookmarkEnd w:id="161"/>
      <w:bookmarkEnd w:id="162"/>
      <w:bookmarkEnd w:id="163"/>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64" w:name="_Toc40864676"/>
      <w:bookmarkStart w:id="165" w:name="_Toc40864952"/>
      <w:bookmarkStart w:id="166" w:name="_Toc40865068"/>
      <w:r>
        <w:rPr>
          <w:rFonts w:hint="eastAsia" w:ascii="宋体" w:hAnsi="宋体" w:eastAsia="宋体" w:cs="仿宋_GB2312"/>
          <w:kern w:val="0"/>
          <w:szCs w:val="21"/>
          <w:lang w:val="zh-CN"/>
        </w:rPr>
        <w:t>（4）评标委员会认为投标人的报价明显低于其他通过符合性审查投标人的报价，有可能影响产品质量或者不能诚信履约，投标人不能证明其报价合理性的。</w:t>
      </w:r>
      <w:bookmarkEnd w:id="164"/>
      <w:bookmarkEnd w:id="165"/>
      <w:bookmarkEnd w:id="166"/>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67" w:name="_Toc40865069"/>
      <w:bookmarkStart w:id="168" w:name="_Toc40864953"/>
      <w:bookmarkStart w:id="169" w:name="_Toc40864677"/>
      <w:r>
        <w:rPr>
          <w:rFonts w:hint="eastAsia" w:ascii="宋体" w:hAnsi="宋体" w:eastAsia="宋体" w:cs="仿宋_GB2312"/>
          <w:kern w:val="0"/>
          <w:szCs w:val="21"/>
          <w:lang w:val="zh-CN"/>
        </w:rPr>
        <w:t>4.有下列情形之一的视为投标人相互串通投标，投标文件将被视为无效:</w:t>
      </w:r>
      <w:bookmarkEnd w:id="167"/>
      <w:bookmarkEnd w:id="168"/>
      <w:bookmarkEnd w:id="169"/>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70" w:name="_Toc40864678"/>
      <w:bookmarkStart w:id="171" w:name="_Toc40865070"/>
      <w:bookmarkStart w:id="172" w:name="_Toc40864954"/>
      <w:r>
        <w:rPr>
          <w:rFonts w:hint="eastAsia" w:ascii="宋体" w:hAnsi="宋体" w:eastAsia="宋体" w:cs="仿宋_GB2312"/>
          <w:kern w:val="0"/>
          <w:szCs w:val="21"/>
          <w:lang w:val="zh-CN"/>
        </w:rPr>
        <w:t>（1）不同投标人的投标文件由同一单位或者个人编制；或不同投标人报名的IP地址一致的；</w:t>
      </w:r>
      <w:bookmarkEnd w:id="170"/>
      <w:bookmarkEnd w:id="171"/>
      <w:bookmarkEnd w:id="172"/>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73" w:name="_Toc40864679"/>
      <w:bookmarkStart w:id="174" w:name="_Toc40864955"/>
      <w:bookmarkStart w:id="175" w:name="_Toc40865071"/>
      <w:r>
        <w:rPr>
          <w:rFonts w:hint="eastAsia" w:ascii="宋体" w:hAnsi="宋体" w:eastAsia="宋体" w:cs="仿宋_GB2312"/>
          <w:kern w:val="0"/>
          <w:szCs w:val="21"/>
          <w:lang w:val="zh-CN"/>
        </w:rPr>
        <w:t>（2）不同投标人委托同一单位或者个人办理投标事宜；</w:t>
      </w:r>
      <w:bookmarkEnd w:id="173"/>
      <w:bookmarkEnd w:id="174"/>
      <w:bookmarkEnd w:id="175"/>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76" w:name="_Toc40864956"/>
      <w:bookmarkStart w:id="177" w:name="_Toc40864680"/>
      <w:bookmarkStart w:id="178" w:name="_Toc40865072"/>
      <w:r>
        <w:rPr>
          <w:rFonts w:hint="eastAsia" w:ascii="宋体" w:hAnsi="宋体" w:eastAsia="宋体" w:cs="仿宋_GB2312"/>
          <w:kern w:val="0"/>
          <w:szCs w:val="21"/>
          <w:lang w:val="zh-CN"/>
        </w:rPr>
        <w:t>（3）不同投标人的投标文件载明的项目管理成员或者联系人员为同一人；</w:t>
      </w:r>
      <w:bookmarkEnd w:id="176"/>
      <w:bookmarkEnd w:id="177"/>
      <w:bookmarkEnd w:id="178"/>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79" w:name="_Toc40864681"/>
      <w:bookmarkStart w:id="180" w:name="_Toc40865073"/>
      <w:bookmarkStart w:id="181" w:name="_Toc40864957"/>
      <w:r>
        <w:rPr>
          <w:rFonts w:hint="eastAsia" w:ascii="宋体" w:hAnsi="宋体" w:eastAsia="宋体" w:cs="仿宋_GB2312"/>
          <w:kern w:val="0"/>
          <w:szCs w:val="21"/>
          <w:lang w:val="zh-CN"/>
        </w:rPr>
        <w:t>（4）不同投标人的投标文件异常一致或投标报价呈规律性差异；</w:t>
      </w:r>
      <w:bookmarkEnd w:id="179"/>
      <w:bookmarkEnd w:id="180"/>
      <w:bookmarkEnd w:id="181"/>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82" w:name="_Toc40865074"/>
      <w:bookmarkStart w:id="183" w:name="_Toc40864958"/>
      <w:bookmarkStart w:id="184" w:name="_Toc40864682"/>
      <w:r>
        <w:rPr>
          <w:rFonts w:hint="eastAsia" w:ascii="宋体" w:hAnsi="宋体" w:eastAsia="宋体" w:cs="仿宋_GB2312"/>
          <w:kern w:val="0"/>
          <w:szCs w:val="21"/>
          <w:lang w:val="zh-CN"/>
        </w:rPr>
        <w:t>（5）不同投标人的投标文件相互混装；</w:t>
      </w:r>
      <w:bookmarkEnd w:id="182"/>
      <w:bookmarkEnd w:id="183"/>
      <w:bookmarkEnd w:id="184"/>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85" w:name="_Toc40864683"/>
      <w:bookmarkStart w:id="186" w:name="_Toc40865075"/>
      <w:bookmarkStart w:id="187" w:name="_Toc40864959"/>
      <w:r>
        <w:rPr>
          <w:rFonts w:hint="eastAsia" w:ascii="宋体" w:hAnsi="宋体" w:eastAsia="宋体" w:cs="仿宋_GB2312"/>
          <w:kern w:val="0"/>
          <w:szCs w:val="21"/>
          <w:lang w:val="zh-CN"/>
        </w:rPr>
        <w:t>（6）不同投标人的投标保证金从同一个单位或者个人账户转出。</w:t>
      </w:r>
      <w:bookmarkEnd w:id="185"/>
      <w:bookmarkEnd w:id="186"/>
      <w:bookmarkEnd w:id="187"/>
    </w:p>
    <w:p>
      <w:pPr>
        <w:adjustRightInd w:val="0"/>
        <w:snapToGrid w:val="0"/>
        <w:spacing w:line="400" w:lineRule="exact"/>
        <w:ind w:firstLine="420" w:firstLineChars="200"/>
        <w:jc w:val="left"/>
        <w:rPr>
          <w:rFonts w:hint="eastAsia" w:ascii="宋体" w:hAnsi="宋体" w:eastAsia="宋体" w:cs="仿宋_GB2312"/>
          <w:kern w:val="0"/>
          <w:szCs w:val="21"/>
          <w:lang w:val="zh-CN"/>
        </w:rPr>
      </w:pPr>
      <w:bookmarkStart w:id="188" w:name="_Toc40865079"/>
      <w:bookmarkStart w:id="189" w:name="_Toc40864687"/>
      <w:bookmarkStart w:id="190" w:name="_Toc40864963"/>
      <w:r>
        <w:rPr>
          <w:rFonts w:hint="eastAsia" w:ascii="宋体" w:hAnsi="宋体" w:eastAsia="宋体" w:cs="仿宋_GB2312"/>
          <w:kern w:val="0"/>
          <w:szCs w:val="21"/>
          <w:lang w:val="zh-CN"/>
        </w:rPr>
        <w:t>5.</w:t>
      </w:r>
      <w:bookmarkEnd w:id="188"/>
      <w:bookmarkEnd w:id="189"/>
      <w:bookmarkEnd w:id="190"/>
      <w:r>
        <w:rPr>
          <w:rFonts w:hint="eastAsia" w:ascii="宋体" w:hAnsi="宋体" w:eastAsia="宋体" w:cs="仿宋_GB2312"/>
          <w:kern w:val="0"/>
          <w:szCs w:val="21"/>
          <w:lang w:val="zh-CN"/>
        </w:rPr>
        <w:t xml:space="preserve"> 其他投标无效的情形：</w:t>
      </w:r>
    </w:p>
    <w:p>
      <w:pPr>
        <w:pStyle w:val="22"/>
        <w:adjustRightInd w:val="0"/>
        <w:snapToGrid w:val="0"/>
        <w:spacing w:line="400" w:lineRule="exact"/>
        <w:ind w:firstLine="411" w:firstLineChars="196"/>
        <w:rPr>
          <w:rFonts w:hint="eastAsia"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hint="eastAsia"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spacing w:val="-4"/>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snapToGrid w:val="0"/>
        <w:spacing w:line="360" w:lineRule="exact"/>
        <w:ind w:firstLine="411" w:firstLineChars="196"/>
        <w:outlineLvl w:val="0"/>
        <w:rPr>
          <w:rFonts w:hint="eastAsia" w:ascii="宋体" w:hAnsi="宋体" w:eastAsia="宋体"/>
          <w:b/>
          <w:snapToGrid w:val="0"/>
          <w:sz w:val="21"/>
          <w:szCs w:val="21"/>
        </w:rPr>
      </w:pPr>
      <w:bookmarkStart w:id="191" w:name="_Toc254970685"/>
      <w:bookmarkStart w:id="192" w:name="_Toc40864964"/>
      <w:bookmarkStart w:id="193" w:name="_Toc40864688"/>
      <w:bookmarkStart w:id="194" w:name="_Toc254970544"/>
      <w:bookmarkStart w:id="195" w:name="_Toc40865080"/>
      <w:r>
        <w:rPr>
          <w:rFonts w:hint="eastAsia" w:ascii="宋体" w:hAnsi="宋体" w:eastAsia="宋体"/>
          <w:b/>
          <w:sz w:val="21"/>
          <w:szCs w:val="21"/>
        </w:rPr>
        <w:t>四、开标</w:t>
      </w:r>
      <w:bookmarkEnd w:id="191"/>
      <w:bookmarkEnd w:id="192"/>
      <w:bookmarkEnd w:id="193"/>
      <w:bookmarkEnd w:id="194"/>
      <w:bookmarkEnd w:id="195"/>
    </w:p>
    <w:p>
      <w:pPr>
        <w:pStyle w:val="29"/>
        <w:snapToGrid w:val="0"/>
        <w:spacing w:line="360" w:lineRule="exact"/>
        <w:ind w:firstLine="411" w:firstLineChars="196"/>
        <w:outlineLvl w:val="0"/>
        <w:rPr>
          <w:rFonts w:hint="eastAsia" w:hAnsi="宋体"/>
          <w:b/>
        </w:rPr>
      </w:pPr>
      <w:bookmarkStart w:id="196" w:name="_Toc40865081"/>
      <w:bookmarkStart w:id="197" w:name="_Toc40864689"/>
      <w:bookmarkStart w:id="198" w:name="_Toc40864965"/>
      <w:r>
        <w:rPr>
          <w:rFonts w:hint="eastAsia" w:hAnsi="宋体"/>
          <w:b/>
        </w:rPr>
        <w:t>（一）开标准备</w:t>
      </w:r>
      <w:bookmarkEnd w:id="196"/>
      <w:bookmarkEnd w:id="197"/>
      <w:bookmarkEnd w:id="198"/>
    </w:p>
    <w:p>
      <w:pPr>
        <w:shd w:val="clear" w:color="auto" w:fill="FFFFFF"/>
        <w:adjustRightInd w:val="0"/>
        <w:snapToGrid w:val="0"/>
        <w:spacing w:line="400" w:lineRule="exact"/>
        <w:ind w:firstLine="440" w:firstLineChars="200"/>
        <w:rPr>
          <w:rFonts w:hint="eastAsia" w:hAnsi="宋体"/>
          <w:bCs/>
        </w:rPr>
      </w:pPr>
      <w:bookmarkStart w:id="199" w:name="_Toc40864690"/>
      <w:bookmarkStart w:id="200" w:name="_Toc40864966"/>
      <w:bookmarkStart w:id="201" w:name="_Toc40865082"/>
      <w:r>
        <w:rPr>
          <w:rFonts w:hint="eastAsia" w:ascii="宋体"/>
          <w:sz w:val="22"/>
        </w:rPr>
        <w:t>采购代理机构按招标文件规定的时间、地点通过“广西政府采购云平台”组织开标、开启投标文件，所有供应商均应当准时在线参加。投</w:t>
      </w:r>
      <w:r>
        <w:rPr>
          <w:rFonts w:ascii="宋体"/>
          <w:sz w:val="22"/>
        </w:rPr>
        <w:t>标供应商因未在线参加开标而导致投标文件无法按时解密等一切后果由供应商自</w:t>
      </w:r>
      <w:r>
        <w:rPr>
          <w:rFonts w:hint="eastAsia" w:ascii="宋体"/>
          <w:sz w:val="22"/>
        </w:rPr>
        <w:t>行</w:t>
      </w:r>
      <w:r>
        <w:rPr>
          <w:rFonts w:ascii="宋体"/>
          <w:sz w:val="22"/>
        </w:rPr>
        <w:t>承担。</w:t>
      </w:r>
    </w:p>
    <w:p>
      <w:pPr>
        <w:pStyle w:val="29"/>
        <w:snapToGrid w:val="0"/>
        <w:spacing w:line="360" w:lineRule="exact"/>
        <w:ind w:firstLine="411" w:firstLineChars="196"/>
        <w:outlineLvl w:val="0"/>
        <w:rPr>
          <w:rFonts w:hint="eastAsia" w:hAnsi="宋体"/>
          <w:b/>
        </w:rPr>
      </w:pPr>
      <w:r>
        <w:rPr>
          <w:rFonts w:hint="eastAsia" w:hAnsi="宋体"/>
          <w:b/>
        </w:rPr>
        <w:t>（二） 开标程序：</w:t>
      </w:r>
      <w:bookmarkEnd w:id="199"/>
      <w:bookmarkEnd w:id="200"/>
      <w:bookmarkEnd w:id="201"/>
    </w:p>
    <w:p>
      <w:pPr>
        <w:pStyle w:val="29"/>
        <w:adjustRightInd w:val="0"/>
        <w:snapToGrid w:val="0"/>
        <w:spacing w:line="400" w:lineRule="exact"/>
        <w:ind w:firstLine="420" w:firstLineChars="200"/>
        <w:rPr>
          <w:rFonts w:hint="eastAsia" w:hAnsi="宋体"/>
        </w:rPr>
      </w:pPr>
      <w:bookmarkStart w:id="202" w:name="_Toc40864967"/>
      <w:bookmarkStart w:id="203" w:name="_Toc40864691"/>
      <w:bookmarkStart w:id="204" w:name="_Toc40865083"/>
      <w:bookmarkStart w:id="205" w:name="_Toc254970545"/>
      <w:bookmarkStart w:id="206" w:name="_Toc254970686"/>
      <w:r>
        <w:rPr>
          <w:rFonts w:hint="eastAsia" w:hAnsi="宋体"/>
        </w:rPr>
        <w:t>1.电子开标会由本中心主持</w:t>
      </w:r>
    </w:p>
    <w:p>
      <w:pPr>
        <w:pStyle w:val="29"/>
        <w:adjustRightInd w:val="0"/>
        <w:snapToGrid w:val="0"/>
        <w:spacing w:line="400" w:lineRule="exact"/>
        <w:ind w:firstLine="420" w:firstLineChars="200"/>
        <w:rPr>
          <w:sz w:val="22"/>
        </w:rPr>
      </w:pPr>
      <w:r>
        <w:rPr>
          <w:rFonts w:hint="eastAsia" w:hAnsi="宋体"/>
        </w:rPr>
        <w:t>2.本中心工作人员</w:t>
      </w:r>
      <w:r>
        <w:rPr>
          <w:rFonts w:hint="eastAsia"/>
          <w:sz w:val="22"/>
        </w:rPr>
        <w:t>向各投标供应商发出电子加密投标文件【开始解密】通知，由供应商按招标文件规定的时间内自行进行投标文件解密。</w:t>
      </w:r>
      <w:r>
        <w:rPr>
          <w:rFonts w:hint="eastAsia"/>
          <w:snapToGrid w:val="0"/>
          <w:sz w:val="22"/>
        </w:rPr>
        <w:t>投标供应商未在规定时间内完成解密的，系统默认自动放弃。</w:t>
      </w:r>
    </w:p>
    <w:p>
      <w:pPr>
        <w:pStyle w:val="29"/>
        <w:adjustRightInd w:val="0"/>
        <w:snapToGrid w:val="0"/>
        <w:spacing w:line="400" w:lineRule="exact"/>
        <w:ind w:firstLine="440" w:firstLineChars="200"/>
        <w:rPr>
          <w:rFonts w:hAnsi="宋体"/>
          <w:sz w:val="22"/>
          <w:szCs w:val="22"/>
        </w:rPr>
      </w:pPr>
      <w:r>
        <w:rPr>
          <w:rFonts w:hint="eastAsia" w:hAnsi="宋体"/>
          <w:sz w:val="22"/>
          <w:szCs w:val="22"/>
        </w:rPr>
        <w:t>3.</w:t>
      </w:r>
      <w:r>
        <w:rPr>
          <w:rFonts w:hAnsi="宋体"/>
          <w:sz w:val="22"/>
          <w:szCs w:val="22"/>
        </w:rPr>
        <w:t>投标文件解密结束，开启</w:t>
      </w:r>
      <w:r>
        <w:rPr>
          <w:rFonts w:hint="eastAsia" w:hAnsi="宋体"/>
          <w:sz w:val="22"/>
          <w:szCs w:val="22"/>
        </w:rPr>
        <w:t>报价文件。投标供应商在线制作投标文件时填写的报价金额</w:t>
      </w:r>
      <w:r>
        <w:rPr>
          <w:rFonts w:hAnsi="宋体"/>
          <w:sz w:val="22"/>
          <w:szCs w:val="22"/>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40" w:firstLineChars="200"/>
        <w:rPr>
          <w:rFonts w:hAnsi="宋体"/>
          <w:sz w:val="22"/>
          <w:szCs w:val="22"/>
        </w:rPr>
      </w:pPr>
      <w:r>
        <w:rPr>
          <w:rFonts w:hint="eastAsia" w:hAnsi="宋体"/>
          <w:sz w:val="22"/>
          <w:szCs w:val="22"/>
        </w:rPr>
        <w:t>4.进入</w:t>
      </w:r>
      <w:r>
        <w:rPr>
          <w:rFonts w:hAnsi="宋体"/>
          <w:sz w:val="22"/>
          <w:szCs w:val="22"/>
        </w:rPr>
        <w:t>资格文件</w:t>
      </w:r>
      <w:r>
        <w:rPr>
          <w:rFonts w:hint="eastAsia" w:hAnsi="宋体"/>
          <w:sz w:val="22"/>
          <w:szCs w:val="22"/>
        </w:rPr>
        <w:t>审查环节</w:t>
      </w:r>
      <w:r>
        <w:rPr>
          <w:rFonts w:hAnsi="宋体"/>
          <w:sz w:val="22"/>
          <w:szCs w:val="22"/>
        </w:rPr>
        <w:t>，</w:t>
      </w:r>
      <w:r>
        <w:rPr>
          <w:rFonts w:hint="eastAsia" w:hAnsi="宋体"/>
          <w:sz w:val="22"/>
          <w:szCs w:val="22"/>
        </w:rPr>
        <w:t>本中心或者招标采购单位</w:t>
      </w:r>
      <w:r>
        <w:rPr>
          <w:rFonts w:hAnsi="宋体"/>
          <w:sz w:val="22"/>
          <w:szCs w:val="22"/>
        </w:rPr>
        <w:t>依法对投标供应商的资格进行审查。</w:t>
      </w:r>
    </w:p>
    <w:p>
      <w:pPr>
        <w:pStyle w:val="29"/>
        <w:adjustRightInd w:val="0"/>
        <w:snapToGrid w:val="0"/>
        <w:spacing w:line="400" w:lineRule="exact"/>
        <w:ind w:firstLine="440" w:firstLineChars="200"/>
        <w:rPr>
          <w:rFonts w:hAnsi="宋体"/>
          <w:sz w:val="22"/>
          <w:szCs w:val="22"/>
        </w:rPr>
      </w:pPr>
      <w:r>
        <w:rPr>
          <w:rFonts w:hint="eastAsia" w:hAnsi="宋体"/>
          <w:sz w:val="22"/>
          <w:szCs w:val="22"/>
        </w:rPr>
        <w:t>5.</w:t>
      </w:r>
      <w:r>
        <w:rPr>
          <w:rFonts w:hAnsi="宋体"/>
          <w:sz w:val="22"/>
          <w:szCs w:val="22"/>
        </w:rPr>
        <w:t>开启资格审查通过的投标供应商的商务技术文件进入符合性审查及商务技术评审</w:t>
      </w:r>
      <w:r>
        <w:rPr>
          <w:rFonts w:hint="eastAsia" w:hAnsi="宋体"/>
          <w:sz w:val="22"/>
          <w:szCs w:val="22"/>
        </w:rPr>
        <w:t>。</w:t>
      </w:r>
    </w:p>
    <w:p>
      <w:pPr>
        <w:pStyle w:val="29"/>
        <w:adjustRightInd w:val="0"/>
        <w:snapToGrid w:val="0"/>
        <w:spacing w:line="400" w:lineRule="exact"/>
        <w:ind w:firstLine="420"/>
        <w:rPr>
          <w:rFonts w:hint="eastAsia"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int="eastAsia"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40" w:firstLineChars="200"/>
        <w:rPr>
          <w:rFonts w:hAnsi="宋体"/>
          <w:sz w:val="22"/>
          <w:szCs w:val="22"/>
        </w:rPr>
      </w:pPr>
      <w:r>
        <w:rPr>
          <w:rFonts w:hAnsi="宋体"/>
          <w:b/>
          <w:bCs/>
          <w:sz w:val="22"/>
          <w:szCs w:val="22"/>
        </w:rPr>
        <w:t>特别说明：如遇“</w:t>
      </w:r>
      <w:r>
        <w:rPr>
          <w:rFonts w:hint="eastAsia" w:hAnsi="宋体"/>
          <w:b/>
          <w:bCs/>
          <w:sz w:val="22"/>
          <w:szCs w:val="22"/>
        </w:rPr>
        <w:t>广西政府采购云平台</w:t>
      </w:r>
      <w:r>
        <w:rPr>
          <w:rFonts w:hAnsi="宋体"/>
          <w:b/>
          <w:bCs/>
          <w:sz w:val="22"/>
          <w:szCs w:val="22"/>
        </w:rPr>
        <w:t>”电子化开标或评审程序调整的，按调整后程序执行。</w:t>
      </w:r>
    </w:p>
    <w:p>
      <w:pPr>
        <w:pStyle w:val="29"/>
        <w:snapToGrid w:val="0"/>
        <w:spacing w:line="360" w:lineRule="exact"/>
        <w:ind w:left="770" w:leftChars="267" w:hanging="210" w:hangingChars="100"/>
        <w:outlineLvl w:val="1"/>
        <w:rPr>
          <w:rFonts w:hint="eastAsia" w:hAnsi="宋体"/>
          <w:b/>
        </w:rPr>
      </w:pPr>
      <w:r>
        <w:rPr>
          <w:rFonts w:hint="eastAsia" w:hAnsi="宋体"/>
          <w:b/>
        </w:rPr>
        <w:t>五、</w:t>
      </w:r>
      <w:r>
        <w:rPr>
          <w:rFonts w:hint="eastAsia" w:hAnsi="宋体"/>
          <w:b/>
          <w:bCs/>
        </w:rPr>
        <w:t>资格审查</w:t>
      </w:r>
      <w:bookmarkEnd w:id="202"/>
      <w:bookmarkEnd w:id="203"/>
      <w:bookmarkEnd w:id="204"/>
    </w:p>
    <w:p>
      <w:pPr>
        <w:pStyle w:val="29"/>
        <w:snapToGrid w:val="0"/>
        <w:spacing w:line="360" w:lineRule="exact"/>
        <w:ind w:left="770" w:leftChars="267" w:hanging="210" w:hangingChars="100"/>
        <w:outlineLvl w:val="1"/>
        <w:rPr>
          <w:rFonts w:hint="eastAsia" w:hAnsi="宋体"/>
          <w:b/>
        </w:rPr>
      </w:pPr>
      <w:bookmarkStart w:id="207" w:name="_Toc40864968"/>
      <w:bookmarkStart w:id="208" w:name="_Toc40865084"/>
      <w:bookmarkStart w:id="209" w:name="_Toc40864692"/>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r>
        <w:rPr>
          <w:rFonts w:hint="eastAsia"/>
        </w:rPr>
        <w:t>。</w:t>
      </w:r>
      <w:bookmarkEnd w:id="207"/>
      <w:bookmarkEnd w:id="208"/>
      <w:bookmarkEnd w:id="209"/>
    </w:p>
    <w:p>
      <w:pPr>
        <w:pStyle w:val="29"/>
        <w:snapToGrid w:val="0"/>
        <w:spacing w:line="360" w:lineRule="exact"/>
        <w:ind w:left="770" w:leftChars="267" w:hanging="210" w:hangingChars="100"/>
        <w:outlineLvl w:val="1"/>
        <w:rPr>
          <w:rFonts w:hint="eastAsia" w:hAnsi="宋体"/>
          <w:b/>
        </w:rPr>
      </w:pPr>
      <w:bookmarkStart w:id="210" w:name="_Toc40865085"/>
      <w:bookmarkStart w:id="211" w:name="_Toc40864693"/>
      <w:bookmarkStart w:id="212" w:name="_Toc40864969"/>
      <w:r>
        <w:rPr>
          <w:rFonts w:hint="eastAsia" w:hAnsi="宋体"/>
          <w:b/>
        </w:rPr>
        <w:t>六、评标</w:t>
      </w:r>
      <w:bookmarkEnd w:id="205"/>
      <w:bookmarkEnd w:id="206"/>
      <w:bookmarkEnd w:id="210"/>
      <w:bookmarkEnd w:id="211"/>
      <w:bookmarkEnd w:id="212"/>
    </w:p>
    <w:p>
      <w:pPr>
        <w:pStyle w:val="29"/>
        <w:snapToGrid w:val="0"/>
        <w:spacing w:line="360" w:lineRule="exact"/>
        <w:ind w:left="688" w:leftChars="228" w:hanging="210" w:hangingChars="100"/>
        <w:rPr>
          <w:rFonts w:hint="eastAsia" w:hAnsi="宋体"/>
          <w:b/>
        </w:rPr>
      </w:pPr>
      <w:r>
        <w:rPr>
          <w:rFonts w:hint="eastAsia" w:hAnsi="宋体"/>
          <w:b/>
        </w:rPr>
        <w:t>（一）组建评标委员会</w:t>
      </w:r>
    </w:p>
    <w:p>
      <w:pPr>
        <w:pStyle w:val="29"/>
        <w:snapToGrid w:val="0"/>
        <w:spacing w:line="360" w:lineRule="exact"/>
        <w:ind w:firstLine="420" w:firstLineChars="200"/>
        <w:rPr>
          <w:rFonts w:hint="eastAsia"/>
          <w:spacing w:val="-4"/>
        </w:rPr>
      </w:pPr>
      <w:r>
        <w:rPr>
          <w:rFonts w:hint="eastAsia" w:hAnsi="宋体"/>
          <w:bCs/>
        </w:rPr>
        <w:t>本招标采购项目的</w:t>
      </w:r>
      <w:r>
        <w:rPr>
          <w:spacing w:val="-4"/>
        </w:rPr>
        <w:t>评标委员会由采购人代表和评审专家组成，成员人数应当为5人以上单数，其中评审专家不得少于成员总数的三分之二。</w:t>
      </w:r>
    </w:p>
    <w:p>
      <w:pPr>
        <w:pStyle w:val="29"/>
        <w:snapToGrid w:val="0"/>
        <w:spacing w:line="360" w:lineRule="exact"/>
        <w:ind w:left="688" w:leftChars="228" w:hanging="210" w:hangingChars="100"/>
        <w:rPr>
          <w:rFonts w:hint="eastAsia" w:hAnsi="宋体"/>
          <w:b/>
        </w:rPr>
      </w:pPr>
      <w:r>
        <w:rPr>
          <w:rFonts w:hint="eastAsia" w:hAnsi="宋体"/>
          <w:b/>
        </w:rPr>
        <w:t>（二）评标的方式</w:t>
      </w:r>
    </w:p>
    <w:p>
      <w:pPr>
        <w:pStyle w:val="29"/>
        <w:snapToGrid w:val="0"/>
        <w:spacing w:line="360" w:lineRule="exact"/>
        <w:ind w:left="688" w:leftChars="228" w:hanging="210" w:hangingChars="100"/>
        <w:rPr>
          <w:rFonts w:hint="eastAsia" w:hAnsi="宋体"/>
        </w:rPr>
      </w:pPr>
      <w:r>
        <w:rPr>
          <w:rFonts w:hint="eastAsia" w:hAnsi="宋体"/>
        </w:rPr>
        <w:t>本项目采用不公开方式评标，评标的依据为招标文件和投标文件。</w:t>
      </w:r>
    </w:p>
    <w:p>
      <w:pPr>
        <w:pStyle w:val="29"/>
        <w:snapToGrid w:val="0"/>
        <w:spacing w:line="360" w:lineRule="exact"/>
        <w:ind w:left="688" w:leftChars="228" w:hanging="210" w:hangingChars="100"/>
        <w:rPr>
          <w:rFonts w:hint="eastAsia" w:hAnsi="宋体"/>
          <w:b/>
        </w:rPr>
      </w:pPr>
      <w:r>
        <w:rPr>
          <w:rFonts w:hint="eastAsia" w:hAnsi="宋体"/>
          <w:b/>
        </w:rPr>
        <w:t>（三）</w:t>
      </w:r>
      <w:r>
        <w:rPr>
          <w:rFonts w:hint="eastAsia" w:hAnsi="宋体"/>
          <w:b/>
          <w:bCs/>
        </w:rPr>
        <w:t>评标程序</w:t>
      </w:r>
    </w:p>
    <w:p>
      <w:pPr>
        <w:adjustRightInd w:val="0"/>
        <w:snapToGrid w:val="0"/>
        <w:spacing w:line="400" w:lineRule="exact"/>
        <w:ind w:firstLine="420" w:firstLineChars="200"/>
        <w:rPr>
          <w:rFonts w:hint="eastAsia" w:ascii="宋体" w:hAnsi="宋体"/>
          <w:szCs w:val="21"/>
        </w:rPr>
      </w:pPr>
      <w:bookmarkStart w:id="213" w:name="_Toc40864694"/>
      <w:bookmarkStart w:id="214" w:name="_Toc40864970"/>
      <w:bookmarkStart w:id="215" w:name="_Toc40865086"/>
      <w:r>
        <w:rPr>
          <w:rFonts w:hint="eastAsia" w:ascii="宋体" w:hAnsi="宋体"/>
          <w:szCs w:val="21"/>
        </w:rPr>
        <w:t>（1）</w:t>
      </w:r>
      <w:r>
        <w:rPr>
          <w:rFonts w:hint="eastAsia" w:ascii="宋体"/>
          <w:szCs w:val="21"/>
        </w:rPr>
        <w:t>评标委员会审查、评价投标文件是否符合招标文件的商务、技术等实质性要求。</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w:t>
      </w:r>
      <w:r>
        <w:rPr>
          <w:rFonts w:hint="eastAsia" w:ascii="宋体"/>
          <w:szCs w:val="21"/>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（5）</w:t>
      </w:r>
      <w:r>
        <w:rPr>
          <w:rFonts w:hint="eastAsia" w:ascii="宋体"/>
          <w:szCs w:val="21"/>
        </w:rPr>
        <w:t>评标委员会完成评标后,由</w:t>
      </w:r>
      <w:r>
        <w:rPr>
          <w:rFonts w:ascii="宋体"/>
          <w:szCs w:val="21"/>
          <w:lang w:val="en"/>
        </w:rPr>
        <w:t>广西政府采购云</w:t>
      </w:r>
      <w:r>
        <w:rPr>
          <w:rFonts w:hint="eastAsia" w:ascii="宋体"/>
          <w:szCs w:val="21"/>
        </w:rPr>
        <w:t>系统对各部分得分汇总,计算出本项目最终得分、评标价等。</w:t>
      </w:r>
      <w:r>
        <w:rPr>
          <w:rFonts w:hint="eastAsia" w:ascii="宋体" w:hAnsi="宋体"/>
          <w:szCs w:val="21"/>
        </w:rPr>
        <w:t>评标委员会按推荐原则推荐中标候选人同时形成评标报告。</w:t>
      </w:r>
    </w:p>
    <w:bookmarkEnd w:id="213"/>
    <w:bookmarkEnd w:id="214"/>
    <w:bookmarkEnd w:id="215"/>
    <w:p>
      <w:pPr>
        <w:adjustRightInd w:val="0"/>
        <w:snapToGrid w:val="0"/>
        <w:spacing w:line="400" w:lineRule="exact"/>
        <w:ind w:firstLine="420" w:firstLineChars="200"/>
        <w:rPr>
          <w:rFonts w:hint="eastAsia"/>
          <w:b/>
        </w:rPr>
      </w:pPr>
      <w:bookmarkStart w:id="216" w:name="_Toc40864696"/>
      <w:bookmarkStart w:id="217" w:name="_Toc40865088"/>
      <w:bookmarkStart w:id="218" w:name="_Toc40864972"/>
      <w:r>
        <w:rPr>
          <w:rFonts w:hint="eastAsia"/>
          <w:b/>
        </w:rPr>
        <w:t>（四）澄清问题的形式</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hint="eastAsia"/>
          <w:b/>
        </w:rPr>
      </w:pPr>
      <w:r>
        <w:rPr>
          <w:rFonts w:hint="eastAsia"/>
          <w:b/>
        </w:rPr>
        <w:t>（五）错误修正</w:t>
      </w:r>
    </w:p>
    <w:p>
      <w:pPr>
        <w:pStyle w:val="29"/>
        <w:adjustRightInd w:val="0"/>
        <w:snapToGrid w:val="0"/>
        <w:spacing w:line="400" w:lineRule="exact"/>
        <w:ind w:left="688" w:leftChars="228" w:hanging="210" w:hangingChars="100"/>
        <w:rPr>
          <w:rFonts w:hint="eastAsia"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pPr>
      <w:r>
        <w:rPr>
          <w:rFonts w:hint="eastAsia"/>
        </w:rPr>
        <w:t>1.投标文件中开标一览表（报价表）内容与投标文件中相应内容不一致的，以开标一览表（报价表）为准；</w:t>
      </w:r>
    </w:p>
    <w:p>
      <w:pPr>
        <w:pStyle w:val="29"/>
        <w:adjustRightInd w:val="0"/>
        <w:snapToGrid w:val="0"/>
        <w:spacing w:line="400" w:lineRule="exact"/>
        <w:ind w:firstLine="420" w:firstLineChars="200"/>
      </w:pPr>
      <w:r>
        <w:rPr>
          <w:rFonts w:hint="eastAsia"/>
        </w:rPr>
        <w:t>2.大写金额和小写金额不一致的，以大写金额为准；</w:t>
      </w:r>
    </w:p>
    <w:p>
      <w:pPr>
        <w:pStyle w:val="29"/>
        <w:adjustRightInd w:val="0"/>
        <w:snapToGrid w:val="0"/>
        <w:spacing w:line="400" w:lineRule="exact"/>
        <w:ind w:firstLine="420" w:firstLineChars="200"/>
      </w:pPr>
      <w:r>
        <w:rPr>
          <w:rFonts w:hint="eastAsia"/>
        </w:rPr>
        <w:t>3.单价金额小数点或者百分比有明显错位的，以开标一览表的总价为准，并修改单价；</w:t>
      </w:r>
    </w:p>
    <w:p>
      <w:pPr>
        <w:pStyle w:val="29"/>
        <w:adjustRightInd w:val="0"/>
        <w:snapToGrid w:val="0"/>
        <w:spacing w:line="400" w:lineRule="exact"/>
        <w:ind w:firstLine="420" w:firstLineChars="200"/>
      </w:pPr>
      <w:r>
        <w:rPr>
          <w:rFonts w:hint="eastAsia"/>
        </w:rPr>
        <w:t>4.总价金额与按单价汇总金额不一致的，以单价金额计算结果为准。</w:t>
      </w:r>
    </w:p>
    <w:p>
      <w:pPr>
        <w:pStyle w:val="29"/>
        <w:adjustRightInd w:val="0"/>
        <w:snapToGrid w:val="0"/>
        <w:spacing w:line="400" w:lineRule="exact"/>
        <w:ind w:firstLine="420" w:firstLineChars="200"/>
      </w:pPr>
      <w:r>
        <w:rPr>
          <w:rFonts w:hint="eastAsia"/>
        </w:rPr>
        <w:t>5.对不同文字文本投标文件的解释发生异议的，以中文文本为准。</w:t>
      </w:r>
    </w:p>
    <w:p>
      <w:pPr>
        <w:pStyle w:val="29"/>
        <w:adjustRightInd w:val="0"/>
        <w:snapToGrid w:val="0"/>
        <w:spacing w:line="400" w:lineRule="exact"/>
        <w:ind w:firstLine="420" w:firstLineChars="200"/>
        <w:rPr>
          <w:rFonts w:hint="eastAsia" w:hAnsi="宋体"/>
        </w:rPr>
      </w:pPr>
      <w:r>
        <w:rPr>
          <w:rFonts w:hint="eastAsia"/>
        </w:rPr>
        <w:t>同时出现两种以上不一致的，按照前款规定的顺序修正。</w:t>
      </w:r>
    </w:p>
    <w:p>
      <w:pPr>
        <w:pStyle w:val="29"/>
        <w:adjustRightInd w:val="0"/>
        <w:snapToGrid w:val="0"/>
        <w:spacing w:line="400" w:lineRule="exact"/>
        <w:ind w:firstLine="420" w:firstLineChars="200"/>
        <w:rPr>
          <w:rFonts w:hint="eastAsia"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pStyle w:val="29"/>
        <w:tabs>
          <w:tab w:val="left" w:pos="630"/>
        </w:tabs>
        <w:snapToGrid w:val="0"/>
        <w:spacing w:line="360" w:lineRule="exact"/>
        <w:ind w:firstLine="411" w:firstLineChars="196"/>
        <w:outlineLvl w:val="0"/>
        <w:rPr>
          <w:rFonts w:hint="eastAsia" w:hAnsi="宋体"/>
          <w:b/>
        </w:rPr>
      </w:pPr>
      <w:r>
        <w:rPr>
          <w:rFonts w:hint="eastAsia" w:hAnsi="宋体"/>
          <w:b/>
        </w:rPr>
        <w:t>（六）评标原则和评标办法</w:t>
      </w:r>
      <w:bookmarkEnd w:id="216"/>
      <w:bookmarkEnd w:id="217"/>
      <w:bookmarkEnd w:id="218"/>
    </w:p>
    <w:p>
      <w:pPr>
        <w:pStyle w:val="29"/>
        <w:snapToGrid w:val="0"/>
        <w:spacing w:line="440" w:lineRule="exact"/>
        <w:ind w:firstLine="420" w:firstLineChars="200"/>
        <w:rPr>
          <w:rFonts w:hint="eastAsia"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snapToGrid w:val="0"/>
        <w:spacing w:line="440" w:lineRule="exact"/>
        <w:ind w:firstLine="420" w:firstLineChars="200"/>
        <w:rPr>
          <w:rFonts w:hint="eastAsia"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，具体评标内容及评分标准等详见第四章：评标方法及评分标准。</w:t>
      </w:r>
    </w:p>
    <w:p>
      <w:pPr>
        <w:pStyle w:val="29"/>
        <w:snapToGrid w:val="0"/>
        <w:spacing w:line="440" w:lineRule="exact"/>
        <w:ind w:firstLine="411" w:firstLineChars="196"/>
        <w:outlineLvl w:val="0"/>
        <w:rPr>
          <w:rFonts w:hint="eastAsia" w:hAnsi="宋体"/>
          <w:b/>
        </w:rPr>
      </w:pPr>
      <w:bookmarkStart w:id="219" w:name="_Toc40864973"/>
      <w:bookmarkStart w:id="220" w:name="_Toc40864697"/>
      <w:bookmarkStart w:id="221" w:name="_Toc40865089"/>
      <w:r>
        <w:rPr>
          <w:rFonts w:hint="eastAsia" w:hAnsi="宋体"/>
          <w:b/>
        </w:rPr>
        <w:t>（七）评标过程的监控</w:t>
      </w:r>
      <w:bookmarkEnd w:id="219"/>
      <w:bookmarkEnd w:id="220"/>
      <w:bookmarkEnd w:id="221"/>
    </w:p>
    <w:p>
      <w:pPr>
        <w:pStyle w:val="29"/>
        <w:snapToGrid w:val="0"/>
        <w:spacing w:line="440" w:lineRule="exact"/>
        <w:ind w:firstLine="420" w:firstLineChars="200"/>
        <w:rPr>
          <w:rFonts w:hint="eastAsia" w:hAnsi="宋体"/>
        </w:rPr>
      </w:pPr>
      <w:r>
        <w:rPr>
          <w:rFonts w:hint="eastAsia" w:hAnsi="宋体"/>
        </w:rPr>
        <w:t>本项目评标过程实行全程录音、录像监控，投标人在评标过程中所进行的试图影响评标结果的不公正活动，可能导致其投标被拒绝。</w:t>
      </w:r>
    </w:p>
    <w:p>
      <w:pPr>
        <w:pStyle w:val="29"/>
        <w:snapToGrid w:val="0"/>
        <w:spacing w:line="440" w:lineRule="exact"/>
        <w:ind w:firstLine="411" w:firstLineChars="196"/>
        <w:outlineLvl w:val="1"/>
        <w:rPr>
          <w:rFonts w:hint="eastAsia" w:hAnsi="宋体"/>
          <w:b/>
        </w:rPr>
      </w:pPr>
      <w:bookmarkStart w:id="222" w:name="_Toc40864974"/>
      <w:bookmarkStart w:id="223" w:name="_Toc40864698"/>
      <w:bookmarkStart w:id="224" w:name="_Toc254970546"/>
      <w:bookmarkStart w:id="225" w:name="_Toc40865090"/>
      <w:bookmarkStart w:id="226" w:name="_Toc254970687"/>
      <w:r>
        <w:rPr>
          <w:rFonts w:hint="eastAsia" w:hAnsi="宋体"/>
          <w:b/>
        </w:rPr>
        <w:t>七、评标结果</w:t>
      </w:r>
      <w:bookmarkEnd w:id="222"/>
      <w:bookmarkEnd w:id="223"/>
      <w:bookmarkEnd w:id="224"/>
      <w:bookmarkEnd w:id="225"/>
      <w:bookmarkEnd w:id="226"/>
    </w:p>
    <w:p>
      <w:pPr>
        <w:pStyle w:val="29"/>
        <w:spacing w:line="440" w:lineRule="exact"/>
        <w:ind w:firstLine="420"/>
        <w:rPr>
          <w:rFonts w:hint="eastAsia" w:hAnsi="宋体"/>
        </w:rPr>
      </w:pPr>
      <w:r>
        <w:rPr>
          <w:rFonts w:hint="eastAsia" w:hAnsi="宋体"/>
          <w:b/>
          <w:bCs/>
        </w:rPr>
        <w:t>（一）</w:t>
      </w:r>
      <w:r>
        <w:rPr>
          <w:rFonts w:hint="eastAsia" w:hAnsi="宋体"/>
        </w:rPr>
        <w:t>本中心将在评标结束后</w:t>
      </w:r>
      <w:r>
        <w:rPr>
          <w:rFonts w:hint="eastAsia" w:hAnsi="宋体"/>
          <w:b/>
          <w:bCs/>
        </w:rPr>
        <w:t>2个工作日内</w:t>
      </w:r>
      <w:r>
        <w:rPr>
          <w:rFonts w:hint="eastAsia" w:hAnsi="宋体"/>
        </w:rPr>
        <w:t>将评标报告送采购人，采购人</w:t>
      </w:r>
      <w:r>
        <w:rPr>
          <w:rFonts w:hint="eastAsia" w:hAnsi="宋体"/>
          <w:b/>
          <w:bCs/>
        </w:rPr>
        <w:t>在5个工作日内</w:t>
      </w:r>
      <w:r>
        <w:rPr>
          <w:rFonts w:hint="eastAsia" w:hAnsi="宋体"/>
        </w:rPr>
        <w:t>按照评标报告中推荐的中标候选供应商顺序确定中标供应商。</w:t>
      </w:r>
    </w:p>
    <w:p>
      <w:pPr>
        <w:pStyle w:val="29"/>
        <w:spacing w:line="440" w:lineRule="exact"/>
        <w:ind w:firstLine="420"/>
        <w:rPr>
          <w:rFonts w:hint="eastAsia" w:hAnsi="宋体"/>
        </w:rPr>
      </w:pPr>
      <w:r>
        <w:rPr>
          <w:rFonts w:hint="eastAsia" w:hAnsi="宋体"/>
        </w:rPr>
        <w:t>（二）中标供应商确定后，本中心在中国政府采购网、广西财政网、</w:t>
      </w:r>
      <w:r>
        <w:rPr>
          <w:rFonts w:hint="eastAsia"/>
        </w:rPr>
        <w:t>广西壮族自治区政府采购中心网站</w:t>
      </w:r>
      <w:r>
        <w:rPr>
          <w:rFonts w:hint="eastAsia" w:hAnsi="宋体"/>
        </w:rPr>
        <w:t>发布中标结果公告。</w:t>
      </w:r>
    </w:p>
    <w:p>
      <w:pPr>
        <w:pStyle w:val="29"/>
        <w:spacing w:line="440" w:lineRule="exact"/>
        <w:ind w:firstLine="420"/>
        <w:rPr>
          <w:rFonts w:hint="eastAsia" w:hAnsi="宋体"/>
        </w:rPr>
      </w:pPr>
      <w:r>
        <w:rPr>
          <w:rFonts w:hint="eastAsia" w:hAnsi="宋体"/>
        </w:rPr>
        <w:t>（三）</w:t>
      </w:r>
      <w:r>
        <w:rPr>
          <w:rFonts w:hint="eastAsia"/>
        </w:rPr>
        <w:t>在发布中标结果公告的同时，本中心向中标供应商发出中标通知书。</w:t>
      </w:r>
    </w:p>
    <w:p>
      <w:pPr>
        <w:pStyle w:val="29"/>
        <w:snapToGrid w:val="0"/>
        <w:spacing w:line="440" w:lineRule="exact"/>
        <w:ind w:firstLine="411" w:firstLineChars="196"/>
        <w:outlineLvl w:val="1"/>
        <w:rPr>
          <w:rFonts w:hint="eastAsia" w:hAnsi="宋体"/>
          <w:b/>
        </w:rPr>
      </w:pPr>
      <w:bookmarkStart w:id="227" w:name="_Toc40865091"/>
      <w:bookmarkStart w:id="228" w:name="_Toc40864699"/>
      <w:bookmarkStart w:id="229" w:name="_Toc40864975"/>
      <w:r>
        <w:rPr>
          <w:rFonts w:hint="eastAsia" w:hAnsi="宋体"/>
          <w:b/>
        </w:rPr>
        <w:t>八、签订合同</w:t>
      </w:r>
      <w:bookmarkEnd w:id="227"/>
      <w:bookmarkEnd w:id="228"/>
      <w:bookmarkEnd w:id="229"/>
    </w:p>
    <w:p>
      <w:pPr>
        <w:pStyle w:val="29"/>
        <w:snapToGrid w:val="0"/>
        <w:spacing w:line="440" w:lineRule="exact"/>
        <w:ind w:firstLine="411" w:firstLineChars="196"/>
        <w:outlineLvl w:val="1"/>
        <w:rPr>
          <w:rFonts w:hint="eastAsia" w:hAnsi="宋体"/>
          <w:b/>
        </w:rPr>
      </w:pPr>
      <w:bookmarkStart w:id="230" w:name="_Toc40865092"/>
      <w:bookmarkStart w:id="231" w:name="_Toc40864976"/>
      <w:bookmarkStart w:id="232" w:name="_Toc40864700"/>
      <w:r>
        <w:rPr>
          <w:rFonts w:hint="eastAsia" w:hAnsi="宋体"/>
          <w:b/>
        </w:rPr>
        <w:t>（一）合同授予标准</w:t>
      </w:r>
      <w:bookmarkEnd w:id="230"/>
      <w:bookmarkEnd w:id="231"/>
      <w:bookmarkEnd w:id="232"/>
    </w:p>
    <w:p>
      <w:pPr>
        <w:pStyle w:val="29"/>
        <w:spacing w:line="440" w:lineRule="exact"/>
        <w:ind w:firstLine="420"/>
        <w:rPr>
          <w:rFonts w:hint="eastAsia" w:hAnsi="宋体"/>
        </w:rPr>
      </w:pPr>
      <w:r>
        <w:rPr>
          <w:rFonts w:hint="eastAsia" w:hAnsi="宋体"/>
        </w:rPr>
        <w:t>合同将授予被确定投标文件满足招标文件全部实质性要求，具备履行合同能力，</w:t>
      </w:r>
      <w:r>
        <w:rPr>
          <w:rFonts w:hint="eastAsia" w:hAnsi="宋体"/>
          <w:b/>
          <w:bCs/>
        </w:rPr>
        <w:t>评审得分最高，综合评分排名第一的供应商</w:t>
      </w:r>
      <w:r>
        <w:rPr>
          <w:rFonts w:hint="eastAsia" w:hAnsi="宋体"/>
        </w:rPr>
        <w:t>。</w:t>
      </w:r>
    </w:p>
    <w:p>
      <w:pPr>
        <w:pStyle w:val="29"/>
        <w:snapToGrid w:val="0"/>
        <w:spacing w:line="440" w:lineRule="exact"/>
        <w:ind w:firstLine="411" w:firstLineChars="196"/>
        <w:outlineLvl w:val="1"/>
        <w:rPr>
          <w:rFonts w:hint="eastAsia" w:hAnsi="宋体"/>
        </w:rPr>
      </w:pPr>
      <w:bookmarkStart w:id="233" w:name="_Toc40864977"/>
      <w:bookmarkStart w:id="234" w:name="_Toc40864701"/>
      <w:bookmarkStart w:id="235" w:name="_Toc40865093"/>
      <w:r>
        <w:rPr>
          <w:rFonts w:hint="eastAsia" w:hAnsi="宋体"/>
          <w:b/>
        </w:rPr>
        <w:t>（二）签订合同</w:t>
      </w:r>
      <w:bookmarkEnd w:id="233"/>
      <w:bookmarkEnd w:id="234"/>
      <w:bookmarkEnd w:id="235"/>
    </w:p>
    <w:p>
      <w:pPr>
        <w:pStyle w:val="29"/>
        <w:spacing w:line="440" w:lineRule="exact"/>
        <w:ind w:firstLine="420"/>
        <w:rPr>
          <w:rFonts w:hint="eastAsia" w:hAnsi="宋体"/>
        </w:rPr>
      </w:pPr>
      <w:r>
        <w:rPr>
          <w:rFonts w:hint="eastAsia" w:hAnsi="宋体"/>
        </w:rPr>
        <w:t>（1）</w:t>
      </w:r>
      <w:r>
        <w:rPr>
          <w:rFonts w:hint="eastAsia"/>
        </w:rPr>
        <w:t>投标人接到中标通知书后，应按中标通知书规定的时间、地点与采购人签订合同。中标人无正当理由不得放弃中标。</w:t>
      </w:r>
    </w:p>
    <w:p>
      <w:pPr>
        <w:pStyle w:val="29"/>
        <w:spacing w:line="440" w:lineRule="exact"/>
        <w:ind w:firstLine="420"/>
        <w:rPr>
          <w:rFonts w:hint="eastAsia" w:hAnsi="宋体"/>
        </w:rPr>
      </w:pPr>
      <w:r>
        <w:rPr>
          <w:rFonts w:hint="eastAsia" w:hAnsi="宋体"/>
        </w:rPr>
        <w:t>（2）如中标供应商不按中标通知书的规定签订合同，则按中标供应商违约处理，本中心将没收中标供应商投标的全部投标保证金。</w:t>
      </w:r>
    </w:p>
    <w:p>
      <w:pPr>
        <w:pStyle w:val="29"/>
        <w:spacing w:line="440" w:lineRule="exact"/>
        <w:ind w:firstLine="420" w:firstLineChars="200"/>
        <w:rPr>
          <w:rFonts w:hint="eastAsia"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w:t>
      </w:r>
      <w:r>
        <w:t>中标供应商放弃中标项目，拒绝与采购人签订合同的，其投标保证金</w:t>
      </w:r>
      <w:r>
        <w:rPr>
          <w:rFonts w:hint="eastAsia"/>
        </w:rPr>
        <w:t>将不予退还，</w:t>
      </w:r>
      <w:r>
        <w:t>并上缴国库，</w:t>
      </w:r>
      <w:r>
        <w:rPr>
          <w:rFonts w:hint="eastAsia"/>
        </w:rPr>
        <w:t>给</w:t>
      </w:r>
      <w:r>
        <w:t>采购人造成损失的，还应当赔偿损失，并作为不良行为记录在案</w:t>
      </w:r>
      <w:r>
        <w:rPr>
          <w:rFonts w:hint="eastAsia" w:hAnsi="宋体"/>
        </w:rPr>
        <w:t>。</w:t>
      </w:r>
    </w:p>
    <w:p>
      <w:pPr>
        <w:pStyle w:val="29"/>
        <w:snapToGrid w:val="0"/>
        <w:spacing w:line="440" w:lineRule="exact"/>
        <w:ind w:firstLine="411" w:firstLineChars="196"/>
        <w:outlineLvl w:val="1"/>
        <w:rPr>
          <w:rFonts w:hint="eastAsia" w:hAnsi="宋体"/>
          <w:b/>
        </w:rPr>
      </w:pPr>
      <w:bookmarkStart w:id="236" w:name="_Toc40864702"/>
      <w:bookmarkStart w:id="237" w:name="_Toc40864978"/>
      <w:bookmarkStart w:id="238" w:name="_Toc40865094"/>
      <w:r>
        <w:rPr>
          <w:rFonts w:hint="eastAsia" w:hAnsi="宋体"/>
          <w:b/>
        </w:rPr>
        <w:t>九、其他事项</w:t>
      </w:r>
      <w:bookmarkEnd w:id="236"/>
      <w:bookmarkEnd w:id="237"/>
      <w:bookmarkEnd w:id="238"/>
    </w:p>
    <w:p>
      <w:pPr>
        <w:pStyle w:val="29"/>
        <w:snapToGrid w:val="0"/>
        <w:spacing w:line="440" w:lineRule="exact"/>
        <w:ind w:firstLine="411" w:firstLineChars="196"/>
        <w:outlineLvl w:val="1"/>
        <w:rPr>
          <w:rFonts w:hint="eastAsia" w:hAnsi="宋体"/>
          <w:b/>
        </w:rPr>
      </w:pPr>
      <w:bookmarkStart w:id="239" w:name="_Toc40864979"/>
      <w:bookmarkStart w:id="240" w:name="_Toc40864703"/>
      <w:bookmarkStart w:id="241" w:name="_Toc40865095"/>
      <w:r>
        <w:rPr>
          <w:rFonts w:hint="eastAsia" w:hAnsi="宋体"/>
          <w:b/>
        </w:rPr>
        <w:t>（1）解释权：</w:t>
      </w:r>
      <w:r>
        <w:rPr>
          <w:rFonts w:hint="eastAsia" w:hAnsi="宋体"/>
          <w:spacing w:val="-4"/>
        </w:rPr>
        <w:t>本招标文件解释权属本中心。</w:t>
      </w:r>
      <w:bookmarkEnd w:id="239"/>
      <w:bookmarkEnd w:id="240"/>
      <w:bookmarkEnd w:id="241"/>
    </w:p>
    <w:p>
      <w:pPr>
        <w:pStyle w:val="29"/>
        <w:snapToGrid w:val="0"/>
        <w:spacing w:line="440" w:lineRule="exact"/>
        <w:ind w:firstLine="411" w:firstLineChars="196"/>
        <w:outlineLvl w:val="1"/>
        <w:rPr>
          <w:rFonts w:hint="eastAsia" w:hAnsi="宋体"/>
        </w:rPr>
      </w:pPr>
      <w:bookmarkStart w:id="242" w:name="_Toc40865096"/>
      <w:bookmarkStart w:id="243" w:name="_Toc40864980"/>
      <w:bookmarkStart w:id="244" w:name="_Toc40864704"/>
      <w:r>
        <w:rPr>
          <w:rFonts w:hint="eastAsia" w:hAnsi="宋体"/>
          <w:b/>
        </w:rPr>
        <w:t>（2）有关事宜</w:t>
      </w:r>
      <w:bookmarkEnd w:id="242"/>
      <w:bookmarkEnd w:id="243"/>
      <w:bookmarkEnd w:id="244"/>
    </w:p>
    <w:p>
      <w:pPr>
        <w:pStyle w:val="29"/>
        <w:spacing w:line="360" w:lineRule="exact"/>
        <w:rPr>
          <w:rFonts w:hint="eastAsia" w:hAnsi="宋体"/>
          <w:b/>
          <w:bCs/>
        </w:rPr>
      </w:pPr>
      <w:r>
        <w:rPr>
          <w:rFonts w:hint="eastAsia" w:hAnsi="宋体"/>
        </w:rPr>
        <w:t xml:space="preserve">      </w:t>
      </w:r>
      <w:r>
        <w:rPr>
          <w:rFonts w:hint="eastAsia" w:hAnsi="宋体"/>
          <w:b/>
          <w:bCs/>
        </w:rPr>
        <w:t>所有与本招标文件有关的函件请按下列通讯地址联系：</w:t>
      </w:r>
    </w:p>
    <w:p>
      <w:pPr>
        <w:pStyle w:val="29"/>
        <w:spacing w:line="360" w:lineRule="exact"/>
        <w:rPr>
          <w:rFonts w:hAnsi="宋体"/>
          <w:b/>
          <w:bCs/>
        </w:rPr>
      </w:pPr>
      <w:r>
        <w:rPr>
          <w:rFonts w:hint="eastAsia" w:hAnsi="宋体"/>
          <w:b/>
          <w:bCs/>
        </w:rPr>
        <w:t xml:space="preserve">      广西壮族自治区政府采购中心</w:t>
      </w:r>
    </w:p>
    <w:p>
      <w:pPr>
        <w:pStyle w:val="29"/>
        <w:tabs>
          <w:tab w:val="left" w:pos="1990"/>
        </w:tabs>
        <w:spacing w:line="360" w:lineRule="exact"/>
        <w:rPr>
          <w:rFonts w:hAnsi="宋体"/>
          <w:b/>
          <w:bCs/>
          <w:u w:val="single"/>
        </w:rPr>
      </w:pPr>
      <w:r>
        <w:rPr>
          <w:rFonts w:hint="eastAsia" w:hAnsi="宋体"/>
          <w:b/>
          <w:bCs/>
        </w:rPr>
        <w:t xml:space="preserve">      邮政编码：530020</w:t>
      </w:r>
    </w:p>
    <w:p>
      <w:pPr>
        <w:pStyle w:val="29"/>
        <w:tabs>
          <w:tab w:val="left" w:pos="1990"/>
        </w:tabs>
        <w:spacing w:line="360" w:lineRule="exact"/>
        <w:rPr>
          <w:rFonts w:hAnsi="宋体"/>
          <w:b/>
          <w:bCs/>
          <w:spacing w:val="-4"/>
        </w:rPr>
      </w:pPr>
      <w:r>
        <w:rPr>
          <w:rFonts w:hint="eastAsia" w:hAnsi="宋体"/>
          <w:b/>
          <w:bCs/>
        </w:rPr>
        <w:t xml:space="preserve">      通讯地址：</w:t>
      </w:r>
      <w:r>
        <w:rPr>
          <w:rFonts w:hint="eastAsia" w:hAnsi="宋体"/>
          <w:b/>
          <w:bCs/>
          <w:spacing w:val="-4"/>
        </w:rPr>
        <w:t>广西</w:t>
      </w:r>
      <w:r>
        <w:rPr>
          <w:rFonts w:hAnsi="宋体"/>
          <w:b/>
          <w:bCs/>
          <w:spacing w:val="-4"/>
        </w:rPr>
        <w:t>南宁市</w:t>
      </w:r>
      <w:r>
        <w:rPr>
          <w:rFonts w:hint="eastAsia" w:hAnsi="宋体"/>
          <w:b/>
          <w:bCs/>
          <w:spacing w:val="-4"/>
        </w:rPr>
        <w:t>星湖路22号</w:t>
      </w:r>
    </w:p>
    <w:p>
      <w:pPr>
        <w:pStyle w:val="29"/>
        <w:spacing w:line="360" w:lineRule="exact"/>
        <w:rPr>
          <w:rFonts w:hint="eastAsia" w:hAnsi="宋体"/>
          <w:b/>
          <w:bCs/>
        </w:rPr>
      </w:pPr>
      <w:r>
        <w:rPr>
          <w:rFonts w:hint="eastAsia" w:hAnsi="宋体"/>
          <w:b/>
          <w:bCs/>
        </w:rPr>
        <w:t xml:space="preserve">      电    话：0771—</w:t>
      </w:r>
      <w:r>
        <w:rPr>
          <w:rFonts w:hAnsi="宋体"/>
          <w:b/>
          <w:bCs/>
          <w:lang w:val="en"/>
        </w:rPr>
        <w:t>860034</w:t>
      </w:r>
      <w:r>
        <w:rPr>
          <w:rFonts w:hint="eastAsia" w:hAnsi="宋体"/>
          <w:b/>
          <w:bCs/>
        </w:rPr>
        <w:t xml:space="preserve">9            </w:t>
      </w:r>
    </w:p>
    <w:p>
      <w:pPr>
        <w:pStyle w:val="29"/>
        <w:tabs>
          <w:tab w:val="left" w:pos="1990"/>
        </w:tabs>
        <w:adjustRightInd w:val="0"/>
        <w:snapToGrid w:val="0"/>
        <w:spacing w:line="400" w:lineRule="exact"/>
        <w:ind w:firstLine="0"/>
        <w:rPr>
          <w:rFonts w:hAnsi="宋体"/>
          <w:spacing w:val="-4"/>
        </w:rPr>
      </w:pPr>
      <w:r>
        <w:rPr>
          <w:rFonts w:hint="eastAsia" w:hAnsi="宋体"/>
          <w:b/>
          <w:bCs/>
          <w:lang w:val="en-US" w:eastAsia="zh-CN"/>
        </w:rPr>
        <w:t xml:space="preserve">      </w:t>
      </w:r>
      <w:r>
        <w:rPr>
          <w:rFonts w:hint="eastAsia" w:hAnsi="宋体"/>
          <w:b/>
          <w:bCs/>
        </w:rPr>
        <w:t>传    真：0771—</w:t>
      </w:r>
      <w:r>
        <w:rPr>
          <w:rFonts w:hAnsi="宋体"/>
          <w:b/>
          <w:bCs/>
          <w:lang w:val="en"/>
        </w:rPr>
        <w:t>8600305</w:t>
      </w:r>
    </w:p>
    <w:p>
      <w:pPr>
        <w:rPr>
          <w:rFonts w:ascii="宋体" w:hAnsi="宋体"/>
        </w:rPr>
      </w:pPr>
      <w:bookmarkStart w:id="245" w:name="_Toc254970690"/>
      <w:bookmarkStart w:id="246" w:name="_Toc254970549"/>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6"/>
        <w:rPr>
          <w:rFonts w:ascii="宋体" w:hAnsi="宋体"/>
        </w:rPr>
      </w:pPr>
    </w:p>
    <w:p>
      <w:pPr>
        <w:rPr>
          <w:rFonts w:ascii="宋体" w:hAnsi="宋体"/>
        </w:rPr>
      </w:pPr>
    </w:p>
    <w:p>
      <w:pPr>
        <w:pStyle w:val="6"/>
        <w:rPr>
          <w:rFonts w:ascii="宋体" w:hAnsi="宋体"/>
        </w:rPr>
      </w:pPr>
    </w:p>
    <w:p>
      <w:pPr>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spacing w:line="600" w:lineRule="auto"/>
        <w:ind w:firstLine="1600" w:firstLineChars="500"/>
        <w:jc w:val="center"/>
        <w:rPr>
          <w:rFonts w:ascii="宋体" w:hAnsi="宋体" w:cs="宋体"/>
          <w:szCs w:val="21"/>
        </w:rPr>
      </w:pPr>
      <w:r>
        <w:rPr>
          <w:rFonts w:eastAsia="仿宋_GB2312"/>
          <w:b/>
          <w:sz w:val="32"/>
          <w:szCs w:val="32"/>
        </w:rPr>
        <w:t>评标方法及评</w:t>
      </w:r>
      <w:r>
        <w:rPr>
          <w:rFonts w:hint="eastAsia" w:eastAsia="仿宋_GB2312"/>
          <w:b/>
          <w:sz w:val="32"/>
          <w:szCs w:val="32"/>
        </w:rPr>
        <w:t>分</w:t>
      </w:r>
      <w:r>
        <w:rPr>
          <w:rFonts w:eastAsia="仿宋_GB2312"/>
          <w:b/>
          <w:sz w:val="32"/>
          <w:szCs w:val="32"/>
        </w:rPr>
        <w:t>标准</w:t>
      </w:r>
    </w:p>
    <w:p>
      <w:pPr>
        <w:pStyle w:val="29"/>
        <w:spacing w:line="360" w:lineRule="exact"/>
        <w:ind w:firstLine="2080" w:firstLineChars="650"/>
        <w:rPr>
          <w:rFonts w:ascii="仿宋_GB2312" w:hAnsi="宋体" w:eastAsia="仿宋_GB2312"/>
          <w:b/>
          <w:sz w:val="32"/>
          <w:szCs w:val="32"/>
        </w:rPr>
      </w:pPr>
    </w:p>
    <w:p>
      <w:pPr>
        <w:pStyle w:val="29"/>
        <w:spacing w:line="400" w:lineRule="exact"/>
        <w:ind w:firstLine="420" w:firstLineChars="200"/>
        <w:rPr>
          <w:rFonts w:hint="eastAsia" w:hAnsi="宋体" w:cs="宋体"/>
          <w:b/>
        </w:rPr>
      </w:pPr>
      <w:r>
        <w:rPr>
          <w:rFonts w:hint="eastAsia" w:hAnsi="宋体" w:cs="宋体"/>
          <w:b/>
        </w:rPr>
        <w:t>一、评标原则</w:t>
      </w:r>
    </w:p>
    <w:p>
      <w:pPr>
        <w:pStyle w:val="29"/>
        <w:spacing w:line="400" w:lineRule="exact"/>
        <w:ind w:firstLine="483" w:firstLineChars="230"/>
        <w:rPr>
          <w:rFonts w:hint="eastAsia" w:hAnsi="宋体"/>
          <w:bCs/>
        </w:rPr>
      </w:pPr>
      <w:bookmarkStart w:id="247" w:name="_Toc40864708"/>
      <w:bookmarkStart w:id="248" w:name="_Toc40865100"/>
      <w:bookmarkStart w:id="249" w:name="_Toc1241285207"/>
      <w:bookmarkStart w:id="250" w:name="_Toc1924790345"/>
      <w:bookmarkStart w:id="251" w:name="_Toc40864984"/>
      <w:r>
        <w:rPr>
          <w:rFonts w:hint="eastAsia" w:hAnsi="宋体"/>
          <w:bCs/>
        </w:rPr>
        <w:t>(一)评委组成：本招标采购项目的</w:t>
      </w:r>
      <w:r>
        <w:rPr>
          <w:rFonts w:hint="eastAsia"/>
          <w:spacing w:val="-4"/>
        </w:rPr>
        <w:t>评标委员会由采购人代表和评审专家组成，</w:t>
      </w:r>
      <w:r>
        <w:rPr>
          <w:rFonts w:hint="eastAsia"/>
        </w:rPr>
        <w:t>成员人数</w:t>
      </w:r>
      <w:r>
        <w:rPr>
          <w:rFonts w:hint="eastAsia"/>
          <w:b/>
          <w:bCs/>
        </w:rPr>
        <w:t>应当为五人或以上单数（采购预算1000万以上为七人或以上单数）</w:t>
      </w:r>
      <w:r>
        <w:rPr>
          <w:rFonts w:hint="eastAsia"/>
        </w:rPr>
        <w:t>。其中，技术、经济等方面的专家不得少于成员总数的三分之二</w:t>
      </w:r>
      <w:r>
        <w:rPr>
          <w:rFonts w:hint="eastAsia"/>
          <w:spacing w:val="-4"/>
        </w:rPr>
        <w:t>。</w:t>
      </w:r>
    </w:p>
    <w:p>
      <w:pPr>
        <w:pStyle w:val="29"/>
        <w:spacing w:line="400" w:lineRule="exact"/>
        <w:ind w:firstLine="499" w:firstLineChars="238"/>
        <w:rPr>
          <w:rFonts w:hint="eastAsia" w:hAnsi="宋体"/>
          <w:bCs/>
        </w:rPr>
      </w:pPr>
      <w:r>
        <w:rPr>
          <w:rFonts w:hint="eastAsia" w:hAnsi="宋体"/>
          <w:bCs/>
        </w:rPr>
        <w:t>(二)评标依据：评委将以招投标文件为评标依据，对投标人的内容按百分制打分。</w:t>
      </w:r>
    </w:p>
    <w:p>
      <w:pPr>
        <w:pStyle w:val="29"/>
        <w:spacing w:line="400" w:lineRule="exact"/>
        <w:ind w:firstLine="510" w:firstLineChars="243"/>
        <w:rPr>
          <w:rFonts w:hint="eastAsia" w:hAnsi="宋体"/>
          <w:bCs/>
        </w:rPr>
      </w:pPr>
      <w:r>
        <w:rPr>
          <w:rFonts w:hint="eastAsia" w:hAnsi="宋体"/>
          <w:bCs/>
        </w:rPr>
        <w:t>(三)评标方式：以封闭方式进行。</w:t>
      </w:r>
    </w:p>
    <w:p>
      <w:pPr>
        <w:pStyle w:val="29"/>
        <w:spacing w:line="400" w:lineRule="exact"/>
        <w:ind w:firstLine="420" w:firstLineChars="200"/>
        <w:outlineLvl w:val="0"/>
        <w:rPr>
          <w:rFonts w:hint="eastAsia" w:hAnsi="宋体" w:cs="宋体"/>
          <w:b/>
        </w:rPr>
      </w:pPr>
      <w:r>
        <w:rPr>
          <w:rFonts w:hint="eastAsia" w:hAnsi="宋体" w:cs="宋体"/>
          <w:b/>
        </w:rPr>
        <w:t>二、评标方法</w:t>
      </w:r>
      <w:bookmarkEnd w:id="247"/>
      <w:bookmarkEnd w:id="248"/>
      <w:bookmarkEnd w:id="249"/>
      <w:bookmarkEnd w:id="250"/>
      <w:bookmarkEnd w:id="251"/>
      <w:bookmarkStart w:id="252" w:name="_Toc40864985"/>
      <w:bookmarkStart w:id="253" w:name="_Toc40864709"/>
      <w:bookmarkStart w:id="254" w:name="_Toc40865101"/>
    </w:p>
    <w:p>
      <w:pPr>
        <w:pStyle w:val="29"/>
        <w:spacing w:line="400" w:lineRule="exact"/>
        <w:ind w:firstLine="420" w:firstLineChars="200"/>
        <w:outlineLvl w:val="0"/>
        <w:rPr>
          <w:rFonts w:hint="eastAsia" w:hAnsi="宋体" w:cs="宋体"/>
        </w:rPr>
      </w:pPr>
      <w:bookmarkStart w:id="255" w:name="_Toc801975245"/>
      <w:bookmarkStart w:id="256" w:name="_Toc1754890946"/>
      <w:r>
        <w:rPr>
          <w:rFonts w:hint="eastAsia" w:hAnsi="宋体" w:cs="宋体"/>
        </w:rPr>
        <w:t>（一）对进入详评的，采用百分制综合评分法。</w:t>
      </w:r>
      <w:bookmarkEnd w:id="252"/>
      <w:bookmarkEnd w:id="253"/>
      <w:bookmarkEnd w:id="254"/>
      <w:bookmarkEnd w:id="255"/>
      <w:bookmarkEnd w:id="256"/>
      <w:bookmarkStart w:id="257" w:name="_Toc40864710"/>
      <w:bookmarkStart w:id="258" w:name="_Toc40864986"/>
      <w:bookmarkStart w:id="259" w:name="_Toc40865102"/>
    </w:p>
    <w:p>
      <w:pPr>
        <w:pStyle w:val="29"/>
        <w:spacing w:line="400" w:lineRule="exact"/>
        <w:ind w:firstLine="420" w:firstLineChars="200"/>
        <w:outlineLvl w:val="0"/>
        <w:rPr>
          <w:rFonts w:hint="eastAsia" w:hAnsi="宋体" w:cs="宋体"/>
        </w:rPr>
      </w:pPr>
      <w:bookmarkStart w:id="260" w:name="_Toc600667103"/>
      <w:bookmarkStart w:id="261" w:name="_Toc527242252"/>
      <w:r>
        <w:rPr>
          <w:rFonts w:hint="eastAsia" w:hAnsi="宋体" w:cs="宋体"/>
        </w:rPr>
        <w:t>（二）计分办法（按四舍五入取至百分位）：</w:t>
      </w:r>
      <w:bookmarkEnd w:id="257"/>
      <w:bookmarkEnd w:id="258"/>
      <w:bookmarkEnd w:id="259"/>
      <w:bookmarkEnd w:id="260"/>
      <w:bookmarkEnd w:id="261"/>
      <w:bookmarkStart w:id="262" w:name="_Toc40864711"/>
      <w:bookmarkStart w:id="263" w:name="_Toc40864987"/>
      <w:bookmarkStart w:id="264" w:name="_Toc40865103"/>
    </w:p>
    <w:bookmarkEnd w:id="262"/>
    <w:bookmarkEnd w:id="263"/>
    <w:bookmarkEnd w:id="264"/>
    <w:p>
      <w:pPr>
        <w:pStyle w:val="29"/>
        <w:spacing w:line="400" w:lineRule="exact"/>
        <w:ind w:firstLine="420" w:firstLineChars="200"/>
        <w:outlineLvl w:val="0"/>
        <w:rPr>
          <w:rFonts w:hint="eastAsia" w:hAnsi="宋体" w:cs="宋体"/>
          <w:b/>
        </w:rPr>
      </w:pPr>
      <w:bookmarkStart w:id="265" w:name="_Toc2031330914"/>
      <w:bookmarkStart w:id="266" w:name="_Toc1454261283"/>
      <w:r>
        <w:rPr>
          <w:rFonts w:hint="eastAsia" w:hAnsi="宋体" w:cs="宋体"/>
          <w:b/>
        </w:rPr>
        <w:t>1、价格分…………………………………………………</w:t>
      </w:r>
      <w:bookmarkStart w:id="269" w:name="_GoBack"/>
      <w:r>
        <w:rPr>
          <w:rFonts w:hint="eastAsia" w:hAnsi="宋体" w:cs="宋体"/>
          <w:b/>
        </w:rPr>
        <w:t>……………………………………………30分</w:t>
      </w:r>
      <w:bookmarkEnd w:id="265"/>
      <w:bookmarkEnd w:id="266"/>
    </w:p>
    <w:p>
      <w:pPr>
        <w:pStyle w:val="2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0"/>
          <w:sz w:val="21"/>
          <w:szCs w:val="21"/>
          <w:highlight w:val="none"/>
        </w:rPr>
        <w:t>投标产品生产企业</w:t>
      </w:r>
      <w:r>
        <w:rPr>
          <w:rFonts w:hint="eastAsia" w:ascii="宋体" w:hAnsi="宋体" w:eastAsia="宋体" w:cs="宋体"/>
          <w:color w:val="000000"/>
          <w:sz w:val="21"/>
          <w:szCs w:val="21"/>
          <w:highlight w:val="none"/>
        </w:rPr>
        <w:t>提供企业按《关于政府采购</w:t>
      </w:r>
      <w:bookmarkEnd w:id="269"/>
      <w:r>
        <w:rPr>
          <w:rFonts w:hint="eastAsia" w:ascii="宋体" w:hAnsi="宋体" w:eastAsia="宋体" w:cs="宋体"/>
          <w:color w:val="000000"/>
          <w:sz w:val="21"/>
          <w:szCs w:val="21"/>
          <w:highlight w:val="none"/>
        </w:rPr>
        <w:t>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投标产品生产企业</w:t>
      </w:r>
      <w:r>
        <w:rPr>
          <w:rFonts w:hint="eastAsia" w:ascii="宋体" w:hAnsi="宋体" w:eastAsia="宋体" w:cs="宋体"/>
          <w:color w:val="000000"/>
          <w:sz w:val="21"/>
          <w:szCs w:val="21"/>
          <w:highlight w:val="none"/>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（2）以满足采购文件要求的最低评标价为</w:t>
      </w:r>
      <w:r>
        <w:rPr>
          <w:rFonts w:hint="default" w:hAnsi="宋体" w:eastAsia="宋体" w:cs="宋体"/>
          <w:b w:val="0"/>
          <w:bCs w:val="0"/>
          <w:color w:val="000000"/>
          <w:sz w:val="21"/>
          <w:szCs w:val="21"/>
          <w:highlight w:val="none"/>
          <w:lang w:val="en" w:eastAsia="zh-CN"/>
        </w:rPr>
        <w:t>30</w:t>
      </w:r>
      <w:r>
        <w:rPr>
          <w:rFonts w:hint="eastAsia" w:ascii="宋体" w:hAnsi="宋体" w:eastAsia="宋体" w:cs="宋体"/>
          <w:b w:val="0"/>
          <w:bCs w:val="0"/>
          <w:color w:val="000000"/>
          <w:sz w:val="21"/>
          <w:szCs w:val="21"/>
          <w:highlight w:val="none"/>
        </w:rPr>
        <w:t>分。</w:t>
      </w:r>
    </w:p>
    <w:p>
      <w:pPr>
        <w:spacing w:line="400" w:lineRule="exact"/>
        <w:ind w:firstLine="420" w:firstLineChars="200"/>
        <w:rPr>
          <w:rFonts w:hint="eastAsia" w:hAnsi="宋体" w:cs="宋体"/>
          <w:b w:val="0"/>
          <w:bCs w:val="0"/>
        </w:rPr>
      </w:pPr>
      <w:r>
        <w:rPr>
          <w:rFonts w:hint="eastAsia" w:ascii="宋体" w:hAnsi="宋体" w:eastAsia="宋体" w:cs="宋体"/>
          <w:b w:val="0"/>
          <w:bCs w:val="0"/>
          <w:color w:val="000000"/>
          <w:sz w:val="21"/>
          <w:szCs w:val="21"/>
          <w:highlight w:val="none"/>
        </w:rPr>
        <w:t>（3）某投标人价格分 =评标基准价（金额）/某投标人报价（金额） ×</w:t>
      </w:r>
      <w:r>
        <w:rPr>
          <w:rFonts w:hint="default" w:hAnsi="宋体" w:eastAsia="宋体" w:cs="宋体"/>
          <w:b w:val="0"/>
          <w:bCs w:val="0"/>
          <w:color w:val="000000"/>
          <w:sz w:val="21"/>
          <w:szCs w:val="21"/>
          <w:highlight w:val="none"/>
          <w:lang w:val="en" w:eastAsia="zh-CN"/>
        </w:rPr>
        <w:t>30</w:t>
      </w:r>
      <w:r>
        <w:rPr>
          <w:rFonts w:hint="eastAsia" w:ascii="宋体" w:hAnsi="宋体" w:eastAsia="宋体" w:cs="宋体"/>
          <w:b w:val="0"/>
          <w:bCs w:val="0"/>
          <w:color w:val="000000"/>
          <w:sz w:val="21"/>
          <w:szCs w:val="21"/>
          <w:highlight w:val="none"/>
        </w:rPr>
        <w:t>分</w:t>
      </w:r>
    </w:p>
    <w:p>
      <w:pPr>
        <w:pStyle w:val="29"/>
        <w:spacing w:line="400" w:lineRule="exact"/>
        <w:ind w:firstLine="420" w:firstLineChars="200"/>
        <w:outlineLvl w:val="0"/>
        <w:rPr>
          <w:rFonts w:hint="eastAsia"/>
          <w:b/>
        </w:rPr>
      </w:pPr>
      <w:r>
        <w:rPr>
          <w:rFonts w:hint="eastAsia"/>
          <w:b/>
        </w:rPr>
        <w:t>2</w:t>
      </w:r>
      <w:r>
        <w:rPr>
          <w:rFonts w:hint="eastAsia"/>
          <w:b/>
          <w:lang w:val="en"/>
        </w:rPr>
        <w:t>、</w:t>
      </w:r>
      <w:r>
        <w:rPr>
          <w:rFonts w:hint="eastAsia"/>
          <w:b/>
        </w:rPr>
        <w:t>技术分…………………………………………………………………………………</w:t>
      </w:r>
      <w:r>
        <w:rPr>
          <w:rFonts w:hint="eastAsia" w:hAnsi="宋体" w:cs="宋体"/>
          <w:b/>
        </w:rPr>
        <w:t>…………</w:t>
      </w:r>
      <w:r>
        <w:rPr>
          <w:rFonts w:hint="eastAsia"/>
          <w:b/>
        </w:rPr>
        <w:t>…45分</w:t>
      </w:r>
    </w:p>
    <w:p>
      <w:pPr>
        <w:spacing w:line="400" w:lineRule="exact"/>
        <w:ind w:firstLine="420" w:firstLineChars="200"/>
        <w:rPr>
          <w:rFonts w:hint="eastAsia" w:ascii="宋体" w:hAnsi="宋体" w:cs="宋体"/>
          <w:b/>
          <w:bCs/>
          <w:szCs w:val="21"/>
        </w:rPr>
      </w:pPr>
      <w:r>
        <w:rPr>
          <w:rFonts w:hint="eastAsia" w:ascii="宋体" w:hAnsi="宋体" w:cs="宋体"/>
          <w:b/>
          <w:bCs/>
          <w:szCs w:val="21"/>
        </w:rPr>
        <w:t>（1）检测报告分（满分12分）</w:t>
      </w:r>
    </w:p>
    <w:p>
      <w:pPr>
        <w:spacing w:line="400" w:lineRule="exact"/>
        <w:ind w:firstLine="420" w:firstLineChars="200"/>
        <w:rPr>
          <w:rFonts w:hint="eastAsia" w:ascii="宋体" w:hAnsi="宋体" w:cs="宋体"/>
          <w:szCs w:val="21"/>
        </w:rPr>
      </w:pPr>
      <w:r>
        <w:rPr>
          <w:rFonts w:hint="eastAsia" w:ascii="宋体" w:hAnsi="宋体" w:cs="宋体"/>
          <w:b/>
          <w:bCs/>
          <w:szCs w:val="21"/>
        </w:rPr>
        <w:t>提供最近三年即2022年6月1日以来有检测资质的第三方检验机构出具的符合以下要求的检测报告复印件；检验对象名称可以不完全一致，只需要检测事项（内容）相符；检验报告的送检单位必须是投标人或相应的生产厂家、原材料商。</w:t>
      </w:r>
    </w:p>
    <w:p>
      <w:pPr>
        <w:spacing w:line="400" w:lineRule="exact"/>
        <w:ind w:firstLine="420" w:firstLineChars="200"/>
        <w:rPr>
          <w:rFonts w:hint="eastAsia" w:ascii="宋体" w:hAnsi="宋体" w:cs="宋体"/>
          <w:szCs w:val="21"/>
        </w:rPr>
      </w:pPr>
      <w:r>
        <w:rPr>
          <w:rFonts w:hint="eastAsia" w:ascii="宋体" w:hAnsi="宋体" w:cs="宋体"/>
          <w:szCs w:val="21"/>
        </w:rPr>
        <w:t>①提供“公寓组合床架/公寓床”类的检验检测报告，检测依据：QB/T2741-2013《学生公寓多功能家具》，检测报告内容至少包含但不限于以下：主要尺寸及偏差、形状和位置公差、金属件外观要求（管材、焊接件、皱纹或波纹、喷涂层）、木制件外观、塑料件外观要求、金属件表面涂层理化性能（冲击强度、附着力、耐湿热、耐腐蚀）、力学性能（铺面均布静载荷、铺面集中静载荷、铺面冲击）、扶梯（挠度和强度）、安全栏静载荷、安装，提供有符合以上检测内容的检测报告得1分；检测依据：GB/T 35607-2024《绿色产品评价家具》，检测报告内容至少包含但不限于以下：甲醛释放量、苯、甲苯、二甲苯、总挥发性有机物（TVOC）、家具涂层可迁移元素，提供有符合以上检测内容的检测报告得1分，</w:t>
      </w:r>
      <w:r>
        <w:rPr>
          <w:rFonts w:hint="eastAsia" w:ascii="宋体" w:hAnsi="宋体" w:cs="宋体"/>
          <w:b/>
          <w:bCs/>
          <w:szCs w:val="21"/>
        </w:rPr>
        <w:t>满分2分。</w:t>
      </w:r>
    </w:p>
    <w:p>
      <w:pPr>
        <w:spacing w:line="400" w:lineRule="exact"/>
        <w:ind w:firstLine="420" w:firstLineChars="200"/>
        <w:rPr>
          <w:rFonts w:hint="eastAsia" w:ascii="宋体" w:hAnsi="宋体" w:cs="宋体"/>
          <w:szCs w:val="21"/>
        </w:rPr>
      </w:pPr>
      <w:r>
        <w:rPr>
          <w:rFonts w:hint="eastAsia" w:ascii="宋体" w:hAnsi="宋体" w:cs="宋体"/>
          <w:szCs w:val="21"/>
        </w:rPr>
        <w:t>②提供“公寓组合柜/储物柜”类的检验检测报告，检测依据：QB/T2741-2013《学生公寓多功能家具》，检测报告内容至少包含但不限于以下：主要尺寸及偏差、形状和位置公差、外观性能要求、安全性能要求、理化性能（金属喷漆（塑）涂层：硬度、冲击强度、耐盐浴、附着力、力学性能、柜类强度和耐久性（搁板定位试验-水平向外的力试验、搁板定位试验-垂直向下的力试验、搁板弯曲试验、搁板支撑件强度试验、顶板和底板持续加载试验、结构、底架和/或腿强度试验、跌落试验、开门垂直加载试验、开门水平加载试验、开门猛关试验、开门耐久性试验）、柜类稳定性，提供有符合以上检测内容的检测报告得1分；检测依据：GB/T 35607-2024《绿色产品评价 家具》，检测报告内容至少包含但不限于以下：甲醛释放量、苯、甲苯、二甲苯、总挥发性有机物（TVOC）、家具涂层可迁移元素，提供有符合以上检测内容的检测报告得1分，</w:t>
      </w:r>
      <w:r>
        <w:rPr>
          <w:rFonts w:hint="eastAsia" w:ascii="宋体" w:hAnsi="宋体" w:cs="宋体"/>
          <w:b/>
          <w:bCs/>
          <w:szCs w:val="21"/>
        </w:rPr>
        <w:t>满分2分。</w:t>
      </w:r>
    </w:p>
    <w:p>
      <w:pPr>
        <w:spacing w:line="400" w:lineRule="exact"/>
        <w:ind w:firstLine="420" w:firstLineChars="200"/>
        <w:rPr>
          <w:rFonts w:ascii="宋体" w:hAnsi="宋体" w:cs="宋体"/>
          <w:szCs w:val="21"/>
        </w:rPr>
      </w:pPr>
      <w:r>
        <w:rPr>
          <w:rFonts w:hint="eastAsia" w:ascii="宋体" w:hAnsi="宋体" w:cs="宋体"/>
          <w:szCs w:val="21"/>
        </w:rPr>
        <w:t>③提供“钢木椅/公寓床学习椅”类的检验检测报告，检验依据：</w:t>
      </w:r>
      <w:r>
        <w:rPr>
          <w:rFonts w:ascii="宋体" w:hAnsi="宋体" w:cs="宋体"/>
          <w:szCs w:val="21"/>
        </w:rPr>
        <w:t>GB/T 3325-2024《金属家具通用技术条件》</w:t>
      </w:r>
      <w:r>
        <w:rPr>
          <w:rFonts w:hint="eastAsia" w:ascii="宋体" w:hAnsi="宋体" w:cs="宋体"/>
          <w:szCs w:val="21"/>
        </w:rPr>
        <w:t>，检测内容包含但不限于以下：尺寸与公差：主要尺寸及偏差（如桌椅配合高差优化）、形状和位置公差（含邻边垂直度、平面度、直线度）；外观性能：金属件（喷漆/塑涂层、管材、焊接件）表面缺陷限制，塑料件及“可触及区域”（正常使用时人体接触部位）的倒圆/倒角处理；理化性能：金属涂层冲击强度（400mm高度无裂纹）、耐盐浴（划道3mm外无鼓泡）、电镀层耐盐雾（100小时，直径1.5mm以下锈点≤20点/dm²）。提供有符合以上检测内容的检测报告得1分；检验依据：GB 28008-2024《家具结构安全技术规范》，检测内容包含但不限于以下：椅凳类强度与耐久性：座面静载荷、椅背冲击、跌落试验等；</w:t>
      </w:r>
      <w:r>
        <w:rPr>
          <w:rFonts w:ascii="宋体" w:hAnsi="宋体" w:cs="宋体"/>
          <w:szCs w:val="21"/>
        </w:rPr>
        <w:t>椅凳类稳定性</w:t>
      </w:r>
      <w:r>
        <w:rPr>
          <w:rFonts w:hint="eastAsia" w:ascii="宋体" w:hAnsi="宋体" w:cs="宋体"/>
          <w:szCs w:val="21"/>
        </w:rPr>
        <w:t>：</w:t>
      </w:r>
      <w:r>
        <w:rPr>
          <w:rFonts w:ascii="宋体" w:hAnsi="宋体" w:cs="宋体"/>
          <w:szCs w:val="21"/>
        </w:rPr>
        <w:t>椅子向前倾翻试验、椅子向后倾翻试验</w:t>
      </w:r>
      <w:r>
        <w:rPr>
          <w:rFonts w:hint="eastAsia" w:ascii="宋体" w:hAnsi="宋体" w:cs="宋体"/>
          <w:szCs w:val="21"/>
        </w:rPr>
        <w:t>；椅凳安全性：可触及区域无尖锐边角。提供有符合以上检测内容的检测报告得1分；</w:t>
      </w:r>
      <w:r>
        <w:rPr>
          <w:rFonts w:ascii="宋体" w:hAnsi="宋体" w:cs="宋体"/>
          <w:szCs w:val="21"/>
        </w:rPr>
        <w:t>检测依据：GB/T 35607-2024《绿色产品评价家具》，检测报告内容至少包含但不限于以下：甲醛释放量、苯、甲苯、二甲苯、总挥发性有机物（TVOC）、家具涂层可迁移元素，提供有符合以上检测内容的检测报告得1分</w:t>
      </w:r>
      <w:r>
        <w:rPr>
          <w:rFonts w:hint="eastAsia" w:ascii="宋体" w:hAnsi="宋体" w:cs="宋体"/>
          <w:szCs w:val="21"/>
        </w:rPr>
        <w:t>，</w:t>
      </w:r>
      <w:r>
        <w:rPr>
          <w:rFonts w:hint="eastAsia" w:ascii="宋体" w:hAnsi="宋体" w:cs="宋体"/>
          <w:b/>
          <w:bCs/>
          <w:szCs w:val="21"/>
        </w:rPr>
        <w:t>满分3分。</w:t>
      </w:r>
    </w:p>
    <w:p>
      <w:pPr>
        <w:spacing w:line="400" w:lineRule="exact"/>
        <w:ind w:firstLine="420" w:firstLineChars="200"/>
        <w:rPr>
          <w:rFonts w:hint="eastAsia" w:ascii="宋体" w:hAnsi="宋体" w:cs="宋体"/>
          <w:szCs w:val="21"/>
        </w:rPr>
      </w:pPr>
      <w:r>
        <w:rPr>
          <w:rFonts w:hint="eastAsia" w:ascii="宋体" w:hAnsi="宋体" w:cs="宋体"/>
          <w:szCs w:val="21"/>
        </w:rPr>
        <w:t>④提供“塑粉/热固性粉末涂料”的检验检测报告，检测依据：HG/T 2006-2022《热固性和热塑性粉末涂料》，检测内容包括但不限于以下：外观、筛余物、密度、涂膜外观、附着力、铅笔硬度、耐冲击性、杯突试验、弯曲试验、光泽、耐磨性、耐酸性、耐碱性、耐沸水性、耐盐雾性、耐湿性、胶化时间、粒径分布、流动性、游离甲醛、抗细菌性能，提供有符合以上检测内容的检测报告</w:t>
      </w:r>
      <w:r>
        <w:rPr>
          <w:rFonts w:hint="eastAsia" w:ascii="宋体" w:hAnsi="宋体" w:cs="宋体"/>
          <w:b/>
          <w:bCs/>
          <w:szCs w:val="21"/>
        </w:rPr>
        <w:t>得2分。</w:t>
      </w:r>
    </w:p>
    <w:p>
      <w:pPr>
        <w:spacing w:line="400" w:lineRule="exact"/>
        <w:ind w:firstLine="420" w:firstLineChars="200"/>
        <w:rPr>
          <w:rFonts w:hint="eastAsia" w:ascii="宋体" w:hAnsi="宋体" w:cs="宋体"/>
          <w:szCs w:val="21"/>
        </w:rPr>
      </w:pPr>
      <w:r>
        <w:rPr>
          <w:rFonts w:hint="eastAsia" w:ascii="宋体" w:hAnsi="宋体" w:cs="宋体"/>
          <w:szCs w:val="21"/>
        </w:rPr>
        <w:t>⑤提供桌面“胶合板/多层实木板”的检验检测报告，检验依据：GB/T 9846-2015《普通胶合板》，检测内容包含但不限于以下：含水率、胶合强度、静曲强度、弹性模量，提供有符合以上检测内容的检测报告得1分；检验依据：GB 18580-2017《室内装饰装修材料 人造板及其制品中甲醛释放限量》，检测内容包含但不限于以下：甲醛释放量，提供有符合以上检测内容的检测报告得1分，</w:t>
      </w:r>
      <w:r>
        <w:rPr>
          <w:rFonts w:hint="eastAsia" w:ascii="宋体" w:hAnsi="宋体" w:cs="宋体"/>
          <w:b/>
          <w:bCs/>
          <w:szCs w:val="21"/>
        </w:rPr>
        <w:t>满分2分。</w:t>
      </w:r>
    </w:p>
    <w:p>
      <w:pPr>
        <w:spacing w:line="400" w:lineRule="exact"/>
        <w:ind w:firstLine="420" w:firstLineChars="200"/>
        <w:rPr>
          <w:rFonts w:hint="eastAsia" w:ascii="宋体" w:hAnsi="宋体" w:cs="宋体"/>
          <w:szCs w:val="21"/>
        </w:rPr>
      </w:pPr>
      <w:r>
        <w:rPr>
          <w:rFonts w:hint="eastAsia" w:ascii="宋体" w:hAnsi="宋体" w:cs="宋体"/>
          <w:szCs w:val="21"/>
        </w:rPr>
        <w:t>⑥提供“冷轧钢板”的检验检测报告，检验依据为：GB/T 11253-2019《碳素结构钢冷轧钢板及钢带》，检测内容包括但不限于以下：力学性能（下屈服强度；抗拉强度；断后伸长率；弯曲试验）等，提供有符合以上检测内容的检测报告</w:t>
      </w:r>
      <w:r>
        <w:rPr>
          <w:rFonts w:hint="eastAsia" w:ascii="宋体" w:hAnsi="宋体" w:cs="宋体"/>
          <w:b/>
          <w:bCs/>
          <w:szCs w:val="21"/>
        </w:rPr>
        <w:t>得1分。</w:t>
      </w:r>
    </w:p>
    <w:p>
      <w:pPr>
        <w:spacing w:line="400" w:lineRule="exact"/>
        <w:ind w:firstLine="420" w:firstLineChars="200"/>
        <w:rPr>
          <w:rFonts w:hint="eastAsia" w:ascii="宋体" w:hAnsi="宋体" w:cs="宋体"/>
          <w:b/>
          <w:bCs/>
          <w:szCs w:val="21"/>
        </w:rPr>
      </w:pPr>
      <w:r>
        <w:rPr>
          <w:rFonts w:hint="eastAsia" w:ascii="宋体" w:hAnsi="宋体" w:cs="宋体"/>
          <w:b/>
          <w:bCs/>
          <w:szCs w:val="21"/>
        </w:rPr>
        <w:t>（2）投标小样分（满分6分）</w:t>
      </w:r>
    </w:p>
    <w:p>
      <w:pPr>
        <w:spacing w:line="400" w:lineRule="exact"/>
        <w:ind w:firstLine="420" w:firstLineChars="200"/>
        <w:rPr>
          <w:rFonts w:hint="eastAsia" w:ascii="宋体" w:hAnsi="宋体" w:cs="宋体"/>
          <w:szCs w:val="21"/>
        </w:rPr>
      </w:pPr>
      <w:r>
        <w:rPr>
          <w:rFonts w:hint="eastAsia" w:ascii="宋体" w:hAnsi="宋体" w:cs="宋体"/>
          <w:szCs w:val="21"/>
        </w:rPr>
        <w:t>由评标委员会对各投标实物小样进行综合评定：主要从提供的主料小样的样式、厚度及外观质量、喷涂质量、工艺打磨等方面进行综合评定。</w:t>
      </w:r>
    </w:p>
    <w:p>
      <w:pPr>
        <w:pStyle w:val="2"/>
        <w:spacing w:line="400" w:lineRule="exact"/>
        <w:ind w:firstLine="367" w:firstLineChars="175"/>
        <w:rPr>
          <w:rFonts w:hint="eastAsia" w:ascii="宋体" w:hAnsi="宋体"/>
          <w:sz w:val="21"/>
          <w:szCs w:val="21"/>
        </w:rPr>
      </w:pPr>
      <w:bookmarkStart w:id="267" w:name="_Hlk202343418"/>
      <w:r>
        <w:rPr>
          <w:rFonts w:hint="eastAsia" w:ascii="宋体" w:hAnsi="宋体"/>
          <w:sz w:val="21"/>
          <w:szCs w:val="21"/>
        </w:rPr>
        <w:t>一档（0分）：①投标小样提供不齐全；②小样参数、外观、样式、材料性能存在不符合采购参数技术要求。</w:t>
      </w:r>
      <w:bookmarkEnd w:id="267"/>
    </w:p>
    <w:p>
      <w:pPr>
        <w:spacing w:line="400" w:lineRule="exact"/>
        <w:ind w:firstLine="420" w:firstLineChars="200"/>
        <w:rPr>
          <w:rFonts w:hint="eastAsia" w:ascii="宋体" w:hAnsi="宋体" w:cs="宋体"/>
          <w:szCs w:val="21"/>
        </w:rPr>
      </w:pPr>
      <w:r>
        <w:rPr>
          <w:rFonts w:hint="eastAsia" w:ascii="宋体" w:hAnsi="宋体" w:cs="宋体"/>
          <w:szCs w:val="21"/>
        </w:rPr>
        <w:t>二档（2分）：①投标小样提供齐全；②小样参数、外观、样式、材料性能等符合实际，基本符合采购需求；③小样有二处及以上明显瑕疵（如焊渣、焊疤、裂缝、毛刺、黑斑等）。</w:t>
      </w:r>
    </w:p>
    <w:p>
      <w:pPr>
        <w:spacing w:line="400" w:lineRule="exact"/>
        <w:ind w:firstLine="420" w:firstLineChars="200"/>
        <w:rPr>
          <w:rFonts w:hint="eastAsia" w:ascii="宋体" w:hAnsi="宋体" w:cs="宋体"/>
          <w:szCs w:val="21"/>
        </w:rPr>
      </w:pPr>
      <w:r>
        <w:rPr>
          <w:rFonts w:hint="eastAsia" w:ascii="宋体" w:hAnsi="宋体" w:cs="宋体"/>
          <w:szCs w:val="21"/>
        </w:rPr>
        <w:t>三档（4分）：①投标小样及辅件提供齐全；②小样参数、外观、样式、材料性能等符合实际，满足采购需求；③小样有一处细微瑕疵的（如有焊渣、焊疤、裂缝、毛刺、黑斑等）不影响小样外观、材质的。</w:t>
      </w:r>
    </w:p>
    <w:p>
      <w:pPr>
        <w:spacing w:line="400" w:lineRule="exact"/>
        <w:ind w:firstLine="420" w:firstLineChars="200"/>
        <w:rPr>
          <w:rFonts w:hint="eastAsia" w:ascii="宋体" w:hAnsi="宋体" w:cs="宋体"/>
          <w:szCs w:val="21"/>
        </w:rPr>
      </w:pPr>
      <w:r>
        <w:rPr>
          <w:rFonts w:hint="eastAsia" w:ascii="宋体" w:hAnsi="宋体" w:cs="宋体"/>
          <w:szCs w:val="21"/>
        </w:rPr>
        <w:t>四档（6分）：①投标小样提供齐全；②小样参数、外观、样式、材料、结构设计等（包括主材、五金件、加工工艺、成品质量等方面）符合实际；③小样完全符合，外表感官良好，工艺精致（如涂层光滑均匀、色泽一致、配件安装严密平整、注塑件表面光洁无杂质等）。</w:t>
      </w:r>
    </w:p>
    <w:p>
      <w:pPr>
        <w:spacing w:line="400" w:lineRule="exact"/>
        <w:ind w:firstLine="420" w:firstLineChars="200"/>
        <w:rPr>
          <w:rFonts w:hint="eastAsia" w:ascii="宋体" w:hAnsi="宋体" w:cs="宋体"/>
          <w:b/>
          <w:bCs/>
          <w:szCs w:val="21"/>
        </w:rPr>
      </w:pPr>
      <w:r>
        <w:rPr>
          <w:rFonts w:hint="eastAsia" w:ascii="宋体" w:hAnsi="宋体" w:cs="宋体"/>
          <w:b/>
          <w:bCs/>
          <w:szCs w:val="21"/>
        </w:rPr>
        <w:t>（3）设计方案分（满分9分）</w:t>
      </w:r>
    </w:p>
    <w:p>
      <w:pPr>
        <w:spacing w:line="400" w:lineRule="exact"/>
        <w:ind w:firstLine="420" w:firstLineChars="200"/>
        <w:rPr>
          <w:rFonts w:hint="eastAsia" w:ascii="宋体" w:hAnsi="宋体" w:cs="宋体"/>
          <w:szCs w:val="21"/>
        </w:rPr>
      </w:pPr>
      <w:r>
        <w:rPr>
          <w:rFonts w:hint="eastAsia" w:ascii="宋体" w:hAnsi="宋体" w:cs="宋体"/>
          <w:szCs w:val="21"/>
        </w:rPr>
        <w:t>提供本项目产品设计方案，包括：产品外观设计图、结构图、零部件图、小样产品部件、整体摆放布局效果图、产品安装分解图等。</w:t>
      </w:r>
    </w:p>
    <w:p>
      <w:pPr>
        <w:pStyle w:val="2"/>
        <w:spacing w:line="400" w:lineRule="exact"/>
        <w:ind w:firstLineChars="200"/>
        <w:rPr>
          <w:rFonts w:hint="eastAsia"/>
          <w:sz w:val="21"/>
          <w:szCs w:val="21"/>
        </w:rPr>
      </w:pPr>
      <w:r>
        <w:rPr>
          <w:rFonts w:hint="eastAsia"/>
          <w:sz w:val="21"/>
          <w:szCs w:val="21"/>
        </w:rPr>
        <w:t>一档（0分）：方案不完整，不满足最低进档要求。</w:t>
      </w:r>
    </w:p>
    <w:p>
      <w:pPr>
        <w:pStyle w:val="2"/>
        <w:spacing w:line="400" w:lineRule="exact"/>
        <w:ind w:firstLineChars="200"/>
        <w:rPr>
          <w:sz w:val="21"/>
          <w:szCs w:val="21"/>
        </w:rPr>
      </w:pPr>
      <w:r>
        <w:rPr>
          <w:rFonts w:hint="eastAsia"/>
          <w:sz w:val="21"/>
          <w:szCs w:val="21"/>
        </w:rPr>
        <w:t>二档（3分）：提供产品外观设计图，但结构图、零部件图没提供或不齐全。</w:t>
      </w:r>
    </w:p>
    <w:p>
      <w:pPr>
        <w:spacing w:line="400" w:lineRule="exact"/>
        <w:ind w:firstLine="420" w:firstLineChars="200"/>
        <w:rPr>
          <w:rFonts w:hint="eastAsia" w:ascii="宋体" w:hAnsi="宋体" w:cs="宋体"/>
          <w:szCs w:val="21"/>
        </w:rPr>
      </w:pPr>
      <w:r>
        <w:rPr>
          <w:rFonts w:hint="eastAsia" w:ascii="宋体" w:hAnsi="宋体" w:cs="宋体"/>
          <w:szCs w:val="21"/>
        </w:rPr>
        <w:t>三档（6分）：提供产品外观设计图、结构图、零部件图、小样产品部件、整体摆放布局效果图、产品安装分解图，设计图纸、方案符合要求的。</w:t>
      </w:r>
    </w:p>
    <w:p>
      <w:pPr>
        <w:spacing w:line="400" w:lineRule="exact"/>
        <w:ind w:firstLine="420" w:firstLineChars="200"/>
        <w:rPr>
          <w:rFonts w:hint="eastAsia" w:ascii="宋体" w:hAnsi="宋体" w:cs="宋体"/>
          <w:szCs w:val="21"/>
        </w:rPr>
      </w:pPr>
      <w:r>
        <w:rPr>
          <w:rFonts w:hint="eastAsia" w:ascii="宋体" w:hAnsi="宋体" w:cs="宋体"/>
          <w:szCs w:val="21"/>
        </w:rPr>
        <w:t>四档（9分）：在满足二档前提下，提供设计方案规范合理性，产品设计的各个方面无缺陷(外观设计、款式结构等)、牢固可靠具体、可实行性高，颜色搭配美观、与现场契合度高，得到认可和采纳。</w:t>
      </w:r>
    </w:p>
    <w:p>
      <w:pPr>
        <w:spacing w:line="400" w:lineRule="exact"/>
        <w:ind w:firstLine="420" w:firstLineChars="200"/>
        <w:rPr>
          <w:rFonts w:hint="eastAsia" w:ascii="宋体" w:hAnsi="宋体" w:cs="宋体"/>
          <w:b/>
          <w:bCs/>
          <w:szCs w:val="21"/>
        </w:rPr>
      </w:pPr>
      <w:r>
        <w:rPr>
          <w:rFonts w:hint="eastAsia" w:ascii="宋体" w:hAnsi="宋体" w:cs="宋体"/>
          <w:b/>
          <w:bCs/>
          <w:szCs w:val="21"/>
        </w:rPr>
        <w:t>（4）项目实施方案分（满分9分）</w:t>
      </w:r>
    </w:p>
    <w:p>
      <w:pPr>
        <w:pStyle w:val="2"/>
        <w:spacing w:line="400" w:lineRule="exact"/>
        <w:ind w:firstLine="0" w:firstLineChars="0"/>
        <w:rPr>
          <w:sz w:val="21"/>
          <w:szCs w:val="21"/>
        </w:rPr>
      </w:pPr>
      <w:r>
        <w:rPr>
          <w:rFonts w:hint="eastAsia"/>
          <w:sz w:val="21"/>
          <w:szCs w:val="21"/>
        </w:rPr>
        <w:t xml:space="preserve">    一档（0分）：</w:t>
      </w:r>
      <w:r>
        <w:rPr>
          <w:rFonts w:hint="eastAsia" w:ascii="宋体" w:hAnsi="宋体" w:cs="宋体"/>
          <w:sz w:val="21"/>
          <w:szCs w:val="21"/>
        </w:rPr>
        <w:t>不满足最低进档要求</w:t>
      </w:r>
      <w:r>
        <w:rPr>
          <w:rFonts w:hint="eastAsia" w:ascii="宋体" w:hAnsi="宋体" w:cs="宋体"/>
          <w:szCs w:val="21"/>
        </w:rPr>
        <w:t>，</w:t>
      </w:r>
      <w:r>
        <w:rPr>
          <w:rFonts w:hint="eastAsia" w:ascii="宋体" w:hAnsi="宋体" w:cs="宋体"/>
          <w:sz w:val="21"/>
          <w:szCs w:val="21"/>
        </w:rPr>
        <w:t>方案不完整，配套设施设备及人员安排不足，无可靠保障。</w:t>
      </w:r>
    </w:p>
    <w:p>
      <w:pPr>
        <w:spacing w:line="400" w:lineRule="exact"/>
        <w:ind w:firstLine="420" w:firstLineChars="200"/>
        <w:rPr>
          <w:rFonts w:hint="eastAsia" w:ascii="宋体" w:hAnsi="宋体" w:cs="宋体"/>
          <w:szCs w:val="21"/>
        </w:rPr>
      </w:pPr>
      <w:r>
        <w:rPr>
          <w:rFonts w:hint="eastAsia" w:ascii="宋体" w:hAnsi="宋体" w:cs="宋体"/>
          <w:szCs w:val="21"/>
        </w:rPr>
        <w:t>二档（3分）：方案完整，配套有货物存放仓库、送货人员、运输工具、项目实施人员，有安装调试方案。承诺同时现场安装实施人员不少于15人。</w:t>
      </w:r>
    </w:p>
    <w:p>
      <w:pPr>
        <w:spacing w:line="400" w:lineRule="exact"/>
        <w:ind w:firstLine="420" w:firstLineChars="200"/>
        <w:rPr>
          <w:rFonts w:hint="eastAsia" w:ascii="宋体" w:hAnsi="宋体" w:cs="宋体"/>
          <w:szCs w:val="21"/>
        </w:rPr>
      </w:pPr>
      <w:r>
        <w:rPr>
          <w:rFonts w:hint="eastAsia" w:ascii="宋体" w:hAnsi="宋体" w:cs="宋体"/>
          <w:szCs w:val="21"/>
        </w:rPr>
        <w:t>三档（6分）：方案详实，配套有货物存放仓库、送货人员、运输工具、项目实施人员，且相关设施设备安排充足，有可靠保障，安装调试方案。承诺同时现场安装实施人员不少于20人。</w:t>
      </w:r>
    </w:p>
    <w:p>
      <w:pPr>
        <w:spacing w:line="400" w:lineRule="exact"/>
        <w:ind w:firstLine="420" w:firstLineChars="200"/>
        <w:rPr>
          <w:rFonts w:hint="eastAsia" w:ascii="宋体" w:hAnsi="宋体" w:cs="宋体"/>
          <w:szCs w:val="21"/>
        </w:rPr>
      </w:pPr>
      <w:r>
        <w:rPr>
          <w:rFonts w:hint="eastAsia" w:ascii="宋体" w:hAnsi="宋体" w:cs="宋体"/>
          <w:szCs w:val="21"/>
        </w:rPr>
        <w:t>四档（9分）：方案切实可行，配套有货物存放仓库、送货人员、运输工具、项目实施人员，相关设施设备安排充足，有可靠保障；项目实施的技术力量和人力资源安排充足，安装调试方案次序科学合理，项目实施过程应急预案考虑全面，对突发计划外供货需求及大件家具需要紧急搬运重组需求的应对能力；货物包装保护、运输配送方案、建议的验收方法或方案完善有效且更优化、切实可行，培训方案详细完整且针对性强。承诺同时现场安装实施人员不少于30人。</w:t>
      </w:r>
    </w:p>
    <w:p>
      <w:pPr>
        <w:spacing w:line="400" w:lineRule="exact"/>
        <w:ind w:firstLine="420" w:firstLineChars="200"/>
        <w:rPr>
          <w:rFonts w:hint="eastAsia" w:ascii="宋体" w:hAnsi="宋体" w:cs="宋体"/>
          <w:b/>
          <w:bCs/>
          <w:szCs w:val="21"/>
        </w:rPr>
      </w:pPr>
      <w:r>
        <w:rPr>
          <w:rFonts w:hint="eastAsia" w:ascii="宋体" w:hAnsi="宋体" w:cs="宋体"/>
          <w:b/>
          <w:bCs/>
          <w:szCs w:val="21"/>
        </w:rPr>
        <w:t>（5）产品生产能力分（满分9分）</w:t>
      </w:r>
    </w:p>
    <w:p>
      <w:pPr>
        <w:spacing w:line="400" w:lineRule="exact"/>
        <w:ind w:firstLine="420" w:firstLineChars="200"/>
        <w:rPr>
          <w:rFonts w:hint="eastAsia" w:ascii="宋体" w:hAnsi="宋体" w:cs="宋体"/>
          <w:szCs w:val="21"/>
        </w:rPr>
      </w:pPr>
      <w:r>
        <w:rPr>
          <w:rFonts w:hint="eastAsia" w:ascii="宋体" w:hAnsi="宋体" w:cs="宋体"/>
          <w:szCs w:val="21"/>
        </w:rPr>
        <w:t>投标人或投标产品生产厂家提供与本项目生产主要设备清单，包含但不限于以下设备：喷涂（喷塑）生产线或喷涂流水线（含喷粉房设备）；封边机；电焊机或机器人焊接工作站；激光切割中心；自动柔性折弯中心；自动开平线；开料锯或开料机等，投标人提供所投产品生产场地真实图片（包括但不限于生产车间、仓库等）、场地使用证明材料扫描件或其他电子文件、设备现场作业真实图片、设备购置发票、设备租赁合同或购买合同扫描件（发票或合同单位名称必须是投标人或投标产品生产厂家）以及质量管理制度、生产控制计划方案等。</w:t>
      </w:r>
    </w:p>
    <w:p>
      <w:pPr>
        <w:spacing w:line="400" w:lineRule="exact"/>
        <w:ind w:firstLine="420" w:firstLineChars="200"/>
        <w:rPr>
          <w:rFonts w:hint="eastAsia" w:ascii="宋体" w:hAnsi="宋体" w:cs="宋体"/>
          <w:szCs w:val="21"/>
        </w:rPr>
      </w:pPr>
      <w:r>
        <w:rPr>
          <w:rFonts w:hint="eastAsia" w:ascii="宋体" w:hAnsi="宋体" w:cs="宋体"/>
          <w:szCs w:val="21"/>
        </w:rPr>
        <w:t>一档（0分）：生产条件、主要设备配置不足；质量管理制度老旧、缺乏可执行性。</w:t>
      </w:r>
    </w:p>
    <w:p>
      <w:pPr>
        <w:spacing w:line="400" w:lineRule="exact"/>
        <w:ind w:firstLine="420" w:firstLineChars="200"/>
        <w:rPr>
          <w:rFonts w:hint="eastAsia" w:ascii="宋体" w:hAnsi="宋体" w:cs="宋体"/>
          <w:szCs w:val="21"/>
        </w:rPr>
      </w:pPr>
      <w:r>
        <w:rPr>
          <w:rFonts w:hint="eastAsia" w:ascii="宋体" w:hAnsi="宋体" w:cs="宋体"/>
          <w:szCs w:val="21"/>
        </w:rPr>
        <w:t>二档（3分）：生产条件、主要设备配置完善；生产管理、质量管理体系较为完善、有一定可执行性；完全满足采购要求的。提供生产场地证明和图片、主要设备证明和图片。</w:t>
      </w:r>
    </w:p>
    <w:p>
      <w:pPr>
        <w:spacing w:line="400" w:lineRule="exact"/>
        <w:ind w:firstLine="420" w:firstLineChars="200"/>
        <w:rPr>
          <w:rFonts w:hint="eastAsia" w:ascii="宋体" w:hAnsi="宋体" w:cs="宋体"/>
          <w:szCs w:val="21"/>
        </w:rPr>
      </w:pPr>
      <w:r>
        <w:rPr>
          <w:rFonts w:hint="eastAsia" w:ascii="宋体" w:hAnsi="宋体" w:cs="宋体"/>
          <w:szCs w:val="21"/>
        </w:rPr>
        <w:t>三档（6分）：生产条件、主要设备配置完善；设备先进且自动化程度高；生产管理、质量管理体系健全、可执行性强。提供生产场地证明和图片、主要设备证明和图片。</w:t>
      </w:r>
    </w:p>
    <w:p>
      <w:pPr>
        <w:spacing w:line="400" w:lineRule="exact"/>
        <w:ind w:firstLine="420" w:firstLineChars="200"/>
        <w:rPr>
          <w:rFonts w:hint="eastAsia" w:ascii="宋体" w:hAnsi="宋体" w:cs="宋体"/>
          <w:szCs w:val="21"/>
        </w:rPr>
      </w:pPr>
      <w:r>
        <w:rPr>
          <w:rFonts w:hint="eastAsia" w:ascii="宋体" w:hAnsi="宋体" w:cs="宋体"/>
          <w:szCs w:val="21"/>
        </w:rPr>
        <w:t>四档（9分）：在三档的基础上，有产品出厂标准、产品生产流程、详细的生产进度表、生产进度保障措施；对生产相关的各种情况和问题考虑周全，有针对性的应对措施或方案。提供生产场地证明和图片、主要设备证明和图片。</w:t>
      </w:r>
    </w:p>
    <w:p>
      <w:pPr>
        <w:pStyle w:val="29"/>
        <w:spacing w:line="400" w:lineRule="exact"/>
        <w:ind w:firstLine="420" w:firstLineChars="200"/>
        <w:outlineLvl w:val="0"/>
        <w:rPr>
          <w:rFonts w:hint="eastAsia"/>
          <w:b/>
        </w:rPr>
      </w:pPr>
      <w:r>
        <w:rPr>
          <w:rFonts w:hint="eastAsia"/>
          <w:b/>
        </w:rPr>
        <w:t>3</w:t>
      </w:r>
      <w:r>
        <w:rPr>
          <w:rFonts w:hint="eastAsia"/>
          <w:b/>
          <w:lang w:val="en"/>
        </w:rPr>
        <w:t>、</w:t>
      </w:r>
      <w:r>
        <w:rPr>
          <w:rFonts w:hint="eastAsia"/>
          <w:b/>
        </w:rPr>
        <w:t>商务分…………………………………………………………………………………</w:t>
      </w:r>
      <w:r>
        <w:rPr>
          <w:rFonts w:hint="eastAsia" w:hAnsi="宋体" w:cs="宋体"/>
          <w:b/>
        </w:rPr>
        <w:t>…………</w:t>
      </w:r>
      <w:r>
        <w:rPr>
          <w:rFonts w:hint="eastAsia"/>
          <w:b/>
        </w:rPr>
        <w:t>…25分</w:t>
      </w:r>
    </w:p>
    <w:p>
      <w:pPr>
        <w:spacing w:line="400" w:lineRule="exact"/>
        <w:ind w:firstLine="420" w:firstLineChars="200"/>
        <w:rPr>
          <w:rFonts w:hint="eastAsia" w:ascii="宋体" w:hAnsi="宋体" w:cs="宋体"/>
          <w:b/>
          <w:bCs/>
          <w:szCs w:val="21"/>
        </w:rPr>
      </w:pPr>
      <w:r>
        <w:rPr>
          <w:rFonts w:hint="eastAsia" w:ascii="宋体" w:hAnsi="宋体" w:cs="宋体"/>
          <w:b/>
          <w:bCs/>
          <w:szCs w:val="21"/>
        </w:rPr>
        <w:t>（1）售后服务（满分10分）</w:t>
      </w:r>
    </w:p>
    <w:p>
      <w:pPr>
        <w:spacing w:line="400" w:lineRule="exact"/>
        <w:ind w:firstLine="420" w:firstLineChars="200"/>
        <w:rPr>
          <w:rFonts w:hint="eastAsia" w:ascii="宋体" w:hAnsi="宋体" w:cs="宋体"/>
          <w:szCs w:val="21"/>
        </w:rPr>
      </w:pPr>
      <w:r>
        <w:rPr>
          <w:rFonts w:hint="eastAsia" w:ascii="宋体" w:hAnsi="宋体" w:cs="宋体"/>
          <w:szCs w:val="21"/>
        </w:rPr>
        <w:t>项目实施及售后服务承诺基本要求：至少应包括质保期、免费保修期限、到达故障现场时间（维护电话保证7×24小时响应，</w:t>
      </w:r>
      <w:bookmarkStart w:id="268" w:name="_Hlk202344573"/>
      <w:r>
        <w:rPr>
          <w:rFonts w:hint="eastAsia" w:ascii="宋体" w:hAnsi="宋体" w:cs="宋体"/>
          <w:szCs w:val="21"/>
        </w:rPr>
        <w:t>自接到故障通知起24小时内到达故障现场）、故障出现解决方案、定期维护（注明时间）、质保期内提供专人负责维保（售后服务承诺书内应有维保人员名单及联系方式），故障处理时限（不能超过12小时，对不能修复的保证在24小时内提供替代品或直接更换）</w:t>
      </w:r>
      <w:bookmarkEnd w:id="268"/>
      <w:r>
        <w:rPr>
          <w:rFonts w:hint="eastAsia" w:ascii="宋体" w:hAnsi="宋体" w:cs="宋体"/>
          <w:szCs w:val="21"/>
        </w:rPr>
        <w:t>，质保期满前一个月及质保期内每年进行一次全面检修与保养，保修期外维修方案、其他优惠措施、安装要求及方案。</w:t>
      </w:r>
    </w:p>
    <w:p>
      <w:pPr>
        <w:spacing w:line="400" w:lineRule="exact"/>
        <w:ind w:firstLine="420" w:firstLineChars="200"/>
        <w:rPr>
          <w:rFonts w:hint="eastAsia" w:ascii="宋体" w:hAnsi="宋体" w:cs="宋体"/>
          <w:szCs w:val="21"/>
        </w:rPr>
      </w:pPr>
      <w:r>
        <w:rPr>
          <w:rFonts w:hint="eastAsia" w:ascii="宋体" w:hAnsi="宋体" w:cs="宋体"/>
          <w:szCs w:val="21"/>
        </w:rPr>
        <w:t>一档（1分）：有售后服务承诺书；基本满足招标文件的要求，有故障出现解决方案，有技术培训方案、保修期外维修方案。</w:t>
      </w:r>
    </w:p>
    <w:p>
      <w:pPr>
        <w:spacing w:line="400" w:lineRule="exact"/>
        <w:ind w:firstLine="420" w:firstLineChars="200"/>
        <w:rPr>
          <w:rFonts w:hint="eastAsia" w:ascii="宋体" w:hAnsi="宋体" w:cs="宋体"/>
          <w:szCs w:val="21"/>
        </w:rPr>
      </w:pPr>
      <w:r>
        <w:rPr>
          <w:rFonts w:hint="eastAsia" w:ascii="宋体" w:hAnsi="宋体" w:cs="宋体"/>
          <w:szCs w:val="21"/>
        </w:rPr>
        <w:t>二档（4分）：售后服务承诺书内容完整；解决事故时间在4小时内，故障出现解决方案可靠，定期维护方式方法合理，有完整的免费技术培训方案、保修期外维修方案；有售后服务能力措施。</w:t>
      </w:r>
    </w:p>
    <w:p>
      <w:pPr>
        <w:spacing w:line="400" w:lineRule="exact"/>
        <w:ind w:firstLine="420" w:firstLineChars="200"/>
        <w:rPr>
          <w:rFonts w:hint="eastAsia" w:ascii="宋体" w:hAnsi="宋体" w:cs="宋体"/>
          <w:szCs w:val="21"/>
        </w:rPr>
      </w:pPr>
      <w:r>
        <w:rPr>
          <w:rFonts w:hint="eastAsia" w:ascii="宋体" w:hAnsi="宋体" w:cs="宋体"/>
          <w:szCs w:val="21"/>
        </w:rPr>
        <w:t>三档（7分）：售后服务承诺书内容详细具体；解决事故时间在2小时内，故障出现解决方案可靠，定期维护方式方法合理，有完整的免费技术培训方案、保修期外维修方案；有完善的本地化售后服务措施；对售后服务应急预案、其他优惠措施等方面都有描述，可实施性高。</w:t>
      </w:r>
    </w:p>
    <w:p>
      <w:pPr>
        <w:spacing w:line="400" w:lineRule="exact"/>
        <w:ind w:firstLine="420" w:firstLineChars="200"/>
        <w:rPr>
          <w:rFonts w:hint="eastAsia" w:ascii="宋体" w:hAnsi="宋体" w:cs="宋体"/>
          <w:szCs w:val="21"/>
        </w:rPr>
      </w:pPr>
      <w:r>
        <w:rPr>
          <w:rFonts w:hint="eastAsia" w:ascii="宋体" w:hAnsi="宋体" w:cs="宋体"/>
          <w:szCs w:val="21"/>
        </w:rPr>
        <w:t>四档（10分）：在三档基础上售后服务方案详细描述售后维护和应急保障方案的方法以及实现方式，常年备有齐全的配件，整体方案针对性、可行性强，对采购人有实际性帮助。投标人或投标产品生产厂家具备“家具报修服务平台”，平台服务具备如下功能：（1）报修功能；（2）派单功能；（3）定位和签到功能；提供功能截图并加盖公章。</w:t>
      </w:r>
    </w:p>
    <w:p>
      <w:pPr>
        <w:spacing w:line="400" w:lineRule="exact"/>
        <w:ind w:firstLine="420" w:firstLineChars="200"/>
        <w:rPr>
          <w:rFonts w:hint="eastAsia" w:ascii="宋体" w:hAnsi="宋体" w:cs="宋体"/>
          <w:b/>
          <w:bCs/>
          <w:szCs w:val="21"/>
        </w:rPr>
      </w:pPr>
      <w:r>
        <w:rPr>
          <w:rFonts w:hint="eastAsia" w:ascii="宋体" w:hAnsi="宋体" w:cs="宋体"/>
          <w:b/>
          <w:bCs/>
          <w:szCs w:val="21"/>
        </w:rPr>
        <w:t>（2）信誉分（满分3分）</w:t>
      </w:r>
    </w:p>
    <w:p>
      <w:pPr>
        <w:spacing w:line="400" w:lineRule="exact"/>
        <w:ind w:firstLine="420" w:firstLineChars="200"/>
        <w:rPr>
          <w:rFonts w:hint="eastAsia" w:ascii="宋体" w:hAnsi="宋体" w:cs="宋体"/>
          <w:szCs w:val="21"/>
        </w:rPr>
      </w:pPr>
      <w:r>
        <w:rPr>
          <w:rFonts w:hint="eastAsia" w:ascii="宋体" w:hAnsi="宋体" w:cs="宋体"/>
          <w:szCs w:val="21"/>
        </w:rPr>
        <w:t>①投标人或投标产品生产厂家提供有效的质量体系认证证书，得1分（提供有效扫描件或其他电子文件，加盖投标人公章，原件备查)。</w:t>
      </w:r>
    </w:p>
    <w:p>
      <w:pPr>
        <w:spacing w:line="400" w:lineRule="exact"/>
        <w:ind w:firstLine="420" w:firstLineChars="200"/>
        <w:rPr>
          <w:rFonts w:hint="eastAsia" w:ascii="宋体" w:hAnsi="宋体" w:cs="宋体"/>
          <w:szCs w:val="21"/>
        </w:rPr>
      </w:pPr>
      <w:r>
        <w:rPr>
          <w:rFonts w:hint="eastAsia" w:ascii="宋体" w:hAnsi="宋体" w:cs="宋体"/>
          <w:szCs w:val="21"/>
        </w:rPr>
        <w:t>②投标人或投标产品生产厂家提供有效的环境管理体系认证证书，得1分（提供有效扫描件或其他电子文件，加盖投标人公章，原件备查)。</w:t>
      </w:r>
    </w:p>
    <w:p>
      <w:pPr>
        <w:spacing w:line="400" w:lineRule="exact"/>
        <w:ind w:firstLine="420" w:firstLineChars="200"/>
        <w:rPr>
          <w:rFonts w:hint="eastAsia" w:ascii="宋体" w:hAnsi="宋体" w:cs="宋体"/>
          <w:szCs w:val="21"/>
        </w:rPr>
      </w:pPr>
      <w:r>
        <w:rPr>
          <w:rFonts w:hint="eastAsia" w:ascii="宋体" w:hAnsi="宋体" w:cs="宋体"/>
          <w:szCs w:val="21"/>
        </w:rPr>
        <w:t>③投标人或投标产品生产厂家提供有效的职业健康安全管理体系认证证书，得1分（提供有效扫描件或其他电子文件，加盖投标人公章，原件备查)。</w:t>
      </w:r>
    </w:p>
    <w:p>
      <w:pPr>
        <w:spacing w:line="400" w:lineRule="exact"/>
        <w:ind w:firstLine="420" w:firstLineChars="200"/>
        <w:rPr>
          <w:rFonts w:hint="eastAsia" w:ascii="宋体" w:hAnsi="宋体" w:cs="宋体"/>
          <w:b/>
          <w:bCs/>
          <w:szCs w:val="21"/>
        </w:rPr>
      </w:pPr>
      <w:r>
        <w:rPr>
          <w:rFonts w:hint="eastAsia" w:ascii="宋体" w:hAnsi="宋体" w:cs="宋体"/>
          <w:b/>
          <w:bCs/>
          <w:szCs w:val="21"/>
        </w:rPr>
        <w:t>（3）业绩分（满分8分）</w:t>
      </w:r>
    </w:p>
    <w:p>
      <w:pPr>
        <w:spacing w:line="400" w:lineRule="exact"/>
        <w:ind w:firstLine="420" w:firstLineChars="200"/>
        <w:rPr>
          <w:rFonts w:hint="eastAsia" w:ascii="宋体" w:hAnsi="宋体" w:cs="宋体"/>
          <w:szCs w:val="21"/>
        </w:rPr>
      </w:pPr>
      <w:r>
        <w:rPr>
          <w:rFonts w:hint="eastAsia" w:ascii="宋体" w:hAnsi="宋体" w:cs="宋体"/>
          <w:szCs w:val="21"/>
        </w:rPr>
        <w:t>投标人自2022年7月1日以来学生公寓床类销售业绩，须提供合同复印件、项目验收合格复印件（原件备查），未按此要求提供的不得分，每一项得2分，满分8分。</w:t>
      </w:r>
    </w:p>
    <w:p>
      <w:pPr>
        <w:spacing w:line="400" w:lineRule="exact"/>
        <w:ind w:firstLine="420" w:firstLineChars="200"/>
        <w:rPr>
          <w:rFonts w:hint="eastAsia" w:ascii="宋体" w:hAnsi="宋体" w:cs="宋体"/>
          <w:b/>
          <w:bCs/>
          <w:szCs w:val="21"/>
        </w:rPr>
      </w:pPr>
      <w:r>
        <w:rPr>
          <w:rFonts w:hint="eastAsia" w:ascii="宋体" w:hAnsi="宋体" w:cs="宋体"/>
          <w:b/>
          <w:bCs/>
          <w:szCs w:val="21"/>
        </w:rPr>
        <w:t>（4）政策功能分（满分4分）</w:t>
      </w:r>
    </w:p>
    <w:p>
      <w:pPr>
        <w:spacing w:line="400" w:lineRule="exact"/>
        <w:ind w:firstLine="420" w:firstLineChars="200"/>
        <w:rPr>
          <w:rFonts w:hint="eastAsia" w:ascii="宋体" w:hAnsi="宋体" w:cs="宋体"/>
          <w:szCs w:val="21"/>
        </w:rPr>
      </w:pPr>
      <w:r>
        <w:rPr>
          <w:rFonts w:hint="eastAsia" w:ascii="宋体" w:hAnsi="宋体" w:cs="宋体"/>
          <w:szCs w:val="21"/>
        </w:rPr>
        <w:t>①投标产品纳入（财库〔2019〕19号）中节能产品政府采购清单的（适用于非强制采购节能产品，依据《市场监管总局关于发布参与实施政府采购节能产品、环境标志产品认证机构名录的公告》，提供所投型号产品有效的认证证书扫描件或其他电子文件），每提供一份得0.5分，满分2分。</w:t>
      </w:r>
    </w:p>
    <w:p>
      <w:pPr>
        <w:pStyle w:val="29"/>
        <w:spacing w:line="400" w:lineRule="exact"/>
        <w:ind w:firstLine="420" w:firstLineChars="200"/>
        <w:rPr>
          <w:rFonts w:hint="eastAsia" w:hAnsi="宋体" w:cs="宋体"/>
        </w:rPr>
      </w:pPr>
      <w:r>
        <w:rPr>
          <w:rFonts w:hint="eastAsia" w:hAnsi="宋体" w:cs="宋体"/>
        </w:rPr>
        <w:t>②投标产品纳入（财库〔2019〕18号）中环境标志产品政府采购清单的（依据《市场监管总局关于发布参与实施政府采购节能产品、环境标志产品认证机构名录的公告》，提供所投相应型号产品有效的认证证书扫描件或其他电子文件），每提供一份得0.5分，满分2分。</w:t>
      </w:r>
    </w:p>
    <w:p>
      <w:pPr>
        <w:pStyle w:val="29"/>
        <w:spacing w:line="400" w:lineRule="exact"/>
        <w:ind w:firstLine="420" w:firstLineChars="200"/>
        <w:outlineLvl w:val="0"/>
        <w:rPr>
          <w:rFonts w:hint="eastAsia"/>
          <w:b/>
        </w:rPr>
      </w:pPr>
      <w:r>
        <w:rPr>
          <w:rFonts w:hint="eastAsia"/>
          <w:b/>
        </w:rPr>
        <w:t>（三）总得分 = 1 + 2 + 3</w:t>
      </w:r>
    </w:p>
    <w:p>
      <w:pPr>
        <w:pStyle w:val="29"/>
        <w:spacing w:line="400" w:lineRule="exact"/>
        <w:ind w:firstLine="462" w:firstLineChars="220"/>
        <w:rPr>
          <w:rFonts w:hint="eastAsia"/>
          <w:b/>
          <w:bCs/>
          <w:strike/>
          <w:highlight w:val="yellow"/>
        </w:rPr>
      </w:pPr>
    </w:p>
    <w:p>
      <w:pPr>
        <w:pStyle w:val="29"/>
        <w:spacing w:line="400" w:lineRule="exact"/>
        <w:ind w:firstLine="462" w:firstLineChars="220"/>
        <w:rPr>
          <w:rFonts w:hint="eastAsia" w:hAnsi="宋体" w:cs="宋体"/>
          <w:b/>
          <w:bCs/>
        </w:rPr>
      </w:pPr>
      <w:r>
        <w:rPr>
          <w:rFonts w:hint="eastAsia" w:hAnsi="宋体" w:cs="宋体"/>
          <w:b/>
          <w:bCs/>
        </w:rPr>
        <w:t>三、中标候选人推荐原则</w:t>
      </w:r>
    </w:p>
    <w:p>
      <w:pPr>
        <w:pStyle w:val="29"/>
        <w:spacing w:line="400" w:lineRule="exact"/>
        <w:ind w:firstLine="315" w:firstLineChars="150"/>
        <w:rPr>
          <w:rFonts w:hint="eastAsia" w:hAnsi="宋体" w:cs="宋体"/>
          <w:bCs/>
        </w:rPr>
      </w:pPr>
      <w:r>
        <w:rPr>
          <w:rFonts w:hint="eastAsia" w:hAnsi="宋体" w:cs="宋体"/>
          <w:bCs/>
        </w:rPr>
        <w:t>（一）评标委员会将根据得分由高到低排列次序</w:t>
      </w:r>
      <w:r>
        <w:rPr>
          <w:rFonts w:hint="eastAsia" w:hAnsi="宋体" w:cs="宋体"/>
          <w:b/>
          <w:bCs/>
        </w:rPr>
        <w:t>（得分相同时，以投标报价由低到高顺序排列；得分相同且投标报价相同的，</w:t>
      </w:r>
      <w:r>
        <w:rPr>
          <w:rFonts w:hint="eastAsia" w:hAnsi="宋体" w:cs="宋体"/>
          <w:bCs/>
        </w:rPr>
        <w:t>按技术评分从高到低顺序排列</w:t>
      </w:r>
      <w:r>
        <w:rPr>
          <w:rFonts w:hint="eastAsia" w:hAnsi="宋体" w:cs="宋体"/>
          <w:b/>
          <w:bCs/>
        </w:rPr>
        <w:t>）</w:t>
      </w:r>
      <w:r>
        <w:rPr>
          <w:rFonts w:hint="eastAsia" w:hAnsi="宋体" w:cs="宋体"/>
          <w:bCs/>
        </w:rPr>
        <w:t>并推荐中标候选供应商。采购人应当确定评审委员会推荐排名第一的中标候选人为中标人。</w:t>
      </w:r>
    </w:p>
    <w:p>
      <w:pPr>
        <w:pStyle w:val="29"/>
        <w:spacing w:line="400" w:lineRule="exact"/>
        <w:ind w:firstLine="525" w:firstLineChars="250"/>
        <w:rPr>
          <w:rFonts w:hint="eastAsia" w:hAnsi="宋体" w:cs="宋体"/>
          <w:b/>
          <w:bCs/>
        </w:rPr>
      </w:pPr>
      <w:r>
        <w:rPr>
          <w:rFonts w:hint="eastAsia" w:hAnsi="宋体" w:cs="宋体"/>
          <w:bCs/>
        </w:rPr>
        <w:t>排名第一的中标候选人放弃中标、因不可抗力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r>
        <w:rPr>
          <w:rFonts w:hint="eastAsia" w:hAnsi="宋体" w:cs="宋体"/>
          <w:b/>
          <w:bCs/>
        </w:rPr>
        <w:t>。</w:t>
      </w:r>
    </w:p>
    <w:p>
      <w:pPr>
        <w:autoSpaceDE w:val="0"/>
        <w:autoSpaceDN w:val="0"/>
        <w:adjustRightInd w:val="0"/>
        <w:snapToGrid w:val="0"/>
        <w:spacing w:before="0" w:after="0" w:line="400" w:lineRule="exact"/>
        <w:ind w:right="0" w:rightChars="0" w:firstLine="315" w:firstLineChars="150"/>
        <w:rPr>
          <w:rFonts w:ascii="宋体" w:hAnsi="宋体"/>
          <w:szCs w:val="21"/>
        </w:rPr>
      </w:pPr>
      <w:r>
        <w:rPr>
          <w:rFonts w:hint="eastAsia" w:hAnsi="宋体" w:cs="宋体"/>
          <w:bCs/>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45"/>
      <w:bookmarkEnd w:id="246"/>
    </w:p>
    <w:sectPr>
      <w:footerReference r:id="rId8" w:type="first"/>
      <w:headerReference r:id="rId5" w:type="default"/>
      <w:footerReference r:id="rId6" w:type="default"/>
      <w:footerReference r:id="rId7" w:type="even"/>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Ђˎ̥">
    <w:altName w:val="华文仿宋"/>
    <w:panose1 w:val="00000000000000000000"/>
    <w:charset w:val="00"/>
    <w:family w:val="roman"/>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roid Sans">
    <w:panose1 w:val="020B0606030804020204"/>
    <w:charset w:val="00"/>
    <w:family w:val="auto"/>
    <w:pitch w:val="default"/>
    <w:sig w:usb0="E00002EF" w:usb1="4000205B" w:usb2="00000028" w:usb3="00000000" w:csb0="2000019F" w:csb1="00000000"/>
  </w:font>
  <w:font w:name="微软雅黑">
    <w:altName w:val="黑体"/>
    <w:panose1 w:val="020B0503020204020204"/>
    <w:charset w:val="00"/>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GSqUWmAQAAPwMAAA4AAABkcnMv&#10;ZTJvRG9jLnhtbK1SS27bMBDdB+gdCO5rKloUhmA5SBAkCFC0BZIcgKZIiwB/4DCWfIH2Bl11033P&#10;5XNkSEtO2u6CbMjhzPDNvDezuhitITsZQXvX0vNFRYl0wnfabVv6+HDzcUkJJO46bryTLd1LoBfr&#10;D2erITSy9r03nYwEQRw0Q2hpn1JoGAPRS8th4YN0GFQ+Wp7wGbesi3xAdGtYXVWf2OBjF6IXEgC9&#10;18cgXRd8paRIX5UCmYhpKfaWyhnLucknW694s4089FpMbfA3dGG5dlj0BHXNEydPUf8HZbWIHrxK&#10;C+Et80ppIQsHZHNe/cPmvudBFi4oDoSTTPB+sOLL7lskumtpTYnjFkd0+Pnj8OvP4fd3Umd5hgAN&#10;Zt0HzEvjlR9xzLMf0JlZjyrafCMfgnEUen8SV46JiPxpWS+XFYYExuYH4rOX7yFCupXekmy0NOL0&#10;iqh89xnSMXVOydWcv9HGlAka95cDMbOH5d6PPWYrjZtxIrTx3R75DDj4ljrcTErMnUNd847MRpyN&#10;zWTkGhAunxIWLv1k1CPUVAynVBhNG5XX4PW7ZL3s/fo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zql5uc8AAAAFAQAADwAAAAAAAAABACAAAAA4AAAAZHJzL2Rvd25yZXYueG1sUEsBAhQAFAAAAAgA&#10;h07iQCGSqUWmAQAAPwMAAA4AAAAAAAAAAQAgAAAANAEAAGRycy9lMm9Eb2MueG1sUEsFBgAAAAAG&#10;AAYAWQEAAEwFA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4778745"/>
                          </w:sdtPr>
                          <w:sdtContent>
                            <w:p>
                              <w:pPr>
                                <w:pStyle w:val="35"/>
                                <w:jc w:val="center"/>
                              </w:pPr>
                              <w:r>
                                <w:fldChar w:fldCharType="begin"/>
                              </w:r>
                              <w:r>
                                <w:instrText xml:space="preserve">PAGE   \* MERGEFORMAT</w:instrText>
                              </w:r>
                              <w:r>
                                <w:fldChar w:fldCharType="separate"/>
                              </w:r>
                              <w:r>
                                <w:rPr>
                                  <w:lang w:val="zh-CN"/>
                                </w:rPr>
                                <w:t>25</w:t>
                              </w:r>
                              <w:r>
                                <w:fldChar w:fldCharType="end"/>
                              </w:r>
                            </w:p>
                          </w:sdtContent>
                        </w:sdt>
                        <w:p>
                          <w:pPr>
                            <w:pStyle w:val="5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594778745"/>
                    </w:sdtPr>
                    <w:sdtContent>
                      <w:p>
                        <w:pPr>
                          <w:pStyle w:val="35"/>
                          <w:jc w:val="center"/>
                        </w:pPr>
                        <w:r>
                          <w:fldChar w:fldCharType="begin"/>
                        </w:r>
                        <w:r>
                          <w:instrText xml:space="preserve">PAGE   \* MERGEFORMAT</w:instrText>
                        </w:r>
                        <w:r>
                          <w:fldChar w:fldCharType="separate"/>
                        </w:r>
                        <w:r>
                          <w:rPr>
                            <w:lang w:val="zh-CN"/>
                          </w:rPr>
                          <w:t>25</w:t>
                        </w:r>
                        <w:r>
                          <w:fldChar w:fldCharType="end"/>
                        </w:r>
                      </w:p>
                    </w:sdtContent>
                  </w:sdt>
                  <w:p>
                    <w:pPr>
                      <w:pStyle w:val="5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9"/>
      </w:rPr>
    </w:pPr>
    <w:r>
      <w:fldChar w:fldCharType="begin"/>
    </w:r>
    <w:r>
      <w:rPr>
        <w:rStyle w:val="59"/>
      </w:rPr>
      <w:instrText xml:space="preserve">PAGE  </w:instrText>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3810" b="3810"/>
              <wp:wrapNone/>
              <wp:docPr id="36289945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0490" cy="26289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U2GX/RAAAAAwEAAA8AAABkcnMvZG93bnJldi54bWxNj8FqwzAQRO+F/IPY&#10;QG+N7GKa4FrOIdBLb01LobeNtbFMpZWRFMf++yq9tJeFYYaZt81+dlZMFOLgWUG5KUAQd14P3Cv4&#10;eH952IGICVmj9UwKFoqwb1d3DdbaX/mNpmPqRS7hWKMCk9JYSxk7Qw7jxo/E2Tv74DBlGXqpA15z&#10;ubPysSiepMOB84LBkQ6Guu/jxSnYzp+exkgH+jpPXTDDsrOvi1L367J4BpFoTn9huOFndGgz08lf&#10;WEdhFeRH0u+9edsKxElBVVYg20b+Z29/AFBLAwQUAAAACACHTuJA8TyLvPQBAAC8AwAADgAAAGRy&#10;cy9lMm9Eb2MueG1srVPNjtMwEL4j8Q6W7zRp2V21UdPVsqsipOVHWngAx3ESi8Rjjd0m5QHgDThx&#10;4c5z9TkYO01Z4Ia4WGN7/M0333xeXw9dy/YKnQaT8/ks5UwZCaU2dc4/vN8+W3LmvDClaMGonB+U&#10;49ebp0/Wvc3UAhpoS4WMQIzLepvzxnubJYmTjeqEm4FVhi4rwE542mKdlCh6Qu/aZJGmV0kPWFoE&#10;qZyj07vxkm8iflUp6d9WlVOetTknbj6uGNcirMlmLbIahW20PNEQ/8CiE9pQ0TPUnfCC7VD/BdVp&#10;ieCg8jMJXQJVpaWKPVA38/SPbh4aYVXshcRx9iyT+3+w8s3+HTJd5vz51WK5Wl1cXnJmREejOn79&#10;cvz24/j9M1sGmXrrMsp+sJTvhxcw0Lhjy87eg/zomIHbRpha3SBC3yhREs15eJk8ejriuABS9K+h&#10;pDpi5yECDRV2QUNShRE6jetwHpEaPJOh5Dy9WNGNpKtFYBxHmIhsemzR+ZcKOhaCnCM5IIKL/b3z&#10;gYzIppRQy8BWt210QWt+O6DEcBLJB74jcz8Uw0mMAsoDtYEwmoo+AQUN4CfOejJUzg05nrP2lSEh&#10;gvemAKegmAJhJD3MuedsDG/96NGdRV03hDtJfUNibXVsJKg6cjixJIvE/k52Dh58vI9Zvz7d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Nhl/0QAAAAMBAAAPAAAAAAAAAAEAIAAAADgAAABkcnMv&#10;ZG93bnJldi54bWxQSwECFAAUAAAACACHTuJA8TyLvPQBAAC8AwAADgAAAAAAAAABACAAAAA2AQAA&#10;ZHJzL2Uyb0RvYy54bWxQSwUGAAAAAAYABgBZAQAAnA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right"/>
    </w:pPr>
    <w:r>
      <w:rPr>
        <w:rFonts w:hint="eastAsia"/>
      </w:rPr>
      <w:t xml:space="preserve">              </w:t>
    </w:r>
    <w:r>
      <w:rPr>
        <w:rFonts w:hint="eastAsia"/>
      </w:rPr>
      <w:t xml:space="preserve"> </w:t>
    </w:r>
    <w:r>
      <w:rPr>
        <w:rFonts w:hint="eastAsia"/>
        <w:sz w:val="18"/>
        <w:szCs w:val="18"/>
      </w:rPr>
      <w:t xml:space="preserve"> </w:t>
    </w:r>
    <w:r>
      <w:rPr>
        <w:rFonts w:hint="eastAsia"/>
        <w:sz w:val="18"/>
        <w:szCs w:val="18"/>
        <w:lang w:val="en" w:eastAsia="zh-CN"/>
      </w:rPr>
      <w:t>武鸣校区二期学生公寓13、15号楼家具采购</w:t>
    </w:r>
    <w:r>
      <w:rPr>
        <w:rFonts w:hint="eastAsia" w:ascii="宋体" w:hAnsi="宋体" w:cs="宋体"/>
        <w:bCs w:val="0"/>
        <w:sz w:val="18"/>
        <w:szCs w:val="18"/>
        <w:lang w:val="en"/>
      </w:rPr>
      <w:t>（</w:t>
    </w:r>
    <w:r>
      <w:rPr>
        <w:rFonts w:hint="default" w:ascii="宋体" w:hAnsi="宋体" w:cs="宋体"/>
        <w:bCs w:val="0"/>
        <w:sz w:val="18"/>
        <w:szCs w:val="18"/>
        <w:lang w:val="en"/>
      </w:rPr>
      <w:t>GXZC2</w:t>
    </w:r>
    <w:r>
      <w:rPr>
        <w:rFonts w:hint="default" w:ascii="宋体" w:hAnsi="宋体" w:cs="宋体"/>
        <w:bCs w:val="0"/>
        <w:sz w:val="18"/>
        <w:szCs w:val="18"/>
        <w:lang w:val="en"/>
      </w:rPr>
      <w:t>025-G1-003125-CGZX</w:t>
    </w:r>
    <w:r>
      <w:rPr>
        <w:rFonts w:hint="eastAsia" w:ascii="宋体" w:hAnsi="宋体" w:cs="宋体"/>
        <w:bCs/>
        <w:sz w:val="18"/>
        <w:szCs w:val="18"/>
        <w:lang w:val="en"/>
      </w:rP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right"/>
      <w:rPr>
        <w:rFonts w:hint="eastAsia" w:ascii="宋体" w:hAnsi="宋体"/>
        <w:color w:val="000000"/>
        <w:szCs w:val="21"/>
        <w:lang w:val="en"/>
      </w:rPr>
    </w:pPr>
    <w:r>
      <w:rPr>
        <w:rFonts w:hint="default" w:ascii="宋体" w:hAnsi="宋体"/>
        <w:color w:val="000000"/>
        <w:szCs w:val="21"/>
        <w:lang w:val="en"/>
      </w:rPr>
      <w:t>武鸣校区二期学生公寓13、15号楼家具采购</w:t>
    </w:r>
    <w:r>
      <w:rPr>
        <w:rFonts w:hint="eastAsia" w:ascii="宋体" w:hAnsi="宋体" w:cs="Times New Roman"/>
        <w:bCs w:val="0"/>
        <w:color w:val="000000"/>
        <w:sz w:val="18"/>
        <w:szCs w:val="21"/>
        <w:lang w:val="en"/>
      </w:rPr>
      <w:t>（</w:t>
    </w:r>
    <w:r>
      <w:rPr>
        <w:rFonts w:hint="default" w:ascii="宋体" w:hAnsi="宋体" w:cs="Times New Roman"/>
        <w:bCs w:val="0"/>
        <w:color w:val="000000"/>
        <w:sz w:val="18"/>
        <w:szCs w:val="21"/>
        <w:lang w:val="en"/>
      </w:rPr>
      <w:t>GXZC2025-G1-003125-CGZX</w:t>
    </w:r>
    <w:r>
      <w:rPr>
        <w:rFonts w:hint="eastAsia" w:ascii="宋体" w:hAnsi="宋体" w:cs="Times New Roman"/>
        <w:bCs w:val="0"/>
        <w:color w:val="000000"/>
        <w:sz w:val="18"/>
        <w:szCs w:val="21"/>
        <w:lang w:val="e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376"/>
      <w:suff w:val="nothing"/>
      <w:lvlText w:val="（%1）"/>
      <w:lvlJc w:val="left"/>
      <w:rPr>
        <w:rFonts w:cs="Times New Roman"/>
      </w:rPr>
    </w:lvl>
  </w:abstractNum>
  <w:abstractNum w:abstractNumId="1">
    <w:nsid w:val="08C42F8D"/>
    <w:multiLevelType w:val="singleLevel"/>
    <w:tmpl w:val="08C42F8D"/>
    <w:lvl w:ilvl="0" w:tentative="0">
      <w:start w:val="2"/>
      <w:numFmt w:val="chineseCounting"/>
      <w:suff w:val="nothing"/>
      <w:lvlText w:val="%1、"/>
      <w:lvlJc w:val="left"/>
      <w:rPr>
        <w:rFonts w:hint="eastAsia"/>
      </w:rPr>
    </w:lvl>
  </w:abstractNum>
  <w:abstractNum w:abstractNumId="2">
    <w:nsid w:val="7C728C76"/>
    <w:multiLevelType w:val="singleLevel"/>
    <w:tmpl w:val="7C728C7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lZjgzNjhmMDIyYWM2YmUwN2RjNDM4ODA5MjhkNTcifQ=="/>
  </w:docVars>
  <w:rsids>
    <w:rsidRoot w:val="009127AD"/>
    <w:rsid w:val="0000001E"/>
    <w:rsid w:val="00004453"/>
    <w:rsid w:val="0000521B"/>
    <w:rsid w:val="00006012"/>
    <w:rsid w:val="00007EE3"/>
    <w:rsid w:val="000100C5"/>
    <w:rsid w:val="000112E5"/>
    <w:rsid w:val="000113BF"/>
    <w:rsid w:val="000116BC"/>
    <w:rsid w:val="00012DF9"/>
    <w:rsid w:val="00013EE6"/>
    <w:rsid w:val="00014BE7"/>
    <w:rsid w:val="0001668C"/>
    <w:rsid w:val="0001798C"/>
    <w:rsid w:val="00017BDF"/>
    <w:rsid w:val="00017F8F"/>
    <w:rsid w:val="000232CD"/>
    <w:rsid w:val="0002335A"/>
    <w:rsid w:val="0002529C"/>
    <w:rsid w:val="00025483"/>
    <w:rsid w:val="000262EA"/>
    <w:rsid w:val="00026EA5"/>
    <w:rsid w:val="00027F5B"/>
    <w:rsid w:val="000327FE"/>
    <w:rsid w:val="0003377D"/>
    <w:rsid w:val="00035CD3"/>
    <w:rsid w:val="000367E4"/>
    <w:rsid w:val="00040C12"/>
    <w:rsid w:val="00041838"/>
    <w:rsid w:val="0004335C"/>
    <w:rsid w:val="00043DA5"/>
    <w:rsid w:val="00045447"/>
    <w:rsid w:val="0005026B"/>
    <w:rsid w:val="00050346"/>
    <w:rsid w:val="00050804"/>
    <w:rsid w:val="0005149D"/>
    <w:rsid w:val="000532A8"/>
    <w:rsid w:val="00055206"/>
    <w:rsid w:val="0005585F"/>
    <w:rsid w:val="0005600D"/>
    <w:rsid w:val="0005735B"/>
    <w:rsid w:val="000600DC"/>
    <w:rsid w:val="00061761"/>
    <w:rsid w:val="0006183B"/>
    <w:rsid w:val="00061E99"/>
    <w:rsid w:val="00062E46"/>
    <w:rsid w:val="000634A5"/>
    <w:rsid w:val="00064DDE"/>
    <w:rsid w:val="00065721"/>
    <w:rsid w:val="00065B69"/>
    <w:rsid w:val="00067960"/>
    <w:rsid w:val="00071085"/>
    <w:rsid w:val="00071555"/>
    <w:rsid w:val="00072E43"/>
    <w:rsid w:val="00074FF0"/>
    <w:rsid w:val="00075ACF"/>
    <w:rsid w:val="00075D0E"/>
    <w:rsid w:val="000761B5"/>
    <w:rsid w:val="00076775"/>
    <w:rsid w:val="00076F08"/>
    <w:rsid w:val="00077894"/>
    <w:rsid w:val="00080616"/>
    <w:rsid w:val="00080CDF"/>
    <w:rsid w:val="0008163D"/>
    <w:rsid w:val="000818D8"/>
    <w:rsid w:val="00081A2C"/>
    <w:rsid w:val="00083719"/>
    <w:rsid w:val="0008380B"/>
    <w:rsid w:val="00084614"/>
    <w:rsid w:val="00084779"/>
    <w:rsid w:val="00084E0E"/>
    <w:rsid w:val="00084E7D"/>
    <w:rsid w:val="0008617B"/>
    <w:rsid w:val="00086C02"/>
    <w:rsid w:val="000870EC"/>
    <w:rsid w:val="00087B8B"/>
    <w:rsid w:val="00090208"/>
    <w:rsid w:val="000911ED"/>
    <w:rsid w:val="0009568D"/>
    <w:rsid w:val="00096455"/>
    <w:rsid w:val="000A12F5"/>
    <w:rsid w:val="000A256A"/>
    <w:rsid w:val="000A2B7B"/>
    <w:rsid w:val="000A3511"/>
    <w:rsid w:val="000A390F"/>
    <w:rsid w:val="000A435B"/>
    <w:rsid w:val="000A4565"/>
    <w:rsid w:val="000A4E05"/>
    <w:rsid w:val="000A5106"/>
    <w:rsid w:val="000A5119"/>
    <w:rsid w:val="000A6F3C"/>
    <w:rsid w:val="000A7000"/>
    <w:rsid w:val="000A7F22"/>
    <w:rsid w:val="000B2E6F"/>
    <w:rsid w:val="000B307A"/>
    <w:rsid w:val="000B3996"/>
    <w:rsid w:val="000B4390"/>
    <w:rsid w:val="000B58C4"/>
    <w:rsid w:val="000B58EF"/>
    <w:rsid w:val="000B6281"/>
    <w:rsid w:val="000B68C7"/>
    <w:rsid w:val="000C050B"/>
    <w:rsid w:val="000C1FD7"/>
    <w:rsid w:val="000C4248"/>
    <w:rsid w:val="000C4E1D"/>
    <w:rsid w:val="000C5099"/>
    <w:rsid w:val="000C5857"/>
    <w:rsid w:val="000C69AD"/>
    <w:rsid w:val="000C6D04"/>
    <w:rsid w:val="000C7AE8"/>
    <w:rsid w:val="000C7EA6"/>
    <w:rsid w:val="000D0435"/>
    <w:rsid w:val="000D064B"/>
    <w:rsid w:val="000D0765"/>
    <w:rsid w:val="000D11E9"/>
    <w:rsid w:val="000D1E06"/>
    <w:rsid w:val="000D251A"/>
    <w:rsid w:val="000D649E"/>
    <w:rsid w:val="000D6812"/>
    <w:rsid w:val="000E01AC"/>
    <w:rsid w:val="000E502E"/>
    <w:rsid w:val="000E57D8"/>
    <w:rsid w:val="000E61A8"/>
    <w:rsid w:val="000E69C5"/>
    <w:rsid w:val="000E7E1E"/>
    <w:rsid w:val="000F06EE"/>
    <w:rsid w:val="000F0CD9"/>
    <w:rsid w:val="000F2ABF"/>
    <w:rsid w:val="000F3498"/>
    <w:rsid w:val="000F4406"/>
    <w:rsid w:val="000F460A"/>
    <w:rsid w:val="000F5622"/>
    <w:rsid w:val="000F5EA4"/>
    <w:rsid w:val="000F684A"/>
    <w:rsid w:val="000F72A5"/>
    <w:rsid w:val="0010099D"/>
    <w:rsid w:val="00101508"/>
    <w:rsid w:val="001035EC"/>
    <w:rsid w:val="00104031"/>
    <w:rsid w:val="00104E0E"/>
    <w:rsid w:val="001070CF"/>
    <w:rsid w:val="00107475"/>
    <w:rsid w:val="00110245"/>
    <w:rsid w:val="00110715"/>
    <w:rsid w:val="0011072B"/>
    <w:rsid w:val="001109CE"/>
    <w:rsid w:val="00111383"/>
    <w:rsid w:val="001115EE"/>
    <w:rsid w:val="001128C6"/>
    <w:rsid w:val="0011326D"/>
    <w:rsid w:val="00115647"/>
    <w:rsid w:val="00116FE4"/>
    <w:rsid w:val="00117287"/>
    <w:rsid w:val="00117B2A"/>
    <w:rsid w:val="00117CAA"/>
    <w:rsid w:val="0012001C"/>
    <w:rsid w:val="001206BE"/>
    <w:rsid w:val="00121F3C"/>
    <w:rsid w:val="00122BA5"/>
    <w:rsid w:val="001236D3"/>
    <w:rsid w:val="001243C8"/>
    <w:rsid w:val="00125BF4"/>
    <w:rsid w:val="00125C77"/>
    <w:rsid w:val="001264F2"/>
    <w:rsid w:val="00126958"/>
    <w:rsid w:val="00126DA0"/>
    <w:rsid w:val="00127D29"/>
    <w:rsid w:val="00131AE0"/>
    <w:rsid w:val="00131C69"/>
    <w:rsid w:val="00133EB1"/>
    <w:rsid w:val="0013410E"/>
    <w:rsid w:val="00134131"/>
    <w:rsid w:val="00134B95"/>
    <w:rsid w:val="00134E84"/>
    <w:rsid w:val="001351E4"/>
    <w:rsid w:val="00136B0C"/>
    <w:rsid w:val="00137763"/>
    <w:rsid w:val="001400C3"/>
    <w:rsid w:val="00140161"/>
    <w:rsid w:val="00140A0F"/>
    <w:rsid w:val="0014335A"/>
    <w:rsid w:val="001436A7"/>
    <w:rsid w:val="00144055"/>
    <w:rsid w:val="001443F8"/>
    <w:rsid w:val="00145F3F"/>
    <w:rsid w:val="00146A62"/>
    <w:rsid w:val="001471FD"/>
    <w:rsid w:val="00147732"/>
    <w:rsid w:val="00147D75"/>
    <w:rsid w:val="0015426F"/>
    <w:rsid w:val="00157623"/>
    <w:rsid w:val="001577E1"/>
    <w:rsid w:val="0016039E"/>
    <w:rsid w:val="001627C1"/>
    <w:rsid w:val="00164191"/>
    <w:rsid w:val="001659CD"/>
    <w:rsid w:val="0016616E"/>
    <w:rsid w:val="00166CF1"/>
    <w:rsid w:val="00167108"/>
    <w:rsid w:val="00170E28"/>
    <w:rsid w:val="00171436"/>
    <w:rsid w:val="001715EA"/>
    <w:rsid w:val="00171BB1"/>
    <w:rsid w:val="00172716"/>
    <w:rsid w:val="00172A2D"/>
    <w:rsid w:val="00172F87"/>
    <w:rsid w:val="0017379B"/>
    <w:rsid w:val="0017470E"/>
    <w:rsid w:val="00177352"/>
    <w:rsid w:val="001801A0"/>
    <w:rsid w:val="0018081A"/>
    <w:rsid w:val="00180ACB"/>
    <w:rsid w:val="00180E5E"/>
    <w:rsid w:val="00184C78"/>
    <w:rsid w:val="001862C6"/>
    <w:rsid w:val="001879CD"/>
    <w:rsid w:val="00187FE4"/>
    <w:rsid w:val="00191AEE"/>
    <w:rsid w:val="00193C14"/>
    <w:rsid w:val="00194133"/>
    <w:rsid w:val="00194C65"/>
    <w:rsid w:val="00196BE3"/>
    <w:rsid w:val="001A1A56"/>
    <w:rsid w:val="001A4705"/>
    <w:rsid w:val="001A663F"/>
    <w:rsid w:val="001A6C44"/>
    <w:rsid w:val="001B0AB1"/>
    <w:rsid w:val="001B4345"/>
    <w:rsid w:val="001B728E"/>
    <w:rsid w:val="001B7BFD"/>
    <w:rsid w:val="001C0018"/>
    <w:rsid w:val="001C1199"/>
    <w:rsid w:val="001C1346"/>
    <w:rsid w:val="001C1B28"/>
    <w:rsid w:val="001C25A1"/>
    <w:rsid w:val="001C2EE8"/>
    <w:rsid w:val="001C349A"/>
    <w:rsid w:val="001C36C2"/>
    <w:rsid w:val="001C3BDC"/>
    <w:rsid w:val="001C4EB3"/>
    <w:rsid w:val="001C5446"/>
    <w:rsid w:val="001D03E1"/>
    <w:rsid w:val="001D06F8"/>
    <w:rsid w:val="001D0A23"/>
    <w:rsid w:val="001D0F88"/>
    <w:rsid w:val="001D211D"/>
    <w:rsid w:val="001D54B7"/>
    <w:rsid w:val="001D666E"/>
    <w:rsid w:val="001D7891"/>
    <w:rsid w:val="001E129A"/>
    <w:rsid w:val="001E2A76"/>
    <w:rsid w:val="001E487F"/>
    <w:rsid w:val="001E55A5"/>
    <w:rsid w:val="001E5991"/>
    <w:rsid w:val="001E5ECD"/>
    <w:rsid w:val="001E66FF"/>
    <w:rsid w:val="001E767A"/>
    <w:rsid w:val="001E7E59"/>
    <w:rsid w:val="001F144A"/>
    <w:rsid w:val="001F16C6"/>
    <w:rsid w:val="001F3637"/>
    <w:rsid w:val="001F3AF1"/>
    <w:rsid w:val="001F3C4E"/>
    <w:rsid w:val="001F562C"/>
    <w:rsid w:val="001F70ED"/>
    <w:rsid w:val="00201173"/>
    <w:rsid w:val="0020130B"/>
    <w:rsid w:val="002024DE"/>
    <w:rsid w:val="00203021"/>
    <w:rsid w:val="002041CB"/>
    <w:rsid w:val="002043A6"/>
    <w:rsid w:val="00206953"/>
    <w:rsid w:val="002074EE"/>
    <w:rsid w:val="002106AC"/>
    <w:rsid w:val="00210F05"/>
    <w:rsid w:val="002120DF"/>
    <w:rsid w:val="002136D5"/>
    <w:rsid w:val="00214920"/>
    <w:rsid w:val="00214C33"/>
    <w:rsid w:val="00214C97"/>
    <w:rsid w:val="00215253"/>
    <w:rsid w:val="002159A0"/>
    <w:rsid w:val="00216D7B"/>
    <w:rsid w:val="00217382"/>
    <w:rsid w:val="00221217"/>
    <w:rsid w:val="0022143A"/>
    <w:rsid w:val="00222687"/>
    <w:rsid w:val="00223B31"/>
    <w:rsid w:val="00224AE9"/>
    <w:rsid w:val="00225063"/>
    <w:rsid w:val="00226146"/>
    <w:rsid w:val="00227A95"/>
    <w:rsid w:val="00230814"/>
    <w:rsid w:val="00230B8F"/>
    <w:rsid w:val="00231041"/>
    <w:rsid w:val="002317F5"/>
    <w:rsid w:val="0023313F"/>
    <w:rsid w:val="0023553B"/>
    <w:rsid w:val="002364AC"/>
    <w:rsid w:val="002367F1"/>
    <w:rsid w:val="00236E30"/>
    <w:rsid w:val="00237C21"/>
    <w:rsid w:val="00240868"/>
    <w:rsid w:val="00240CC6"/>
    <w:rsid w:val="00241CF6"/>
    <w:rsid w:val="00243113"/>
    <w:rsid w:val="0024416F"/>
    <w:rsid w:val="002445E5"/>
    <w:rsid w:val="00244858"/>
    <w:rsid w:val="00244F56"/>
    <w:rsid w:val="002457DF"/>
    <w:rsid w:val="00245DA9"/>
    <w:rsid w:val="00246897"/>
    <w:rsid w:val="002471D6"/>
    <w:rsid w:val="00247386"/>
    <w:rsid w:val="002476CA"/>
    <w:rsid w:val="002508E8"/>
    <w:rsid w:val="00251CDC"/>
    <w:rsid w:val="00251FDD"/>
    <w:rsid w:val="00252AF4"/>
    <w:rsid w:val="00252D67"/>
    <w:rsid w:val="002541E3"/>
    <w:rsid w:val="00254255"/>
    <w:rsid w:val="00254BCF"/>
    <w:rsid w:val="00254CDE"/>
    <w:rsid w:val="00256AD6"/>
    <w:rsid w:val="002573EB"/>
    <w:rsid w:val="0025766C"/>
    <w:rsid w:val="002579D2"/>
    <w:rsid w:val="00257D27"/>
    <w:rsid w:val="00260307"/>
    <w:rsid w:val="0026054F"/>
    <w:rsid w:val="0026098B"/>
    <w:rsid w:val="00260F59"/>
    <w:rsid w:val="00263A14"/>
    <w:rsid w:val="0026578F"/>
    <w:rsid w:val="00267C3C"/>
    <w:rsid w:val="0027284D"/>
    <w:rsid w:val="00272EB4"/>
    <w:rsid w:val="00273492"/>
    <w:rsid w:val="0027410A"/>
    <w:rsid w:val="0027569A"/>
    <w:rsid w:val="00277C6B"/>
    <w:rsid w:val="00277FD7"/>
    <w:rsid w:val="00280AA8"/>
    <w:rsid w:val="0028108C"/>
    <w:rsid w:val="002815F3"/>
    <w:rsid w:val="00281C89"/>
    <w:rsid w:val="00281D46"/>
    <w:rsid w:val="002833B6"/>
    <w:rsid w:val="002837A1"/>
    <w:rsid w:val="00283B80"/>
    <w:rsid w:val="00283C86"/>
    <w:rsid w:val="00285B4E"/>
    <w:rsid w:val="0028666F"/>
    <w:rsid w:val="00286D59"/>
    <w:rsid w:val="00287E2A"/>
    <w:rsid w:val="002902FD"/>
    <w:rsid w:val="00291D9C"/>
    <w:rsid w:val="002928E1"/>
    <w:rsid w:val="002952C8"/>
    <w:rsid w:val="002A0674"/>
    <w:rsid w:val="002A14FE"/>
    <w:rsid w:val="002A1E9F"/>
    <w:rsid w:val="002A2ED4"/>
    <w:rsid w:val="002A43CE"/>
    <w:rsid w:val="002A4594"/>
    <w:rsid w:val="002A4DFF"/>
    <w:rsid w:val="002A4F8C"/>
    <w:rsid w:val="002A6400"/>
    <w:rsid w:val="002A77C5"/>
    <w:rsid w:val="002A7E39"/>
    <w:rsid w:val="002A7F50"/>
    <w:rsid w:val="002B008B"/>
    <w:rsid w:val="002B054B"/>
    <w:rsid w:val="002B4E4C"/>
    <w:rsid w:val="002B4F17"/>
    <w:rsid w:val="002B59A0"/>
    <w:rsid w:val="002B5A8D"/>
    <w:rsid w:val="002B64A4"/>
    <w:rsid w:val="002B7B0E"/>
    <w:rsid w:val="002B7BA9"/>
    <w:rsid w:val="002C14AD"/>
    <w:rsid w:val="002C1ED4"/>
    <w:rsid w:val="002C246F"/>
    <w:rsid w:val="002C278B"/>
    <w:rsid w:val="002C2C59"/>
    <w:rsid w:val="002C334D"/>
    <w:rsid w:val="002C38FC"/>
    <w:rsid w:val="002C39F9"/>
    <w:rsid w:val="002C3E8A"/>
    <w:rsid w:val="002C3FF0"/>
    <w:rsid w:val="002C47DC"/>
    <w:rsid w:val="002C7C69"/>
    <w:rsid w:val="002C7E10"/>
    <w:rsid w:val="002D02AA"/>
    <w:rsid w:val="002D0862"/>
    <w:rsid w:val="002D4109"/>
    <w:rsid w:val="002D591D"/>
    <w:rsid w:val="002D6078"/>
    <w:rsid w:val="002D6FE5"/>
    <w:rsid w:val="002D72FE"/>
    <w:rsid w:val="002D7B99"/>
    <w:rsid w:val="002E1032"/>
    <w:rsid w:val="002E18C4"/>
    <w:rsid w:val="002E1993"/>
    <w:rsid w:val="002E2FAB"/>
    <w:rsid w:val="002E3012"/>
    <w:rsid w:val="002E48F7"/>
    <w:rsid w:val="002E572B"/>
    <w:rsid w:val="002F08FB"/>
    <w:rsid w:val="002F1A64"/>
    <w:rsid w:val="002F1CFA"/>
    <w:rsid w:val="002F285C"/>
    <w:rsid w:val="002F2B78"/>
    <w:rsid w:val="002F2F27"/>
    <w:rsid w:val="002F30F9"/>
    <w:rsid w:val="002F54C9"/>
    <w:rsid w:val="002F575F"/>
    <w:rsid w:val="002F73CE"/>
    <w:rsid w:val="002F7883"/>
    <w:rsid w:val="00300096"/>
    <w:rsid w:val="0030066A"/>
    <w:rsid w:val="00300BBE"/>
    <w:rsid w:val="00301FA6"/>
    <w:rsid w:val="0030375C"/>
    <w:rsid w:val="00304171"/>
    <w:rsid w:val="003050FF"/>
    <w:rsid w:val="003060D2"/>
    <w:rsid w:val="00307923"/>
    <w:rsid w:val="0031029C"/>
    <w:rsid w:val="00310BDC"/>
    <w:rsid w:val="003124B0"/>
    <w:rsid w:val="00313064"/>
    <w:rsid w:val="003152DF"/>
    <w:rsid w:val="003164A0"/>
    <w:rsid w:val="003174D9"/>
    <w:rsid w:val="003178CB"/>
    <w:rsid w:val="00317E8E"/>
    <w:rsid w:val="00320318"/>
    <w:rsid w:val="00320B69"/>
    <w:rsid w:val="00320C8F"/>
    <w:rsid w:val="0032309B"/>
    <w:rsid w:val="00325AF4"/>
    <w:rsid w:val="003262AB"/>
    <w:rsid w:val="00326F5F"/>
    <w:rsid w:val="003315D7"/>
    <w:rsid w:val="00334041"/>
    <w:rsid w:val="00334427"/>
    <w:rsid w:val="00337396"/>
    <w:rsid w:val="00337A4F"/>
    <w:rsid w:val="0034437B"/>
    <w:rsid w:val="00345698"/>
    <w:rsid w:val="003463B1"/>
    <w:rsid w:val="0034729E"/>
    <w:rsid w:val="00347584"/>
    <w:rsid w:val="00350109"/>
    <w:rsid w:val="00350353"/>
    <w:rsid w:val="00350961"/>
    <w:rsid w:val="00352CC7"/>
    <w:rsid w:val="00354787"/>
    <w:rsid w:val="003551E9"/>
    <w:rsid w:val="003562AC"/>
    <w:rsid w:val="003566B2"/>
    <w:rsid w:val="003566D5"/>
    <w:rsid w:val="003574E5"/>
    <w:rsid w:val="00357DBA"/>
    <w:rsid w:val="00360407"/>
    <w:rsid w:val="00363315"/>
    <w:rsid w:val="00363ACC"/>
    <w:rsid w:val="00363D1E"/>
    <w:rsid w:val="0036401A"/>
    <w:rsid w:val="0036454D"/>
    <w:rsid w:val="00365BF9"/>
    <w:rsid w:val="003665AF"/>
    <w:rsid w:val="003676B4"/>
    <w:rsid w:val="00367B68"/>
    <w:rsid w:val="00367C7C"/>
    <w:rsid w:val="003714B9"/>
    <w:rsid w:val="003714D3"/>
    <w:rsid w:val="00371702"/>
    <w:rsid w:val="003718B2"/>
    <w:rsid w:val="00372538"/>
    <w:rsid w:val="0037262C"/>
    <w:rsid w:val="003742E9"/>
    <w:rsid w:val="00376016"/>
    <w:rsid w:val="00376926"/>
    <w:rsid w:val="003821E6"/>
    <w:rsid w:val="003846A2"/>
    <w:rsid w:val="00384984"/>
    <w:rsid w:val="00384DD7"/>
    <w:rsid w:val="00385945"/>
    <w:rsid w:val="00386C6A"/>
    <w:rsid w:val="00387C4F"/>
    <w:rsid w:val="00391BD8"/>
    <w:rsid w:val="00393D3B"/>
    <w:rsid w:val="003940B1"/>
    <w:rsid w:val="00395893"/>
    <w:rsid w:val="00396559"/>
    <w:rsid w:val="00396F21"/>
    <w:rsid w:val="003A0288"/>
    <w:rsid w:val="003A089A"/>
    <w:rsid w:val="003A2571"/>
    <w:rsid w:val="003A3B4A"/>
    <w:rsid w:val="003A3DEE"/>
    <w:rsid w:val="003A5111"/>
    <w:rsid w:val="003A780F"/>
    <w:rsid w:val="003B00F1"/>
    <w:rsid w:val="003B0DC9"/>
    <w:rsid w:val="003B13C0"/>
    <w:rsid w:val="003B18F4"/>
    <w:rsid w:val="003B1DF6"/>
    <w:rsid w:val="003B2F8E"/>
    <w:rsid w:val="003B40E9"/>
    <w:rsid w:val="003B4494"/>
    <w:rsid w:val="003B62EB"/>
    <w:rsid w:val="003C0C58"/>
    <w:rsid w:val="003C0D34"/>
    <w:rsid w:val="003C1C76"/>
    <w:rsid w:val="003C28DE"/>
    <w:rsid w:val="003C2948"/>
    <w:rsid w:val="003C2CD9"/>
    <w:rsid w:val="003C420E"/>
    <w:rsid w:val="003C7D12"/>
    <w:rsid w:val="003D0F18"/>
    <w:rsid w:val="003D139F"/>
    <w:rsid w:val="003D172C"/>
    <w:rsid w:val="003D1ED4"/>
    <w:rsid w:val="003D53CD"/>
    <w:rsid w:val="003D5A1F"/>
    <w:rsid w:val="003D7382"/>
    <w:rsid w:val="003D73A3"/>
    <w:rsid w:val="003E0D88"/>
    <w:rsid w:val="003E1169"/>
    <w:rsid w:val="003E2B4A"/>
    <w:rsid w:val="003E3006"/>
    <w:rsid w:val="003E4A15"/>
    <w:rsid w:val="003E5569"/>
    <w:rsid w:val="003E72E2"/>
    <w:rsid w:val="003E7990"/>
    <w:rsid w:val="003F0F3D"/>
    <w:rsid w:val="003F282C"/>
    <w:rsid w:val="003F3BB0"/>
    <w:rsid w:val="003F44F5"/>
    <w:rsid w:val="003F4DAD"/>
    <w:rsid w:val="003F75E2"/>
    <w:rsid w:val="00401DEF"/>
    <w:rsid w:val="00401E49"/>
    <w:rsid w:val="00403DCA"/>
    <w:rsid w:val="004043E6"/>
    <w:rsid w:val="00405639"/>
    <w:rsid w:val="0041003A"/>
    <w:rsid w:val="004167F2"/>
    <w:rsid w:val="00417351"/>
    <w:rsid w:val="00420F19"/>
    <w:rsid w:val="0042136D"/>
    <w:rsid w:val="004216B1"/>
    <w:rsid w:val="00421C41"/>
    <w:rsid w:val="004224FA"/>
    <w:rsid w:val="00422EE4"/>
    <w:rsid w:val="00423395"/>
    <w:rsid w:val="00423521"/>
    <w:rsid w:val="00425488"/>
    <w:rsid w:val="00425A21"/>
    <w:rsid w:val="00425EEC"/>
    <w:rsid w:val="004261D0"/>
    <w:rsid w:val="00426457"/>
    <w:rsid w:val="00430143"/>
    <w:rsid w:val="00430D10"/>
    <w:rsid w:val="004325C8"/>
    <w:rsid w:val="00432B81"/>
    <w:rsid w:val="004338CD"/>
    <w:rsid w:val="00437827"/>
    <w:rsid w:val="00437B07"/>
    <w:rsid w:val="004413E7"/>
    <w:rsid w:val="00442A3A"/>
    <w:rsid w:val="004431A4"/>
    <w:rsid w:val="00445717"/>
    <w:rsid w:val="00445EE6"/>
    <w:rsid w:val="004462A6"/>
    <w:rsid w:val="00446BDD"/>
    <w:rsid w:val="0045120F"/>
    <w:rsid w:val="0045296E"/>
    <w:rsid w:val="00455368"/>
    <w:rsid w:val="00455D0A"/>
    <w:rsid w:val="004578DA"/>
    <w:rsid w:val="00457CD7"/>
    <w:rsid w:val="00460453"/>
    <w:rsid w:val="00460857"/>
    <w:rsid w:val="0046096A"/>
    <w:rsid w:val="00460FD3"/>
    <w:rsid w:val="00461795"/>
    <w:rsid w:val="004618DC"/>
    <w:rsid w:val="004625AD"/>
    <w:rsid w:val="00462B00"/>
    <w:rsid w:val="00462B7D"/>
    <w:rsid w:val="00464A6A"/>
    <w:rsid w:val="00464D8F"/>
    <w:rsid w:val="0046621F"/>
    <w:rsid w:val="00466EFA"/>
    <w:rsid w:val="00471521"/>
    <w:rsid w:val="004727FD"/>
    <w:rsid w:val="0047403F"/>
    <w:rsid w:val="0047485B"/>
    <w:rsid w:val="004752DA"/>
    <w:rsid w:val="0047563F"/>
    <w:rsid w:val="0047718B"/>
    <w:rsid w:val="004806A0"/>
    <w:rsid w:val="00481283"/>
    <w:rsid w:val="004813B6"/>
    <w:rsid w:val="0048263A"/>
    <w:rsid w:val="004855F1"/>
    <w:rsid w:val="004859E0"/>
    <w:rsid w:val="00485F66"/>
    <w:rsid w:val="004876B5"/>
    <w:rsid w:val="00487BC5"/>
    <w:rsid w:val="00490A82"/>
    <w:rsid w:val="00490BCE"/>
    <w:rsid w:val="00490DCF"/>
    <w:rsid w:val="0049150E"/>
    <w:rsid w:val="00492211"/>
    <w:rsid w:val="00493BE0"/>
    <w:rsid w:val="0049434F"/>
    <w:rsid w:val="00495D69"/>
    <w:rsid w:val="004961B3"/>
    <w:rsid w:val="00496C0A"/>
    <w:rsid w:val="00496CF7"/>
    <w:rsid w:val="00496D34"/>
    <w:rsid w:val="004A0834"/>
    <w:rsid w:val="004A0E6A"/>
    <w:rsid w:val="004A1D42"/>
    <w:rsid w:val="004A2F27"/>
    <w:rsid w:val="004A3F5E"/>
    <w:rsid w:val="004A4A37"/>
    <w:rsid w:val="004A4BDD"/>
    <w:rsid w:val="004A4F77"/>
    <w:rsid w:val="004A667D"/>
    <w:rsid w:val="004A6747"/>
    <w:rsid w:val="004A73F9"/>
    <w:rsid w:val="004A7423"/>
    <w:rsid w:val="004A75E7"/>
    <w:rsid w:val="004B08A7"/>
    <w:rsid w:val="004B1E3E"/>
    <w:rsid w:val="004B26A1"/>
    <w:rsid w:val="004B2EEC"/>
    <w:rsid w:val="004B313A"/>
    <w:rsid w:val="004B31D5"/>
    <w:rsid w:val="004B3331"/>
    <w:rsid w:val="004B5CB8"/>
    <w:rsid w:val="004B5DB4"/>
    <w:rsid w:val="004B6BE0"/>
    <w:rsid w:val="004B7B3C"/>
    <w:rsid w:val="004C1BE9"/>
    <w:rsid w:val="004C2AF7"/>
    <w:rsid w:val="004C3F74"/>
    <w:rsid w:val="004C4247"/>
    <w:rsid w:val="004C53DC"/>
    <w:rsid w:val="004C59C7"/>
    <w:rsid w:val="004C6ED3"/>
    <w:rsid w:val="004C7267"/>
    <w:rsid w:val="004D06BD"/>
    <w:rsid w:val="004D07B0"/>
    <w:rsid w:val="004D3E12"/>
    <w:rsid w:val="004D6BEA"/>
    <w:rsid w:val="004E1C7F"/>
    <w:rsid w:val="004E2249"/>
    <w:rsid w:val="004E387E"/>
    <w:rsid w:val="004E5EED"/>
    <w:rsid w:val="004E7388"/>
    <w:rsid w:val="004E7C27"/>
    <w:rsid w:val="004F2693"/>
    <w:rsid w:val="004F2A0E"/>
    <w:rsid w:val="004F3C93"/>
    <w:rsid w:val="004F418C"/>
    <w:rsid w:val="004F4E9C"/>
    <w:rsid w:val="004F55F8"/>
    <w:rsid w:val="004F577D"/>
    <w:rsid w:val="004F768C"/>
    <w:rsid w:val="004F7A3D"/>
    <w:rsid w:val="005023AC"/>
    <w:rsid w:val="00502B96"/>
    <w:rsid w:val="00503123"/>
    <w:rsid w:val="00504A68"/>
    <w:rsid w:val="00504C80"/>
    <w:rsid w:val="00507CA6"/>
    <w:rsid w:val="00510288"/>
    <w:rsid w:val="0051171E"/>
    <w:rsid w:val="00511BCE"/>
    <w:rsid w:val="00512D1E"/>
    <w:rsid w:val="0051327C"/>
    <w:rsid w:val="005155DA"/>
    <w:rsid w:val="005171CD"/>
    <w:rsid w:val="005232FD"/>
    <w:rsid w:val="00524301"/>
    <w:rsid w:val="005243A7"/>
    <w:rsid w:val="00524E62"/>
    <w:rsid w:val="00527607"/>
    <w:rsid w:val="005308F5"/>
    <w:rsid w:val="00530C41"/>
    <w:rsid w:val="005315F3"/>
    <w:rsid w:val="00531FEF"/>
    <w:rsid w:val="00533793"/>
    <w:rsid w:val="00535080"/>
    <w:rsid w:val="005365F0"/>
    <w:rsid w:val="00536AE2"/>
    <w:rsid w:val="00536D57"/>
    <w:rsid w:val="00537105"/>
    <w:rsid w:val="005376FD"/>
    <w:rsid w:val="00541800"/>
    <w:rsid w:val="005419EA"/>
    <w:rsid w:val="00542BA4"/>
    <w:rsid w:val="00543EC2"/>
    <w:rsid w:val="00543FC1"/>
    <w:rsid w:val="00545154"/>
    <w:rsid w:val="00545F2C"/>
    <w:rsid w:val="00552050"/>
    <w:rsid w:val="0055309E"/>
    <w:rsid w:val="00553100"/>
    <w:rsid w:val="00553804"/>
    <w:rsid w:val="005546B4"/>
    <w:rsid w:val="005570B9"/>
    <w:rsid w:val="005574CC"/>
    <w:rsid w:val="005615D0"/>
    <w:rsid w:val="005624D6"/>
    <w:rsid w:val="005655D5"/>
    <w:rsid w:val="00566F6D"/>
    <w:rsid w:val="0057079A"/>
    <w:rsid w:val="00571B4A"/>
    <w:rsid w:val="005731DA"/>
    <w:rsid w:val="00574143"/>
    <w:rsid w:val="00575650"/>
    <w:rsid w:val="0057570C"/>
    <w:rsid w:val="00575E17"/>
    <w:rsid w:val="00577F28"/>
    <w:rsid w:val="00580BDD"/>
    <w:rsid w:val="00581949"/>
    <w:rsid w:val="005823F7"/>
    <w:rsid w:val="00582F2B"/>
    <w:rsid w:val="00583AB0"/>
    <w:rsid w:val="00584461"/>
    <w:rsid w:val="005872D2"/>
    <w:rsid w:val="00587670"/>
    <w:rsid w:val="00591085"/>
    <w:rsid w:val="00591C3E"/>
    <w:rsid w:val="00592139"/>
    <w:rsid w:val="00593306"/>
    <w:rsid w:val="00593D97"/>
    <w:rsid w:val="00595BC0"/>
    <w:rsid w:val="00595DCE"/>
    <w:rsid w:val="005970D7"/>
    <w:rsid w:val="00597535"/>
    <w:rsid w:val="0059761C"/>
    <w:rsid w:val="005A1A4B"/>
    <w:rsid w:val="005A1A6E"/>
    <w:rsid w:val="005A47C3"/>
    <w:rsid w:val="005A5643"/>
    <w:rsid w:val="005A5837"/>
    <w:rsid w:val="005A61F2"/>
    <w:rsid w:val="005A7E2E"/>
    <w:rsid w:val="005B0E68"/>
    <w:rsid w:val="005B1E32"/>
    <w:rsid w:val="005B29A7"/>
    <w:rsid w:val="005B3563"/>
    <w:rsid w:val="005B59B5"/>
    <w:rsid w:val="005B5DA2"/>
    <w:rsid w:val="005B5ED2"/>
    <w:rsid w:val="005B5F02"/>
    <w:rsid w:val="005B61C9"/>
    <w:rsid w:val="005B683C"/>
    <w:rsid w:val="005B6C18"/>
    <w:rsid w:val="005B7513"/>
    <w:rsid w:val="005B7D3D"/>
    <w:rsid w:val="005C16E6"/>
    <w:rsid w:val="005C2A2B"/>
    <w:rsid w:val="005C3CF7"/>
    <w:rsid w:val="005C59B2"/>
    <w:rsid w:val="005C6804"/>
    <w:rsid w:val="005C77E9"/>
    <w:rsid w:val="005D27A4"/>
    <w:rsid w:val="005D2832"/>
    <w:rsid w:val="005D2D66"/>
    <w:rsid w:val="005D6433"/>
    <w:rsid w:val="005D789B"/>
    <w:rsid w:val="005D7ECF"/>
    <w:rsid w:val="005E25F1"/>
    <w:rsid w:val="005E30DE"/>
    <w:rsid w:val="005E481C"/>
    <w:rsid w:val="005E5570"/>
    <w:rsid w:val="005E730A"/>
    <w:rsid w:val="005E7A08"/>
    <w:rsid w:val="005E7E2F"/>
    <w:rsid w:val="005F0646"/>
    <w:rsid w:val="005F1AF1"/>
    <w:rsid w:val="005F2330"/>
    <w:rsid w:val="005F28FA"/>
    <w:rsid w:val="005F5D90"/>
    <w:rsid w:val="00603090"/>
    <w:rsid w:val="0060545D"/>
    <w:rsid w:val="00606F0B"/>
    <w:rsid w:val="00607F1C"/>
    <w:rsid w:val="006107EF"/>
    <w:rsid w:val="00611636"/>
    <w:rsid w:val="00612213"/>
    <w:rsid w:val="006130D3"/>
    <w:rsid w:val="00614564"/>
    <w:rsid w:val="00616B4A"/>
    <w:rsid w:val="006200D6"/>
    <w:rsid w:val="006201F3"/>
    <w:rsid w:val="00620A86"/>
    <w:rsid w:val="00621068"/>
    <w:rsid w:val="0062195C"/>
    <w:rsid w:val="00621A97"/>
    <w:rsid w:val="00625456"/>
    <w:rsid w:val="00625799"/>
    <w:rsid w:val="0062593B"/>
    <w:rsid w:val="0062596E"/>
    <w:rsid w:val="00627BF8"/>
    <w:rsid w:val="00627C0C"/>
    <w:rsid w:val="00631DF0"/>
    <w:rsid w:val="00633050"/>
    <w:rsid w:val="00633198"/>
    <w:rsid w:val="006340E9"/>
    <w:rsid w:val="006355FE"/>
    <w:rsid w:val="00636BE4"/>
    <w:rsid w:val="00636C63"/>
    <w:rsid w:val="006379C0"/>
    <w:rsid w:val="00637DBA"/>
    <w:rsid w:val="00637E20"/>
    <w:rsid w:val="00640889"/>
    <w:rsid w:val="00640CBF"/>
    <w:rsid w:val="0064211B"/>
    <w:rsid w:val="006429B3"/>
    <w:rsid w:val="0064489D"/>
    <w:rsid w:val="006468BD"/>
    <w:rsid w:val="00646AB9"/>
    <w:rsid w:val="0064780B"/>
    <w:rsid w:val="00652D17"/>
    <w:rsid w:val="00655ADD"/>
    <w:rsid w:val="00655F5E"/>
    <w:rsid w:val="006569F4"/>
    <w:rsid w:val="00657047"/>
    <w:rsid w:val="00657368"/>
    <w:rsid w:val="006614E5"/>
    <w:rsid w:val="006616B1"/>
    <w:rsid w:val="00662120"/>
    <w:rsid w:val="00663866"/>
    <w:rsid w:val="006643FB"/>
    <w:rsid w:val="00665060"/>
    <w:rsid w:val="00665342"/>
    <w:rsid w:val="0066738D"/>
    <w:rsid w:val="00667C5B"/>
    <w:rsid w:val="00667CCD"/>
    <w:rsid w:val="00667D4B"/>
    <w:rsid w:val="0067392D"/>
    <w:rsid w:val="006753E7"/>
    <w:rsid w:val="00676667"/>
    <w:rsid w:val="00676914"/>
    <w:rsid w:val="00683086"/>
    <w:rsid w:val="00684592"/>
    <w:rsid w:val="00687C36"/>
    <w:rsid w:val="00690E33"/>
    <w:rsid w:val="006922D2"/>
    <w:rsid w:val="00693079"/>
    <w:rsid w:val="006943F7"/>
    <w:rsid w:val="00695CC4"/>
    <w:rsid w:val="006979EF"/>
    <w:rsid w:val="006A0836"/>
    <w:rsid w:val="006A1236"/>
    <w:rsid w:val="006A1581"/>
    <w:rsid w:val="006A1E37"/>
    <w:rsid w:val="006A37C3"/>
    <w:rsid w:val="006A4EDE"/>
    <w:rsid w:val="006A6112"/>
    <w:rsid w:val="006A6CCB"/>
    <w:rsid w:val="006A7937"/>
    <w:rsid w:val="006A7B24"/>
    <w:rsid w:val="006B142A"/>
    <w:rsid w:val="006B2A56"/>
    <w:rsid w:val="006B2B7B"/>
    <w:rsid w:val="006B34D4"/>
    <w:rsid w:val="006B39FC"/>
    <w:rsid w:val="006B53FF"/>
    <w:rsid w:val="006B5689"/>
    <w:rsid w:val="006C04D8"/>
    <w:rsid w:val="006C0A9C"/>
    <w:rsid w:val="006C170C"/>
    <w:rsid w:val="006C558E"/>
    <w:rsid w:val="006C69AE"/>
    <w:rsid w:val="006C6AB5"/>
    <w:rsid w:val="006C6DFB"/>
    <w:rsid w:val="006C7057"/>
    <w:rsid w:val="006C7329"/>
    <w:rsid w:val="006C7CE5"/>
    <w:rsid w:val="006C7D92"/>
    <w:rsid w:val="006D03D0"/>
    <w:rsid w:val="006D219D"/>
    <w:rsid w:val="006D3032"/>
    <w:rsid w:val="006D349A"/>
    <w:rsid w:val="006D45D3"/>
    <w:rsid w:val="006D4CF8"/>
    <w:rsid w:val="006D527A"/>
    <w:rsid w:val="006D52EB"/>
    <w:rsid w:val="006D5886"/>
    <w:rsid w:val="006D643D"/>
    <w:rsid w:val="006D6448"/>
    <w:rsid w:val="006D7925"/>
    <w:rsid w:val="006D7F4E"/>
    <w:rsid w:val="006E031B"/>
    <w:rsid w:val="006E12BD"/>
    <w:rsid w:val="006E18D3"/>
    <w:rsid w:val="006E2FC9"/>
    <w:rsid w:val="006E3485"/>
    <w:rsid w:val="006E5319"/>
    <w:rsid w:val="006E59A4"/>
    <w:rsid w:val="006E71D3"/>
    <w:rsid w:val="006F012B"/>
    <w:rsid w:val="006F073E"/>
    <w:rsid w:val="006F0AB0"/>
    <w:rsid w:val="006F2E17"/>
    <w:rsid w:val="006F39A7"/>
    <w:rsid w:val="006F4755"/>
    <w:rsid w:val="006F52B1"/>
    <w:rsid w:val="006F67D4"/>
    <w:rsid w:val="006F722C"/>
    <w:rsid w:val="006F79B9"/>
    <w:rsid w:val="0070101E"/>
    <w:rsid w:val="00701F05"/>
    <w:rsid w:val="00702A9C"/>
    <w:rsid w:val="00702EF4"/>
    <w:rsid w:val="007033DD"/>
    <w:rsid w:val="00703FEC"/>
    <w:rsid w:val="00704374"/>
    <w:rsid w:val="00704BC3"/>
    <w:rsid w:val="007052FD"/>
    <w:rsid w:val="00707483"/>
    <w:rsid w:val="00707F39"/>
    <w:rsid w:val="00711BA6"/>
    <w:rsid w:val="00711DEB"/>
    <w:rsid w:val="007124D1"/>
    <w:rsid w:val="007128BD"/>
    <w:rsid w:val="00712B0A"/>
    <w:rsid w:val="00713637"/>
    <w:rsid w:val="00714580"/>
    <w:rsid w:val="00714B30"/>
    <w:rsid w:val="007151C7"/>
    <w:rsid w:val="00715F42"/>
    <w:rsid w:val="00717A2C"/>
    <w:rsid w:val="00717F8C"/>
    <w:rsid w:val="00722924"/>
    <w:rsid w:val="00724AA4"/>
    <w:rsid w:val="007254C7"/>
    <w:rsid w:val="007262B0"/>
    <w:rsid w:val="007264A7"/>
    <w:rsid w:val="00726AC0"/>
    <w:rsid w:val="00726F10"/>
    <w:rsid w:val="00730882"/>
    <w:rsid w:val="0073276C"/>
    <w:rsid w:val="0073370F"/>
    <w:rsid w:val="007338AF"/>
    <w:rsid w:val="007339EE"/>
    <w:rsid w:val="0073436A"/>
    <w:rsid w:val="00735100"/>
    <w:rsid w:val="00735E61"/>
    <w:rsid w:val="0073649A"/>
    <w:rsid w:val="00736D96"/>
    <w:rsid w:val="00737ABD"/>
    <w:rsid w:val="0074059C"/>
    <w:rsid w:val="00741A8D"/>
    <w:rsid w:val="00742701"/>
    <w:rsid w:val="0074292C"/>
    <w:rsid w:val="00745F9C"/>
    <w:rsid w:val="00746814"/>
    <w:rsid w:val="00750BBD"/>
    <w:rsid w:val="00750EFA"/>
    <w:rsid w:val="00751746"/>
    <w:rsid w:val="007523B8"/>
    <w:rsid w:val="00752B97"/>
    <w:rsid w:val="00753123"/>
    <w:rsid w:val="00755FC4"/>
    <w:rsid w:val="007566B0"/>
    <w:rsid w:val="007567F5"/>
    <w:rsid w:val="00757481"/>
    <w:rsid w:val="0076011A"/>
    <w:rsid w:val="00760192"/>
    <w:rsid w:val="007603BC"/>
    <w:rsid w:val="00760F86"/>
    <w:rsid w:val="0076187D"/>
    <w:rsid w:val="00762FD1"/>
    <w:rsid w:val="0076342A"/>
    <w:rsid w:val="0076657B"/>
    <w:rsid w:val="00770E9C"/>
    <w:rsid w:val="007714AF"/>
    <w:rsid w:val="00771888"/>
    <w:rsid w:val="00771F4B"/>
    <w:rsid w:val="007722B5"/>
    <w:rsid w:val="0077297C"/>
    <w:rsid w:val="00772F31"/>
    <w:rsid w:val="00773962"/>
    <w:rsid w:val="00773B68"/>
    <w:rsid w:val="007741E4"/>
    <w:rsid w:val="007747A3"/>
    <w:rsid w:val="00775844"/>
    <w:rsid w:val="0077756F"/>
    <w:rsid w:val="00780DD6"/>
    <w:rsid w:val="00781AD8"/>
    <w:rsid w:val="00781DC1"/>
    <w:rsid w:val="00783145"/>
    <w:rsid w:val="007832B2"/>
    <w:rsid w:val="00786C87"/>
    <w:rsid w:val="0079018B"/>
    <w:rsid w:val="007915F9"/>
    <w:rsid w:val="0079187E"/>
    <w:rsid w:val="00791F17"/>
    <w:rsid w:val="00793499"/>
    <w:rsid w:val="0079485C"/>
    <w:rsid w:val="00794900"/>
    <w:rsid w:val="00795AA9"/>
    <w:rsid w:val="00796D9A"/>
    <w:rsid w:val="00797872"/>
    <w:rsid w:val="007A023E"/>
    <w:rsid w:val="007A0800"/>
    <w:rsid w:val="007A1DFA"/>
    <w:rsid w:val="007A2374"/>
    <w:rsid w:val="007A2548"/>
    <w:rsid w:val="007A2C2C"/>
    <w:rsid w:val="007A36EB"/>
    <w:rsid w:val="007A4C53"/>
    <w:rsid w:val="007A5062"/>
    <w:rsid w:val="007A5C7F"/>
    <w:rsid w:val="007A5CDE"/>
    <w:rsid w:val="007B3A1D"/>
    <w:rsid w:val="007B5A3B"/>
    <w:rsid w:val="007B6891"/>
    <w:rsid w:val="007B6E25"/>
    <w:rsid w:val="007B773E"/>
    <w:rsid w:val="007C09F4"/>
    <w:rsid w:val="007C44EA"/>
    <w:rsid w:val="007C518C"/>
    <w:rsid w:val="007C5B5F"/>
    <w:rsid w:val="007C69D9"/>
    <w:rsid w:val="007C69FA"/>
    <w:rsid w:val="007C6D8B"/>
    <w:rsid w:val="007C756B"/>
    <w:rsid w:val="007D006D"/>
    <w:rsid w:val="007D05B1"/>
    <w:rsid w:val="007D1C90"/>
    <w:rsid w:val="007D2356"/>
    <w:rsid w:val="007D360C"/>
    <w:rsid w:val="007D37A9"/>
    <w:rsid w:val="007D3DBD"/>
    <w:rsid w:val="007D46B9"/>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5816"/>
    <w:rsid w:val="007F6166"/>
    <w:rsid w:val="007F61C6"/>
    <w:rsid w:val="008005AF"/>
    <w:rsid w:val="00800DA5"/>
    <w:rsid w:val="0080286F"/>
    <w:rsid w:val="00802FE1"/>
    <w:rsid w:val="00803EC7"/>
    <w:rsid w:val="008041C1"/>
    <w:rsid w:val="0080420D"/>
    <w:rsid w:val="0080472D"/>
    <w:rsid w:val="008053DE"/>
    <w:rsid w:val="008059F6"/>
    <w:rsid w:val="008067CC"/>
    <w:rsid w:val="008067F9"/>
    <w:rsid w:val="0080767F"/>
    <w:rsid w:val="00810B57"/>
    <w:rsid w:val="00811ED6"/>
    <w:rsid w:val="00812263"/>
    <w:rsid w:val="00812AF7"/>
    <w:rsid w:val="00812E89"/>
    <w:rsid w:val="00812ECF"/>
    <w:rsid w:val="00812F3E"/>
    <w:rsid w:val="00814FD3"/>
    <w:rsid w:val="0081506A"/>
    <w:rsid w:val="0081556F"/>
    <w:rsid w:val="0081723C"/>
    <w:rsid w:val="00821C6E"/>
    <w:rsid w:val="0082527F"/>
    <w:rsid w:val="0082767A"/>
    <w:rsid w:val="008340E0"/>
    <w:rsid w:val="00834CD0"/>
    <w:rsid w:val="00834D24"/>
    <w:rsid w:val="00835457"/>
    <w:rsid w:val="0083731D"/>
    <w:rsid w:val="0084000C"/>
    <w:rsid w:val="0084078C"/>
    <w:rsid w:val="008422A2"/>
    <w:rsid w:val="00844117"/>
    <w:rsid w:val="00844BF4"/>
    <w:rsid w:val="00845009"/>
    <w:rsid w:val="00845630"/>
    <w:rsid w:val="008457EB"/>
    <w:rsid w:val="0085126D"/>
    <w:rsid w:val="00851589"/>
    <w:rsid w:val="008515F0"/>
    <w:rsid w:val="00851F46"/>
    <w:rsid w:val="00852FE0"/>
    <w:rsid w:val="00853478"/>
    <w:rsid w:val="008544D9"/>
    <w:rsid w:val="00854F32"/>
    <w:rsid w:val="0085566C"/>
    <w:rsid w:val="00857271"/>
    <w:rsid w:val="00860AC2"/>
    <w:rsid w:val="00860D85"/>
    <w:rsid w:val="0086207E"/>
    <w:rsid w:val="00862A2D"/>
    <w:rsid w:val="008639B4"/>
    <w:rsid w:val="008639F5"/>
    <w:rsid w:val="00863C13"/>
    <w:rsid w:val="00864421"/>
    <w:rsid w:val="00866356"/>
    <w:rsid w:val="00866557"/>
    <w:rsid w:val="00866F59"/>
    <w:rsid w:val="00871004"/>
    <w:rsid w:val="00871DA7"/>
    <w:rsid w:val="0087443F"/>
    <w:rsid w:val="0087450C"/>
    <w:rsid w:val="00875230"/>
    <w:rsid w:val="00875B78"/>
    <w:rsid w:val="0087646A"/>
    <w:rsid w:val="0088022C"/>
    <w:rsid w:val="00881DF3"/>
    <w:rsid w:val="0088270B"/>
    <w:rsid w:val="00882FB9"/>
    <w:rsid w:val="0088316A"/>
    <w:rsid w:val="00883EF3"/>
    <w:rsid w:val="00884533"/>
    <w:rsid w:val="00885D0F"/>
    <w:rsid w:val="00886234"/>
    <w:rsid w:val="00890078"/>
    <w:rsid w:val="00891754"/>
    <w:rsid w:val="00892CF9"/>
    <w:rsid w:val="008930BD"/>
    <w:rsid w:val="008953DB"/>
    <w:rsid w:val="00895BE8"/>
    <w:rsid w:val="00895DAC"/>
    <w:rsid w:val="00896463"/>
    <w:rsid w:val="008A06E6"/>
    <w:rsid w:val="008A2611"/>
    <w:rsid w:val="008A28FC"/>
    <w:rsid w:val="008A3863"/>
    <w:rsid w:val="008A5AB4"/>
    <w:rsid w:val="008A610A"/>
    <w:rsid w:val="008A6414"/>
    <w:rsid w:val="008A67AA"/>
    <w:rsid w:val="008B0A1C"/>
    <w:rsid w:val="008B3E5E"/>
    <w:rsid w:val="008B403C"/>
    <w:rsid w:val="008B4973"/>
    <w:rsid w:val="008B4BA9"/>
    <w:rsid w:val="008B51A6"/>
    <w:rsid w:val="008B66ED"/>
    <w:rsid w:val="008B68FA"/>
    <w:rsid w:val="008C0203"/>
    <w:rsid w:val="008C181F"/>
    <w:rsid w:val="008C1F18"/>
    <w:rsid w:val="008C274D"/>
    <w:rsid w:val="008C5253"/>
    <w:rsid w:val="008C5597"/>
    <w:rsid w:val="008C5AA1"/>
    <w:rsid w:val="008C61E2"/>
    <w:rsid w:val="008C6C28"/>
    <w:rsid w:val="008C7987"/>
    <w:rsid w:val="008C7F50"/>
    <w:rsid w:val="008D061B"/>
    <w:rsid w:val="008D19A2"/>
    <w:rsid w:val="008D19EA"/>
    <w:rsid w:val="008D1A2F"/>
    <w:rsid w:val="008D3B9C"/>
    <w:rsid w:val="008D460E"/>
    <w:rsid w:val="008D512A"/>
    <w:rsid w:val="008D750B"/>
    <w:rsid w:val="008E0F17"/>
    <w:rsid w:val="008E12CA"/>
    <w:rsid w:val="008E22DC"/>
    <w:rsid w:val="008E26FB"/>
    <w:rsid w:val="008E29EE"/>
    <w:rsid w:val="008E3270"/>
    <w:rsid w:val="008E48FD"/>
    <w:rsid w:val="008E51AE"/>
    <w:rsid w:val="008E5304"/>
    <w:rsid w:val="008F1855"/>
    <w:rsid w:val="008F1C26"/>
    <w:rsid w:val="008F1C67"/>
    <w:rsid w:val="008F249C"/>
    <w:rsid w:val="008F260C"/>
    <w:rsid w:val="008F327C"/>
    <w:rsid w:val="008F42BF"/>
    <w:rsid w:val="008F46E9"/>
    <w:rsid w:val="008F615C"/>
    <w:rsid w:val="008F72F8"/>
    <w:rsid w:val="008F7CE4"/>
    <w:rsid w:val="00900D10"/>
    <w:rsid w:val="00901110"/>
    <w:rsid w:val="00901623"/>
    <w:rsid w:val="00901D29"/>
    <w:rsid w:val="00902BEC"/>
    <w:rsid w:val="009053CE"/>
    <w:rsid w:val="009055A1"/>
    <w:rsid w:val="009069B9"/>
    <w:rsid w:val="009119F1"/>
    <w:rsid w:val="00911CE6"/>
    <w:rsid w:val="00912282"/>
    <w:rsid w:val="009127AD"/>
    <w:rsid w:val="00912C7A"/>
    <w:rsid w:val="00912FCC"/>
    <w:rsid w:val="009144EB"/>
    <w:rsid w:val="0091469D"/>
    <w:rsid w:val="009148B3"/>
    <w:rsid w:val="00914A88"/>
    <w:rsid w:val="009150D6"/>
    <w:rsid w:val="0091530C"/>
    <w:rsid w:val="00915F0B"/>
    <w:rsid w:val="00917ED2"/>
    <w:rsid w:val="00920457"/>
    <w:rsid w:val="00921538"/>
    <w:rsid w:val="00921E3A"/>
    <w:rsid w:val="0092291F"/>
    <w:rsid w:val="00922FBD"/>
    <w:rsid w:val="0092319D"/>
    <w:rsid w:val="009240E7"/>
    <w:rsid w:val="00924339"/>
    <w:rsid w:val="0092629B"/>
    <w:rsid w:val="009276EE"/>
    <w:rsid w:val="00932D60"/>
    <w:rsid w:val="00934715"/>
    <w:rsid w:val="009347FA"/>
    <w:rsid w:val="009358B0"/>
    <w:rsid w:val="00935B26"/>
    <w:rsid w:val="00935EF8"/>
    <w:rsid w:val="00936467"/>
    <w:rsid w:val="009368EB"/>
    <w:rsid w:val="00936ADD"/>
    <w:rsid w:val="00936DBE"/>
    <w:rsid w:val="00940BA3"/>
    <w:rsid w:val="0094202C"/>
    <w:rsid w:val="00942B6D"/>
    <w:rsid w:val="00943BFA"/>
    <w:rsid w:val="00944017"/>
    <w:rsid w:val="00944B15"/>
    <w:rsid w:val="00950CF1"/>
    <w:rsid w:val="00950F49"/>
    <w:rsid w:val="009529E0"/>
    <w:rsid w:val="00952EEE"/>
    <w:rsid w:val="009533A6"/>
    <w:rsid w:val="00953666"/>
    <w:rsid w:val="00955DFE"/>
    <w:rsid w:val="00955E69"/>
    <w:rsid w:val="009572A7"/>
    <w:rsid w:val="00960061"/>
    <w:rsid w:val="00960384"/>
    <w:rsid w:val="0096057E"/>
    <w:rsid w:val="009617B0"/>
    <w:rsid w:val="00961911"/>
    <w:rsid w:val="00961C79"/>
    <w:rsid w:val="00964063"/>
    <w:rsid w:val="00964E1D"/>
    <w:rsid w:val="00965931"/>
    <w:rsid w:val="009660DA"/>
    <w:rsid w:val="00967A56"/>
    <w:rsid w:val="00967D8D"/>
    <w:rsid w:val="00967E47"/>
    <w:rsid w:val="00970523"/>
    <w:rsid w:val="009719E9"/>
    <w:rsid w:val="0097351D"/>
    <w:rsid w:val="00973998"/>
    <w:rsid w:val="00975356"/>
    <w:rsid w:val="00975D25"/>
    <w:rsid w:val="0097606E"/>
    <w:rsid w:val="009771BA"/>
    <w:rsid w:val="00977E83"/>
    <w:rsid w:val="00977F17"/>
    <w:rsid w:val="0098072D"/>
    <w:rsid w:val="00980918"/>
    <w:rsid w:val="00982646"/>
    <w:rsid w:val="009833F7"/>
    <w:rsid w:val="00984096"/>
    <w:rsid w:val="00984471"/>
    <w:rsid w:val="00984D53"/>
    <w:rsid w:val="00986792"/>
    <w:rsid w:val="00992C6E"/>
    <w:rsid w:val="00993680"/>
    <w:rsid w:val="009937A8"/>
    <w:rsid w:val="00993986"/>
    <w:rsid w:val="0099419D"/>
    <w:rsid w:val="0099499D"/>
    <w:rsid w:val="00994AB0"/>
    <w:rsid w:val="00995BC2"/>
    <w:rsid w:val="009A14FD"/>
    <w:rsid w:val="009A17D5"/>
    <w:rsid w:val="009A1996"/>
    <w:rsid w:val="009A2298"/>
    <w:rsid w:val="009A2BAD"/>
    <w:rsid w:val="009A2DB5"/>
    <w:rsid w:val="009A3A82"/>
    <w:rsid w:val="009A3BCA"/>
    <w:rsid w:val="009A43B6"/>
    <w:rsid w:val="009A44D3"/>
    <w:rsid w:val="009A52F2"/>
    <w:rsid w:val="009A6E5F"/>
    <w:rsid w:val="009A75CD"/>
    <w:rsid w:val="009A793D"/>
    <w:rsid w:val="009B095A"/>
    <w:rsid w:val="009B1E21"/>
    <w:rsid w:val="009B28A1"/>
    <w:rsid w:val="009B2D9C"/>
    <w:rsid w:val="009B2F8D"/>
    <w:rsid w:val="009B3084"/>
    <w:rsid w:val="009B56ED"/>
    <w:rsid w:val="009B5944"/>
    <w:rsid w:val="009B5D68"/>
    <w:rsid w:val="009B7090"/>
    <w:rsid w:val="009B7A6A"/>
    <w:rsid w:val="009C01C5"/>
    <w:rsid w:val="009C1883"/>
    <w:rsid w:val="009C22A9"/>
    <w:rsid w:val="009C2BEA"/>
    <w:rsid w:val="009C34AD"/>
    <w:rsid w:val="009C5181"/>
    <w:rsid w:val="009C53F7"/>
    <w:rsid w:val="009C5C11"/>
    <w:rsid w:val="009C5C27"/>
    <w:rsid w:val="009C5C6B"/>
    <w:rsid w:val="009C7372"/>
    <w:rsid w:val="009C7613"/>
    <w:rsid w:val="009C7726"/>
    <w:rsid w:val="009D07B0"/>
    <w:rsid w:val="009D151D"/>
    <w:rsid w:val="009D1E2E"/>
    <w:rsid w:val="009D20AB"/>
    <w:rsid w:val="009D2CB3"/>
    <w:rsid w:val="009D3D10"/>
    <w:rsid w:val="009D4FDD"/>
    <w:rsid w:val="009D51A3"/>
    <w:rsid w:val="009D6D52"/>
    <w:rsid w:val="009D6E61"/>
    <w:rsid w:val="009D7520"/>
    <w:rsid w:val="009D7759"/>
    <w:rsid w:val="009D77B4"/>
    <w:rsid w:val="009E0265"/>
    <w:rsid w:val="009E1199"/>
    <w:rsid w:val="009E26E0"/>
    <w:rsid w:val="009E2AEB"/>
    <w:rsid w:val="009E42D1"/>
    <w:rsid w:val="009E4735"/>
    <w:rsid w:val="009E7179"/>
    <w:rsid w:val="009E7C24"/>
    <w:rsid w:val="009F0CA2"/>
    <w:rsid w:val="009F155E"/>
    <w:rsid w:val="009F3476"/>
    <w:rsid w:val="009F35C4"/>
    <w:rsid w:val="009F4120"/>
    <w:rsid w:val="009F41E3"/>
    <w:rsid w:val="009F453C"/>
    <w:rsid w:val="009F4AF9"/>
    <w:rsid w:val="009F54E2"/>
    <w:rsid w:val="009F63D0"/>
    <w:rsid w:val="009F69EF"/>
    <w:rsid w:val="00A0081D"/>
    <w:rsid w:val="00A02327"/>
    <w:rsid w:val="00A02934"/>
    <w:rsid w:val="00A03B82"/>
    <w:rsid w:val="00A05AC5"/>
    <w:rsid w:val="00A06FAC"/>
    <w:rsid w:val="00A07277"/>
    <w:rsid w:val="00A07B3E"/>
    <w:rsid w:val="00A07F5B"/>
    <w:rsid w:val="00A11AF9"/>
    <w:rsid w:val="00A1564B"/>
    <w:rsid w:val="00A15A99"/>
    <w:rsid w:val="00A15FB3"/>
    <w:rsid w:val="00A17690"/>
    <w:rsid w:val="00A177C8"/>
    <w:rsid w:val="00A17E28"/>
    <w:rsid w:val="00A223E4"/>
    <w:rsid w:val="00A232C0"/>
    <w:rsid w:val="00A25AC5"/>
    <w:rsid w:val="00A278FF"/>
    <w:rsid w:val="00A27E4F"/>
    <w:rsid w:val="00A300F4"/>
    <w:rsid w:val="00A3157E"/>
    <w:rsid w:val="00A33961"/>
    <w:rsid w:val="00A33F93"/>
    <w:rsid w:val="00A35E20"/>
    <w:rsid w:val="00A367A4"/>
    <w:rsid w:val="00A3696A"/>
    <w:rsid w:val="00A402DD"/>
    <w:rsid w:val="00A40B43"/>
    <w:rsid w:val="00A42759"/>
    <w:rsid w:val="00A434CD"/>
    <w:rsid w:val="00A449CF"/>
    <w:rsid w:val="00A44ABC"/>
    <w:rsid w:val="00A45F3B"/>
    <w:rsid w:val="00A47BDE"/>
    <w:rsid w:val="00A51EF0"/>
    <w:rsid w:val="00A5332A"/>
    <w:rsid w:val="00A5656E"/>
    <w:rsid w:val="00A6113F"/>
    <w:rsid w:val="00A61181"/>
    <w:rsid w:val="00A629AF"/>
    <w:rsid w:val="00A63AB3"/>
    <w:rsid w:val="00A650AE"/>
    <w:rsid w:val="00A65313"/>
    <w:rsid w:val="00A65496"/>
    <w:rsid w:val="00A65FDD"/>
    <w:rsid w:val="00A665E8"/>
    <w:rsid w:val="00A66DBF"/>
    <w:rsid w:val="00A70FD1"/>
    <w:rsid w:val="00A74127"/>
    <w:rsid w:val="00A74911"/>
    <w:rsid w:val="00A764C3"/>
    <w:rsid w:val="00A7723C"/>
    <w:rsid w:val="00A777CA"/>
    <w:rsid w:val="00A77FD2"/>
    <w:rsid w:val="00A804E9"/>
    <w:rsid w:val="00A81038"/>
    <w:rsid w:val="00A83D00"/>
    <w:rsid w:val="00A84A5C"/>
    <w:rsid w:val="00A85597"/>
    <w:rsid w:val="00A87477"/>
    <w:rsid w:val="00A87D2A"/>
    <w:rsid w:val="00A87EB1"/>
    <w:rsid w:val="00A91B8B"/>
    <w:rsid w:val="00A938C6"/>
    <w:rsid w:val="00A954C8"/>
    <w:rsid w:val="00A957EE"/>
    <w:rsid w:val="00A961EC"/>
    <w:rsid w:val="00A963D1"/>
    <w:rsid w:val="00A965DA"/>
    <w:rsid w:val="00A97825"/>
    <w:rsid w:val="00AA11AF"/>
    <w:rsid w:val="00AA2357"/>
    <w:rsid w:val="00AA24B0"/>
    <w:rsid w:val="00AA334E"/>
    <w:rsid w:val="00AA394A"/>
    <w:rsid w:val="00AA506A"/>
    <w:rsid w:val="00AA762E"/>
    <w:rsid w:val="00AA7A7F"/>
    <w:rsid w:val="00AA7AB1"/>
    <w:rsid w:val="00AB0602"/>
    <w:rsid w:val="00AB178E"/>
    <w:rsid w:val="00AB191E"/>
    <w:rsid w:val="00AB248E"/>
    <w:rsid w:val="00AB394F"/>
    <w:rsid w:val="00AB39C8"/>
    <w:rsid w:val="00AB3B4E"/>
    <w:rsid w:val="00AB4A02"/>
    <w:rsid w:val="00AB5895"/>
    <w:rsid w:val="00AB6641"/>
    <w:rsid w:val="00AB66D4"/>
    <w:rsid w:val="00AB697D"/>
    <w:rsid w:val="00AC0BA5"/>
    <w:rsid w:val="00AC123A"/>
    <w:rsid w:val="00AC2256"/>
    <w:rsid w:val="00AC27B8"/>
    <w:rsid w:val="00AC2A9E"/>
    <w:rsid w:val="00AC3440"/>
    <w:rsid w:val="00AC4282"/>
    <w:rsid w:val="00AC5A91"/>
    <w:rsid w:val="00AC6076"/>
    <w:rsid w:val="00AC61D7"/>
    <w:rsid w:val="00AC7380"/>
    <w:rsid w:val="00AC7CC8"/>
    <w:rsid w:val="00AC7F61"/>
    <w:rsid w:val="00AD00BB"/>
    <w:rsid w:val="00AD028C"/>
    <w:rsid w:val="00AD0D6D"/>
    <w:rsid w:val="00AD0F8A"/>
    <w:rsid w:val="00AD16C2"/>
    <w:rsid w:val="00AD2F6D"/>
    <w:rsid w:val="00AD32A0"/>
    <w:rsid w:val="00AD36E7"/>
    <w:rsid w:val="00AD3C3D"/>
    <w:rsid w:val="00AD7229"/>
    <w:rsid w:val="00AD76FE"/>
    <w:rsid w:val="00AE0282"/>
    <w:rsid w:val="00AE1128"/>
    <w:rsid w:val="00AE1742"/>
    <w:rsid w:val="00AE373C"/>
    <w:rsid w:val="00AE6212"/>
    <w:rsid w:val="00AE6333"/>
    <w:rsid w:val="00AE69D0"/>
    <w:rsid w:val="00AE7A0C"/>
    <w:rsid w:val="00AF0718"/>
    <w:rsid w:val="00AF1FF2"/>
    <w:rsid w:val="00AF23E8"/>
    <w:rsid w:val="00AF4791"/>
    <w:rsid w:val="00B0038C"/>
    <w:rsid w:val="00B006D5"/>
    <w:rsid w:val="00B01249"/>
    <w:rsid w:val="00B02116"/>
    <w:rsid w:val="00B0233C"/>
    <w:rsid w:val="00B02D56"/>
    <w:rsid w:val="00B0409E"/>
    <w:rsid w:val="00B045A2"/>
    <w:rsid w:val="00B046F4"/>
    <w:rsid w:val="00B0629D"/>
    <w:rsid w:val="00B06D74"/>
    <w:rsid w:val="00B075DC"/>
    <w:rsid w:val="00B07B62"/>
    <w:rsid w:val="00B07C17"/>
    <w:rsid w:val="00B1006D"/>
    <w:rsid w:val="00B108BD"/>
    <w:rsid w:val="00B10AD4"/>
    <w:rsid w:val="00B124DA"/>
    <w:rsid w:val="00B16A43"/>
    <w:rsid w:val="00B224B0"/>
    <w:rsid w:val="00B24186"/>
    <w:rsid w:val="00B2461D"/>
    <w:rsid w:val="00B2650B"/>
    <w:rsid w:val="00B30693"/>
    <w:rsid w:val="00B31232"/>
    <w:rsid w:val="00B32B4A"/>
    <w:rsid w:val="00B32E18"/>
    <w:rsid w:val="00B3399F"/>
    <w:rsid w:val="00B3409F"/>
    <w:rsid w:val="00B346EA"/>
    <w:rsid w:val="00B353AA"/>
    <w:rsid w:val="00B35EA0"/>
    <w:rsid w:val="00B366BB"/>
    <w:rsid w:val="00B3726D"/>
    <w:rsid w:val="00B37621"/>
    <w:rsid w:val="00B41133"/>
    <w:rsid w:val="00B415F0"/>
    <w:rsid w:val="00B426DA"/>
    <w:rsid w:val="00B42C0F"/>
    <w:rsid w:val="00B44548"/>
    <w:rsid w:val="00B447F0"/>
    <w:rsid w:val="00B46E62"/>
    <w:rsid w:val="00B504A6"/>
    <w:rsid w:val="00B51EF0"/>
    <w:rsid w:val="00B52690"/>
    <w:rsid w:val="00B57727"/>
    <w:rsid w:val="00B5779F"/>
    <w:rsid w:val="00B60AB1"/>
    <w:rsid w:val="00B618F7"/>
    <w:rsid w:val="00B62690"/>
    <w:rsid w:val="00B62AF9"/>
    <w:rsid w:val="00B64420"/>
    <w:rsid w:val="00B64959"/>
    <w:rsid w:val="00B70E5B"/>
    <w:rsid w:val="00B73A8B"/>
    <w:rsid w:val="00B74103"/>
    <w:rsid w:val="00B747BD"/>
    <w:rsid w:val="00B7485B"/>
    <w:rsid w:val="00B80BEE"/>
    <w:rsid w:val="00B81867"/>
    <w:rsid w:val="00B86ACB"/>
    <w:rsid w:val="00B86BD0"/>
    <w:rsid w:val="00B86EBE"/>
    <w:rsid w:val="00B91576"/>
    <w:rsid w:val="00B9164B"/>
    <w:rsid w:val="00B93CE9"/>
    <w:rsid w:val="00B97AFF"/>
    <w:rsid w:val="00BA09F0"/>
    <w:rsid w:val="00BA1FB1"/>
    <w:rsid w:val="00BA3DDC"/>
    <w:rsid w:val="00BA45F3"/>
    <w:rsid w:val="00BA684B"/>
    <w:rsid w:val="00BB16FC"/>
    <w:rsid w:val="00BB2549"/>
    <w:rsid w:val="00BB46C9"/>
    <w:rsid w:val="00BB4C7A"/>
    <w:rsid w:val="00BB5875"/>
    <w:rsid w:val="00BB6D1D"/>
    <w:rsid w:val="00BB7133"/>
    <w:rsid w:val="00BC349B"/>
    <w:rsid w:val="00BC35C6"/>
    <w:rsid w:val="00BC3A34"/>
    <w:rsid w:val="00BC3B16"/>
    <w:rsid w:val="00BC3FF0"/>
    <w:rsid w:val="00BC41AF"/>
    <w:rsid w:val="00BC63D3"/>
    <w:rsid w:val="00BC66F0"/>
    <w:rsid w:val="00BC6C8C"/>
    <w:rsid w:val="00BC7C0A"/>
    <w:rsid w:val="00BD1F44"/>
    <w:rsid w:val="00BD3062"/>
    <w:rsid w:val="00BD329E"/>
    <w:rsid w:val="00BD33B2"/>
    <w:rsid w:val="00BD34B5"/>
    <w:rsid w:val="00BD40E3"/>
    <w:rsid w:val="00BD4D2C"/>
    <w:rsid w:val="00BD5039"/>
    <w:rsid w:val="00BE381E"/>
    <w:rsid w:val="00BE4E5A"/>
    <w:rsid w:val="00BE573F"/>
    <w:rsid w:val="00BE64FE"/>
    <w:rsid w:val="00BE7D55"/>
    <w:rsid w:val="00BF0DFE"/>
    <w:rsid w:val="00BF153F"/>
    <w:rsid w:val="00BF4FCB"/>
    <w:rsid w:val="00BF6115"/>
    <w:rsid w:val="00BF71C7"/>
    <w:rsid w:val="00C01B6D"/>
    <w:rsid w:val="00C02998"/>
    <w:rsid w:val="00C03BBF"/>
    <w:rsid w:val="00C03D6A"/>
    <w:rsid w:val="00C05218"/>
    <w:rsid w:val="00C054A1"/>
    <w:rsid w:val="00C0708E"/>
    <w:rsid w:val="00C10CC5"/>
    <w:rsid w:val="00C11335"/>
    <w:rsid w:val="00C129AE"/>
    <w:rsid w:val="00C12D10"/>
    <w:rsid w:val="00C1335B"/>
    <w:rsid w:val="00C14AD7"/>
    <w:rsid w:val="00C1505C"/>
    <w:rsid w:val="00C15561"/>
    <w:rsid w:val="00C160AB"/>
    <w:rsid w:val="00C17111"/>
    <w:rsid w:val="00C17C25"/>
    <w:rsid w:val="00C17C89"/>
    <w:rsid w:val="00C219C0"/>
    <w:rsid w:val="00C21D3A"/>
    <w:rsid w:val="00C23A74"/>
    <w:rsid w:val="00C23CE9"/>
    <w:rsid w:val="00C25ADD"/>
    <w:rsid w:val="00C32208"/>
    <w:rsid w:val="00C33073"/>
    <w:rsid w:val="00C34265"/>
    <w:rsid w:val="00C34AB5"/>
    <w:rsid w:val="00C35A9F"/>
    <w:rsid w:val="00C36B89"/>
    <w:rsid w:val="00C379F5"/>
    <w:rsid w:val="00C407AB"/>
    <w:rsid w:val="00C408D3"/>
    <w:rsid w:val="00C4368E"/>
    <w:rsid w:val="00C46D4A"/>
    <w:rsid w:val="00C4702E"/>
    <w:rsid w:val="00C477D8"/>
    <w:rsid w:val="00C50892"/>
    <w:rsid w:val="00C5117F"/>
    <w:rsid w:val="00C55099"/>
    <w:rsid w:val="00C555B2"/>
    <w:rsid w:val="00C566F0"/>
    <w:rsid w:val="00C56CA8"/>
    <w:rsid w:val="00C5761E"/>
    <w:rsid w:val="00C57A2A"/>
    <w:rsid w:val="00C609F9"/>
    <w:rsid w:val="00C60A93"/>
    <w:rsid w:val="00C61B0F"/>
    <w:rsid w:val="00C61D76"/>
    <w:rsid w:val="00C62460"/>
    <w:rsid w:val="00C625EB"/>
    <w:rsid w:val="00C62D8D"/>
    <w:rsid w:val="00C632CC"/>
    <w:rsid w:val="00C6482D"/>
    <w:rsid w:val="00C64F18"/>
    <w:rsid w:val="00C66332"/>
    <w:rsid w:val="00C663DF"/>
    <w:rsid w:val="00C67D8A"/>
    <w:rsid w:val="00C70C6E"/>
    <w:rsid w:val="00C7134C"/>
    <w:rsid w:val="00C7215E"/>
    <w:rsid w:val="00C72DAE"/>
    <w:rsid w:val="00C751A2"/>
    <w:rsid w:val="00C75381"/>
    <w:rsid w:val="00C7770B"/>
    <w:rsid w:val="00C77FBC"/>
    <w:rsid w:val="00C8020B"/>
    <w:rsid w:val="00C8126B"/>
    <w:rsid w:val="00C81968"/>
    <w:rsid w:val="00C84379"/>
    <w:rsid w:val="00C847B9"/>
    <w:rsid w:val="00C84923"/>
    <w:rsid w:val="00C86FA2"/>
    <w:rsid w:val="00C90680"/>
    <w:rsid w:val="00C92022"/>
    <w:rsid w:val="00C93CBE"/>
    <w:rsid w:val="00C93E1B"/>
    <w:rsid w:val="00C94624"/>
    <w:rsid w:val="00C94664"/>
    <w:rsid w:val="00C960BD"/>
    <w:rsid w:val="00C96915"/>
    <w:rsid w:val="00C96D3A"/>
    <w:rsid w:val="00C97AAE"/>
    <w:rsid w:val="00CA17DA"/>
    <w:rsid w:val="00CA17F6"/>
    <w:rsid w:val="00CA18C1"/>
    <w:rsid w:val="00CA1F9A"/>
    <w:rsid w:val="00CA7349"/>
    <w:rsid w:val="00CB08D6"/>
    <w:rsid w:val="00CB1DE5"/>
    <w:rsid w:val="00CB339F"/>
    <w:rsid w:val="00CB5463"/>
    <w:rsid w:val="00CB7DCC"/>
    <w:rsid w:val="00CC0777"/>
    <w:rsid w:val="00CC104E"/>
    <w:rsid w:val="00CC38AE"/>
    <w:rsid w:val="00CC4EFE"/>
    <w:rsid w:val="00CC6665"/>
    <w:rsid w:val="00CC6B04"/>
    <w:rsid w:val="00CC7387"/>
    <w:rsid w:val="00CC77F1"/>
    <w:rsid w:val="00CD02D6"/>
    <w:rsid w:val="00CD1096"/>
    <w:rsid w:val="00CD1926"/>
    <w:rsid w:val="00CD2D67"/>
    <w:rsid w:val="00CD312D"/>
    <w:rsid w:val="00CD3A04"/>
    <w:rsid w:val="00CD3E36"/>
    <w:rsid w:val="00CD5C60"/>
    <w:rsid w:val="00CD6414"/>
    <w:rsid w:val="00CD71BC"/>
    <w:rsid w:val="00CE0867"/>
    <w:rsid w:val="00CE1093"/>
    <w:rsid w:val="00CE14DB"/>
    <w:rsid w:val="00CE33DE"/>
    <w:rsid w:val="00CE3886"/>
    <w:rsid w:val="00CE421B"/>
    <w:rsid w:val="00CE45A2"/>
    <w:rsid w:val="00CE4BBA"/>
    <w:rsid w:val="00CE51F0"/>
    <w:rsid w:val="00CE5C38"/>
    <w:rsid w:val="00CE7FE9"/>
    <w:rsid w:val="00CF06F3"/>
    <w:rsid w:val="00CF1255"/>
    <w:rsid w:val="00CF1A83"/>
    <w:rsid w:val="00CF386E"/>
    <w:rsid w:val="00CF4064"/>
    <w:rsid w:val="00CF464F"/>
    <w:rsid w:val="00CF52B1"/>
    <w:rsid w:val="00CF6479"/>
    <w:rsid w:val="00CF6AE5"/>
    <w:rsid w:val="00CF705E"/>
    <w:rsid w:val="00D005D6"/>
    <w:rsid w:val="00D010C3"/>
    <w:rsid w:val="00D047AD"/>
    <w:rsid w:val="00D04B80"/>
    <w:rsid w:val="00D04EFD"/>
    <w:rsid w:val="00D055B0"/>
    <w:rsid w:val="00D0563D"/>
    <w:rsid w:val="00D06062"/>
    <w:rsid w:val="00D0742D"/>
    <w:rsid w:val="00D077C8"/>
    <w:rsid w:val="00D07D56"/>
    <w:rsid w:val="00D07E92"/>
    <w:rsid w:val="00D10093"/>
    <w:rsid w:val="00D10D86"/>
    <w:rsid w:val="00D11E61"/>
    <w:rsid w:val="00D11E6D"/>
    <w:rsid w:val="00D15245"/>
    <w:rsid w:val="00D15835"/>
    <w:rsid w:val="00D23317"/>
    <w:rsid w:val="00D239D4"/>
    <w:rsid w:val="00D24D5D"/>
    <w:rsid w:val="00D27CC7"/>
    <w:rsid w:val="00D312C8"/>
    <w:rsid w:val="00D31861"/>
    <w:rsid w:val="00D32D70"/>
    <w:rsid w:val="00D33810"/>
    <w:rsid w:val="00D35A47"/>
    <w:rsid w:val="00D36EFF"/>
    <w:rsid w:val="00D37C4E"/>
    <w:rsid w:val="00D4063D"/>
    <w:rsid w:val="00D40FB3"/>
    <w:rsid w:val="00D41CAB"/>
    <w:rsid w:val="00D41DF7"/>
    <w:rsid w:val="00D41F9B"/>
    <w:rsid w:val="00D43372"/>
    <w:rsid w:val="00D447CF"/>
    <w:rsid w:val="00D44823"/>
    <w:rsid w:val="00D4491D"/>
    <w:rsid w:val="00D472DD"/>
    <w:rsid w:val="00D47DA8"/>
    <w:rsid w:val="00D507C5"/>
    <w:rsid w:val="00D51C99"/>
    <w:rsid w:val="00D52AD0"/>
    <w:rsid w:val="00D52CED"/>
    <w:rsid w:val="00D52E66"/>
    <w:rsid w:val="00D53591"/>
    <w:rsid w:val="00D535C8"/>
    <w:rsid w:val="00D53654"/>
    <w:rsid w:val="00D53A26"/>
    <w:rsid w:val="00D55573"/>
    <w:rsid w:val="00D612D2"/>
    <w:rsid w:val="00D61D70"/>
    <w:rsid w:val="00D651A9"/>
    <w:rsid w:val="00D66CF2"/>
    <w:rsid w:val="00D70801"/>
    <w:rsid w:val="00D70F57"/>
    <w:rsid w:val="00D74223"/>
    <w:rsid w:val="00D743B5"/>
    <w:rsid w:val="00D74B5D"/>
    <w:rsid w:val="00D74DF5"/>
    <w:rsid w:val="00D76D56"/>
    <w:rsid w:val="00D76F14"/>
    <w:rsid w:val="00D8025A"/>
    <w:rsid w:val="00D824E5"/>
    <w:rsid w:val="00D8502A"/>
    <w:rsid w:val="00D8576D"/>
    <w:rsid w:val="00D87013"/>
    <w:rsid w:val="00D8731E"/>
    <w:rsid w:val="00D90F89"/>
    <w:rsid w:val="00D914F1"/>
    <w:rsid w:val="00D916C2"/>
    <w:rsid w:val="00D9174F"/>
    <w:rsid w:val="00D91821"/>
    <w:rsid w:val="00D9211A"/>
    <w:rsid w:val="00D927B2"/>
    <w:rsid w:val="00D92B41"/>
    <w:rsid w:val="00D9390F"/>
    <w:rsid w:val="00D9470E"/>
    <w:rsid w:val="00D96B5F"/>
    <w:rsid w:val="00D96FB1"/>
    <w:rsid w:val="00D97D42"/>
    <w:rsid w:val="00DA08FD"/>
    <w:rsid w:val="00DA16E3"/>
    <w:rsid w:val="00DA2DA8"/>
    <w:rsid w:val="00DA38A6"/>
    <w:rsid w:val="00DA5324"/>
    <w:rsid w:val="00DA5924"/>
    <w:rsid w:val="00DA595C"/>
    <w:rsid w:val="00DA6A47"/>
    <w:rsid w:val="00DB0367"/>
    <w:rsid w:val="00DB0767"/>
    <w:rsid w:val="00DB17C6"/>
    <w:rsid w:val="00DB1E63"/>
    <w:rsid w:val="00DB29D7"/>
    <w:rsid w:val="00DB2A5B"/>
    <w:rsid w:val="00DB2D55"/>
    <w:rsid w:val="00DB532D"/>
    <w:rsid w:val="00DB6EE5"/>
    <w:rsid w:val="00DB724C"/>
    <w:rsid w:val="00DB7359"/>
    <w:rsid w:val="00DB7AAB"/>
    <w:rsid w:val="00DB7EC1"/>
    <w:rsid w:val="00DC136D"/>
    <w:rsid w:val="00DC21FA"/>
    <w:rsid w:val="00DC2D7D"/>
    <w:rsid w:val="00DC53E1"/>
    <w:rsid w:val="00DC600B"/>
    <w:rsid w:val="00DC650E"/>
    <w:rsid w:val="00DC6B46"/>
    <w:rsid w:val="00DD161F"/>
    <w:rsid w:val="00DD1986"/>
    <w:rsid w:val="00DD2606"/>
    <w:rsid w:val="00DD42BA"/>
    <w:rsid w:val="00DD43B9"/>
    <w:rsid w:val="00DD4656"/>
    <w:rsid w:val="00DD4D24"/>
    <w:rsid w:val="00DD63EE"/>
    <w:rsid w:val="00DE1071"/>
    <w:rsid w:val="00DE2ACB"/>
    <w:rsid w:val="00DE2B28"/>
    <w:rsid w:val="00DE33D8"/>
    <w:rsid w:val="00DE3450"/>
    <w:rsid w:val="00DE4A5E"/>
    <w:rsid w:val="00DE4F7E"/>
    <w:rsid w:val="00DE6A38"/>
    <w:rsid w:val="00DE6AD5"/>
    <w:rsid w:val="00DE7317"/>
    <w:rsid w:val="00DF01A7"/>
    <w:rsid w:val="00DF18C8"/>
    <w:rsid w:val="00DF2A82"/>
    <w:rsid w:val="00DF504E"/>
    <w:rsid w:val="00DF592C"/>
    <w:rsid w:val="00E01837"/>
    <w:rsid w:val="00E02FF5"/>
    <w:rsid w:val="00E0412E"/>
    <w:rsid w:val="00E0518F"/>
    <w:rsid w:val="00E05796"/>
    <w:rsid w:val="00E061EF"/>
    <w:rsid w:val="00E10398"/>
    <w:rsid w:val="00E12301"/>
    <w:rsid w:val="00E132F0"/>
    <w:rsid w:val="00E146B4"/>
    <w:rsid w:val="00E167E7"/>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0A1"/>
    <w:rsid w:val="00E331C5"/>
    <w:rsid w:val="00E333ED"/>
    <w:rsid w:val="00E366E8"/>
    <w:rsid w:val="00E36828"/>
    <w:rsid w:val="00E372D2"/>
    <w:rsid w:val="00E400AA"/>
    <w:rsid w:val="00E40DB7"/>
    <w:rsid w:val="00E4115D"/>
    <w:rsid w:val="00E41DAA"/>
    <w:rsid w:val="00E4212E"/>
    <w:rsid w:val="00E422BA"/>
    <w:rsid w:val="00E42BE0"/>
    <w:rsid w:val="00E4340D"/>
    <w:rsid w:val="00E442CA"/>
    <w:rsid w:val="00E44FBF"/>
    <w:rsid w:val="00E45C73"/>
    <w:rsid w:val="00E46561"/>
    <w:rsid w:val="00E46C8A"/>
    <w:rsid w:val="00E47CDE"/>
    <w:rsid w:val="00E50017"/>
    <w:rsid w:val="00E508E1"/>
    <w:rsid w:val="00E520D2"/>
    <w:rsid w:val="00E52AD1"/>
    <w:rsid w:val="00E5489F"/>
    <w:rsid w:val="00E5513C"/>
    <w:rsid w:val="00E552AE"/>
    <w:rsid w:val="00E56417"/>
    <w:rsid w:val="00E57C07"/>
    <w:rsid w:val="00E615C3"/>
    <w:rsid w:val="00E63532"/>
    <w:rsid w:val="00E63B05"/>
    <w:rsid w:val="00E64007"/>
    <w:rsid w:val="00E645B3"/>
    <w:rsid w:val="00E64FA5"/>
    <w:rsid w:val="00E652CC"/>
    <w:rsid w:val="00E65366"/>
    <w:rsid w:val="00E655C6"/>
    <w:rsid w:val="00E66047"/>
    <w:rsid w:val="00E66EF9"/>
    <w:rsid w:val="00E67A13"/>
    <w:rsid w:val="00E7196F"/>
    <w:rsid w:val="00E71B0F"/>
    <w:rsid w:val="00E721B2"/>
    <w:rsid w:val="00E72ABC"/>
    <w:rsid w:val="00E73235"/>
    <w:rsid w:val="00E73AEB"/>
    <w:rsid w:val="00E74191"/>
    <w:rsid w:val="00E746D8"/>
    <w:rsid w:val="00E751C1"/>
    <w:rsid w:val="00E77E6B"/>
    <w:rsid w:val="00E80E38"/>
    <w:rsid w:val="00E80F11"/>
    <w:rsid w:val="00E825A1"/>
    <w:rsid w:val="00E8282F"/>
    <w:rsid w:val="00E82D81"/>
    <w:rsid w:val="00E83820"/>
    <w:rsid w:val="00E83989"/>
    <w:rsid w:val="00E9015A"/>
    <w:rsid w:val="00E90C93"/>
    <w:rsid w:val="00E93EAA"/>
    <w:rsid w:val="00E95103"/>
    <w:rsid w:val="00E95BE6"/>
    <w:rsid w:val="00EA023B"/>
    <w:rsid w:val="00EA0893"/>
    <w:rsid w:val="00EA18BC"/>
    <w:rsid w:val="00EA1F6E"/>
    <w:rsid w:val="00EA20A5"/>
    <w:rsid w:val="00EA20B9"/>
    <w:rsid w:val="00EA2285"/>
    <w:rsid w:val="00EA369D"/>
    <w:rsid w:val="00EA3DC4"/>
    <w:rsid w:val="00EA709B"/>
    <w:rsid w:val="00EB0517"/>
    <w:rsid w:val="00EB0CFC"/>
    <w:rsid w:val="00EB42DD"/>
    <w:rsid w:val="00EB5AA4"/>
    <w:rsid w:val="00EC146A"/>
    <w:rsid w:val="00EC2DCB"/>
    <w:rsid w:val="00EC399B"/>
    <w:rsid w:val="00EC3DA4"/>
    <w:rsid w:val="00EC3F2E"/>
    <w:rsid w:val="00EC48C4"/>
    <w:rsid w:val="00EC4AED"/>
    <w:rsid w:val="00EC620D"/>
    <w:rsid w:val="00EC64F9"/>
    <w:rsid w:val="00ED05D8"/>
    <w:rsid w:val="00ED1404"/>
    <w:rsid w:val="00ED171F"/>
    <w:rsid w:val="00ED1EDA"/>
    <w:rsid w:val="00ED6325"/>
    <w:rsid w:val="00ED66AA"/>
    <w:rsid w:val="00ED7CA8"/>
    <w:rsid w:val="00EE02C7"/>
    <w:rsid w:val="00EE2392"/>
    <w:rsid w:val="00EE272F"/>
    <w:rsid w:val="00EE380D"/>
    <w:rsid w:val="00EE40CA"/>
    <w:rsid w:val="00EE412A"/>
    <w:rsid w:val="00EE48CF"/>
    <w:rsid w:val="00EE49E5"/>
    <w:rsid w:val="00EE4DA9"/>
    <w:rsid w:val="00EE5D2B"/>
    <w:rsid w:val="00EE6DAA"/>
    <w:rsid w:val="00EE7E6C"/>
    <w:rsid w:val="00EF0429"/>
    <w:rsid w:val="00EF08E1"/>
    <w:rsid w:val="00EF0A3B"/>
    <w:rsid w:val="00EF0EA3"/>
    <w:rsid w:val="00EF1A35"/>
    <w:rsid w:val="00EF334E"/>
    <w:rsid w:val="00EF4363"/>
    <w:rsid w:val="00EF4AC1"/>
    <w:rsid w:val="00EF6C39"/>
    <w:rsid w:val="00EF6D55"/>
    <w:rsid w:val="00EF7851"/>
    <w:rsid w:val="00EF7D6F"/>
    <w:rsid w:val="00EF7EEC"/>
    <w:rsid w:val="00F00113"/>
    <w:rsid w:val="00F00B6F"/>
    <w:rsid w:val="00F01135"/>
    <w:rsid w:val="00F0140B"/>
    <w:rsid w:val="00F01C25"/>
    <w:rsid w:val="00F026C3"/>
    <w:rsid w:val="00F02ED8"/>
    <w:rsid w:val="00F0315A"/>
    <w:rsid w:val="00F03493"/>
    <w:rsid w:val="00F04FAD"/>
    <w:rsid w:val="00F06708"/>
    <w:rsid w:val="00F100D9"/>
    <w:rsid w:val="00F10D7F"/>
    <w:rsid w:val="00F114E4"/>
    <w:rsid w:val="00F130DA"/>
    <w:rsid w:val="00F13611"/>
    <w:rsid w:val="00F13A60"/>
    <w:rsid w:val="00F1417F"/>
    <w:rsid w:val="00F1465D"/>
    <w:rsid w:val="00F14C67"/>
    <w:rsid w:val="00F152BE"/>
    <w:rsid w:val="00F16D56"/>
    <w:rsid w:val="00F17BEE"/>
    <w:rsid w:val="00F17C1E"/>
    <w:rsid w:val="00F17F25"/>
    <w:rsid w:val="00F225FD"/>
    <w:rsid w:val="00F22DB9"/>
    <w:rsid w:val="00F23DC8"/>
    <w:rsid w:val="00F244E4"/>
    <w:rsid w:val="00F24F0D"/>
    <w:rsid w:val="00F25A9F"/>
    <w:rsid w:val="00F25BE7"/>
    <w:rsid w:val="00F26AF4"/>
    <w:rsid w:val="00F316A7"/>
    <w:rsid w:val="00F31DCF"/>
    <w:rsid w:val="00F338E9"/>
    <w:rsid w:val="00F36FD3"/>
    <w:rsid w:val="00F4196F"/>
    <w:rsid w:val="00F42565"/>
    <w:rsid w:val="00F42729"/>
    <w:rsid w:val="00F42EF2"/>
    <w:rsid w:val="00F43700"/>
    <w:rsid w:val="00F4467D"/>
    <w:rsid w:val="00F44A1A"/>
    <w:rsid w:val="00F45F2A"/>
    <w:rsid w:val="00F46B85"/>
    <w:rsid w:val="00F4734B"/>
    <w:rsid w:val="00F473FC"/>
    <w:rsid w:val="00F47987"/>
    <w:rsid w:val="00F51892"/>
    <w:rsid w:val="00F51BA5"/>
    <w:rsid w:val="00F52355"/>
    <w:rsid w:val="00F5281A"/>
    <w:rsid w:val="00F52D83"/>
    <w:rsid w:val="00F5571C"/>
    <w:rsid w:val="00F6098C"/>
    <w:rsid w:val="00F60F66"/>
    <w:rsid w:val="00F62278"/>
    <w:rsid w:val="00F63576"/>
    <w:rsid w:val="00F64B3D"/>
    <w:rsid w:val="00F656B2"/>
    <w:rsid w:val="00F66E8E"/>
    <w:rsid w:val="00F66EF6"/>
    <w:rsid w:val="00F6715E"/>
    <w:rsid w:val="00F707A1"/>
    <w:rsid w:val="00F7094E"/>
    <w:rsid w:val="00F711DF"/>
    <w:rsid w:val="00F72036"/>
    <w:rsid w:val="00F7272F"/>
    <w:rsid w:val="00F755BD"/>
    <w:rsid w:val="00F75638"/>
    <w:rsid w:val="00F76A9C"/>
    <w:rsid w:val="00F76D21"/>
    <w:rsid w:val="00F806DE"/>
    <w:rsid w:val="00F807C9"/>
    <w:rsid w:val="00F8144B"/>
    <w:rsid w:val="00F81F92"/>
    <w:rsid w:val="00F8245B"/>
    <w:rsid w:val="00F82B67"/>
    <w:rsid w:val="00F82B77"/>
    <w:rsid w:val="00F82CE3"/>
    <w:rsid w:val="00F82D00"/>
    <w:rsid w:val="00F83549"/>
    <w:rsid w:val="00F8368D"/>
    <w:rsid w:val="00F84F45"/>
    <w:rsid w:val="00F8524C"/>
    <w:rsid w:val="00F8551A"/>
    <w:rsid w:val="00F85595"/>
    <w:rsid w:val="00F85A41"/>
    <w:rsid w:val="00F860E9"/>
    <w:rsid w:val="00F868F4"/>
    <w:rsid w:val="00F8781C"/>
    <w:rsid w:val="00F908DD"/>
    <w:rsid w:val="00F90E2B"/>
    <w:rsid w:val="00F911CF"/>
    <w:rsid w:val="00F9146D"/>
    <w:rsid w:val="00F92E16"/>
    <w:rsid w:val="00F92EF4"/>
    <w:rsid w:val="00F93D11"/>
    <w:rsid w:val="00F93FAF"/>
    <w:rsid w:val="00F95F2A"/>
    <w:rsid w:val="00F95F91"/>
    <w:rsid w:val="00F9795F"/>
    <w:rsid w:val="00FA1DB9"/>
    <w:rsid w:val="00FA433A"/>
    <w:rsid w:val="00FA4FEE"/>
    <w:rsid w:val="00FA78C3"/>
    <w:rsid w:val="00FB385F"/>
    <w:rsid w:val="00FB3A4F"/>
    <w:rsid w:val="00FB48D4"/>
    <w:rsid w:val="00FB4B63"/>
    <w:rsid w:val="00FB5D96"/>
    <w:rsid w:val="00FB659E"/>
    <w:rsid w:val="00FC0200"/>
    <w:rsid w:val="00FC063F"/>
    <w:rsid w:val="00FC2C6E"/>
    <w:rsid w:val="00FC2D84"/>
    <w:rsid w:val="00FC2FD5"/>
    <w:rsid w:val="00FC3ABD"/>
    <w:rsid w:val="00FD03A4"/>
    <w:rsid w:val="00FD06AA"/>
    <w:rsid w:val="00FD1161"/>
    <w:rsid w:val="00FD13D1"/>
    <w:rsid w:val="00FD1774"/>
    <w:rsid w:val="00FD1EEB"/>
    <w:rsid w:val="00FD2059"/>
    <w:rsid w:val="00FD36D6"/>
    <w:rsid w:val="00FD4150"/>
    <w:rsid w:val="00FD62CE"/>
    <w:rsid w:val="00FD74EC"/>
    <w:rsid w:val="00FD76A0"/>
    <w:rsid w:val="00FE0D54"/>
    <w:rsid w:val="00FE1A46"/>
    <w:rsid w:val="00FE22B9"/>
    <w:rsid w:val="00FE2FB5"/>
    <w:rsid w:val="00FE33AE"/>
    <w:rsid w:val="00FE5284"/>
    <w:rsid w:val="00FE645D"/>
    <w:rsid w:val="00FE674C"/>
    <w:rsid w:val="00FF0207"/>
    <w:rsid w:val="00FF13EE"/>
    <w:rsid w:val="00FF2329"/>
    <w:rsid w:val="00FF3DE4"/>
    <w:rsid w:val="00FF51CA"/>
    <w:rsid w:val="00FF56CC"/>
    <w:rsid w:val="00FF664D"/>
    <w:rsid w:val="00FF69FA"/>
    <w:rsid w:val="010A6538"/>
    <w:rsid w:val="01194F6B"/>
    <w:rsid w:val="01203FAE"/>
    <w:rsid w:val="019D04EE"/>
    <w:rsid w:val="01FB0577"/>
    <w:rsid w:val="024B4080"/>
    <w:rsid w:val="025663C8"/>
    <w:rsid w:val="02692DB0"/>
    <w:rsid w:val="029506B1"/>
    <w:rsid w:val="02B51750"/>
    <w:rsid w:val="02C255F8"/>
    <w:rsid w:val="0327730E"/>
    <w:rsid w:val="03611930"/>
    <w:rsid w:val="03B9287A"/>
    <w:rsid w:val="03C84489"/>
    <w:rsid w:val="03D42E2E"/>
    <w:rsid w:val="047A1C27"/>
    <w:rsid w:val="04A96068"/>
    <w:rsid w:val="04BE1F36"/>
    <w:rsid w:val="04D5240B"/>
    <w:rsid w:val="04F95B2E"/>
    <w:rsid w:val="050E411D"/>
    <w:rsid w:val="05484F66"/>
    <w:rsid w:val="05505ED8"/>
    <w:rsid w:val="05816FE5"/>
    <w:rsid w:val="05D54B95"/>
    <w:rsid w:val="05DC608C"/>
    <w:rsid w:val="05F652DD"/>
    <w:rsid w:val="0600145B"/>
    <w:rsid w:val="06163BBB"/>
    <w:rsid w:val="06216D15"/>
    <w:rsid w:val="06252291"/>
    <w:rsid w:val="066D398F"/>
    <w:rsid w:val="06BC0F70"/>
    <w:rsid w:val="0714355F"/>
    <w:rsid w:val="076026A0"/>
    <w:rsid w:val="07AA6762"/>
    <w:rsid w:val="07B83CB1"/>
    <w:rsid w:val="07F92E63"/>
    <w:rsid w:val="081D4FE7"/>
    <w:rsid w:val="082A078B"/>
    <w:rsid w:val="08420F6E"/>
    <w:rsid w:val="085E53BC"/>
    <w:rsid w:val="088E7A4F"/>
    <w:rsid w:val="08A06104"/>
    <w:rsid w:val="094D4E6D"/>
    <w:rsid w:val="09E2400F"/>
    <w:rsid w:val="0A014ED2"/>
    <w:rsid w:val="0A36027E"/>
    <w:rsid w:val="0A8D45C8"/>
    <w:rsid w:val="0A902ED3"/>
    <w:rsid w:val="0B1667CF"/>
    <w:rsid w:val="0B1D155E"/>
    <w:rsid w:val="0B655683"/>
    <w:rsid w:val="0B666A61"/>
    <w:rsid w:val="0BE6358B"/>
    <w:rsid w:val="0C0149DC"/>
    <w:rsid w:val="0C080FC2"/>
    <w:rsid w:val="0C213F83"/>
    <w:rsid w:val="0C2F32F7"/>
    <w:rsid w:val="0C402CCB"/>
    <w:rsid w:val="0C853CFD"/>
    <w:rsid w:val="0C8B665C"/>
    <w:rsid w:val="0CFB1CB5"/>
    <w:rsid w:val="0D0C5A97"/>
    <w:rsid w:val="0D3D7C96"/>
    <w:rsid w:val="0D7D4536"/>
    <w:rsid w:val="0D815171"/>
    <w:rsid w:val="0D900D66"/>
    <w:rsid w:val="0DB306C1"/>
    <w:rsid w:val="0DB86953"/>
    <w:rsid w:val="0DDA38AD"/>
    <w:rsid w:val="0DE26DC1"/>
    <w:rsid w:val="0DF527B8"/>
    <w:rsid w:val="0E325AC7"/>
    <w:rsid w:val="0E552DBD"/>
    <w:rsid w:val="0EB27B8D"/>
    <w:rsid w:val="0EBE51C8"/>
    <w:rsid w:val="0EC75A69"/>
    <w:rsid w:val="0EFB5EB3"/>
    <w:rsid w:val="0F195338"/>
    <w:rsid w:val="0F692FC4"/>
    <w:rsid w:val="0F6D0997"/>
    <w:rsid w:val="0F940BBB"/>
    <w:rsid w:val="0FF043C9"/>
    <w:rsid w:val="10036F74"/>
    <w:rsid w:val="10056BA5"/>
    <w:rsid w:val="102F5FF2"/>
    <w:rsid w:val="10A21272"/>
    <w:rsid w:val="10D114E2"/>
    <w:rsid w:val="10E8616A"/>
    <w:rsid w:val="111A48D4"/>
    <w:rsid w:val="1144237F"/>
    <w:rsid w:val="1149794F"/>
    <w:rsid w:val="11953E67"/>
    <w:rsid w:val="1202325C"/>
    <w:rsid w:val="122B1D6D"/>
    <w:rsid w:val="129E7436"/>
    <w:rsid w:val="12AB2FA1"/>
    <w:rsid w:val="12AD4175"/>
    <w:rsid w:val="12B02470"/>
    <w:rsid w:val="12B36C23"/>
    <w:rsid w:val="12CA06CE"/>
    <w:rsid w:val="133D454B"/>
    <w:rsid w:val="1360023A"/>
    <w:rsid w:val="13A42E00"/>
    <w:rsid w:val="141142CE"/>
    <w:rsid w:val="14743610"/>
    <w:rsid w:val="147F2942"/>
    <w:rsid w:val="14830684"/>
    <w:rsid w:val="149E54BE"/>
    <w:rsid w:val="16071BAC"/>
    <w:rsid w:val="16BC74EB"/>
    <w:rsid w:val="16C004E2"/>
    <w:rsid w:val="16C44F84"/>
    <w:rsid w:val="170F5F9A"/>
    <w:rsid w:val="176F3BD1"/>
    <w:rsid w:val="179E47E2"/>
    <w:rsid w:val="17A74689"/>
    <w:rsid w:val="17AA14A0"/>
    <w:rsid w:val="17AB7C73"/>
    <w:rsid w:val="17AE3C6A"/>
    <w:rsid w:val="17AF353E"/>
    <w:rsid w:val="184719C8"/>
    <w:rsid w:val="189B178F"/>
    <w:rsid w:val="189E3CDE"/>
    <w:rsid w:val="18AE18D6"/>
    <w:rsid w:val="18B54B84"/>
    <w:rsid w:val="18CC2CDE"/>
    <w:rsid w:val="18D3325C"/>
    <w:rsid w:val="18F8118C"/>
    <w:rsid w:val="18F953B8"/>
    <w:rsid w:val="19236D1A"/>
    <w:rsid w:val="193130F9"/>
    <w:rsid w:val="19744A3F"/>
    <w:rsid w:val="1A69171E"/>
    <w:rsid w:val="1A6F213C"/>
    <w:rsid w:val="1A705206"/>
    <w:rsid w:val="1A89276C"/>
    <w:rsid w:val="1AD87250"/>
    <w:rsid w:val="1AEF6A73"/>
    <w:rsid w:val="1AFF9E53"/>
    <w:rsid w:val="1B060D70"/>
    <w:rsid w:val="1B0F1B61"/>
    <w:rsid w:val="1B5468D6"/>
    <w:rsid w:val="1C0C5B91"/>
    <w:rsid w:val="1C142509"/>
    <w:rsid w:val="1C2A78F2"/>
    <w:rsid w:val="1C4356EE"/>
    <w:rsid w:val="1C9A47BD"/>
    <w:rsid w:val="1CC20D4A"/>
    <w:rsid w:val="1CD53D65"/>
    <w:rsid w:val="1CEB2037"/>
    <w:rsid w:val="1DC37D43"/>
    <w:rsid w:val="1DF33BE2"/>
    <w:rsid w:val="1DFD8DA6"/>
    <w:rsid w:val="1E356BCB"/>
    <w:rsid w:val="1EA529D6"/>
    <w:rsid w:val="1FA464AE"/>
    <w:rsid w:val="1FA55C5B"/>
    <w:rsid w:val="1FB2006F"/>
    <w:rsid w:val="1FED5EEE"/>
    <w:rsid w:val="20637EB7"/>
    <w:rsid w:val="206C021E"/>
    <w:rsid w:val="20A341F9"/>
    <w:rsid w:val="20B00A53"/>
    <w:rsid w:val="20EF7C8E"/>
    <w:rsid w:val="20F11036"/>
    <w:rsid w:val="210A4734"/>
    <w:rsid w:val="210F6EEA"/>
    <w:rsid w:val="21127D99"/>
    <w:rsid w:val="213C22E6"/>
    <w:rsid w:val="21A276C1"/>
    <w:rsid w:val="21CD1BAF"/>
    <w:rsid w:val="22064496"/>
    <w:rsid w:val="22617B2B"/>
    <w:rsid w:val="22627005"/>
    <w:rsid w:val="22756080"/>
    <w:rsid w:val="22AC6FF8"/>
    <w:rsid w:val="22B10AB2"/>
    <w:rsid w:val="23162982"/>
    <w:rsid w:val="2321391C"/>
    <w:rsid w:val="234521C6"/>
    <w:rsid w:val="23652EF4"/>
    <w:rsid w:val="23696C97"/>
    <w:rsid w:val="23B835E7"/>
    <w:rsid w:val="23BA73D8"/>
    <w:rsid w:val="23BF0929"/>
    <w:rsid w:val="23D200D4"/>
    <w:rsid w:val="23F23CD2"/>
    <w:rsid w:val="23FE3883"/>
    <w:rsid w:val="246430E5"/>
    <w:rsid w:val="259F4BF2"/>
    <w:rsid w:val="261A61A4"/>
    <w:rsid w:val="267266F8"/>
    <w:rsid w:val="26926505"/>
    <w:rsid w:val="26D10196"/>
    <w:rsid w:val="27005B64"/>
    <w:rsid w:val="27361586"/>
    <w:rsid w:val="275A79F0"/>
    <w:rsid w:val="27744767"/>
    <w:rsid w:val="27876CAE"/>
    <w:rsid w:val="27893DAB"/>
    <w:rsid w:val="27A54CE8"/>
    <w:rsid w:val="27E72880"/>
    <w:rsid w:val="27E92A9C"/>
    <w:rsid w:val="28084732"/>
    <w:rsid w:val="283B5DA4"/>
    <w:rsid w:val="28812CD5"/>
    <w:rsid w:val="28BF6B95"/>
    <w:rsid w:val="28FF00B1"/>
    <w:rsid w:val="29283150"/>
    <w:rsid w:val="292A4865"/>
    <w:rsid w:val="294C32E2"/>
    <w:rsid w:val="295A2878"/>
    <w:rsid w:val="2A24600D"/>
    <w:rsid w:val="2A4D7312"/>
    <w:rsid w:val="2AA809EC"/>
    <w:rsid w:val="2AFE685E"/>
    <w:rsid w:val="2B173CE2"/>
    <w:rsid w:val="2B2B6F28"/>
    <w:rsid w:val="2B2C33CC"/>
    <w:rsid w:val="2B4324C3"/>
    <w:rsid w:val="2B7A6E96"/>
    <w:rsid w:val="2B7B7EAF"/>
    <w:rsid w:val="2B9E594C"/>
    <w:rsid w:val="2BFD6B16"/>
    <w:rsid w:val="2CA70830"/>
    <w:rsid w:val="2CE8063C"/>
    <w:rsid w:val="2CFFED07"/>
    <w:rsid w:val="2D045C82"/>
    <w:rsid w:val="2D0C5FD7"/>
    <w:rsid w:val="2D145C50"/>
    <w:rsid w:val="2D3E1538"/>
    <w:rsid w:val="2DA1583D"/>
    <w:rsid w:val="2DB955AE"/>
    <w:rsid w:val="2DEE3947"/>
    <w:rsid w:val="2E2E2E3E"/>
    <w:rsid w:val="2E5F13C2"/>
    <w:rsid w:val="2E7B5FEE"/>
    <w:rsid w:val="2E9C4257"/>
    <w:rsid w:val="2ECC6B70"/>
    <w:rsid w:val="2F057303"/>
    <w:rsid w:val="2F5742C0"/>
    <w:rsid w:val="2F6F66C3"/>
    <w:rsid w:val="2F9B0B20"/>
    <w:rsid w:val="2FD23E16"/>
    <w:rsid w:val="2FE5C26C"/>
    <w:rsid w:val="2FFF3138"/>
    <w:rsid w:val="303464A1"/>
    <w:rsid w:val="305F38FB"/>
    <w:rsid w:val="30725290"/>
    <w:rsid w:val="31046251"/>
    <w:rsid w:val="31251DE9"/>
    <w:rsid w:val="31530E02"/>
    <w:rsid w:val="31750EFD"/>
    <w:rsid w:val="31E56082"/>
    <w:rsid w:val="31F50335"/>
    <w:rsid w:val="326F08EC"/>
    <w:rsid w:val="32872BF0"/>
    <w:rsid w:val="32BE5BC9"/>
    <w:rsid w:val="33197C8A"/>
    <w:rsid w:val="332FEECA"/>
    <w:rsid w:val="33380434"/>
    <w:rsid w:val="33493EFA"/>
    <w:rsid w:val="33721B98"/>
    <w:rsid w:val="33890C8F"/>
    <w:rsid w:val="33FE64BF"/>
    <w:rsid w:val="348E47AF"/>
    <w:rsid w:val="349124F1"/>
    <w:rsid w:val="34B93816"/>
    <w:rsid w:val="34FA1E45"/>
    <w:rsid w:val="351D423D"/>
    <w:rsid w:val="355510D6"/>
    <w:rsid w:val="35953C1E"/>
    <w:rsid w:val="35E475D7"/>
    <w:rsid w:val="360E4D1D"/>
    <w:rsid w:val="36681D9D"/>
    <w:rsid w:val="36740672"/>
    <w:rsid w:val="3677584E"/>
    <w:rsid w:val="369B2FE3"/>
    <w:rsid w:val="375EDFEA"/>
    <w:rsid w:val="37863E63"/>
    <w:rsid w:val="37D629D3"/>
    <w:rsid w:val="37EB3A4E"/>
    <w:rsid w:val="37EF7BB3"/>
    <w:rsid w:val="380B6C81"/>
    <w:rsid w:val="388B0C24"/>
    <w:rsid w:val="389E24D1"/>
    <w:rsid w:val="38E369BE"/>
    <w:rsid w:val="39165960"/>
    <w:rsid w:val="391E49EA"/>
    <w:rsid w:val="392A08D6"/>
    <w:rsid w:val="3991089E"/>
    <w:rsid w:val="39CD4409"/>
    <w:rsid w:val="39FD2877"/>
    <w:rsid w:val="3A197EEE"/>
    <w:rsid w:val="3A356BDC"/>
    <w:rsid w:val="3A7F9205"/>
    <w:rsid w:val="3A810912"/>
    <w:rsid w:val="3AC919C4"/>
    <w:rsid w:val="3B365EA2"/>
    <w:rsid w:val="3B6B55A8"/>
    <w:rsid w:val="3B9F72A2"/>
    <w:rsid w:val="3BE17E05"/>
    <w:rsid w:val="3C29300F"/>
    <w:rsid w:val="3C4A2DCA"/>
    <w:rsid w:val="3C522566"/>
    <w:rsid w:val="3C637239"/>
    <w:rsid w:val="3C6D6DE8"/>
    <w:rsid w:val="3CC36D4B"/>
    <w:rsid w:val="3CC55DBC"/>
    <w:rsid w:val="3CE7307D"/>
    <w:rsid w:val="3D031AB2"/>
    <w:rsid w:val="3D17730C"/>
    <w:rsid w:val="3DC41242"/>
    <w:rsid w:val="3DE76E8D"/>
    <w:rsid w:val="3DFC143A"/>
    <w:rsid w:val="3E040BAC"/>
    <w:rsid w:val="3E0E6961"/>
    <w:rsid w:val="3E1675C3"/>
    <w:rsid w:val="3E4B1963"/>
    <w:rsid w:val="3EF310B3"/>
    <w:rsid w:val="3F184181"/>
    <w:rsid w:val="3F797F68"/>
    <w:rsid w:val="3F945875"/>
    <w:rsid w:val="3FAB7C76"/>
    <w:rsid w:val="3FD04ECF"/>
    <w:rsid w:val="3FD76FE9"/>
    <w:rsid w:val="3FFB99DC"/>
    <w:rsid w:val="40144566"/>
    <w:rsid w:val="40D43E92"/>
    <w:rsid w:val="40E73EE4"/>
    <w:rsid w:val="414A7CB0"/>
    <w:rsid w:val="418E2292"/>
    <w:rsid w:val="41E740AD"/>
    <w:rsid w:val="41EC20EA"/>
    <w:rsid w:val="41FE4727"/>
    <w:rsid w:val="420C519F"/>
    <w:rsid w:val="42251359"/>
    <w:rsid w:val="42335392"/>
    <w:rsid w:val="424D617A"/>
    <w:rsid w:val="427A38AA"/>
    <w:rsid w:val="427D2D42"/>
    <w:rsid w:val="42A52948"/>
    <w:rsid w:val="42A72EE0"/>
    <w:rsid w:val="42E47C90"/>
    <w:rsid w:val="42EA48FB"/>
    <w:rsid w:val="432610CA"/>
    <w:rsid w:val="432B3B11"/>
    <w:rsid w:val="43CE2DA7"/>
    <w:rsid w:val="442F7F86"/>
    <w:rsid w:val="44B91BB1"/>
    <w:rsid w:val="44D55A7B"/>
    <w:rsid w:val="44DC50C3"/>
    <w:rsid w:val="456D59F4"/>
    <w:rsid w:val="45FE72BB"/>
    <w:rsid w:val="45FF7D44"/>
    <w:rsid w:val="4617099C"/>
    <w:rsid w:val="46581CF1"/>
    <w:rsid w:val="46865ACE"/>
    <w:rsid w:val="46F86B1A"/>
    <w:rsid w:val="470703F1"/>
    <w:rsid w:val="4751459F"/>
    <w:rsid w:val="47620756"/>
    <w:rsid w:val="47B73BC5"/>
    <w:rsid w:val="47C54534"/>
    <w:rsid w:val="48194309"/>
    <w:rsid w:val="48384622"/>
    <w:rsid w:val="48C94676"/>
    <w:rsid w:val="49091533"/>
    <w:rsid w:val="491F70FA"/>
    <w:rsid w:val="498F6518"/>
    <w:rsid w:val="4A560724"/>
    <w:rsid w:val="4AB26B4B"/>
    <w:rsid w:val="4B421D1A"/>
    <w:rsid w:val="4C72455F"/>
    <w:rsid w:val="4CDB2104"/>
    <w:rsid w:val="4D2411F7"/>
    <w:rsid w:val="4D40385F"/>
    <w:rsid w:val="4D9407A7"/>
    <w:rsid w:val="4DA93FB0"/>
    <w:rsid w:val="4E2D4BE1"/>
    <w:rsid w:val="4E3E6DEE"/>
    <w:rsid w:val="4E6D6084"/>
    <w:rsid w:val="4E7E129D"/>
    <w:rsid w:val="4EBD41B7"/>
    <w:rsid w:val="4F0040A4"/>
    <w:rsid w:val="4F1A033C"/>
    <w:rsid w:val="4F6D4C08"/>
    <w:rsid w:val="4F724781"/>
    <w:rsid w:val="4F8C61C8"/>
    <w:rsid w:val="4F932D28"/>
    <w:rsid w:val="4FBF2E1C"/>
    <w:rsid w:val="4FCE5993"/>
    <w:rsid w:val="4FD51386"/>
    <w:rsid w:val="4FDE25EA"/>
    <w:rsid w:val="4FFF79EE"/>
    <w:rsid w:val="50673024"/>
    <w:rsid w:val="50BD2FE8"/>
    <w:rsid w:val="515C2132"/>
    <w:rsid w:val="51975C59"/>
    <w:rsid w:val="51A90A23"/>
    <w:rsid w:val="51D84E64"/>
    <w:rsid w:val="524316A6"/>
    <w:rsid w:val="525C5A95"/>
    <w:rsid w:val="526B0E22"/>
    <w:rsid w:val="52A22E8C"/>
    <w:rsid w:val="52B13978"/>
    <w:rsid w:val="52D2383C"/>
    <w:rsid w:val="52DA3C1E"/>
    <w:rsid w:val="53072D70"/>
    <w:rsid w:val="533C2C90"/>
    <w:rsid w:val="5383670B"/>
    <w:rsid w:val="53B91AEB"/>
    <w:rsid w:val="53B92A73"/>
    <w:rsid w:val="53DA4EC3"/>
    <w:rsid w:val="540F15BC"/>
    <w:rsid w:val="544A6979"/>
    <w:rsid w:val="54E16725"/>
    <w:rsid w:val="54EA47DB"/>
    <w:rsid w:val="55376345"/>
    <w:rsid w:val="55384597"/>
    <w:rsid w:val="554511CA"/>
    <w:rsid w:val="55452825"/>
    <w:rsid w:val="5560589C"/>
    <w:rsid w:val="55661E69"/>
    <w:rsid w:val="55957F21"/>
    <w:rsid w:val="55A95094"/>
    <w:rsid w:val="55BC2B31"/>
    <w:rsid w:val="55C93B3C"/>
    <w:rsid w:val="569A7C68"/>
    <w:rsid w:val="575200A0"/>
    <w:rsid w:val="57763155"/>
    <w:rsid w:val="57887F8F"/>
    <w:rsid w:val="57CA1E7B"/>
    <w:rsid w:val="57DBD904"/>
    <w:rsid w:val="5874668E"/>
    <w:rsid w:val="594D5B7D"/>
    <w:rsid w:val="5975743C"/>
    <w:rsid w:val="5992131C"/>
    <w:rsid w:val="599C5461"/>
    <w:rsid w:val="59BF1EC6"/>
    <w:rsid w:val="59C55412"/>
    <w:rsid w:val="5A170152"/>
    <w:rsid w:val="5A4E660B"/>
    <w:rsid w:val="5A826950"/>
    <w:rsid w:val="5A9D4E9D"/>
    <w:rsid w:val="5B136F0D"/>
    <w:rsid w:val="5B2F6D18"/>
    <w:rsid w:val="5B4B13F2"/>
    <w:rsid w:val="5B693AA4"/>
    <w:rsid w:val="5B7359AE"/>
    <w:rsid w:val="5B841BB9"/>
    <w:rsid w:val="5B995664"/>
    <w:rsid w:val="5BBE156E"/>
    <w:rsid w:val="5BCD355F"/>
    <w:rsid w:val="5BDA6EE8"/>
    <w:rsid w:val="5CF37E94"/>
    <w:rsid w:val="5D107877"/>
    <w:rsid w:val="5D7B79C6"/>
    <w:rsid w:val="5D912E1C"/>
    <w:rsid w:val="5DC10EA2"/>
    <w:rsid w:val="5DDF27D6"/>
    <w:rsid w:val="5E897960"/>
    <w:rsid w:val="5E930A90"/>
    <w:rsid w:val="5EA83F26"/>
    <w:rsid w:val="5EBF8707"/>
    <w:rsid w:val="5ECB647C"/>
    <w:rsid w:val="5EE94B54"/>
    <w:rsid w:val="5EFF77F1"/>
    <w:rsid w:val="5F897535"/>
    <w:rsid w:val="5FBE7D8F"/>
    <w:rsid w:val="5FFF41E6"/>
    <w:rsid w:val="602E29D0"/>
    <w:rsid w:val="6074044E"/>
    <w:rsid w:val="608B16BF"/>
    <w:rsid w:val="61157026"/>
    <w:rsid w:val="61610C60"/>
    <w:rsid w:val="6189617B"/>
    <w:rsid w:val="622A170C"/>
    <w:rsid w:val="628A664F"/>
    <w:rsid w:val="62C45238"/>
    <w:rsid w:val="62D32124"/>
    <w:rsid w:val="63050771"/>
    <w:rsid w:val="633412F9"/>
    <w:rsid w:val="635E446F"/>
    <w:rsid w:val="6394407B"/>
    <w:rsid w:val="63BA086D"/>
    <w:rsid w:val="63CC03F0"/>
    <w:rsid w:val="642C604E"/>
    <w:rsid w:val="643530C4"/>
    <w:rsid w:val="64897A15"/>
    <w:rsid w:val="64EC3044"/>
    <w:rsid w:val="650108D7"/>
    <w:rsid w:val="65072541"/>
    <w:rsid w:val="65165CD1"/>
    <w:rsid w:val="651E6BDA"/>
    <w:rsid w:val="65AB0A78"/>
    <w:rsid w:val="65DE4420"/>
    <w:rsid w:val="669F29C1"/>
    <w:rsid w:val="66C20165"/>
    <w:rsid w:val="670A2826"/>
    <w:rsid w:val="677102D7"/>
    <w:rsid w:val="67C5431E"/>
    <w:rsid w:val="67E20FB7"/>
    <w:rsid w:val="67E41CCD"/>
    <w:rsid w:val="67FFEFB9"/>
    <w:rsid w:val="68096D1A"/>
    <w:rsid w:val="687A7701"/>
    <w:rsid w:val="68AA7332"/>
    <w:rsid w:val="68BB055E"/>
    <w:rsid w:val="68BB72A9"/>
    <w:rsid w:val="68CF4DBB"/>
    <w:rsid w:val="68DD1D12"/>
    <w:rsid w:val="69086C9F"/>
    <w:rsid w:val="691ACA41"/>
    <w:rsid w:val="69434E61"/>
    <w:rsid w:val="697F233D"/>
    <w:rsid w:val="69CE6DA5"/>
    <w:rsid w:val="6A276531"/>
    <w:rsid w:val="6AA37C51"/>
    <w:rsid w:val="6ABC286F"/>
    <w:rsid w:val="6AF37A21"/>
    <w:rsid w:val="6AFC176B"/>
    <w:rsid w:val="6B070DCC"/>
    <w:rsid w:val="6B142F59"/>
    <w:rsid w:val="6B3F7719"/>
    <w:rsid w:val="6B8005EE"/>
    <w:rsid w:val="6B936294"/>
    <w:rsid w:val="6BDD583B"/>
    <w:rsid w:val="6BF52C76"/>
    <w:rsid w:val="6BFB9FD8"/>
    <w:rsid w:val="6C5B4564"/>
    <w:rsid w:val="6C976C36"/>
    <w:rsid w:val="6C9F6852"/>
    <w:rsid w:val="6CB73EDA"/>
    <w:rsid w:val="6CFD65DB"/>
    <w:rsid w:val="6CFE0552"/>
    <w:rsid w:val="6D3BDEDD"/>
    <w:rsid w:val="6D761CA9"/>
    <w:rsid w:val="6DB36EE5"/>
    <w:rsid w:val="6DBF6560"/>
    <w:rsid w:val="6DD76313"/>
    <w:rsid w:val="6DEA370E"/>
    <w:rsid w:val="6E15710F"/>
    <w:rsid w:val="6E804974"/>
    <w:rsid w:val="6EAD3FD5"/>
    <w:rsid w:val="6EC87B5D"/>
    <w:rsid w:val="6EC90E50"/>
    <w:rsid w:val="6ED24CBD"/>
    <w:rsid w:val="6EDB55DF"/>
    <w:rsid w:val="6EED4C62"/>
    <w:rsid w:val="6EF414B0"/>
    <w:rsid w:val="6F2145B1"/>
    <w:rsid w:val="6F262186"/>
    <w:rsid w:val="6F467459"/>
    <w:rsid w:val="6FBF3B26"/>
    <w:rsid w:val="6FC4269D"/>
    <w:rsid w:val="6FDAEDD7"/>
    <w:rsid w:val="6FEB1E42"/>
    <w:rsid w:val="70C40F7D"/>
    <w:rsid w:val="711C6EDD"/>
    <w:rsid w:val="71800327"/>
    <w:rsid w:val="71B35368"/>
    <w:rsid w:val="71FE9826"/>
    <w:rsid w:val="72251D39"/>
    <w:rsid w:val="725974A3"/>
    <w:rsid w:val="726F2F21"/>
    <w:rsid w:val="72AF5315"/>
    <w:rsid w:val="73002C03"/>
    <w:rsid w:val="7378A768"/>
    <w:rsid w:val="737A0CE4"/>
    <w:rsid w:val="738ED097"/>
    <w:rsid w:val="739DE864"/>
    <w:rsid w:val="73AF1A71"/>
    <w:rsid w:val="73C03E29"/>
    <w:rsid w:val="73CF3FBA"/>
    <w:rsid w:val="73E57C39"/>
    <w:rsid w:val="7431488C"/>
    <w:rsid w:val="74C57072"/>
    <w:rsid w:val="74C63DCD"/>
    <w:rsid w:val="74CE4179"/>
    <w:rsid w:val="74E03EAC"/>
    <w:rsid w:val="75363875"/>
    <w:rsid w:val="754B7577"/>
    <w:rsid w:val="7557416E"/>
    <w:rsid w:val="756B7C19"/>
    <w:rsid w:val="757840E4"/>
    <w:rsid w:val="75AB270C"/>
    <w:rsid w:val="75E74CFF"/>
    <w:rsid w:val="75FB713E"/>
    <w:rsid w:val="760B4200"/>
    <w:rsid w:val="761C5D22"/>
    <w:rsid w:val="76477EA1"/>
    <w:rsid w:val="764853BA"/>
    <w:rsid w:val="76641462"/>
    <w:rsid w:val="76703A60"/>
    <w:rsid w:val="76807AC0"/>
    <w:rsid w:val="769B6D97"/>
    <w:rsid w:val="76D50E43"/>
    <w:rsid w:val="77146534"/>
    <w:rsid w:val="77233ED3"/>
    <w:rsid w:val="772FF529"/>
    <w:rsid w:val="7746449A"/>
    <w:rsid w:val="77C83101"/>
    <w:rsid w:val="77CDCF2E"/>
    <w:rsid w:val="77D221D2"/>
    <w:rsid w:val="77F794E8"/>
    <w:rsid w:val="77FFD2D6"/>
    <w:rsid w:val="780D3ED7"/>
    <w:rsid w:val="78306EF8"/>
    <w:rsid w:val="78312F09"/>
    <w:rsid w:val="789E0F31"/>
    <w:rsid w:val="789E66B0"/>
    <w:rsid w:val="78DE4E48"/>
    <w:rsid w:val="78F7760B"/>
    <w:rsid w:val="79450781"/>
    <w:rsid w:val="79860F32"/>
    <w:rsid w:val="79DFB2E2"/>
    <w:rsid w:val="79ED8678"/>
    <w:rsid w:val="7A225F63"/>
    <w:rsid w:val="7A346202"/>
    <w:rsid w:val="7A3A6673"/>
    <w:rsid w:val="7AAC193E"/>
    <w:rsid w:val="7AB33E6A"/>
    <w:rsid w:val="7AFB4A9F"/>
    <w:rsid w:val="7B3D50DF"/>
    <w:rsid w:val="7B49515F"/>
    <w:rsid w:val="7B9559F0"/>
    <w:rsid w:val="7BA1339E"/>
    <w:rsid w:val="7BA7F768"/>
    <w:rsid w:val="7BB5DBBC"/>
    <w:rsid w:val="7BFE8192"/>
    <w:rsid w:val="7BFF9450"/>
    <w:rsid w:val="7CE145AF"/>
    <w:rsid w:val="7D3B7DCB"/>
    <w:rsid w:val="7D4D72DC"/>
    <w:rsid w:val="7D567401"/>
    <w:rsid w:val="7D8E1283"/>
    <w:rsid w:val="7D9727BC"/>
    <w:rsid w:val="7D9A5540"/>
    <w:rsid w:val="7D9F66B2"/>
    <w:rsid w:val="7DBE069C"/>
    <w:rsid w:val="7DCF7792"/>
    <w:rsid w:val="7DFF63C8"/>
    <w:rsid w:val="7E4237DD"/>
    <w:rsid w:val="7E655B4E"/>
    <w:rsid w:val="7E957AB5"/>
    <w:rsid w:val="7EBD80A6"/>
    <w:rsid w:val="7EF796FF"/>
    <w:rsid w:val="7F379EE5"/>
    <w:rsid w:val="7F5BA0BB"/>
    <w:rsid w:val="7F77D361"/>
    <w:rsid w:val="7F79E33C"/>
    <w:rsid w:val="7FB1091F"/>
    <w:rsid w:val="7FBF637C"/>
    <w:rsid w:val="7FC7787F"/>
    <w:rsid w:val="7FCA53DD"/>
    <w:rsid w:val="7FD695CB"/>
    <w:rsid w:val="7FE70037"/>
    <w:rsid w:val="7FFF427D"/>
    <w:rsid w:val="7FFF9049"/>
    <w:rsid w:val="7FFFDC4C"/>
    <w:rsid w:val="7FFFF95F"/>
    <w:rsid w:val="8BFFBF09"/>
    <w:rsid w:val="98DDE4B7"/>
    <w:rsid w:val="9BFF102C"/>
    <w:rsid w:val="9FFF80EF"/>
    <w:rsid w:val="A66FEA6F"/>
    <w:rsid w:val="A9DF0861"/>
    <w:rsid w:val="A9FFF9A3"/>
    <w:rsid w:val="AD57C824"/>
    <w:rsid w:val="ADEB9E49"/>
    <w:rsid w:val="AF7B3C02"/>
    <w:rsid w:val="AF7B79B1"/>
    <w:rsid w:val="AFE25390"/>
    <w:rsid w:val="B0FABA89"/>
    <w:rsid w:val="B3DA322B"/>
    <w:rsid w:val="B9FA02E3"/>
    <w:rsid w:val="BCBF7A3D"/>
    <w:rsid w:val="BDD54C57"/>
    <w:rsid w:val="BEBFD2B5"/>
    <w:rsid w:val="BF8F9A8F"/>
    <w:rsid w:val="BFCBDB75"/>
    <w:rsid w:val="BFEA15C9"/>
    <w:rsid w:val="BFF7F0BE"/>
    <w:rsid w:val="BFFBA060"/>
    <w:rsid w:val="CBF98E95"/>
    <w:rsid w:val="D31C3E8C"/>
    <w:rsid w:val="D6F64DF2"/>
    <w:rsid w:val="D6FEE36F"/>
    <w:rsid w:val="D73B78BB"/>
    <w:rsid w:val="D777745D"/>
    <w:rsid w:val="DB9F8C01"/>
    <w:rsid w:val="DF5F6B85"/>
    <w:rsid w:val="E3E5820E"/>
    <w:rsid w:val="E7E3FA90"/>
    <w:rsid w:val="E8F57006"/>
    <w:rsid w:val="E9DED5A6"/>
    <w:rsid w:val="EAFC7546"/>
    <w:rsid w:val="EDFBC93C"/>
    <w:rsid w:val="EECF7972"/>
    <w:rsid w:val="EF2AEF9C"/>
    <w:rsid w:val="EFFC9443"/>
    <w:rsid w:val="EFFF662E"/>
    <w:rsid w:val="EFFFE08A"/>
    <w:rsid w:val="F35DAE82"/>
    <w:rsid w:val="F62E5555"/>
    <w:rsid w:val="F6768E51"/>
    <w:rsid w:val="F6FF4ED4"/>
    <w:rsid w:val="F7F1F166"/>
    <w:rsid w:val="F7F5D2A3"/>
    <w:rsid w:val="F7FFA06D"/>
    <w:rsid w:val="F8BD99DD"/>
    <w:rsid w:val="F9D8AFAE"/>
    <w:rsid w:val="FBDBCDDC"/>
    <w:rsid w:val="FBF8AB8A"/>
    <w:rsid w:val="FBFBB43A"/>
    <w:rsid w:val="FBFBEF2E"/>
    <w:rsid w:val="FC7E6587"/>
    <w:rsid w:val="FCFF0B3D"/>
    <w:rsid w:val="FDBD566D"/>
    <w:rsid w:val="FDFE3C21"/>
    <w:rsid w:val="FE73A86A"/>
    <w:rsid w:val="FEBF31BF"/>
    <w:rsid w:val="FEEAD245"/>
    <w:rsid w:val="FEEBB73D"/>
    <w:rsid w:val="FEECB67A"/>
    <w:rsid w:val="FF398C12"/>
    <w:rsid w:val="FF3F1118"/>
    <w:rsid w:val="FF97CF1F"/>
    <w:rsid w:val="FFBFC592"/>
    <w:rsid w:val="FFC506D5"/>
    <w:rsid w:val="FFDA67A3"/>
    <w:rsid w:val="FFEEB560"/>
    <w:rsid w:val="FFF46CDE"/>
    <w:rsid w:val="FFFF0DBF"/>
    <w:rsid w:val="FFFFD10A"/>
    <w:rsid w:val="FFFFD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79"/>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8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81"/>
    <w:qFormat/>
    <w:uiPriority w:val="0"/>
    <w:pPr>
      <w:keepNext/>
      <w:keepLines/>
      <w:spacing w:before="280" w:after="290" w:line="376" w:lineRule="auto"/>
      <w:outlineLvl w:val="4"/>
    </w:pPr>
    <w:rPr>
      <w:b/>
      <w:sz w:val="28"/>
    </w:rPr>
  </w:style>
  <w:style w:type="paragraph" w:styleId="10">
    <w:name w:val="heading 6"/>
    <w:basedOn w:val="1"/>
    <w:next w:val="1"/>
    <w:link w:val="83"/>
    <w:qFormat/>
    <w:uiPriority w:val="0"/>
    <w:pPr>
      <w:keepNext/>
      <w:keepLines/>
      <w:spacing w:before="240" w:after="64" w:line="320" w:lineRule="auto"/>
      <w:outlineLvl w:val="5"/>
    </w:pPr>
    <w:rPr>
      <w:rFonts w:ascii="Arial" w:hAnsi="Arial" w:eastAsia="黑体"/>
      <w:b/>
      <w:sz w:val="24"/>
    </w:rPr>
  </w:style>
  <w:style w:type="paragraph" w:styleId="11">
    <w:name w:val="heading 7"/>
    <w:basedOn w:val="1"/>
    <w:next w:val="9"/>
    <w:link w:val="84"/>
    <w:qFormat/>
    <w:uiPriority w:val="0"/>
    <w:pPr>
      <w:keepNext/>
      <w:keepLines/>
      <w:spacing w:before="240" w:after="64" w:line="320" w:lineRule="auto"/>
      <w:outlineLvl w:val="6"/>
    </w:pPr>
    <w:rPr>
      <w:b/>
      <w:sz w:val="24"/>
    </w:rPr>
  </w:style>
  <w:style w:type="paragraph" w:styleId="12">
    <w:name w:val="heading 8"/>
    <w:basedOn w:val="1"/>
    <w:next w:val="9"/>
    <w:link w:val="85"/>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9"/>
    <w:link w:val="86"/>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4"/>
    <w:unhideWhenUsed/>
    <w:qFormat/>
    <w:uiPriority w:val="0"/>
    <w:pPr>
      <w:spacing w:after="120" w:line="240" w:lineRule="auto"/>
      <w:ind w:firstLine="420" w:firstLineChars="100"/>
    </w:pPr>
    <w:rPr>
      <w:sz w:val="21"/>
    </w:rPr>
  </w:style>
  <w:style w:type="paragraph" w:styleId="3">
    <w:name w:val="Body Text"/>
    <w:basedOn w:val="1"/>
    <w:next w:val="1"/>
    <w:link w:val="90"/>
    <w:qFormat/>
    <w:uiPriority w:val="0"/>
    <w:pPr>
      <w:spacing w:line="380" w:lineRule="exact"/>
    </w:pPr>
    <w:rPr>
      <w:sz w:val="24"/>
    </w:rPr>
  </w:style>
  <w:style w:type="paragraph" w:styleId="9">
    <w:name w:val="Normal Indent"/>
    <w:basedOn w:val="1"/>
    <w:link w:val="82"/>
    <w:qFormat/>
    <w:uiPriority w:val="0"/>
    <w:pPr>
      <w:ind w:firstLine="420"/>
    </w:pPr>
    <w:rPr>
      <w:szCs w:val="20"/>
    </w:r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
    <w:unhideWhenUsed/>
    <w:qFormat/>
    <w:uiPriority w:val="0"/>
    <w:pPr>
      <w:tabs>
        <w:tab w:val="left" w:pos="3300"/>
      </w:tabs>
    </w:pPr>
  </w:style>
  <w:style w:type="paragraph" w:styleId="18">
    <w:name w:val="Document Map"/>
    <w:basedOn w:val="1"/>
    <w:link w:val="87"/>
    <w:semiHidden/>
    <w:qFormat/>
    <w:uiPriority w:val="0"/>
    <w:pPr>
      <w:shd w:val="clear" w:color="auto" w:fill="000080"/>
    </w:pPr>
  </w:style>
  <w:style w:type="paragraph" w:styleId="19">
    <w:name w:val="annotation text"/>
    <w:basedOn w:val="1"/>
    <w:link w:val="74"/>
    <w:qFormat/>
    <w:uiPriority w:val="99"/>
    <w:pPr>
      <w:adjustRightInd w:val="0"/>
      <w:spacing w:line="360" w:lineRule="atLeast"/>
      <w:jc w:val="left"/>
      <w:textAlignment w:val="baseline"/>
    </w:pPr>
    <w:rPr>
      <w:kern w:val="0"/>
      <w:sz w:val="24"/>
      <w:szCs w:val="20"/>
    </w:rPr>
  </w:style>
  <w:style w:type="paragraph" w:styleId="20">
    <w:name w:val="Salutation"/>
    <w:basedOn w:val="1"/>
    <w:next w:val="1"/>
    <w:link w:val="88"/>
    <w:qFormat/>
    <w:uiPriority w:val="0"/>
    <w:rPr>
      <w:sz w:val="28"/>
    </w:rPr>
  </w:style>
  <w:style w:type="paragraph" w:styleId="21">
    <w:name w:val="Body Text 3"/>
    <w:basedOn w:val="1"/>
    <w:link w:val="89"/>
    <w:qFormat/>
    <w:uiPriority w:val="0"/>
    <w:pPr>
      <w:spacing w:line="500" w:lineRule="exact"/>
    </w:pPr>
    <w:rPr>
      <w:b/>
      <w:bCs/>
      <w:sz w:val="24"/>
    </w:rPr>
  </w:style>
  <w:style w:type="paragraph" w:styleId="22">
    <w:name w:val="Body Text Indent"/>
    <w:basedOn w:val="1"/>
    <w:next w:val="23"/>
    <w:link w:val="73"/>
    <w:qFormat/>
    <w:uiPriority w:val="0"/>
    <w:pPr>
      <w:ind w:firstLine="830" w:firstLineChars="352"/>
    </w:pPr>
    <w:rPr>
      <w:rFonts w:ascii="仿宋_GB2312" w:eastAsia="仿宋_GB2312"/>
      <w:sz w:val="32"/>
      <w:szCs w:val="20"/>
    </w:rPr>
  </w:style>
  <w:style w:type="paragraph" w:styleId="23">
    <w:name w:val="annotation subject"/>
    <w:basedOn w:val="19"/>
    <w:next w:val="1"/>
    <w:link w:val="75"/>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4"/>
    <w:link w:val="91"/>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2"/>
    <w:qFormat/>
    <w:uiPriority w:val="0"/>
    <w:pPr>
      <w:ind w:left="100" w:leftChars="2500"/>
    </w:pPr>
    <w:rPr>
      <w:rFonts w:ascii="宋体" w:hAnsi="Courier New" w:cs="Courier New"/>
      <w:szCs w:val="21"/>
    </w:rPr>
  </w:style>
  <w:style w:type="paragraph" w:styleId="32">
    <w:name w:val="Body Text Indent 2"/>
    <w:basedOn w:val="1"/>
    <w:link w:val="93"/>
    <w:qFormat/>
    <w:uiPriority w:val="0"/>
    <w:pPr>
      <w:ind w:firstLine="630"/>
    </w:pPr>
    <w:rPr>
      <w:sz w:val="32"/>
      <w:szCs w:val="20"/>
    </w:rPr>
  </w:style>
  <w:style w:type="paragraph" w:styleId="33">
    <w:name w:val="endnote text"/>
    <w:basedOn w:val="1"/>
    <w:link w:val="94"/>
    <w:unhideWhenUsed/>
    <w:qFormat/>
    <w:uiPriority w:val="0"/>
    <w:pPr>
      <w:snapToGrid w:val="0"/>
      <w:jc w:val="left"/>
    </w:pPr>
    <w:rPr>
      <w:rFonts w:ascii="Calibri" w:hAnsi="Calibri"/>
      <w:szCs w:val="22"/>
    </w:rPr>
  </w:style>
  <w:style w:type="paragraph" w:styleId="34">
    <w:name w:val="Balloon Text"/>
    <w:basedOn w:val="1"/>
    <w:link w:val="95"/>
    <w:qFormat/>
    <w:uiPriority w:val="0"/>
    <w:rPr>
      <w:sz w:val="18"/>
      <w:szCs w:val="18"/>
    </w:rPr>
  </w:style>
  <w:style w:type="paragraph" w:styleId="35">
    <w:name w:val="footer"/>
    <w:basedOn w:val="1"/>
    <w:next w:val="1"/>
    <w:link w:val="96"/>
    <w:qFormat/>
    <w:uiPriority w:val="99"/>
    <w:pPr>
      <w:tabs>
        <w:tab w:val="center" w:pos="4153"/>
        <w:tab w:val="right" w:pos="8306"/>
      </w:tabs>
      <w:snapToGrid w:val="0"/>
      <w:jc w:val="left"/>
    </w:pPr>
    <w:rPr>
      <w:sz w:val="18"/>
      <w:szCs w:val="18"/>
    </w:rPr>
  </w:style>
  <w:style w:type="paragraph" w:styleId="36">
    <w:name w:val="envelope return"/>
    <w:basedOn w:val="1"/>
    <w:unhideWhenUsed/>
    <w:qFormat/>
    <w:uiPriority w:val="99"/>
    <w:pPr>
      <w:snapToGrid w:val="0"/>
    </w:pPr>
    <w:rPr>
      <w:rFonts w:ascii="Arial" w:hAnsi="Arial"/>
    </w:rPr>
  </w:style>
  <w:style w:type="paragraph" w:styleId="37">
    <w:name w:val="header"/>
    <w:basedOn w:val="1"/>
    <w:link w:val="97"/>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Subtitle"/>
    <w:basedOn w:val="1"/>
    <w:next w:val="1"/>
    <w:link w:val="98"/>
    <w:qFormat/>
    <w:uiPriority w:val="11"/>
    <w:pPr>
      <w:spacing w:before="240" w:after="60" w:line="312" w:lineRule="auto"/>
      <w:jc w:val="center"/>
      <w:outlineLvl w:val="1"/>
    </w:pPr>
    <w:rPr>
      <w:rFonts w:ascii="Calibri Light" w:hAnsi="Calibri Light"/>
      <w:b/>
      <w:bCs/>
      <w:kern w:val="28"/>
      <w:sz w:val="32"/>
      <w:szCs w:val="32"/>
    </w:rPr>
  </w:style>
  <w:style w:type="paragraph" w:styleId="41">
    <w:name w:val="List"/>
    <w:basedOn w:val="1"/>
    <w:qFormat/>
    <w:uiPriority w:val="0"/>
    <w:pPr>
      <w:ind w:left="200" w:hanging="200" w:hangingChars="200"/>
    </w:pPr>
    <w:rPr>
      <w:sz w:val="28"/>
    </w:rPr>
  </w:style>
  <w:style w:type="paragraph" w:styleId="42">
    <w:name w:val="footnote text"/>
    <w:basedOn w:val="1"/>
    <w:link w:val="99"/>
    <w:qFormat/>
    <w:uiPriority w:val="0"/>
    <w:pPr>
      <w:snapToGrid w:val="0"/>
      <w:jc w:val="left"/>
    </w:pPr>
    <w:rPr>
      <w:kern w:val="0"/>
      <w:sz w:val="18"/>
      <w:szCs w:val="18"/>
    </w:rPr>
  </w:style>
  <w:style w:type="paragraph" w:styleId="43">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4">
    <w:name w:val="List 5"/>
    <w:basedOn w:val="1"/>
    <w:qFormat/>
    <w:uiPriority w:val="0"/>
    <w:pPr>
      <w:ind w:left="2100" w:hanging="420"/>
    </w:pPr>
    <w:rPr>
      <w:szCs w:val="20"/>
    </w:rPr>
  </w:style>
  <w:style w:type="paragraph" w:styleId="45">
    <w:name w:val="Body Text Indent 3"/>
    <w:basedOn w:val="1"/>
    <w:link w:val="100"/>
    <w:qFormat/>
    <w:uiPriority w:val="0"/>
    <w:pPr>
      <w:spacing w:after="120"/>
      <w:ind w:left="420" w:leftChars="200"/>
    </w:pPr>
    <w:rPr>
      <w:sz w:val="16"/>
      <w:szCs w:val="16"/>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101"/>
    <w:qFormat/>
    <w:uiPriority w:val="0"/>
    <w:pPr>
      <w:spacing w:after="120" w:line="480" w:lineRule="auto"/>
    </w:pPr>
  </w:style>
  <w:style w:type="paragraph" w:styleId="49">
    <w:name w:val="List 4"/>
    <w:basedOn w:val="1"/>
    <w:qFormat/>
    <w:uiPriority w:val="0"/>
    <w:pPr>
      <w:ind w:left="100" w:leftChars="600" w:hanging="200" w:hangingChars="200"/>
      <w:contextualSpacing/>
    </w:pPr>
  </w:style>
  <w:style w:type="paragraph" w:styleId="50">
    <w:name w:val="HTML Preformatted"/>
    <w:basedOn w:val="1"/>
    <w:link w:val="10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index 1"/>
    <w:basedOn w:val="1"/>
    <w:next w:val="1"/>
    <w:semiHidden/>
    <w:qFormat/>
    <w:uiPriority w:val="0"/>
    <w:pPr>
      <w:spacing w:line="400" w:lineRule="exact"/>
      <w:ind w:firstLine="420" w:firstLineChars="200"/>
    </w:pPr>
    <w:rPr>
      <w:rFonts w:ascii="宋体" w:hAnsi="Courier New"/>
      <w:b/>
      <w:szCs w:val="20"/>
    </w:rPr>
  </w:style>
  <w:style w:type="paragraph" w:styleId="53">
    <w:name w:val="Title"/>
    <w:basedOn w:val="1"/>
    <w:link w:val="103"/>
    <w:qFormat/>
    <w:uiPriority w:val="0"/>
    <w:pPr>
      <w:spacing w:before="240" w:after="60"/>
      <w:jc w:val="center"/>
      <w:outlineLvl w:val="0"/>
    </w:pPr>
    <w:rPr>
      <w:rFonts w:ascii="Arial" w:hAnsi="Arial"/>
      <w:b/>
      <w:bCs/>
      <w:sz w:val="32"/>
      <w:szCs w:val="32"/>
    </w:rPr>
  </w:style>
  <w:style w:type="paragraph" w:styleId="54">
    <w:name w:val="Body Text First Indent 2"/>
    <w:basedOn w:val="22"/>
    <w:link w:val="76"/>
    <w:qFormat/>
    <w:uiPriority w:val="0"/>
    <w:pPr>
      <w:spacing w:after="120"/>
      <w:ind w:left="420" w:leftChars="200" w:firstLine="420" w:firstLineChars="200"/>
    </w:pPr>
    <w:rPr>
      <w:sz w:val="21"/>
      <w:szCs w:val="24"/>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qFormat/>
    <w:uiPriority w:val="0"/>
    <w:rPr>
      <w:sz w:val="21"/>
      <w:szCs w:val="21"/>
    </w:rPr>
  </w:style>
  <w:style w:type="character" w:styleId="67">
    <w:name w:val="HTML Cite"/>
    <w:unhideWhenUsed/>
    <w:qFormat/>
    <w:uiPriority w:val="0"/>
  </w:style>
  <w:style w:type="character" w:styleId="68">
    <w:name w:val="HTML Keyboard"/>
    <w:unhideWhenUsed/>
    <w:qFormat/>
    <w:uiPriority w:val="0"/>
    <w:rPr>
      <w:rFonts w:hint="default" w:ascii="Courier New" w:hAnsi="Courier New" w:eastAsia="Courier New" w:cs="Courier New"/>
      <w:sz w:val="24"/>
      <w:szCs w:val="24"/>
    </w:rPr>
  </w:style>
  <w:style w:type="character" w:styleId="69">
    <w:name w:val="HTML Sample"/>
    <w:unhideWhenUsed/>
    <w:qFormat/>
    <w:uiPriority w:val="99"/>
    <w:rPr>
      <w:rFonts w:hint="default" w:ascii="Courier New" w:hAnsi="Courier New" w:eastAsia="Times New Roman" w:cs="Courier New"/>
    </w:rPr>
  </w:style>
  <w:style w:type="paragraph" w:customStyle="1" w:styleId="70">
    <w:name w:val="正文 首行缩进:  2 字符"/>
    <w:basedOn w:val="1"/>
    <w:qFormat/>
    <w:uiPriority w:val="99"/>
    <w:pPr>
      <w:ind w:firstLine="200" w:firstLineChars="200"/>
    </w:pPr>
    <w:rPr>
      <w:sz w:val="24"/>
    </w:rPr>
  </w:style>
  <w:style w:type="paragraph" w:customStyle="1" w:styleId="71">
    <w:name w:val="正文首行缩进1"/>
    <w:basedOn w:val="1"/>
    <w:qFormat/>
    <w:uiPriority w:val="0"/>
    <w:pPr>
      <w:spacing w:after="120"/>
      <w:ind w:firstLine="420" w:firstLineChars="100"/>
    </w:pPr>
  </w:style>
  <w:style w:type="paragraph" w:customStyle="1" w:styleId="72">
    <w:name w:val="TOC 标题2"/>
    <w:next w:val="1"/>
    <w:qFormat/>
    <w:uiPriority w:val="99"/>
    <w:pPr>
      <w:wordWrap w:val="0"/>
    </w:pPr>
    <w:rPr>
      <w:rFonts w:ascii="Calibri" w:hAnsi="Calibri" w:eastAsia="宋体" w:cs="Times New Roman"/>
      <w:sz w:val="32"/>
      <w:lang w:val="en-US" w:eastAsia="zh-CN" w:bidi="ar-SA"/>
    </w:rPr>
  </w:style>
  <w:style w:type="character" w:customStyle="1" w:styleId="73">
    <w:name w:val="正文文本缩进 字符"/>
    <w:link w:val="22"/>
    <w:qFormat/>
    <w:uiPriority w:val="0"/>
    <w:rPr>
      <w:rFonts w:ascii="仿宋_GB2312" w:eastAsia="仿宋_GB2312"/>
      <w:kern w:val="2"/>
      <w:sz w:val="32"/>
      <w:lang w:val="en-US" w:eastAsia="zh-CN" w:bidi="ar-SA"/>
    </w:rPr>
  </w:style>
  <w:style w:type="character" w:customStyle="1" w:styleId="74">
    <w:name w:val="批注文字 字符"/>
    <w:link w:val="19"/>
    <w:qFormat/>
    <w:uiPriority w:val="0"/>
    <w:rPr>
      <w:rFonts w:eastAsia="宋体"/>
      <w:sz w:val="24"/>
      <w:lang w:bidi="ar-SA"/>
    </w:rPr>
  </w:style>
  <w:style w:type="character" w:customStyle="1" w:styleId="75">
    <w:name w:val="批注主题 字符"/>
    <w:link w:val="23"/>
    <w:semiHidden/>
    <w:qFormat/>
    <w:uiPriority w:val="0"/>
    <w:rPr>
      <w:rFonts w:eastAsia="宋体"/>
      <w:b/>
      <w:bCs/>
      <w:kern w:val="2"/>
      <w:sz w:val="21"/>
      <w:szCs w:val="24"/>
      <w:lang w:bidi="ar-SA"/>
    </w:rPr>
  </w:style>
  <w:style w:type="character" w:customStyle="1" w:styleId="76">
    <w:name w:val="正文文本首行缩进 2 字符"/>
    <w:link w:val="54"/>
    <w:qFormat/>
    <w:uiPriority w:val="0"/>
    <w:rPr>
      <w:rFonts w:ascii="仿宋_GB2312" w:eastAsia="仿宋_GB2312"/>
      <w:kern w:val="2"/>
      <w:sz w:val="21"/>
      <w:szCs w:val="24"/>
      <w:lang w:val="en-US" w:eastAsia="zh-CN" w:bidi="ar-SA"/>
    </w:rPr>
  </w:style>
  <w:style w:type="character" w:customStyle="1" w:styleId="77">
    <w:name w:val="标题 1 字符"/>
    <w:link w:val="4"/>
    <w:qFormat/>
    <w:uiPriority w:val="0"/>
    <w:rPr>
      <w:rFonts w:eastAsia="宋体"/>
      <w:b/>
      <w:bCs/>
      <w:kern w:val="44"/>
      <w:sz w:val="44"/>
      <w:szCs w:val="44"/>
      <w:lang w:val="en-US" w:eastAsia="zh-CN" w:bidi="ar-SA"/>
    </w:rPr>
  </w:style>
  <w:style w:type="character" w:customStyle="1" w:styleId="78">
    <w:name w:val="标题 2 字符"/>
    <w:link w:val="5"/>
    <w:qFormat/>
    <w:uiPriority w:val="0"/>
    <w:rPr>
      <w:rFonts w:ascii="Arial" w:hAnsi="Arial" w:eastAsia="黑体"/>
      <w:b/>
      <w:bCs/>
      <w:sz w:val="32"/>
      <w:szCs w:val="32"/>
      <w:lang w:bidi="ar-SA"/>
    </w:rPr>
  </w:style>
  <w:style w:type="character" w:customStyle="1" w:styleId="79">
    <w:name w:val="标题 3 字符1"/>
    <w:link w:val="6"/>
    <w:qFormat/>
    <w:uiPriority w:val="0"/>
    <w:rPr>
      <w:rFonts w:eastAsia="宋体"/>
      <w:b/>
      <w:bCs/>
      <w:sz w:val="32"/>
      <w:szCs w:val="32"/>
      <w:lang w:bidi="ar-SA"/>
    </w:rPr>
  </w:style>
  <w:style w:type="character" w:customStyle="1" w:styleId="80">
    <w:name w:val="标题 4 字符"/>
    <w:link w:val="7"/>
    <w:qFormat/>
    <w:uiPriority w:val="0"/>
    <w:rPr>
      <w:rFonts w:ascii="Arial" w:hAnsi="Arial" w:eastAsia="黑体"/>
      <w:sz w:val="28"/>
      <w:lang w:bidi="ar-SA"/>
    </w:rPr>
  </w:style>
  <w:style w:type="character" w:customStyle="1" w:styleId="81">
    <w:name w:val="标题 5 字符"/>
    <w:link w:val="8"/>
    <w:qFormat/>
    <w:uiPriority w:val="0"/>
    <w:rPr>
      <w:rFonts w:eastAsia="宋体"/>
      <w:b/>
      <w:kern w:val="2"/>
      <w:sz w:val="28"/>
      <w:szCs w:val="24"/>
      <w:lang w:val="en-US" w:eastAsia="zh-CN" w:bidi="ar-SA"/>
    </w:rPr>
  </w:style>
  <w:style w:type="character" w:customStyle="1" w:styleId="82">
    <w:name w:val="正文缩进 字符"/>
    <w:link w:val="9"/>
    <w:qFormat/>
    <w:locked/>
    <w:uiPriority w:val="0"/>
    <w:rPr>
      <w:kern w:val="2"/>
      <w:sz w:val="21"/>
    </w:rPr>
  </w:style>
  <w:style w:type="character" w:customStyle="1" w:styleId="83">
    <w:name w:val="标题 6 字符"/>
    <w:link w:val="10"/>
    <w:qFormat/>
    <w:uiPriority w:val="0"/>
    <w:rPr>
      <w:rFonts w:ascii="Arial" w:hAnsi="Arial" w:eastAsia="黑体"/>
      <w:b/>
      <w:kern w:val="2"/>
      <w:sz w:val="24"/>
      <w:szCs w:val="24"/>
      <w:lang w:val="en-US" w:eastAsia="zh-CN" w:bidi="ar-SA"/>
    </w:rPr>
  </w:style>
  <w:style w:type="character" w:customStyle="1" w:styleId="84">
    <w:name w:val="标题 7 字符"/>
    <w:link w:val="11"/>
    <w:qFormat/>
    <w:uiPriority w:val="0"/>
    <w:rPr>
      <w:rFonts w:eastAsia="宋体"/>
      <w:b/>
      <w:kern w:val="2"/>
      <w:sz w:val="24"/>
      <w:szCs w:val="24"/>
      <w:lang w:val="en-US" w:eastAsia="zh-CN" w:bidi="ar-SA"/>
    </w:rPr>
  </w:style>
  <w:style w:type="character" w:customStyle="1" w:styleId="85">
    <w:name w:val="标题 8 字符"/>
    <w:link w:val="12"/>
    <w:qFormat/>
    <w:uiPriority w:val="0"/>
    <w:rPr>
      <w:rFonts w:ascii="Arial" w:hAnsi="Arial" w:eastAsia="黑体"/>
      <w:kern w:val="2"/>
      <w:sz w:val="24"/>
      <w:szCs w:val="24"/>
      <w:lang w:val="en-US" w:eastAsia="zh-CN" w:bidi="ar-SA"/>
    </w:rPr>
  </w:style>
  <w:style w:type="character" w:customStyle="1" w:styleId="86">
    <w:name w:val="标题 9 字符"/>
    <w:link w:val="13"/>
    <w:qFormat/>
    <w:uiPriority w:val="0"/>
    <w:rPr>
      <w:rFonts w:ascii="Arial" w:hAnsi="Arial" w:eastAsia="黑体"/>
      <w:kern w:val="2"/>
      <w:sz w:val="21"/>
      <w:szCs w:val="24"/>
      <w:lang w:val="en-US" w:eastAsia="zh-CN" w:bidi="ar-SA"/>
    </w:rPr>
  </w:style>
  <w:style w:type="character" w:customStyle="1" w:styleId="87">
    <w:name w:val="文档结构图 字符"/>
    <w:link w:val="18"/>
    <w:qFormat/>
    <w:uiPriority w:val="0"/>
    <w:rPr>
      <w:rFonts w:eastAsia="宋体"/>
      <w:kern w:val="2"/>
      <w:sz w:val="21"/>
      <w:szCs w:val="24"/>
      <w:lang w:val="en-US" w:eastAsia="zh-CN" w:bidi="ar-SA"/>
    </w:rPr>
  </w:style>
  <w:style w:type="character" w:customStyle="1" w:styleId="88">
    <w:name w:val="称呼 字符"/>
    <w:link w:val="20"/>
    <w:qFormat/>
    <w:uiPriority w:val="0"/>
    <w:rPr>
      <w:kern w:val="2"/>
      <w:sz w:val="28"/>
      <w:szCs w:val="24"/>
    </w:rPr>
  </w:style>
  <w:style w:type="character" w:customStyle="1" w:styleId="89">
    <w:name w:val="正文文本 3 字符"/>
    <w:link w:val="21"/>
    <w:qFormat/>
    <w:uiPriority w:val="0"/>
    <w:rPr>
      <w:rFonts w:eastAsia="宋体"/>
      <w:b/>
      <w:bCs/>
      <w:kern w:val="2"/>
      <w:sz w:val="24"/>
      <w:szCs w:val="24"/>
      <w:lang w:val="en-US" w:eastAsia="zh-CN" w:bidi="ar-SA"/>
    </w:rPr>
  </w:style>
  <w:style w:type="character" w:customStyle="1" w:styleId="90">
    <w:name w:val="正文文本 字符"/>
    <w:link w:val="3"/>
    <w:qFormat/>
    <w:uiPriority w:val="0"/>
    <w:rPr>
      <w:rFonts w:eastAsia="宋体"/>
      <w:kern w:val="2"/>
      <w:sz w:val="24"/>
      <w:szCs w:val="24"/>
      <w:lang w:val="en-US" w:eastAsia="zh-CN" w:bidi="ar-SA"/>
    </w:rPr>
  </w:style>
  <w:style w:type="character" w:customStyle="1" w:styleId="91">
    <w:name w:val="纯文本 字符2"/>
    <w:link w:val="29"/>
    <w:qFormat/>
    <w:uiPriority w:val="0"/>
    <w:rPr>
      <w:rFonts w:ascii="宋体" w:hAnsi="Courier New" w:eastAsia="宋体" w:cs="Courier New"/>
      <w:kern w:val="2"/>
      <w:sz w:val="21"/>
      <w:szCs w:val="21"/>
      <w:lang w:val="en-US" w:eastAsia="zh-CN" w:bidi="ar-SA"/>
    </w:rPr>
  </w:style>
  <w:style w:type="character" w:customStyle="1" w:styleId="92">
    <w:name w:val="日期 字符"/>
    <w:link w:val="31"/>
    <w:qFormat/>
    <w:uiPriority w:val="0"/>
    <w:rPr>
      <w:rFonts w:ascii="宋体" w:hAnsi="Courier New" w:eastAsia="宋体" w:cs="Courier New"/>
      <w:kern w:val="2"/>
      <w:sz w:val="21"/>
      <w:szCs w:val="21"/>
      <w:lang w:val="en-US" w:eastAsia="zh-CN" w:bidi="ar-SA"/>
    </w:rPr>
  </w:style>
  <w:style w:type="character" w:customStyle="1" w:styleId="93">
    <w:name w:val="正文文本缩进 2 字符"/>
    <w:link w:val="32"/>
    <w:qFormat/>
    <w:uiPriority w:val="0"/>
    <w:rPr>
      <w:rFonts w:eastAsia="宋体"/>
      <w:kern w:val="2"/>
      <w:sz w:val="32"/>
      <w:lang w:val="en-US" w:eastAsia="zh-CN" w:bidi="ar-SA"/>
    </w:rPr>
  </w:style>
  <w:style w:type="character" w:customStyle="1" w:styleId="94">
    <w:name w:val="尾注文本 字符"/>
    <w:link w:val="33"/>
    <w:qFormat/>
    <w:uiPriority w:val="0"/>
    <w:rPr>
      <w:rFonts w:ascii="Calibri" w:hAnsi="Calibri"/>
      <w:kern w:val="2"/>
      <w:sz w:val="21"/>
      <w:szCs w:val="22"/>
    </w:rPr>
  </w:style>
  <w:style w:type="character" w:customStyle="1" w:styleId="95">
    <w:name w:val="批注框文本 字符"/>
    <w:link w:val="34"/>
    <w:semiHidden/>
    <w:qFormat/>
    <w:uiPriority w:val="0"/>
    <w:rPr>
      <w:rFonts w:eastAsia="宋体"/>
      <w:kern w:val="2"/>
      <w:sz w:val="18"/>
      <w:szCs w:val="18"/>
      <w:lang w:val="en-US" w:eastAsia="zh-CN" w:bidi="ar-SA"/>
    </w:rPr>
  </w:style>
  <w:style w:type="character" w:customStyle="1" w:styleId="96">
    <w:name w:val="页脚 字符1"/>
    <w:link w:val="35"/>
    <w:qFormat/>
    <w:uiPriority w:val="0"/>
    <w:rPr>
      <w:rFonts w:eastAsia="宋体"/>
      <w:kern w:val="2"/>
      <w:sz w:val="18"/>
      <w:szCs w:val="18"/>
      <w:lang w:val="en-US" w:eastAsia="zh-CN" w:bidi="ar-SA"/>
    </w:rPr>
  </w:style>
  <w:style w:type="character" w:customStyle="1" w:styleId="97">
    <w:name w:val="页眉 字符1"/>
    <w:link w:val="37"/>
    <w:qFormat/>
    <w:uiPriority w:val="0"/>
    <w:rPr>
      <w:kern w:val="2"/>
      <w:sz w:val="18"/>
      <w:szCs w:val="18"/>
    </w:rPr>
  </w:style>
  <w:style w:type="character" w:customStyle="1" w:styleId="98">
    <w:name w:val="副标题 字符"/>
    <w:link w:val="40"/>
    <w:qFormat/>
    <w:locked/>
    <w:uiPriority w:val="11"/>
    <w:rPr>
      <w:rFonts w:ascii="Calibri Light" w:hAnsi="Calibri Light"/>
      <w:b/>
      <w:bCs/>
      <w:kern w:val="28"/>
      <w:sz w:val="32"/>
      <w:szCs w:val="32"/>
    </w:rPr>
  </w:style>
  <w:style w:type="character" w:customStyle="1" w:styleId="99">
    <w:name w:val="脚注文本 字符"/>
    <w:link w:val="42"/>
    <w:qFormat/>
    <w:uiPriority w:val="0"/>
    <w:rPr>
      <w:sz w:val="18"/>
      <w:szCs w:val="18"/>
    </w:rPr>
  </w:style>
  <w:style w:type="character" w:customStyle="1" w:styleId="100">
    <w:name w:val="正文文本缩进 3 字符"/>
    <w:link w:val="45"/>
    <w:qFormat/>
    <w:uiPriority w:val="0"/>
    <w:rPr>
      <w:rFonts w:eastAsia="宋体"/>
      <w:kern w:val="2"/>
      <w:sz w:val="16"/>
      <w:szCs w:val="16"/>
      <w:lang w:val="en-US" w:eastAsia="zh-CN" w:bidi="ar-SA"/>
    </w:rPr>
  </w:style>
  <w:style w:type="character" w:customStyle="1" w:styleId="101">
    <w:name w:val="正文文本 2 字符"/>
    <w:link w:val="48"/>
    <w:qFormat/>
    <w:uiPriority w:val="0"/>
    <w:rPr>
      <w:rFonts w:eastAsia="宋体"/>
      <w:kern w:val="2"/>
      <w:sz w:val="21"/>
      <w:szCs w:val="24"/>
      <w:lang w:val="en-US" w:eastAsia="zh-CN" w:bidi="ar-SA"/>
    </w:rPr>
  </w:style>
  <w:style w:type="character" w:customStyle="1" w:styleId="102">
    <w:name w:val="HTML 预设格式 字符"/>
    <w:link w:val="50"/>
    <w:qFormat/>
    <w:uiPriority w:val="0"/>
    <w:rPr>
      <w:rFonts w:ascii="黑体" w:hAnsi="Courier New" w:eastAsia="黑体" w:cs="Courier New"/>
      <w:lang w:val="en-US" w:eastAsia="zh-CN" w:bidi="ar-SA"/>
    </w:rPr>
  </w:style>
  <w:style w:type="character" w:customStyle="1" w:styleId="103">
    <w:name w:val="标题 字符"/>
    <w:link w:val="53"/>
    <w:qFormat/>
    <w:uiPriority w:val="0"/>
    <w:rPr>
      <w:rFonts w:ascii="Arial" w:hAnsi="Arial" w:eastAsia="宋体"/>
      <w:b/>
      <w:bCs/>
      <w:kern w:val="2"/>
      <w:sz w:val="32"/>
      <w:szCs w:val="32"/>
      <w:lang w:bidi="ar-SA"/>
    </w:rPr>
  </w:style>
  <w:style w:type="character" w:customStyle="1" w:styleId="104">
    <w:name w:val="正文文本首行缩进 字符"/>
    <w:link w:val="2"/>
    <w:qFormat/>
    <w:locked/>
    <w:uiPriority w:val="0"/>
    <w:rPr>
      <w:rFonts w:eastAsia="宋体"/>
      <w:kern w:val="2"/>
      <w:sz w:val="21"/>
      <w:szCs w:val="24"/>
      <w:lang w:val="en-US" w:eastAsia="zh-CN" w:bidi="ar-SA"/>
    </w:rPr>
  </w:style>
  <w:style w:type="character" w:customStyle="1" w:styleId="105">
    <w:name w:val="AnnotationReference"/>
    <w:qFormat/>
    <w:uiPriority w:val="0"/>
    <w:rPr>
      <w:sz w:val="21"/>
      <w:szCs w:val="21"/>
    </w:rPr>
  </w:style>
  <w:style w:type="character" w:customStyle="1" w:styleId="106">
    <w:name w:val="NormalCharacter"/>
    <w:semiHidden/>
    <w:qFormat/>
    <w:uiPriority w:val="0"/>
  </w:style>
  <w:style w:type="character" w:customStyle="1" w:styleId="107">
    <w:name w:val="称呼 Char2"/>
    <w:semiHidden/>
    <w:qFormat/>
    <w:uiPriority w:val="99"/>
    <w:rPr>
      <w:kern w:val="2"/>
      <w:sz w:val="21"/>
      <w:szCs w:val="24"/>
    </w:rPr>
  </w:style>
  <w:style w:type="character" w:customStyle="1" w:styleId="108">
    <w:name w:val="纯文本 Char4"/>
    <w:semiHidden/>
    <w:qFormat/>
    <w:uiPriority w:val="99"/>
    <w:rPr>
      <w:rFonts w:ascii="宋体" w:hAnsi="Courier New" w:cs="Courier New"/>
      <w:kern w:val="2"/>
      <w:sz w:val="21"/>
      <w:szCs w:val="21"/>
    </w:rPr>
  </w:style>
  <w:style w:type="character" w:customStyle="1" w:styleId="109">
    <w:name w:val="尾注文本 Char2"/>
    <w:semiHidden/>
    <w:qFormat/>
    <w:uiPriority w:val="99"/>
    <w:rPr>
      <w:kern w:val="2"/>
      <w:sz w:val="21"/>
      <w:szCs w:val="24"/>
    </w:rPr>
  </w:style>
  <w:style w:type="character" w:customStyle="1" w:styleId="110">
    <w:name w:val="正文文本 Char2"/>
    <w:semiHidden/>
    <w:qFormat/>
    <w:uiPriority w:val="99"/>
    <w:rPr>
      <w:rFonts w:ascii="Times New Roman" w:hAnsi="Times New Roman"/>
      <w:kern w:val="2"/>
      <w:sz w:val="21"/>
      <w:szCs w:val="24"/>
    </w:rPr>
  </w:style>
  <w:style w:type="character" w:customStyle="1" w:styleId="111">
    <w:name w:val="Comment Text Char"/>
    <w:qFormat/>
    <w:locked/>
    <w:uiPriority w:val="0"/>
    <w:rPr>
      <w:rFonts w:eastAsia="宋体"/>
      <w:sz w:val="24"/>
    </w:rPr>
  </w:style>
  <w:style w:type="character" w:customStyle="1" w:styleId="112">
    <w:name w:val="Char Char31"/>
    <w:qFormat/>
    <w:locked/>
    <w:uiPriority w:val="0"/>
    <w:rPr>
      <w:rFonts w:hint="default" w:ascii="Arial" w:hAnsi="Arial" w:eastAsia="黑体" w:cs="宋体"/>
      <w:b/>
      <w:kern w:val="2"/>
      <w:sz w:val="24"/>
      <w:szCs w:val="24"/>
      <w:lang w:val="en-US" w:eastAsia="zh-CN" w:bidi="ar-SA"/>
    </w:rPr>
  </w:style>
  <w:style w:type="character" w:customStyle="1" w:styleId="113">
    <w:name w:val="HTML 预设格式 Char"/>
    <w:qFormat/>
    <w:uiPriority w:val="0"/>
    <w:rPr>
      <w:rFonts w:ascii="黑体" w:hAnsi="Courier New" w:eastAsia="黑体" w:cs="Courier New"/>
      <w:lang w:val="en-US" w:eastAsia="zh-CN" w:bidi="ar-SA"/>
    </w:rPr>
  </w:style>
  <w:style w:type="character" w:customStyle="1" w:styleId="114">
    <w:name w:val="Char Char"/>
    <w:qFormat/>
    <w:uiPriority w:val="0"/>
    <w:rPr>
      <w:rFonts w:hint="eastAsia" w:ascii="宋体" w:hAnsi="宋体" w:eastAsia="宋体"/>
      <w:kern w:val="2"/>
      <w:sz w:val="16"/>
      <w:szCs w:val="16"/>
      <w:lang w:val="en-US" w:eastAsia="zh-CN" w:bidi="ar-SA"/>
    </w:rPr>
  </w:style>
  <w:style w:type="character" w:customStyle="1" w:styleId="115">
    <w:name w:val="prodname"/>
    <w:qFormat/>
    <w:uiPriority w:val="0"/>
  </w:style>
  <w:style w:type="character" w:customStyle="1" w:styleId="116">
    <w:name w:val="Char Char142"/>
    <w:qFormat/>
    <w:uiPriority w:val="0"/>
    <w:rPr>
      <w:sz w:val="18"/>
      <w:szCs w:val="18"/>
    </w:rPr>
  </w:style>
  <w:style w:type="character" w:customStyle="1" w:styleId="117">
    <w:name w:val="Char Char16"/>
    <w:qFormat/>
    <w:uiPriority w:val="0"/>
    <w:rPr>
      <w:rFonts w:hint="default" w:ascii="Arial" w:hAnsi="Arial" w:eastAsia="黑体" w:cs="Arial"/>
      <w:b/>
      <w:kern w:val="2"/>
      <w:sz w:val="24"/>
      <w:szCs w:val="24"/>
    </w:rPr>
  </w:style>
  <w:style w:type="character" w:customStyle="1" w:styleId="118">
    <w:name w:val="Plain Text Char"/>
    <w:link w:val="119"/>
    <w:qFormat/>
    <w:locked/>
    <w:uiPriority w:val="99"/>
    <w:rPr>
      <w:rFonts w:ascii="宋体" w:hAnsi="Courier New" w:eastAsia="宋体"/>
      <w:kern w:val="2"/>
      <w:sz w:val="21"/>
    </w:rPr>
  </w:style>
  <w:style w:type="paragraph" w:customStyle="1" w:styleId="119">
    <w:name w:val="纯文本1"/>
    <w:basedOn w:val="1"/>
    <w:link w:val="118"/>
    <w:qFormat/>
    <w:uiPriority w:val="99"/>
    <w:rPr>
      <w:rFonts w:ascii="宋体" w:hAnsi="Courier New"/>
      <w:szCs w:val="20"/>
    </w:rPr>
  </w:style>
  <w:style w:type="character" w:customStyle="1" w:styleId="120">
    <w:name w:val="text11"/>
    <w:qFormat/>
    <w:uiPriority w:val="0"/>
    <w:rPr>
      <w:rFonts w:hint="default" w:ascii="Verdana" w:hAnsi="Verdana"/>
      <w:color w:val="4E4E4E"/>
      <w:sz w:val="18"/>
      <w:szCs w:val="18"/>
    </w:rPr>
  </w:style>
  <w:style w:type="character" w:customStyle="1" w:styleId="121">
    <w:name w:val="标题 2 Char"/>
    <w:qFormat/>
    <w:uiPriority w:val="0"/>
    <w:rPr>
      <w:rFonts w:ascii="Arial" w:hAnsi="Arial" w:eastAsia="黑体"/>
      <w:b/>
      <w:bCs/>
      <w:sz w:val="32"/>
      <w:szCs w:val="32"/>
      <w:lang w:bidi="ar-SA"/>
    </w:rPr>
  </w:style>
  <w:style w:type="character" w:customStyle="1" w:styleId="122">
    <w:name w:val="mark13"/>
    <w:qFormat/>
    <w:uiPriority w:val="0"/>
  </w:style>
  <w:style w:type="character" w:customStyle="1" w:styleId="123">
    <w:name w:val="页码 New New New New New"/>
    <w:qFormat/>
    <w:uiPriority w:val="0"/>
  </w:style>
  <w:style w:type="character" w:customStyle="1" w:styleId="124">
    <w:name w:val="普通文字 Char Char4"/>
    <w:qFormat/>
    <w:uiPriority w:val="0"/>
    <w:rPr>
      <w:rFonts w:ascii="宋体" w:hAnsi="Courier New" w:eastAsia="宋体" w:cs="Courier New"/>
      <w:kern w:val="2"/>
      <w:sz w:val="21"/>
      <w:szCs w:val="21"/>
      <w:lang w:val="en-US" w:eastAsia="zh-CN" w:bidi="ar-SA"/>
    </w:rPr>
  </w:style>
  <w:style w:type="character" w:customStyle="1" w:styleId="125">
    <w:name w:val="标题 7 Char"/>
    <w:qFormat/>
    <w:uiPriority w:val="0"/>
    <w:rPr>
      <w:rFonts w:eastAsia="宋体"/>
      <w:b/>
      <w:kern w:val="2"/>
      <w:sz w:val="24"/>
      <w:szCs w:val="24"/>
      <w:lang w:val="en-US" w:eastAsia="zh-CN" w:bidi="ar-SA"/>
    </w:rPr>
  </w:style>
  <w:style w:type="character" w:customStyle="1" w:styleId="126">
    <w:name w:val="ca-32"/>
    <w:qFormat/>
    <w:uiPriority w:val="0"/>
  </w:style>
  <w:style w:type="character" w:customStyle="1" w:styleId="127">
    <w:name w:val="p1"/>
    <w:qFormat/>
    <w:uiPriority w:val="0"/>
  </w:style>
  <w:style w:type="character" w:customStyle="1" w:styleId="128">
    <w:name w:val="Char Char Char1"/>
    <w:qFormat/>
    <w:uiPriority w:val="0"/>
    <w:rPr>
      <w:rFonts w:hint="eastAsia" w:ascii="宋体" w:hAnsi="宋体" w:eastAsia="宋体"/>
      <w:kern w:val="2"/>
      <w:sz w:val="18"/>
      <w:szCs w:val="18"/>
      <w:lang w:val="en-US" w:eastAsia="zh-CN" w:bidi="ar-SA"/>
    </w:rPr>
  </w:style>
  <w:style w:type="character" w:customStyle="1" w:styleId="129">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130">
    <w:name w:val="标题 3 Char"/>
    <w:qFormat/>
    <w:uiPriority w:val="0"/>
    <w:rPr>
      <w:rFonts w:eastAsia="宋体"/>
      <w:b/>
      <w:bCs/>
      <w:sz w:val="32"/>
      <w:szCs w:val="32"/>
      <w:lang w:bidi="ar-SA"/>
    </w:rPr>
  </w:style>
  <w:style w:type="character" w:customStyle="1" w:styleId="131">
    <w:name w:val="标题 2 Char2"/>
    <w:qFormat/>
    <w:locked/>
    <w:uiPriority w:val="0"/>
    <w:rPr>
      <w:rFonts w:hint="default" w:ascii="Arial" w:hAnsi="Arial" w:eastAsia="黑体" w:cs="Arial"/>
      <w:b/>
      <w:bCs/>
      <w:sz w:val="32"/>
      <w:szCs w:val="32"/>
    </w:rPr>
  </w:style>
  <w:style w:type="character" w:customStyle="1" w:styleId="132">
    <w:name w:val="批注文字 Char3"/>
    <w:qFormat/>
    <w:locked/>
    <w:uiPriority w:val="0"/>
    <w:rPr>
      <w:rFonts w:hint="eastAsia" w:ascii="宋体" w:hAnsi="宋体" w:eastAsia="宋体"/>
      <w:kern w:val="2"/>
      <w:sz w:val="21"/>
      <w:szCs w:val="24"/>
    </w:rPr>
  </w:style>
  <w:style w:type="character" w:customStyle="1" w:styleId="133">
    <w:name w:val="正文文本缩进 2 Char"/>
    <w:link w:val="134"/>
    <w:qFormat/>
    <w:uiPriority w:val="0"/>
    <w:rPr>
      <w:rFonts w:eastAsia="宋体"/>
      <w:kern w:val="2"/>
      <w:sz w:val="32"/>
      <w:lang w:val="en-US" w:eastAsia="zh-CN" w:bidi="ar-SA"/>
    </w:rPr>
  </w:style>
  <w:style w:type="paragraph" w:customStyle="1" w:styleId="134">
    <w:name w:val="正文文本缩进 21"/>
    <w:basedOn w:val="1"/>
    <w:link w:val="133"/>
    <w:qFormat/>
    <w:uiPriority w:val="0"/>
    <w:pPr>
      <w:ind w:firstLine="630"/>
    </w:pPr>
    <w:rPr>
      <w:sz w:val="32"/>
      <w:szCs w:val="20"/>
    </w:rPr>
  </w:style>
  <w:style w:type="character" w:customStyle="1" w:styleId="135">
    <w:name w:val="正文文本 3 Char2"/>
    <w:qFormat/>
    <w:locked/>
    <w:uiPriority w:val="99"/>
    <w:rPr>
      <w:rFonts w:hint="eastAsia" w:ascii="宋体" w:hAnsi="宋体" w:eastAsia="宋体"/>
      <w:b/>
      <w:bCs/>
      <w:kern w:val="2"/>
      <w:sz w:val="24"/>
      <w:szCs w:val="24"/>
    </w:rPr>
  </w:style>
  <w:style w:type="character" w:customStyle="1" w:styleId="136">
    <w:name w:val="Char Char11"/>
    <w:qFormat/>
    <w:uiPriority w:val="0"/>
    <w:rPr>
      <w:rFonts w:ascii="Times New Roman" w:hAnsi="Times New Roman" w:eastAsia="宋体" w:cs="Times New Roman"/>
      <w:sz w:val="30"/>
      <w:szCs w:val="24"/>
    </w:rPr>
  </w:style>
  <w:style w:type="character" w:customStyle="1" w:styleId="137">
    <w:name w:val="sel9"/>
    <w:qFormat/>
    <w:uiPriority w:val="0"/>
    <w:rPr>
      <w:rFonts w:hint="eastAsia" w:ascii="宋体" w:hAnsi="宋体" w:eastAsia="宋体"/>
      <w:b/>
      <w:bCs/>
      <w:sz w:val="21"/>
      <w:szCs w:val="21"/>
    </w:rPr>
  </w:style>
  <w:style w:type="character" w:customStyle="1" w:styleId="138">
    <w:name w:val="font11"/>
    <w:qFormat/>
    <w:uiPriority w:val="0"/>
    <w:rPr>
      <w:rFonts w:hint="eastAsia" w:ascii="宋体" w:hAnsi="宋体" w:eastAsia="宋体" w:cs="宋体"/>
      <w:color w:val="000000"/>
      <w:sz w:val="24"/>
      <w:szCs w:val="24"/>
      <w:u w:val="none"/>
    </w:rPr>
  </w:style>
  <w:style w:type="character" w:customStyle="1" w:styleId="139">
    <w:name w:val="纯文本 字符"/>
    <w:qFormat/>
    <w:uiPriority w:val="0"/>
    <w:rPr>
      <w:rFonts w:hint="eastAsia" w:ascii="宋体" w:hAnsi="Courier New" w:eastAsia="宋体" w:cs="Courier New"/>
      <w:szCs w:val="21"/>
    </w:rPr>
  </w:style>
  <w:style w:type="character" w:customStyle="1" w:styleId="140">
    <w:name w:val="font81"/>
    <w:qFormat/>
    <w:uiPriority w:val="0"/>
    <w:rPr>
      <w:rFonts w:hint="default" w:ascii="华文宋体" w:hAnsi="华文宋体" w:eastAsia="华文宋体" w:cs="华文宋体"/>
      <w:color w:val="000000"/>
      <w:sz w:val="24"/>
      <w:szCs w:val="24"/>
      <w:u w:val="none"/>
    </w:rPr>
  </w:style>
  <w:style w:type="character" w:customStyle="1" w:styleId="141">
    <w:name w:val="页码 New New New New New New New"/>
    <w:qFormat/>
    <w:uiPriority w:val="0"/>
  </w:style>
  <w:style w:type="character" w:customStyle="1" w:styleId="142">
    <w:name w:val="文档结构图 Char"/>
    <w:link w:val="143"/>
    <w:qFormat/>
    <w:uiPriority w:val="0"/>
    <w:rPr>
      <w:rFonts w:eastAsia="宋体"/>
      <w:kern w:val="2"/>
      <w:sz w:val="21"/>
      <w:szCs w:val="24"/>
      <w:lang w:val="en-US" w:eastAsia="zh-CN" w:bidi="ar-SA"/>
    </w:rPr>
  </w:style>
  <w:style w:type="paragraph" w:customStyle="1" w:styleId="143">
    <w:name w:val="文档结构图1"/>
    <w:basedOn w:val="1"/>
    <w:link w:val="142"/>
    <w:qFormat/>
    <w:uiPriority w:val="0"/>
    <w:pPr>
      <w:shd w:val="clear" w:color="auto" w:fill="000080"/>
    </w:pPr>
  </w:style>
  <w:style w:type="character" w:customStyle="1" w:styleId="144">
    <w:name w:val="Char Char13"/>
    <w:qFormat/>
    <w:uiPriority w:val="0"/>
    <w:rPr>
      <w:rFonts w:hint="eastAsia" w:ascii="仿宋_GB2312" w:eastAsia="仿宋_GB2312"/>
      <w:kern w:val="2"/>
      <w:sz w:val="32"/>
      <w:lang w:val="en-US" w:eastAsia="zh-CN" w:bidi="ar-SA"/>
    </w:rPr>
  </w:style>
  <w:style w:type="character" w:customStyle="1" w:styleId="145">
    <w:name w:val="apple-style-span"/>
    <w:qFormat/>
    <w:uiPriority w:val="0"/>
  </w:style>
  <w:style w:type="character" w:customStyle="1" w:styleId="146">
    <w:name w:val="Char Char6"/>
    <w:qFormat/>
    <w:locked/>
    <w:uiPriority w:val="0"/>
    <w:rPr>
      <w:rFonts w:hint="eastAsia" w:ascii="宋体" w:hAnsi="Courier New" w:eastAsia="宋体" w:cs="Courier New"/>
      <w:kern w:val="2"/>
      <w:sz w:val="21"/>
      <w:szCs w:val="21"/>
      <w:lang w:val="en-US" w:eastAsia="zh-CN" w:bidi="ar-SA"/>
    </w:rPr>
  </w:style>
  <w:style w:type="character" w:customStyle="1" w:styleId="147">
    <w:name w:val="标题 8 Char"/>
    <w:qFormat/>
    <w:uiPriority w:val="0"/>
    <w:rPr>
      <w:rFonts w:ascii="Arial" w:hAnsi="Arial" w:eastAsia="黑体"/>
      <w:kern w:val="2"/>
      <w:sz w:val="24"/>
      <w:szCs w:val="24"/>
      <w:lang w:val="en-US" w:eastAsia="zh-CN" w:bidi="ar-SA"/>
    </w:rPr>
  </w:style>
  <w:style w:type="character" w:customStyle="1" w:styleId="148">
    <w:name w:val="Char Char35"/>
    <w:qFormat/>
    <w:locked/>
    <w:uiPriority w:val="0"/>
    <w:rPr>
      <w:rFonts w:hint="default" w:ascii="Arial" w:hAnsi="Arial" w:eastAsia="黑体" w:cs="宋体"/>
      <w:b/>
      <w:bCs/>
      <w:kern w:val="2"/>
      <w:sz w:val="32"/>
      <w:szCs w:val="32"/>
      <w:lang w:val="en-US" w:eastAsia="zh-CN" w:bidi="ar-SA"/>
    </w:rPr>
  </w:style>
  <w:style w:type="character" w:customStyle="1" w:styleId="149">
    <w:name w:val="标题 3 字符"/>
    <w:qFormat/>
    <w:uiPriority w:val="0"/>
    <w:rPr>
      <w:b/>
      <w:bCs/>
      <w:kern w:val="2"/>
      <w:sz w:val="32"/>
      <w:szCs w:val="32"/>
    </w:rPr>
  </w:style>
  <w:style w:type="character" w:customStyle="1" w:styleId="150">
    <w:name w:val="Char Char18"/>
    <w:qFormat/>
    <w:uiPriority w:val="0"/>
    <w:rPr>
      <w:rFonts w:hint="default" w:ascii="Arial" w:hAnsi="Arial" w:eastAsia="黑体" w:cs="Arial"/>
      <w:kern w:val="2"/>
      <w:sz w:val="21"/>
      <w:szCs w:val="24"/>
      <w:lang w:val="en-US" w:eastAsia="zh-CN" w:bidi="ar-SA"/>
    </w:rPr>
  </w:style>
  <w:style w:type="character" w:customStyle="1" w:styleId="151">
    <w:name w:val="ca-8"/>
    <w:qFormat/>
    <w:uiPriority w:val="0"/>
  </w:style>
  <w:style w:type="character" w:customStyle="1" w:styleId="152">
    <w:name w:val="ca-10"/>
    <w:qFormat/>
    <w:uiPriority w:val="0"/>
  </w:style>
  <w:style w:type="character" w:customStyle="1" w:styleId="153">
    <w:name w:val="Char Char5"/>
    <w:qFormat/>
    <w:uiPriority w:val="0"/>
    <w:rPr>
      <w:rFonts w:hint="eastAsia" w:ascii="宋体" w:hAnsi="Courier New" w:eastAsia="宋体" w:cs="Courier New"/>
      <w:kern w:val="2"/>
      <w:sz w:val="21"/>
      <w:szCs w:val="21"/>
      <w:lang w:val="en-US" w:eastAsia="zh-CN" w:bidi="ar-SA"/>
    </w:rPr>
  </w:style>
  <w:style w:type="character" w:customStyle="1" w:styleId="154">
    <w:name w:val="font21"/>
    <w:qFormat/>
    <w:uiPriority w:val="0"/>
    <w:rPr>
      <w:rFonts w:hint="eastAsia" w:ascii="宋体" w:hAnsi="宋体" w:eastAsia="宋体" w:cs="宋体"/>
      <w:color w:val="000000"/>
      <w:sz w:val="24"/>
      <w:szCs w:val="24"/>
      <w:u w:val="none"/>
    </w:rPr>
  </w:style>
  <w:style w:type="character" w:customStyle="1" w:styleId="155">
    <w:name w:val="Body Text Char"/>
    <w:qFormat/>
    <w:locked/>
    <w:uiPriority w:val="0"/>
    <w:rPr>
      <w:rFonts w:eastAsia="宋体"/>
      <w:kern w:val="2"/>
      <w:sz w:val="24"/>
      <w:szCs w:val="24"/>
      <w:lang w:val="en-US" w:eastAsia="zh-CN" w:bidi="ar-SA"/>
    </w:rPr>
  </w:style>
  <w:style w:type="character" w:customStyle="1" w:styleId="156">
    <w:name w:val="标题 Char4"/>
    <w:qFormat/>
    <w:uiPriority w:val="10"/>
    <w:rPr>
      <w:rFonts w:hint="default" w:ascii="Cambria" w:hAnsi="Cambria" w:cs="Times New Roman"/>
      <w:b/>
      <w:bCs/>
      <w:kern w:val="2"/>
      <w:sz w:val="32"/>
      <w:szCs w:val="32"/>
    </w:rPr>
  </w:style>
  <w:style w:type="character" w:customStyle="1" w:styleId="157">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58">
    <w:name w:val="批注文字 Char1"/>
    <w:qFormat/>
    <w:locked/>
    <w:uiPriority w:val="0"/>
    <w:rPr>
      <w:sz w:val="24"/>
    </w:rPr>
  </w:style>
  <w:style w:type="character" w:customStyle="1" w:styleId="159">
    <w:name w:val="手改 Char Char"/>
    <w:qFormat/>
    <w:uiPriority w:val="0"/>
    <w:rPr>
      <w:rFonts w:hint="eastAsia" w:ascii="宋体" w:hAnsi="宋体" w:eastAsia="宋体"/>
      <w:kern w:val="2"/>
      <w:sz w:val="24"/>
      <w:szCs w:val="24"/>
      <w:lang w:val="en-US" w:eastAsia="zh-CN" w:bidi="ar-SA"/>
    </w:rPr>
  </w:style>
  <w:style w:type="character" w:customStyle="1" w:styleId="160">
    <w:name w:val="标题 3 Char Char"/>
    <w:qFormat/>
    <w:locked/>
    <w:uiPriority w:val="0"/>
    <w:rPr>
      <w:rFonts w:hint="eastAsia" w:ascii="宋体" w:hAnsi="宋体" w:eastAsia="宋体"/>
      <w:b/>
      <w:bCs/>
      <w:kern w:val="2"/>
      <w:sz w:val="32"/>
      <w:szCs w:val="32"/>
      <w:lang w:val="en-US" w:eastAsia="zh-CN" w:bidi="ar-SA"/>
    </w:rPr>
  </w:style>
  <w:style w:type="character" w:customStyle="1" w:styleId="161">
    <w:name w:val="cubane_hilight1"/>
    <w:qFormat/>
    <w:uiPriority w:val="0"/>
    <w:rPr>
      <w:color w:val="CC0000"/>
    </w:rPr>
  </w:style>
  <w:style w:type="character" w:customStyle="1" w:styleId="162">
    <w:name w:val="标题 5 Char"/>
    <w:qFormat/>
    <w:uiPriority w:val="0"/>
    <w:rPr>
      <w:rFonts w:eastAsia="宋体"/>
      <w:b/>
      <w:kern w:val="2"/>
      <w:sz w:val="28"/>
      <w:szCs w:val="24"/>
      <w:lang w:val="en-US" w:eastAsia="zh-CN" w:bidi="ar-SA"/>
    </w:rPr>
  </w:style>
  <w:style w:type="character" w:customStyle="1" w:styleId="163">
    <w:name w:val="正文文本 2 Char2"/>
    <w:qFormat/>
    <w:locked/>
    <w:uiPriority w:val="99"/>
    <w:rPr>
      <w:kern w:val="2"/>
      <w:sz w:val="21"/>
      <w:szCs w:val="24"/>
    </w:rPr>
  </w:style>
  <w:style w:type="character" w:customStyle="1" w:styleId="164">
    <w:name w:val="正文文本 Char"/>
    <w:qFormat/>
    <w:uiPriority w:val="0"/>
    <w:rPr>
      <w:rFonts w:eastAsia="宋体"/>
      <w:kern w:val="2"/>
      <w:sz w:val="24"/>
      <w:szCs w:val="24"/>
      <w:lang w:val="en-US" w:eastAsia="zh-CN" w:bidi="ar-SA"/>
    </w:rPr>
  </w:style>
  <w:style w:type="character" w:customStyle="1" w:styleId="165">
    <w:name w:val="正文首行缩进 Char2"/>
    <w:qFormat/>
    <w:uiPriority w:val="99"/>
    <w:rPr>
      <w:rFonts w:hint="eastAsia" w:ascii="宋体" w:hAnsi="宋体" w:eastAsia="宋体"/>
      <w:kern w:val="2"/>
      <w:sz w:val="21"/>
      <w:szCs w:val="24"/>
      <w:lang w:val="en-US" w:eastAsia="zh-CN" w:bidi="ar-SA"/>
    </w:rPr>
  </w:style>
  <w:style w:type="character" w:customStyle="1" w:styleId="166">
    <w:name w:val="content"/>
    <w:qFormat/>
    <w:uiPriority w:val="0"/>
  </w:style>
  <w:style w:type="character" w:customStyle="1" w:styleId="167">
    <w:name w:val="标题 3 Char2"/>
    <w:qFormat/>
    <w:locked/>
    <w:uiPriority w:val="0"/>
    <w:rPr>
      <w:b/>
      <w:bCs/>
      <w:sz w:val="32"/>
      <w:szCs w:val="32"/>
    </w:rPr>
  </w:style>
  <w:style w:type="character" w:customStyle="1" w:styleId="168">
    <w:name w:val="Plain Text Char1"/>
    <w:semiHidden/>
    <w:qFormat/>
    <w:uiPriority w:val="99"/>
    <w:rPr>
      <w:rFonts w:ascii="宋体" w:hAnsi="Courier New" w:cs="Courier New"/>
      <w:szCs w:val="21"/>
    </w:rPr>
  </w:style>
  <w:style w:type="character" w:customStyle="1" w:styleId="169">
    <w:name w:val="正文文本缩进 3 Char2"/>
    <w:qFormat/>
    <w:locked/>
    <w:uiPriority w:val="99"/>
    <w:rPr>
      <w:kern w:val="2"/>
      <w:sz w:val="16"/>
      <w:szCs w:val="16"/>
    </w:rPr>
  </w:style>
  <w:style w:type="character" w:customStyle="1" w:styleId="170">
    <w:name w:val="细化要求 Char"/>
    <w:link w:val="171"/>
    <w:qFormat/>
    <w:locked/>
    <w:uiPriority w:val="0"/>
    <w:rPr>
      <w:rFonts w:ascii="楷体_GB2312" w:hAnsi="Calibri" w:eastAsia="楷体_GB2312"/>
      <w:b/>
      <w:color w:val="FF0000"/>
      <w:sz w:val="24"/>
    </w:rPr>
  </w:style>
  <w:style w:type="paragraph" w:customStyle="1" w:styleId="171">
    <w:name w:val="细化要求"/>
    <w:basedOn w:val="1"/>
    <w:link w:val="170"/>
    <w:qFormat/>
    <w:uiPriority w:val="0"/>
    <w:pPr>
      <w:ind w:firstLine="200" w:firstLineChars="200"/>
    </w:pPr>
    <w:rPr>
      <w:rFonts w:ascii="楷体_GB2312" w:hAnsi="Calibri" w:eastAsia="楷体_GB2312"/>
      <w:b/>
      <w:color w:val="FF0000"/>
      <w:kern w:val="0"/>
      <w:sz w:val="24"/>
      <w:szCs w:val="20"/>
    </w:rPr>
  </w:style>
  <w:style w:type="character" w:customStyle="1" w:styleId="172">
    <w:name w:val="标题 Char"/>
    <w:qFormat/>
    <w:uiPriority w:val="0"/>
    <w:rPr>
      <w:rFonts w:ascii="Arial" w:hAnsi="Arial" w:eastAsia="宋体"/>
      <w:b/>
      <w:bCs/>
      <w:kern w:val="2"/>
      <w:sz w:val="32"/>
      <w:szCs w:val="32"/>
      <w:lang w:bidi="ar-SA"/>
    </w:rPr>
  </w:style>
  <w:style w:type="character" w:customStyle="1" w:styleId="173">
    <w:name w:val="style161"/>
    <w:qFormat/>
    <w:uiPriority w:val="0"/>
    <w:rPr>
      <w:color w:val="666666"/>
    </w:rPr>
  </w:style>
  <w:style w:type="character" w:customStyle="1" w:styleId="174">
    <w:name w:val="标题 1 Char"/>
    <w:qFormat/>
    <w:uiPriority w:val="0"/>
    <w:rPr>
      <w:rFonts w:eastAsia="宋体"/>
      <w:b/>
      <w:bCs/>
      <w:kern w:val="44"/>
      <w:sz w:val="44"/>
      <w:szCs w:val="44"/>
      <w:lang w:val="en-US" w:eastAsia="zh-CN" w:bidi="ar-SA"/>
    </w:rPr>
  </w:style>
  <w:style w:type="character" w:customStyle="1" w:styleId="175">
    <w:name w:val="文档结构图 Char2"/>
    <w:semiHidden/>
    <w:qFormat/>
    <w:uiPriority w:val="99"/>
    <w:rPr>
      <w:rFonts w:ascii="宋体"/>
      <w:kern w:val="2"/>
      <w:sz w:val="18"/>
      <w:szCs w:val="18"/>
    </w:rPr>
  </w:style>
  <w:style w:type="character" w:customStyle="1" w:styleId="176">
    <w:name w:val="Char Char11111"/>
    <w:qFormat/>
    <w:uiPriority w:val="0"/>
    <w:rPr>
      <w:rFonts w:hint="default" w:ascii="Times New Roman" w:hAnsi="Times New Roman" w:eastAsia="宋体" w:cs="Times New Roman"/>
      <w:sz w:val="30"/>
      <w:szCs w:val="24"/>
    </w:rPr>
  </w:style>
  <w:style w:type="character" w:customStyle="1" w:styleId="177">
    <w:name w:val="无间隔 Char Char"/>
    <w:qFormat/>
    <w:uiPriority w:val="0"/>
    <w:rPr>
      <w:rFonts w:ascii="Calibri" w:hAnsi="Calibri" w:eastAsia="宋体"/>
      <w:sz w:val="22"/>
      <w:szCs w:val="22"/>
      <w:lang w:val="en-US" w:eastAsia="zh-CN" w:bidi="ar-SA"/>
    </w:rPr>
  </w:style>
  <w:style w:type="character" w:customStyle="1" w:styleId="178">
    <w:name w:val="不明显参考1"/>
    <w:qFormat/>
    <w:uiPriority w:val="31"/>
    <w:rPr>
      <w:smallCaps/>
      <w:color w:val="C0504D"/>
      <w:u w:val="single"/>
    </w:rPr>
  </w:style>
  <w:style w:type="character" w:customStyle="1" w:styleId="179">
    <w:name w:val="Char Char14"/>
    <w:qFormat/>
    <w:uiPriority w:val="0"/>
    <w:rPr>
      <w:sz w:val="18"/>
      <w:szCs w:val="18"/>
    </w:rPr>
  </w:style>
  <w:style w:type="character" w:customStyle="1" w:styleId="180">
    <w:name w:val="批注主题 Char"/>
    <w:link w:val="181"/>
    <w:qFormat/>
    <w:uiPriority w:val="99"/>
    <w:rPr>
      <w:rFonts w:eastAsia="宋体"/>
      <w:b/>
      <w:bCs/>
      <w:kern w:val="2"/>
      <w:sz w:val="21"/>
      <w:szCs w:val="24"/>
      <w:lang w:bidi="ar-SA"/>
    </w:rPr>
  </w:style>
  <w:style w:type="paragraph" w:customStyle="1" w:styleId="181">
    <w:name w:val="批注主题1"/>
    <w:basedOn w:val="19"/>
    <w:next w:val="19"/>
    <w:link w:val="180"/>
    <w:qFormat/>
    <w:uiPriority w:val="99"/>
    <w:pPr>
      <w:adjustRightInd/>
      <w:spacing w:line="240" w:lineRule="auto"/>
      <w:textAlignment w:val="auto"/>
    </w:pPr>
    <w:rPr>
      <w:b/>
      <w:bCs/>
      <w:kern w:val="2"/>
      <w:sz w:val="21"/>
      <w:szCs w:val="24"/>
    </w:rPr>
  </w:style>
  <w:style w:type="character" w:customStyle="1" w:styleId="182">
    <w:name w:val="ca-14"/>
    <w:qFormat/>
    <w:uiPriority w:val="0"/>
  </w:style>
  <w:style w:type="character" w:customStyle="1" w:styleId="183">
    <w:name w:val="ca-7"/>
    <w:qFormat/>
    <w:uiPriority w:val="0"/>
  </w:style>
  <w:style w:type="character" w:customStyle="1" w:styleId="184">
    <w:name w:val="批注框文本 Char"/>
    <w:qFormat/>
    <w:uiPriority w:val="99"/>
    <w:rPr>
      <w:rFonts w:eastAsia="宋体"/>
      <w:kern w:val="2"/>
      <w:sz w:val="18"/>
      <w:szCs w:val="18"/>
      <w:lang w:val="en-US" w:eastAsia="zh-CN" w:bidi="ar-SA"/>
    </w:rPr>
  </w:style>
  <w:style w:type="character" w:customStyle="1" w:styleId="185">
    <w:name w:val="Char Char19"/>
    <w:qFormat/>
    <w:uiPriority w:val="0"/>
    <w:rPr>
      <w:rFonts w:hint="default" w:ascii="Arial" w:hAnsi="Arial" w:eastAsia="黑体" w:cs="Arial"/>
      <w:kern w:val="2"/>
      <w:sz w:val="24"/>
      <w:szCs w:val="24"/>
      <w:lang w:val="en-US" w:eastAsia="zh-CN" w:bidi="ar-SA"/>
    </w:rPr>
  </w:style>
  <w:style w:type="character" w:customStyle="1" w:styleId="186">
    <w:name w:val="font51"/>
    <w:qFormat/>
    <w:uiPriority w:val="0"/>
    <w:rPr>
      <w:rFonts w:hint="eastAsia" w:ascii="黑体" w:hAnsi="宋体" w:eastAsia="黑体" w:cs="黑体"/>
      <w:b/>
      <w:color w:val="000000"/>
      <w:sz w:val="40"/>
      <w:szCs w:val="40"/>
      <w:u w:val="none"/>
    </w:rPr>
  </w:style>
  <w:style w:type="character" w:customStyle="1" w:styleId="187">
    <w:name w:val="已访问的超链接1"/>
    <w:qFormat/>
    <w:uiPriority w:val="99"/>
    <w:rPr>
      <w:color w:val="800080"/>
      <w:u w:val="single"/>
    </w:rPr>
  </w:style>
  <w:style w:type="character" w:customStyle="1" w:styleId="188">
    <w:name w:val="标题 Char3"/>
    <w:qFormat/>
    <w:locked/>
    <w:uiPriority w:val="10"/>
    <w:rPr>
      <w:rFonts w:hint="default" w:ascii="Arial" w:hAnsi="Arial" w:cs="Arial"/>
      <w:b/>
      <w:bCs/>
      <w:kern w:val="2"/>
      <w:sz w:val="32"/>
      <w:szCs w:val="32"/>
    </w:rPr>
  </w:style>
  <w:style w:type="character" w:customStyle="1" w:styleId="189">
    <w:name w:val="纯文本 Char1"/>
    <w:qFormat/>
    <w:uiPriority w:val="0"/>
    <w:rPr>
      <w:rFonts w:ascii="宋体" w:hAnsi="Courier New" w:eastAsia="宋体" w:cs="Courier New"/>
      <w:kern w:val="2"/>
      <w:sz w:val="21"/>
      <w:szCs w:val="21"/>
      <w:lang w:val="en-US" w:eastAsia="zh-CN" w:bidi="ar-SA"/>
    </w:rPr>
  </w:style>
  <w:style w:type="character" w:customStyle="1" w:styleId="190">
    <w:name w:val="标题 Char1"/>
    <w:qFormat/>
    <w:uiPriority w:val="0"/>
    <w:rPr>
      <w:rFonts w:hint="default" w:ascii="Cambria" w:hAnsi="Cambria" w:cs="Times New Roman"/>
      <w:b/>
      <w:bCs/>
      <w:kern w:val="2"/>
      <w:sz w:val="32"/>
      <w:szCs w:val="32"/>
    </w:rPr>
  </w:style>
  <w:style w:type="character" w:customStyle="1" w:styleId="191">
    <w:name w:val="Char Char23"/>
    <w:qFormat/>
    <w:uiPriority w:val="0"/>
    <w:rPr>
      <w:rFonts w:ascii="Times New Roman" w:hAnsi="Times New Roman" w:eastAsia="宋体" w:cs="Times New Roman"/>
      <w:b/>
      <w:bCs/>
      <w:kern w:val="44"/>
      <w:sz w:val="44"/>
      <w:szCs w:val="44"/>
    </w:rPr>
  </w:style>
  <w:style w:type="character" w:customStyle="1" w:styleId="192">
    <w:name w:val="Char Char17"/>
    <w:qFormat/>
    <w:uiPriority w:val="0"/>
    <w:rPr>
      <w:rFonts w:hint="default" w:ascii="Times New Roman" w:hAnsi="Times New Roman" w:cs="Times New Roman"/>
      <w:b/>
      <w:bCs/>
      <w:kern w:val="2"/>
      <w:sz w:val="21"/>
      <w:szCs w:val="24"/>
    </w:rPr>
  </w:style>
  <w:style w:type="character" w:customStyle="1" w:styleId="193">
    <w:name w:val="font31"/>
    <w:qFormat/>
    <w:uiPriority w:val="0"/>
    <w:rPr>
      <w:rFonts w:hint="eastAsia" w:ascii="宋体" w:hAnsi="宋体" w:eastAsia="宋体"/>
      <w:color w:val="004A6F"/>
      <w:sz w:val="18"/>
      <w:szCs w:val="18"/>
    </w:rPr>
  </w:style>
  <w:style w:type="character" w:customStyle="1" w:styleId="194">
    <w:name w:val="批注框文本 Char2"/>
    <w:qFormat/>
    <w:locked/>
    <w:uiPriority w:val="99"/>
    <w:rPr>
      <w:kern w:val="2"/>
      <w:sz w:val="18"/>
      <w:szCs w:val="18"/>
    </w:rPr>
  </w:style>
  <w:style w:type="character" w:customStyle="1" w:styleId="195">
    <w:name w:val="纯文本 Char2"/>
    <w:qFormat/>
    <w:uiPriority w:val="0"/>
    <w:rPr>
      <w:rFonts w:ascii="宋体" w:hAnsi="Courier New" w:eastAsia="宋体" w:cs="Courier New"/>
      <w:kern w:val="2"/>
      <w:sz w:val="21"/>
      <w:szCs w:val="21"/>
      <w:lang w:val="en-US" w:eastAsia="zh-CN" w:bidi="ar-SA"/>
    </w:rPr>
  </w:style>
  <w:style w:type="character" w:customStyle="1" w:styleId="196">
    <w:name w:val="H1 Char"/>
    <w:qFormat/>
    <w:uiPriority w:val="0"/>
    <w:rPr>
      <w:rFonts w:eastAsia="宋体"/>
      <w:b/>
      <w:bCs/>
      <w:kern w:val="44"/>
      <w:sz w:val="44"/>
      <w:szCs w:val="44"/>
      <w:lang w:val="en-US" w:eastAsia="zh-CN" w:bidi="ar-SA"/>
    </w:rPr>
  </w:style>
  <w:style w:type="character" w:customStyle="1" w:styleId="197">
    <w:name w:val="页码 New"/>
    <w:qFormat/>
    <w:uiPriority w:val="0"/>
  </w:style>
  <w:style w:type="character" w:customStyle="1" w:styleId="198">
    <w:name w:val="段 Char"/>
    <w:link w:val="199"/>
    <w:qFormat/>
    <w:locked/>
    <w:uiPriority w:val="0"/>
    <w:rPr>
      <w:rFonts w:ascii="宋体"/>
      <w:sz w:val="21"/>
      <w:lang w:val="en-US" w:eastAsia="zh-CN" w:bidi="ar-SA"/>
    </w:rPr>
  </w:style>
  <w:style w:type="paragraph" w:customStyle="1" w:styleId="199">
    <w:name w:val="段"/>
    <w:link w:val="19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0">
    <w:name w:val="Char Char32"/>
    <w:qFormat/>
    <w:locked/>
    <w:uiPriority w:val="0"/>
    <w:rPr>
      <w:rFonts w:hint="eastAsia" w:ascii="宋体" w:hAnsi="宋体" w:eastAsia="宋体"/>
      <w:b/>
      <w:kern w:val="2"/>
      <w:sz w:val="28"/>
      <w:szCs w:val="24"/>
      <w:lang w:val="en-US" w:eastAsia="zh-CN" w:bidi="ar-SA"/>
    </w:rPr>
  </w:style>
  <w:style w:type="character" w:customStyle="1" w:styleId="201">
    <w:name w:val="15"/>
    <w:qFormat/>
    <w:uiPriority w:val="0"/>
    <w:rPr>
      <w:rFonts w:hint="default" w:ascii="Times New Roman" w:hAnsi="Times New Roman" w:cs="Times New Roman"/>
      <w:color w:val="0000FF"/>
      <w:u w:val="single"/>
    </w:rPr>
  </w:style>
  <w:style w:type="character" w:customStyle="1" w:styleId="202">
    <w:name w:val="Char Char26"/>
    <w:qFormat/>
    <w:uiPriority w:val="0"/>
    <w:rPr>
      <w:rFonts w:hint="default" w:ascii="Arial" w:hAnsi="Arial" w:eastAsia="黑体" w:cs="Arial"/>
      <w:b/>
      <w:bCs/>
      <w:sz w:val="32"/>
      <w:szCs w:val="32"/>
      <w:lang w:bidi="ar-SA"/>
    </w:rPr>
  </w:style>
  <w:style w:type="character" w:customStyle="1" w:styleId="203">
    <w:name w:val="Char Char231"/>
    <w:qFormat/>
    <w:uiPriority w:val="0"/>
    <w:rPr>
      <w:rFonts w:hint="default" w:ascii="Times New Roman" w:hAnsi="Times New Roman" w:eastAsia="宋体" w:cs="Times New Roman"/>
      <w:b/>
      <w:bCs/>
      <w:kern w:val="44"/>
      <w:sz w:val="44"/>
      <w:szCs w:val="44"/>
    </w:rPr>
  </w:style>
  <w:style w:type="character" w:customStyle="1" w:styleId="204">
    <w:name w:val="正文（首行缩进2字符） Char"/>
    <w:link w:val="205"/>
    <w:qFormat/>
    <w:locked/>
    <w:uiPriority w:val="0"/>
    <w:rPr>
      <w:rFonts w:ascii="宋体" w:hAnsi="宋体"/>
      <w:kern w:val="2"/>
      <w:sz w:val="21"/>
      <w:szCs w:val="21"/>
    </w:rPr>
  </w:style>
  <w:style w:type="paragraph" w:customStyle="1" w:styleId="205">
    <w:name w:val="正文（首行缩进2字符）"/>
    <w:basedOn w:val="1"/>
    <w:link w:val="204"/>
    <w:qFormat/>
    <w:uiPriority w:val="0"/>
    <w:pPr>
      <w:spacing w:line="360" w:lineRule="auto"/>
      <w:ind w:firstLine="420" w:firstLineChars="200"/>
    </w:pPr>
    <w:rPr>
      <w:rFonts w:ascii="宋体" w:hAnsi="宋体"/>
      <w:szCs w:val="21"/>
    </w:rPr>
  </w:style>
  <w:style w:type="character" w:customStyle="1" w:styleId="206">
    <w:name w:val="页眉 字符"/>
    <w:qFormat/>
    <w:locked/>
    <w:uiPriority w:val="99"/>
    <w:rPr>
      <w:sz w:val="18"/>
      <w:szCs w:val="18"/>
    </w:rPr>
  </w:style>
  <w:style w:type="character" w:customStyle="1" w:styleId="207">
    <w:name w:val="Char Char112"/>
    <w:qFormat/>
    <w:uiPriority w:val="0"/>
    <w:rPr>
      <w:rFonts w:hint="default" w:ascii="Times New Roman" w:hAnsi="Times New Roman" w:eastAsia="宋体" w:cs="Times New Roman"/>
      <w:sz w:val="30"/>
      <w:szCs w:val="24"/>
    </w:rPr>
  </w:style>
  <w:style w:type="character" w:customStyle="1" w:styleId="208">
    <w:name w:val="ca-13"/>
    <w:qFormat/>
    <w:uiPriority w:val="0"/>
  </w:style>
  <w:style w:type="character" w:customStyle="1" w:styleId="209">
    <w:name w:val="正文文本 2 Char"/>
    <w:link w:val="210"/>
    <w:qFormat/>
    <w:uiPriority w:val="0"/>
    <w:rPr>
      <w:rFonts w:eastAsia="宋体"/>
      <w:kern w:val="2"/>
      <w:sz w:val="21"/>
      <w:szCs w:val="24"/>
      <w:lang w:val="en-US" w:eastAsia="zh-CN" w:bidi="ar-SA"/>
    </w:rPr>
  </w:style>
  <w:style w:type="paragraph" w:customStyle="1" w:styleId="210">
    <w:name w:val="正文文本 21"/>
    <w:basedOn w:val="1"/>
    <w:link w:val="209"/>
    <w:qFormat/>
    <w:uiPriority w:val="0"/>
    <w:pPr>
      <w:spacing w:after="120" w:line="480" w:lineRule="auto"/>
    </w:pPr>
  </w:style>
  <w:style w:type="character" w:customStyle="1" w:styleId="211">
    <w:name w:val="页眉 Char"/>
    <w:qFormat/>
    <w:uiPriority w:val="99"/>
    <w:rPr>
      <w:rFonts w:eastAsia="宋体"/>
      <w:kern w:val="2"/>
      <w:sz w:val="18"/>
      <w:szCs w:val="18"/>
      <w:lang w:val="en-US" w:eastAsia="zh-CN" w:bidi="ar-SA"/>
    </w:rPr>
  </w:style>
  <w:style w:type="character" w:customStyle="1" w:styleId="212">
    <w:name w:val="副标题 Char1"/>
    <w:qFormat/>
    <w:uiPriority w:val="11"/>
    <w:rPr>
      <w:rFonts w:hint="default" w:ascii="Cambria" w:hAnsi="Cambria" w:cs="Times New Roman"/>
      <w:b/>
      <w:bCs/>
      <w:kern w:val="28"/>
      <w:sz w:val="32"/>
      <w:szCs w:val="32"/>
    </w:rPr>
  </w:style>
  <w:style w:type="character" w:customStyle="1" w:styleId="213">
    <w:name w:val="value"/>
    <w:qFormat/>
    <w:uiPriority w:val="0"/>
  </w:style>
  <w:style w:type="character" w:customStyle="1" w:styleId="214">
    <w:name w:val="不明显强调1"/>
    <w:qFormat/>
    <w:uiPriority w:val="0"/>
    <w:rPr>
      <w:i/>
      <w:iCs/>
      <w:color w:val="808080"/>
    </w:rPr>
  </w:style>
  <w:style w:type="character" w:customStyle="1" w:styleId="215">
    <w:name w:val="mark16"/>
    <w:qFormat/>
    <w:uiPriority w:val="0"/>
  </w:style>
  <w:style w:type="character" w:customStyle="1" w:styleId="216">
    <w:name w:val="ca-5"/>
    <w:qFormat/>
    <w:uiPriority w:val="0"/>
  </w:style>
  <w:style w:type="character" w:customStyle="1" w:styleId="217">
    <w:name w:val="正文文本 Char3"/>
    <w:qFormat/>
    <w:locked/>
    <w:uiPriority w:val="0"/>
    <w:rPr>
      <w:kern w:val="2"/>
      <w:sz w:val="21"/>
      <w:szCs w:val="24"/>
    </w:rPr>
  </w:style>
  <w:style w:type="character" w:customStyle="1" w:styleId="218">
    <w:name w:val="无间隔 字符"/>
    <w:link w:val="219"/>
    <w:qFormat/>
    <w:uiPriority w:val="0"/>
    <w:rPr>
      <w:sz w:val="22"/>
      <w:szCs w:val="22"/>
      <w:lang w:val="en-US" w:eastAsia="zh-CN" w:bidi="ar-SA"/>
    </w:rPr>
  </w:style>
  <w:style w:type="paragraph" w:styleId="219">
    <w:name w:val="No Spacing"/>
    <w:link w:val="218"/>
    <w:qFormat/>
    <w:uiPriority w:val="0"/>
    <w:rPr>
      <w:rFonts w:ascii="Times New Roman" w:hAnsi="Times New Roman" w:eastAsia="宋体" w:cs="Times New Roman"/>
      <w:sz w:val="22"/>
      <w:szCs w:val="22"/>
      <w:lang w:val="en-US" w:eastAsia="zh-CN" w:bidi="ar-SA"/>
    </w:rPr>
  </w:style>
  <w:style w:type="character" w:customStyle="1" w:styleId="220">
    <w:name w:val="Char Char25"/>
    <w:qFormat/>
    <w:uiPriority w:val="0"/>
    <w:rPr>
      <w:rFonts w:hint="eastAsia" w:ascii="宋体" w:hAnsi="宋体" w:eastAsia="宋体"/>
      <w:b/>
      <w:bCs/>
      <w:sz w:val="32"/>
      <w:szCs w:val="32"/>
      <w:lang w:bidi="ar-SA"/>
    </w:rPr>
  </w:style>
  <w:style w:type="character" w:customStyle="1" w:styleId="221">
    <w:name w:val="H1 Char1"/>
    <w:qFormat/>
    <w:uiPriority w:val="0"/>
    <w:rPr>
      <w:rFonts w:eastAsia="宋体"/>
      <w:b/>
      <w:bCs/>
      <w:kern w:val="44"/>
      <w:sz w:val="44"/>
      <w:szCs w:val="44"/>
      <w:lang w:val="en-US" w:eastAsia="zh-CN" w:bidi="ar-SA"/>
    </w:rPr>
  </w:style>
  <w:style w:type="character" w:customStyle="1" w:styleId="222">
    <w:name w:val="正文文本 3 Char"/>
    <w:link w:val="223"/>
    <w:qFormat/>
    <w:uiPriority w:val="0"/>
    <w:rPr>
      <w:rFonts w:eastAsia="宋体"/>
      <w:b/>
      <w:bCs/>
      <w:kern w:val="2"/>
      <w:sz w:val="24"/>
      <w:szCs w:val="24"/>
      <w:lang w:val="en-US" w:eastAsia="zh-CN" w:bidi="ar-SA"/>
    </w:rPr>
  </w:style>
  <w:style w:type="paragraph" w:customStyle="1" w:styleId="223">
    <w:name w:val="正文文本 31"/>
    <w:basedOn w:val="1"/>
    <w:link w:val="222"/>
    <w:qFormat/>
    <w:uiPriority w:val="0"/>
    <w:pPr>
      <w:spacing w:line="500" w:lineRule="exact"/>
    </w:pPr>
    <w:rPr>
      <w:b/>
      <w:bCs/>
      <w:sz w:val="24"/>
    </w:rPr>
  </w:style>
  <w:style w:type="character" w:customStyle="1" w:styleId="224">
    <w:name w:val="自定义标题一 Char"/>
    <w:link w:val="22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25">
    <w:name w:val="自定义标题一"/>
    <w:basedOn w:val="4"/>
    <w:link w:val="22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26">
    <w:name w:val="font41"/>
    <w:qFormat/>
    <w:uiPriority w:val="0"/>
    <w:rPr>
      <w:rFonts w:hint="eastAsia" w:ascii="仿宋_GB2312" w:eastAsia="仿宋_GB2312" w:cs="仿宋_GB2312"/>
      <w:color w:val="000000"/>
      <w:sz w:val="20"/>
      <w:szCs w:val="20"/>
      <w:u w:val="none"/>
    </w:rPr>
  </w:style>
  <w:style w:type="character" w:customStyle="1" w:styleId="227">
    <w:name w:val="rili1"/>
    <w:qFormat/>
    <w:uiPriority w:val="0"/>
  </w:style>
  <w:style w:type="character" w:customStyle="1" w:styleId="228">
    <w:name w:val="正文文字首行缩进 Char"/>
    <w:qFormat/>
    <w:locked/>
    <w:uiPriority w:val="0"/>
    <w:rPr>
      <w:rFonts w:ascii="仿宋_GB2312" w:eastAsia="仿宋_GB2312"/>
      <w:kern w:val="2"/>
      <w:sz w:val="32"/>
    </w:rPr>
  </w:style>
  <w:style w:type="character" w:customStyle="1" w:styleId="229">
    <w:name w:val="ca-9"/>
    <w:qFormat/>
    <w:uiPriority w:val="0"/>
  </w:style>
  <w:style w:type="character" w:customStyle="1" w:styleId="230">
    <w:name w:val="1ji Char Char"/>
    <w:qFormat/>
    <w:locked/>
    <w:uiPriority w:val="0"/>
    <w:rPr>
      <w:rFonts w:ascii="宋体" w:hAnsi="宋体" w:eastAsia="宋体"/>
      <w:b/>
      <w:bCs/>
      <w:kern w:val="44"/>
      <w:sz w:val="36"/>
      <w:szCs w:val="44"/>
    </w:rPr>
  </w:style>
  <w:style w:type="character" w:customStyle="1" w:styleId="231">
    <w:name w:val="ca-6"/>
    <w:qFormat/>
    <w:uiPriority w:val="0"/>
  </w:style>
  <w:style w:type="character" w:customStyle="1" w:styleId="232">
    <w:name w:val="ca-0"/>
    <w:qFormat/>
    <w:uiPriority w:val="0"/>
  </w:style>
  <w:style w:type="character" w:customStyle="1" w:styleId="233">
    <w:name w:val="Char Char241"/>
    <w:qFormat/>
    <w:uiPriority w:val="0"/>
    <w:rPr>
      <w:rFonts w:hint="default" w:ascii="Arial" w:hAnsi="Arial" w:eastAsia="黑体" w:cs="Arial"/>
      <w:sz w:val="28"/>
      <w:lang w:bidi="ar-SA"/>
    </w:rPr>
  </w:style>
  <w:style w:type="character" w:customStyle="1" w:styleId="234">
    <w:name w:val="Char Char2"/>
    <w:qFormat/>
    <w:uiPriority w:val="0"/>
    <w:rPr>
      <w:rFonts w:hint="eastAsia" w:ascii="宋体" w:hAnsi="Courier New" w:eastAsia="宋体"/>
      <w:szCs w:val="21"/>
      <w:lang w:bidi="ar-SA"/>
    </w:rPr>
  </w:style>
  <w:style w:type="character" w:customStyle="1" w:styleId="235">
    <w:name w:val="llyf92"/>
    <w:qFormat/>
    <w:uiPriority w:val="0"/>
    <w:rPr>
      <w:sz w:val="18"/>
      <w:szCs w:val="18"/>
    </w:rPr>
  </w:style>
  <w:style w:type="character" w:customStyle="1" w:styleId="236">
    <w:name w:val="Char Char27"/>
    <w:qFormat/>
    <w:uiPriority w:val="0"/>
    <w:rPr>
      <w:rFonts w:hint="eastAsia" w:ascii="宋体" w:hAnsi="宋体" w:eastAsia="宋体"/>
      <w:b/>
      <w:bCs/>
      <w:kern w:val="44"/>
      <w:sz w:val="44"/>
      <w:szCs w:val="44"/>
      <w:lang w:val="en-US" w:eastAsia="zh-CN" w:bidi="ar-SA"/>
    </w:rPr>
  </w:style>
  <w:style w:type="character" w:customStyle="1" w:styleId="237">
    <w:name w:val="副标题 Char3"/>
    <w:qFormat/>
    <w:uiPriority w:val="11"/>
    <w:rPr>
      <w:rFonts w:hint="default" w:ascii="Cambria" w:hAnsi="Cambria" w:cs="Times New Roman"/>
      <w:b/>
      <w:bCs/>
      <w:kern w:val="28"/>
      <w:sz w:val="32"/>
      <w:szCs w:val="32"/>
    </w:rPr>
  </w:style>
  <w:style w:type="character" w:customStyle="1" w:styleId="238">
    <w:name w:val="Char Char111"/>
    <w:qFormat/>
    <w:uiPriority w:val="0"/>
    <w:rPr>
      <w:rFonts w:hint="default" w:ascii="Times New Roman" w:hAnsi="Times New Roman" w:eastAsia="宋体" w:cs="Times New Roman"/>
      <w:sz w:val="30"/>
      <w:szCs w:val="24"/>
    </w:rPr>
  </w:style>
  <w:style w:type="character" w:customStyle="1" w:styleId="239">
    <w:name w:val="页码 New New New New New New"/>
    <w:qFormat/>
    <w:uiPriority w:val="0"/>
  </w:style>
  <w:style w:type="character" w:customStyle="1" w:styleId="240">
    <w:name w:val="con"/>
    <w:qFormat/>
    <w:uiPriority w:val="0"/>
  </w:style>
  <w:style w:type="character" w:customStyle="1" w:styleId="241">
    <w:name w:val="Char Char8"/>
    <w:qFormat/>
    <w:locked/>
    <w:uiPriority w:val="0"/>
    <w:rPr>
      <w:rFonts w:ascii="仿宋_GB2312" w:eastAsia="仿宋_GB2312"/>
      <w:kern w:val="2"/>
      <w:sz w:val="32"/>
      <w:lang w:val="en-US" w:eastAsia="zh-CN" w:bidi="ar-SA"/>
    </w:rPr>
  </w:style>
  <w:style w:type="character" w:customStyle="1" w:styleId="242">
    <w:name w:val="称呼 Char"/>
    <w:qFormat/>
    <w:uiPriority w:val="0"/>
    <w:rPr>
      <w:kern w:val="2"/>
      <w:sz w:val="28"/>
      <w:szCs w:val="24"/>
    </w:rPr>
  </w:style>
  <w:style w:type="character" w:customStyle="1" w:styleId="243">
    <w:name w:val="列出段落 字符"/>
    <w:qFormat/>
    <w:uiPriority w:val="99"/>
    <w:rPr>
      <w:rFonts w:ascii="Calibri" w:hAnsi="Calibri" w:eastAsia="宋体"/>
      <w:kern w:val="2"/>
      <w:sz w:val="21"/>
      <w:szCs w:val="22"/>
      <w:lang w:val="en-US" w:eastAsia="zh-CN" w:bidi="ar-SA"/>
    </w:rPr>
  </w:style>
  <w:style w:type="character" w:customStyle="1" w:styleId="244">
    <w:name w:val="HTML 预设格式 Char2"/>
    <w:qFormat/>
    <w:locked/>
    <w:uiPriority w:val="99"/>
    <w:rPr>
      <w:rFonts w:hint="eastAsia" w:ascii="黑体" w:hAnsi="Courier New" w:eastAsia="黑体" w:cs="Courier New"/>
    </w:rPr>
  </w:style>
  <w:style w:type="character" w:customStyle="1" w:styleId="245">
    <w:name w:val="普通文字 Char Char5"/>
    <w:qFormat/>
    <w:uiPriority w:val="0"/>
    <w:rPr>
      <w:rFonts w:hint="eastAsia" w:ascii="宋体" w:hAnsi="Courier New" w:eastAsia="宋体" w:cs="Courier New"/>
      <w:kern w:val="2"/>
      <w:sz w:val="21"/>
      <w:szCs w:val="21"/>
    </w:rPr>
  </w:style>
  <w:style w:type="character" w:customStyle="1" w:styleId="246">
    <w:name w:val="Char Char21"/>
    <w:qFormat/>
    <w:uiPriority w:val="0"/>
    <w:rPr>
      <w:rFonts w:hint="default" w:ascii="Arial" w:hAnsi="Arial" w:eastAsia="黑体" w:cs="Arial"/>
      <w:b/>
      <w:kern w:val="2"/>
      <w:sz w:val="24"/>
      <w:szCs w:val="24"/>
      <w:lang w:val="en-US" w:eastAsia="zh-CN" w:bidi="ar-SA"/>
    </w:rPr>
  </w:style>
  <w:style w:type="character" w:customStyle="1" w:styleId="247">
    <w:name w:val="Char Char34"/>
    <w:qFormat/>
    <w:locked/>
    <w:uiPriority w:val="0"/>
    <w:rPr>
      <w:rFonts w:hint="eastAsia" w:ascii="宋体" w:hAnsi="宋体" w:eastAsia="宋体"/>
      <w:b/>
      <w:bCs/>
      <w:kern w:val="2"/>
      <w:sz w:val="32"/>
      <w:szCs w:val="32"/>
      <w:lang w:val="en-US" w:eastAsia="zh-CN" w:bidi="ar-SA"/>
    </w:rPr>
  </w:style>
  <w:style w:type="character" w:customStyle="1" w:styleId="248">
    <w:name w:val="Char Char12"/>
    <w:qFormat/>
    <w:uiPriority w:val="0"/>
    <w:rPr>
      <w:rFonts w:hint="eastAsia" w:ascii="宋体" w:hAnsi="Courier New" w:eastAsia="宋体" w:cs="Courier New"/>
      <w:kern w:val="2"/>
      <w:sz w:val="21"/>
      <w:szCs w:val="21"/>
      <w:lang w:val="en-US" w:eastAsia="zh-CN" w:bidi="ar-SA"/>
    </w:rPr>
  </w:style>
  <w:style w:type="character" w:customStyle="1" w:styleId="249">
    <w:name w:val="标题 9 Char"/>
    <w:qFormat/>
    <w:uiPriority w:val="0"/>
    <w:rPr>
      <w:rFonts w:ascii="Arial" w:hAnsi="Arial" w:eastAsia="黑体"/>
      <w:kern w:val="2"/>
      <w:sz w:val="21"/>
      <w:szCs w:val="24"/>
      <w:lang w:val="en-US" w:eastAsia="zh-CN" w:bidi="ar-SA"/>
    </w:rPr>
  </w:style>
  <w:style w:type="character" w:customStyle="1" w:styleId="250">
    <w:name w:val="font01"/>
    <w:qFormat/>
    <w:uiPriority w:val="0"/>
    <w:rPr>
      <w:rFonts w:hint="default" w:ascii="Times New Roman" w:hAnsi="Times New Roman" w:cs="Times New Roman"/>
      <w:color w:val="000000"/>
      <w:sz w:val="24"/>
      <w:szCs w:val="24"/>
      <w:u w:val="none"/>
    </w:rPr>
  </w:style>
  <w:style w:type="character" w:customStyle="1" w:styleId="251">
    <w:name w:val="Char Char Char Char Char"/>
    <w:qFormat/>
    <w:uiPriority w:val="0"/>
    <w:rPr>
      <w:rFonts w:eastAsia="宋体"/>
      <w:b/>
      <w:bCs/>
      <w:kern w:val="44"/>
      <w:sz w:val="44"/>
      <w:szCs w:val="44"/>
      <w:lang w:val="en-US" w:eastAsia="zh-CN" w:bidi="ar-SA"/>
    </w:rPr>
  </w:style>
  <w:style w:type="character" w:customStyle="1" w:styleId="252">
    <w:name w:val="页码 New New"/>
    <w:qFormat/>
    <w:uiPriority w:val="0"/>
  </w:style>
  <w:style w:type="character" w:customStyle="1" w:styleId="253">
    <w:name w:val="row08"/>
    <w:qFormat/>
    <w:uiPriority w:val="0"/>
    <w:rPr>
      <w:rFonts w:hint="default" w:ascii="Times New Roman" w:hAnsi="Times New Roman" w:cs="Times New Roman"/>
    </w:rPr>
  </w:style>
  <w:style w:type="character" w:customStyle="1" w:styleId="254">
    <w:name w:val="unnamed3"/>
    <w:qFormat/>
    <w:uiPriority w:val="0"/>
  </w:style>
  <w:style w:type="character" w:customStyle="1" w:styleId="255">
    <w:name w:val="ca-11"/>
    <w:qFormat/>
    <w:uiPriority w:val="0"/>
  </w:style>
  <w:style w:type="character" w:customStyle="1" w:styleId="256">
    <w:name w:val="Char Char29"/>
    <w:qFormat/>
    <w:locked/>
    <w:uiPriority w:val="0"/>
    <w:rPr>
      <w:rFonts w:hint="default" w:ascii="Arial" w:hAnsi="Arial" w:eastAsia="黑体" w:cs="宋体"/>
      <w:b/>
      <w:bCs/>
      <w:kern w:val="2"/>
      <w:sz w:val="32"/>
      <w:szCs w:val="32"/>
      <w:lang w:val="en-US" w:eastAsia="zh-CN" w:bidi="ar-SA"/>
    </w:rPr>
  </w:style>
  <w:style w:type="character" w:customStyle="1" w:styleId="257">
    <w:name w:val="style31"/>
    <w:qFormat/>
    <w:uiPriority w:val="0"/>
    <w:rPr>
      <w:sz w:val="18"/>
      <w:szCs w:val="18"/>
    </w:rPr>
  </w:style>
  <w:style w:type="character" w:customStyle="1" w:styleId="258">
    <w:name w:val="批注主题 Char2"/>
    <w:qFormat/>
    <w:uiPriority w:val="99"/>
    <w:rPr>
      <w:rFonts w:hint="eastAsia" w:ascii="宋体" w:hAnsi="宋体" w:eastAsia="宋体"/>
      <w:b/>
      <w:bCs/>
      <w:kern w:val="2"/>
      <w:sz w:val="21"/>
      <w:szCs w:val="24"/>
    </w:rPr>
  </w:style>
  <w:style w:type="character" w:customStyle="1" w:styleId="259">
    <w:name w:val="页眉 Char2"/>
    <w:qFormat/>
    <w:locked/>
    <w:uiPriority w:val="99"/>
    <w:rPr>
      <w:rFonts w:hint="eastAsia" w:ascii="宋体" w:hAnsi="宋体" w:eastAsia="宋体"/>
      <w:kern w:val="2"/>
      <w:sz w:val="18"/>
      <w:szCs w:val="18"/>
    </w:rPr>
  </w:style>
  <w:style w:type="character" w:customStyle="1" w:styleId="260">
    <w:name w:val="页码 New New New New"/>
    <w:qFormat/>
    <w:uiPriority w:val="0"/>
  </w:style>
  <w:style w:type="character" w:customStyle="1" w:styleId="261">
    <w:name w:val="页码 New New New New New New New New"/>
    <w:qFormat/>
    <w:uiPriority w:val="0"/>
  </w:style>
  <w:style w:type="character" w:customStyle="1" w:styleId="262">
    <w:name w:val="Char Char15"/>
    <w:qFormat/>
    <w:uiPriority w:val="0"/>
    <w:rPr>
      <w:sz w:val="18"/>
      <w:szCs w:val="18"/>
    </w:rPr>
  </w:style>
  <w:style w:type="character" w:customStyle="1" w:styleId="263">
    <w:name w:val="Char Char7"/>
    <w:qFormat/>
    <w:locked/>
    <w:uiPriority w:val="0"/>
    <w:rPr>
      <w:rFonts w:hint="eastAsia" w:ascii="宋体" w:hAnsi="宋体" w:eastAsia="宋体"/>
      <w:kern w:val="2"/>
      <w:sz w:val="21"/>
      <w:szCs w:val="24"/>
      <w:lang w:val="en-US" w:eastAsia="zh-CN" w:bidi="ar-SA"/>
    </w:rPr>
  </w:style>
  <w:style w:type="character" w:customStyle="1" w:styleId="264">
    <w:name w:val="Char Char3"/>
    <w:qFormat/>
    <w:uiPriority w:val="0"/>
    <w:rPr>
      <w:rFonts w:hint="eastAsia" w:ascii="宋体" w:hAnsi="宋体" w:eastAsia="宋体"/>
      <w:kern w:val="2"/>
      <w:sz w:val="16"/>
      <w:szCs w:val="16"/>
      <w:lang w:val="en-US" w:eastAsia="zh-CN" w:bidi="ar-SA"/>
    </w:rPr>
  </w:style>
  <w:style w:type="character" w:customStyle="1" w:styleId="265">
    <w:name w:val="正文文本缩进 3 Char"/>
    <w:link w:val="266"/>
    <w:qFormat/>
    <w:uiPriority w:val="0"/>
    <w:rPr>
      <w:rFonts w:eastAsia="宋体"/>
      <w:kern w:val="2"/>
      <w:sz w:val="16"/>
      <w:szCs w:val="16"/>
      <w:lang w:val="en-US" w:eastAsia="zh-CN" w:bidi="ar-SA"/>
    </w:rPr>
  </w:style>
  <w:style w:type="paragraph" w:customStyle="1" w:styleId="266">
    <w:name w:val="正文文本缩进 31"/>
    <w:basedOn w:val="1"/>
    <w:link w:val="265"/>
    <w:qFormat/>
    <w:uiPriority w:val="0"/>
    <w:pPr>
      <w:spacing w:after="120"/>
      <w:ind w:left="420" w:leftChars="200"/>
    </w:pPr>
    <w:rPr>
      <w:sz w:val="16"/>
      <w:szCs w:val="16"/>
    </w:rPr>
  </w:style>
  <w:style w:type="character" w:customStyle="1" w:styleId="267">
    <w:name w:val="UserStyle_73"/>
    <w:link w:val="268"/>
    <w:qFormat/>
    <w:uiPriority w:val="0"/>
    <w:rPr>
      <w:rFonts w:ascii="宋体" w:hAnsi="Courier New"/>
      <w:kern w:val="2"/>
      <w:sz w:val="21"/>
      <w:szCs w:val="21"/>
    </w:rPr>
  </w:style>
  <w:style w:type="paragraph" w:customStyle="1" w:styleId="268">
    <w:name w:val="PlainText"/>
    <w:basedOn w:val="1"/>
    <w:link w:val="267"/>
    <w:qFormat/>
    <w:uiPriority w:val="0"/>
    <w:pPr>
      <w:widowControl/>
    </w:pPr>
    <w:rPr>
      <w:rFonts w:ascii="宋体" w:hAnsi="Courier New"/>
      <w:szCs w:val="21"/>
    </w:rPr>
  </w:style>
  <w:style w:type="character" w:customStyle="1" w:styleId="269">
    <w:name w:val="Char Char141"/>
    <w:qFormat/>
    <w:uiPriority w:val="0"/>
    <w:rPr>
      <w:sz w:val="18"/>
      <w:szCs w:val="18"/>
    </w:rPr>
  </w:style>
  <w:style w:type="character" w:customStyle="1" w:styleId="270">
    <w:name w:val="apple-converted-space"/>
    <w:qFormat/>
    <w:uiPriority w:val="0"/>
  </w:style>
  <w:style w:type="character" w:customStyle="1" w:styleId="271">
    <w:name w:val="正文文本缩进 Char1"/>
    <w:semiHidden/>
    <w:qFormat/>
    <w:uiPriority w:val="0"/>
    <w:rPr>
      <w:kern w:val="2"/>
      <w:sz w:val="21"/>
      <w:szCs w:val="22"/>
    </w:rPr>
  </w:style>
  <w:style w:type="character" w:customStyle="1" w:styleId="272">
    <w:name w:val="Char Char1431"/>
    <w:qFormat/>
    <w:uiPriority w:val="0"/>
    <w:rPr>
      <w:sz w:val="18"/>
      <w:szCs w:val="18"/>
    </w:rPr>
  </w:style>
  <w:style w:type="character" w:customStyle="1" w:styleId="273">
    <w:name w:val="ca-4"/>
    <w:qFormat/>
    <w:uiPriority w:val="0"/>
  </w:style>
  <w:style w:type="character" w:customStyle="1" w:styleId="274">
    <w:name w:val="手改 Char Char1"/>
    <w:qFormat/>
    <w:locked/>
    <w:uiPriority w:val="0"/>
    <w:rPr>
      <w:rFonts w:hint="eastAsia" w:ascii="宋体" w:hAnsi="宋体" w:eastAsia="宋体"/>
      <w:sz w:val="24"/>
      <w:szCs w:val="24"/>
      <w:lang w:bidi="ar-SA"/>
    </w:rPr>
  </w:style>
  <w:style w:type="character" w:customStyle="1" w:styleId="275">
    <w:name w:val="标题 4 Char2"/>
    <w:qFormat/>
    <w:locked/>
    <w:uiPriority w:val="0"/>
    <w:rPr>
      <w:rFonts w:hint="default" w:ascii="Arial" w:hAnsi="Arial" w:eastAsia="黑体" w:cs="Arial"/>
      <w:sz w:val="28"/>
    </w:rPr>
  </w:style>
  <w:style w:type="character" w:customStyle="1" w:styleId="276">
    <w:name w:val="bookmark-item"/>
    <w:qFormat/>
    <w:uiPriority w:val="0"/>
  </w:style>
  <w:style w:type="character" w:customStyle="1" w:styleId="277">
    <w:name w:val="日期 Char2"/>
    <w:qFormat/>
    <w:locked/>
    <w:uiPriority w:val="99"/>
    <w:rPr>
      <w:kern w:val="2"/>
      <w:sz w:val="21"/>
      <w:szCs w:val="24"/>
    </w:rPr>
  </w:style>
  <w:style w:type="character" w:customStyle="1" w:styleId="278">
    <w:name w:val="ca-15"/>
    <w:qFormat/>
    <w:uiPriority w:val="0"/>
  </w:style>
  <w:style w:type="character" w:customStyle="1" w:styleId="279">
    <w:name w:val="Char Char1111"/>
    <w:qFormat/>
    <w:uiPriority w:val="0"/>
    <w:rPr>
      <w:rFonts w:hint="default" w:ascii="Times New Roman" w:hAnsi="Times New Roman" w:eastAsia="宋体" w:cs="Times New Roman"/>
      <w:sz w:val="30"/>
      <w:szCs w:val="24"/>
    </w:rPr>
  </w:style>
  <w:style w:type="character" w:customStyle="1" w:styleId="280">
    <w:name w:val="列出段落 Char1"/>
    <w:qFormat/>
    <w:locked/>
    <w:uiPriority w:val="0"/>
    <w:rPr>
      <w:rFonts w:hint="default" w:ascii="Calibri" w:hAnsi="Calibri" w:cs="Calibri"/>
      <w:kern w:val="2"/>
      <w:sz w:val="21"/>
      <w:szCs w:val="22"/>
    </w:rPr>
  </w:style>
  <w:style w:type="character" w:customStyle="1" w:styleId="281">
    <w:name w:val="标题 4 Char"/>
    <w:qFormat/>
    <w:uiPriority w:val="0"/>
    <w:rPr>
      <w:rFonts w:ascii="Arial" w:hAnsi="Arial" w:eastAsia="黑体"/>
      <w:sz w:val="28"/>
      <w:lang w:bidi="ar-SA"/>
    </w:rPr>
  </w:style>
  <w:style w:type="character" w:customStyle="1" w:styleId="282">
    <w:name w:val="H1 Char3"/>
    <w:qFormat/>
    <w:locked/>
    <w:uiPriority w:val="0"/>
    <w:rPr>
      <w:rFonts w:hint="eastAsia" w:ascii="宋体" w:hAnsi="宋体" w:eastAsia="宋体"/>
      <w:b/>
      <w:bCs/>
      <w:kern w:val="44"/>
      <w:sz w:val="44"/>
      <w:szCs w:val="44"/>
      <w:lang w:val="en-US" w:eastAsia="zh-CN" w:bidi="ar-SA"/>
    </w:rPr>
  </w:style>
  <w:style w:type="character" w:customStyle="1" w:styleId="283">
    <w:name w:val="Char Char10"/>
    <w:semiHidden/>
    <w:qFormat/>
    <w:uiPriority w:val="0"/>
    <w:rPr>
      <w:rFonts w:hint="eastAsia" w:ascii="宋体" w:hAnsi="宋体" w:eastAsia="宋体"/>
      <w:kern w:val="2"/>
      <w:sz w:val="24"/>
      <w:szCs w:val="24"/>
      <w:lang w:val="en-US" w:eastAsia="zh-CN" w:bidi="ar-SA"/>
    </w:rPr>
  </w:style>
  <w:style w:type="character" w:customStyle="1" w:styleId="284">
    <w:name w:val="纯文本 字符1"/>
    <w:qFormat/>
    <w:uiPriority w:val="0"/>
    <w:rPr>
      <w:rFonts w:ascii="Ђˎ̥" w:hAnsi="Verdana" w:eastAsia="Ђˎ̥" w:cs="Verdana"/>
      <w:szCs w:val="21"/>
    </w:rPr>
  </w:style>
  <w:style w:type="character" w:customStyle="1" w:styleId="285">
    <w:name w:val="Char Char36"/>
    <w:qFormat/>
    <w:locked/>
    <w:uiPriority w:val="0"/>
    <w:rPr>
      <w:rFonts w:hint="eastAsia" w:ascii="宋体" w:hAnsi="宋体" w:eastAsia="宋体"/>
      <w:b/>
      <w:spacing w:val="-2"/>
      <w:sz w:val="24"/>
      <w:lang w:val="en-US" w:eastAsia="zh-CN" w:bidi="ar-SA"/>
    </w:rPr>
  </w:style>
  <w:style w:type="character" w:customStyle="1" w:styleId="286">
    <w:name w:val="qb-content2"/>
    <w:qFormat/>
    <w:uiPriority w:val="0"/>
  </w:style>
  <w:style w:type="character" w:customStyle="1" w:styleId="287">
    <w:name w:val="页码 New New New New New New New New New"/>
    <w:qFormat/>
    <w:uiPriority w:val="0"/>
  </w:style>
  <w:style w:type="character" w:customStyle="1" w:styleId="288">
    <w:name w:val="Char Char Char Char Char1"/>
    <w:qFormat/>
    <w:uiPriority w:val="0"/>
    <w:rPr>
      <w:rFonts w:hint="eastAsia" w:ascii="宋体" w:hAnsi="宋体" w:eastAsia="宋体"/>
      <w:b/>
      <w:bCs/>
      <w:kern w:val="44"/>
      <w:sz w:val="44"/>
      <w:szCs w:val="44"/>
      <w:lang w:val="en-US" w:eastAsia="zh-CN" w:bidi="ar-SA"/>
    </w:rPr>
  </w:style>
  <w:style w:type="character" w:customStyle="1" w:styleId="289">
    <w:name w:val="font61"/>
    <w:qFormat/>
    <w:uiPriority w:val="0"/>
    <w:rPr>
      <w:rFonts w:hint="eastAsia" w:ascii="黑体" w:hAnsi="宋体" w:eastAsia="黑体" w:cs="黑体"/>
      <w:b/>
      <w:color w:val="000000"/>
      <w:sz w:val="40"/>
      <w:szCs w:val="40"/>
      <w:u w:val="single"/>
    </w:rPr>
  </w:style>
  <w:style w:type="character" w:customStyle="1" w:styleId="290">
    <w:name w:val="日期 Char"/>
    <w:link w:val="291"/>
    <w:qFormat/>
    <w:uiPriority w:val="0"/>
    <w:rPr>
      <w:rFonts w:ascii="宋体" w:hAnsi="Courier New" w:eastAsia="宋体" w:cs="Courier New"/>
      <w:kern w:val="2"/>
      <w:sz w:val="21"/>
      <w:szCs w:val="21"/>
      <w:lang w:val="en-US" w:eastAsia="zh-CN" w:bidi="ar-SA"/>
    </w:rPr>
  </w:style>
  <w:style w:type="paragraph" w:customStyle="1" w:styleId="291">
    <w:name w:val="日期1"/>
    <w:basedOn w:val="1"/>
    <w:next w:val="1"/>
    <w:link w:val="290"/>
    <w:qFormat/>
    <w:uiPriority w:val="0"/>
    <w:pPr>
      <w:ind w:left="100" w:leftChars="2500"/>
    </w:pPr>
    <w:rPr>
      <w:rFonts w:ascii="宋体" w:hAnsi="Courier New" w:cs="Courier New"/>
      <w:szCs w:val="21"/>
    </w:rPr>
  </w:style>
  <w:style w:type="character" w:customStyle="1" w:styleId="292">
    <w:name w:val="尾注文本 Char"/>
    <w:qFormat/>
    <w:uiPriority w:val="0"/>
    <w:rPr>
      <w:rFonts w:ascii="Calibri" w:hAnsi="Calibri"/>
      <w:kern w:val="2"/>
      <w:sz w:val="21"/>
      <w:szCs w:val="22"/>
    </w:rPr>
  </w:style>
  <w:style w:type="character" w:customStyle="1" w:styleId="293">
    <w:name w:val="正文无缩进 Char Char"/>
    <w:link w:val="294"/>
    <w:qFormat/>
    <w:locked/>
    <w:uiPriority w:val="0"/>
    <w:rPr>
      <w:rFonts w:ascii="宋体" w:hAnsi="宋体"/>
      <w:color w:val="000000"/>
      <w:kern w:val="2"/>
      <w:sz w:val="24"/>
      <w:szCs w:val="24"/>
    </w:rPr>
  </w:style>
  <w:style w:type="paragraph" w:customStyle="1" w:styleId="294">
    <w:name w:val="正文无缩进"/>
    <w:basedOn w:val="1"/>
    <w:link w:val="293"/>
    <w:qFormat/>
    <w:uiPriority w:val="0"/>
    <w:pPr>
      <w:spacing w:line="360" w:lineRule="auto"/>
    </w:pPr>
    <w:rPr>
      <w:rFonts w:ascii="宋体" w:hAnsi="宋体"/>
      <w:color w:val="000000"/>
      <w:sz w:val="24"/>
    </w:rPr>
  </w:style>
  <w:style w:type="character" w:customStyle="1" w:styleId="295">
    <w:name w:val="Char Char1011"/>
    <w:semiHidden/>
    <w:qFormat/>
    <w:uiPriority w:val="0"/>
    <w:rPr>
      <w:rFonts w:eastAsia="宋体"/>
      <w:kern w:val="2"/>
      <w:sz w:val="24"/>
      <w:szCs w:val="24"/>
      <w:lang w:val="en-US" w:eastAsia="zh-CN" w:bidi="ar-SA"/>
    </w:rPr>
  </w:style>
  <w:style w:type="character" w:customStyle="1" w:styleId="296">
    <w:name w:val="Char Char28"/>
    <w:qFormat/>
    <w:locked/>
    <w:uiPriority w:val="0"/>
    <w:rPr>
      <w:rFonts w:hint="eastAsia" w:ascii="宋体" w:hAnsi="宋体" w:eastAsia="宋体"/>
      <w:b/>
      <w:kern w:val="2"/>
      <w:sz w:val="28"/>
      <w:szCs w:val="24"/>
      <w:lang w:val="en-US" w:eastAsia="zh-CN" w:bidi="ar-SA"/>
    </w:rPr>
  </w:style>
  <w:style w:type="character" w:customStyle="1" w:styleId="297">
    <w:name w:val="列表段落 字符"/>
    <w:link w:val="298"/>
    <w:qFormat/>
    <w:uiPriority w:val="0"/>
    <w:rPr>
      <w:rFonts w:ascii="Calibri" w:hAnsi="Calibri" w:eastAsia="宋体"/>
      <w:kern w:val="2"/>
      <w:sz w:val="21"/>
      <w:szCs w:val="22"/>
      <w:lang w:val="en-US" w:eastAsia="zh-CN" w:bidi="ar-SA"/>
    </w:rPr>
  </w:style>
  <w:style w:type="paragraph" w:styleId="298">
    <w:name w:val="List Paragraph"/>
    <w:basedOn w:val="1"/>
    <w:link w:val="297"/>
    <w:qFormat/>
    <w:uiPriority w:val="0"/>
    <w:pPr>
      <w:ind w:firstLine="420" w:firstLineChars="200"/>
    </w:pPr>
    <w:rPr>
      <w:rFonts w:ascii="Calibri" w:hAnsi="Calibri"/>
      <w:szCs w:val="22"/>
    </w:rPr>
  </w:style>
  <w:style w:type="character" w:customStyle="1" w:styleId="299">
    <w:name w:val="style21"/>
    <w:qFormat/>
    <w:uiPriority w:val="0"/>
    <w:rPr>
      <w:sz w:val="18"/>
      <w:szCs w:val="18"/>
    </w:rPr>
  </w:style>
  <w:style w:type="character" w:customStyle="1" w:styleId="300">
    <w:name w:val="页脚 字符"/>
    <w:qFormat/>
    <w:locked/>
    <w:uiPriority w:val="99"/>
    <w:rPr>
      <w:sz w:val="18"/>
      <w:szCs w:val="18"/>
    </w:rPr>
  </w:style>
  <w:style w:type="character" w:customStyle="1" w:styleId="301">
    <w:name w:val="副标题 Char4"/>
    <w:qFormat/>
    <w:uiPriority w:val="11"/>
    <w:rPr>
      <w:rFonts w:hint="default" w:ascii="Cambria" w:hAnsi="Cambria" w:cs="Times New Roman"/>
      <w:b/>
      <w:bCs/>
      <w:kern w:val="28"/>
      <w:sz w:val="32"/>
      <w:szCs w:val="32"/>
    </w:rPr>
  </w:style>
  <w:style w:type="character" w:customStyle="1" w:styleId="302">
    <w:name w:val="脚注文本 Char1"/>
    <w:qFormat/>
    <w:uiPriority w:val="99"/>
    <w:rPr>
      <w:kern w:val="2"/>
      <w:sz w:val="18"/>
      <w:szCs w:val="18"/>
    </w:rPr>
  </w:style>
  <w:style w:type="character" w:customStyle="1" w:styleId="303">
    <w:name w:val="Char Char Char2"/>
    <w:qFormat/>
    <w:uiPriority w:val="0"/>
    <w:rPr>
      <w:rFonts w:hint="eastAsia" w:ascii="宋体" w:hAnsi="宋体" w:eastAsia="宋体"/>
      <w:kern w:val="2"/>
      <w:sz w:val="18"/>
      <w:szCs w:val="18"/>
      <w:lang w:val="en-US" w:eastAsia="zh-CN" w:bidi="ar-SA"/>
    </w:rPr>
  </w:style>
  <w:style w:type="character" w:customStyle="1" w:styleId="304">
    <w:name w:val="正文文本缩进 Char3"/>
    <w:qFormat/>
    <w:locked/>
    <w:uiPriority w:val="99"/>
    <w:rPr>
      <w:rFonts w:hint="eastAsia" w:ascii="仿宋_GB2312" w:eastAsia="仿宋_GB2312"/>
      <w:kern w:val="2"/>
      <w:sz w:val="32"/>
    </w:rPr>
  </w:style>
  <w:style w:type="character" w:customStyle="1" w:styleId="305">
    <w:name w:val="FA正文 Char"/>
    <w:link w:val="306"/>
    <w:semiHidden/>
    <w:qFormat/>
    <w:locked/>
    <w:uiPriority w:val="0"/>
    <w:rPr>
      <w:rFonts w:ascii="宋体" w:hAnsi="宋体"/>
      <w:spacing w:val="10"/>
      <w:kern w:val="2"/>
      <w:sz w:val="24"/>
      <w:szCs w:val="22"/>
    </w:rPr>
  </w:style>
  <w:style w:type="paragraph" w:customStyle="1" w:styleId="306">
    <w:name w:val="FA正文"/>
    <w:basedOn w:val="1"/>
    <w:link w:val="305"/>
    <w:semiHidden/>
    <w:qFormat/>
    <w:uiPriority w:val="0"/>
    <w:pPr>
      <w:tabs>
        <w:tab w:val="left" w:pos="3375"/>
      </w:tabs>
      <w:spacing w:line="360" w:lineRule="auto"/>
      <w:ind w:firstLine="520"/>
    </w:pPr>
    <w:rPr>
      <w:rFonts w:ascii="宋体" w:hAnsi="宋体"/>
      <w:spacing w:val="10"/>
      <w:sz w:val="24"/>
      <w:szCs w:val="22"/>
    </w:rPr>
  </w:style>
  <w:style w:type="character" w:customStyle="1" w:styleId="307">
    <w:name w:val="Body text|3_"/>
    <w:link w:val="308"/>
    <w:qFormat/>
    <w:uiPriority w:val="0"/>
    <w:rPr>
      <w:rFonts w:ascii="宋体" w:hAnsi="宋体" w:eastAsia="宋体" w:cs="宋体"/>
      <w:sz w:val="34"/>
      <w:szCs w:val="34"/>
    </w:rPr>
  </w:style>
  <w:style w:type="paragraph" w:customStyle="1" w:styleId="308">
    <w:name w:val="Body text|3"/>
    <w:basedOn w:val="1"/>
    <w:link w:val="307"/>
    <w:qFormat/>
    <w:uiPriority w:val="0"/>
    <w:pPr>
      <w:spacing w:after="460"/>
      <w:jc w:val="center"/>
    </w:pPr>
    <w:rPr>
      <w:rFonts w:ascii="宋体" w:hAnsi="宋体"/>
      <w:kern w:val="0"/>
      <w:sz w:val="34"/>
      <w:szCs w:val="34"/>
    </w:rPr>
  </w:style>
  <w:style w:type="character" w:customStyle="1" w:styleId="309">
    <w:name w:val="Char Char151"/>
    <w:qFormat/>
    <w:uiPriority w:val="0"/>
    <w:rPr>
      <w:sz w:val="18"/>
      <w:szCs w:val="18"/>
    </w:rPr>
  </w:style>
  <w:style w:type="character" w:customStyle="1" w:styleId="310">
    <w:name w:val="页脚 Char"/>
    <w:qFormat/>
    <w:uiPriority w:val="99"/>
    <w:rPr>
      <w:rFonts w:eastAsia="宋体"/>
      <w:kern w:val="2"/>
      <w:sz w:val="18"/>
      <w:szCs w:val="18"/>
      <w:lang w:val="en-US" w:eastAsia="zh-CN" w:bidi="ar-SA"/>
    </w:rPr>
  </w:style>
  <w:style w:type="character" w:customStyle="1" w:styleId="311">
    <w:name w:val="页码 New New New"/>
    <w:qFormat/>
    <w:uiPriority w:val="0"/>
  </w:style>
  <w:style w:type="character" w:customStyle="1" w:styleId="312">
    <w:name w:val="ca-16"/>
    <w:qFormat/>
    <w:uiPriority w:val="0"/>
  </w:style>
  <w:style w:type="character" w:customStyle="1" w:styleId="313">
    <w:name w:val="页脚 Char2"/>
    <w:qFormat/>
    <w:locked/>
    <w:uiPriority w:val="99"/>
    <w:rPr>
      <w:rFonts w:hint="eastAsia" w:ascii="宋体" w:hAnsi="宋体" w:eastAsia="宋体"/>
      <w:kern w:val="2"/>
      <w:sz w:val="18"/>
      <w:szCs w:val="18"/>
    </w:rPr>
  </w:style>
  <w:style w:type="character" w:customStyle="1" w:styleId="314">
    <w:name w:val="style4"/>
    <w:qFormat/>
    <w:uiPriority w:val="0"/>
  </w:style>
  <w:style w:type="character" w:customStyle="1" w:styleId="315">
    <w:name w:val="Body text|1_"/>
    <w:link w:val="316"/>
    <w:qFormat/>
    <w:uiPriority w:val="0"/>
    <w:rPr>
      <w:rFonts w:ascii="宋体" w:hAnsi="宋体" w:eastAsia="宋体" w:cs="宋体"/>
      <w:sz w:val="30"/>
      <w:szCs w:val="30"/>
    </w:rPr>
  </w:style>
  <w:style w:type="paragraph" w:customStyle="1" w:styleId="316">
    <w:name w:val="Body text|1"/>
    <w:basedOn w:val="1"/>
    <w:link w:val="315"/>
    <w:qFormat/>
    <w:uiPriority w:val="0"/>
    <w:pPr>
      <w:spacing w:line="353" w:lineRule="auto"/>
      <w:ind w:firstLine="400"/>
      <w:jc w:val="left"/>
    </w:pPr>
    <w:rPr>
      <w:rFonts w:ascii="宋体" w:hAnsi="宋体"/>
      <w:kern w:val="0"/>
      <w:sz w:val="30"/>
      <w:szCs w:val="30"/>
    </w:rPr>
  </w:style>
  <w:style w:type="character" w:customStyle="1" w:styleId="317">
    <w:name w:val="Char Char9"/>
    <w:qFormat/>
    <w:uiPriority w:val="0"/>
    <w:rPr>
      <w:rFonts w:hint="eastAsia" w:ascii="宋体" w:hAnsi="Courier New" w:eastAsia="宋体" w:cs="Courier New"/>
      <w:kern w:val="2"/>
      <w:sz w:val="21"/>
      <w:szCs w:val="21"/>
      <w:lang w:val="en-US" w:eastAsia="zh-CN" w:bidi="ar-SA"/>
    </w:rPr>
  </w:style>
  <w:style w:type="character" w:customStyle="1" w:styleId="318">
    <w:name w:val="批注文字 Char"/>
    <w:qFormat/>
    <w:uiPriority w:val="99"/>
    <w:rPr>
      <w:rFonts w:eastAsia="宋体"/>
      <w:sz w:val="24"/>
      <w:lang w:bidi="ar-SA"/>
    </w:rPr>
  </w:style>
  <w:style w:type="character" w:customStyle="1" w:styleId="319">
    <w:name w:val="正文文本缩进 Char"/>
    <w:qFormat/>
    <w:uiPriority w:val="0"/>
    <w:rPr>
      <w:rFonts w:ascii="仿宋_GB2312" w:eastAsia="仿宋_GB2312"/>
      <w:kern w:val="2"/>
      <w:sz w:val="32"/>
      <w:lang w:val="en-US" w:eastAsia="zh-CN" w:bidi="ar-SA"/>
    </w:rPr>
  </w:style>
  <w:style w:type="character" w:customStyle="1" w:styleId="320">
    <w:name w:val="正文文本缩进 2 Char2"/>
    <w:qFormat/>
    <w:locked/>
    <w:uiPriority w:val="99"/>
    <w:rPr>
      <w:kern w:val="2"/>
      <w:sz w:val="32"/>
    </w:rPr>
  </w:style>
  <w:style w:type="character" w:customStyle="1" w:styleId="321">
    <w:name w:val="ca-12"/>
    <w:qFormat/>
    <w:uiPriority w:val="0"/>
  </w:style>
  <w:style w:type="character" w:customStyle="1" w:styleId="322">
    <w:name w:val="副标题 Char"/>
    <w:qFormat/>
    <w:uiPriority w:val="0"/>
    <w:rPr>
      <w:rFonts w:ascii="Cambria" w:hAnsi="Cambria" w:cs="Times New Roman"/>
      <w:b/>
      <w:bCs/>
      <w:kern w:val="28"/>
      <w:sz w:val="32"/>
      <w:szCs w:val="32"/>
    </w:rPr>
  </w:style>
  <w:style w:type="character" w:customStyle="1" w:styleId="323">
    <w:name w:val="Char Char Char Char Char Char"/>
    <w:qFormat/>
    <w:uiPriority w:val="0"/>
    <w:rPr>
      <w:rFonts w:hint="eastAsia" w:ascii="宋体" w:hAnsi="宋体" w:eastAsia="宋体"/>
      <w:b/>
      <w:bCs/>
      <w:kern w:val="44"/>
      <w:sz w:val="44"/>
      <w:szCs w:val="44"/>
      <w:lang w:val="en-US" w:eastAsia="zh-CN" w:bidi="ar-SA"/>
    </w:rPr>
  </w:style>
  <w:style w:type="character" w:customStyle="1" w:styleId="324">
    <w:name w:val="ca-2"/>
    <w:qFormat/>
    <w:uiPriority w:val="0"/>
  </w:style>
  <w:style w:type="character" w:customStyle="1" w:styleId="325">
    <w:name w:val="Char Char30"/>
    <w:qFormat/>
    <w:locked/>
    <w:uiPriority w:val="0"/>
    <w:rPr>
      <w:rFonts w:hint="eastAsia" w:ascii="宋体" w:hAnsi="宋体" w:eastAsia="宋体"/>
      <w:b/>
      <w:spacing w:val="-2"/>
      <w:sz w:val="24"/>
      <w:lang w:val="en-US" w:eastAsia="zh-CN" w:bidi="ar-SA"/>
    </w:rPr>
  </w:style>
  <w:style w:type="character" w:customStyle="1" w:styleId="326">
    <w:name w:val="1ji Char"/>
    <w:link w:val="327"/>
    <w:qFormat/>
    <w:uiPriority w:val="0"/>
    <w:rPr>
      <w:rFonts w:ascii="宋体" w:hAnsi="宋体" w:eastAsia="宋体"/>
      <w:b/>
      <w:bCs/>
      <w:kern w:val="44"/>
      <w:sz w:val="36"/>
      <w:szCs w:val="44"/>
      <w:lang w:val="en-US" w:eastAsia="zh-CN" w:bidi="ar-SA"/>
    </w:rPr>
  </w:style>
  <w:style w:type="paragraph" w:customStyle="1" w:styleId="327">
    <w:name w:val="1ji"/>
    <w:basedOn w:val="4"/>
    <w:link w:val="326"/>
    <w:qFormat/>
    <w:uiPriority w:val="0"/>
    <w:pPr>
      <w:keepLines w:val="0"/>
      <w:widowControl/>
      <w:spacing w:before="0" w:after="0" w:line="240" w:lineRule="auto"/>
      <w:jc w:val="center"/>
    </w:pPr>
    <w:rPr>
      <w:rFonts w:ascii="宋体" w:hAnsi="宋体"/>
      <w:sz w:val="36"/>
    </w:rPr>
  </w:style>
  <w:style w:type="character" w:customStyle="1" w:styleId="328">
    <w:name w:val="H1 Char2"/>
    <w:qFormat/>
    <w:uiPriority w:val="0"/>
    <w:rPr>
      <w:rFonts w:eastAsia="宋体"/>
      <w:b/>
      <w:bCs/>
      <w:kern w:val="44"/>
      <w:sz w:val="44"/>
      <w:szCs w:val="44"/>
      <w:lang w:val="en-US" w:eastAsia="zh-CN" w:bidi="ar-SA"/>
    </w:rPr>
  </w:style>
  <w:style w:type="character" w:customStyle="1" w:styleId="329">
    <w:name w:val="Char Char143"/>
    <w:qFormat/>
    <w:uiPriority w:val="0"/>
    <w:rPr>
      <w:sz w:val="18"/>
      <w:szCs w:val="18"/>
    </w:rPr>
  </w:style>
  <w:style w:type="character" w:customStyle="1" w:styleId="330">
    <w:name w:val="正文首行缩进 Char"/>
    <w:qFormat/>
    <w:uiPriority w:val="0"/>
    <w:rPr>
      <w:rFonts w:eastAsia="宋体"/>
      <w:kern w:val="2"/>
      <w:sz w:val="21"/>
      <w:szCs w:val="24"/>
      <w:lang w:val="en-US" w:eastAsia="zh-CN" w:bidi="ar-SA"/>
    </w:rPr>
  </w:style>
  <w:style w:type="character" w:customStyle="1" w:styleId="331">
    <w:name w:val="纯文本 Char"/>
    <w:qFormat/>
    <w:uiPriority w:val="0"/>
    <w:rPr>
      <w:rFonts w:ascii="宋体" w:hAnsi="Courier New" w:eastAsia="宋体" w:cs="Courier New"/>
      <w:kern w:val="2"/>
      <w:sz w:val="21"/>
      <w:szCs w:val="21"/>
      <w:lang w:val="en-US" w:eastAsia="zh-CN" w:bidi="ar-SA"/>
    </w:rPr>
  </w:style>
  <w:style w:type="character" w:customStyle="1" w:styleId="332">
    <w:name w:val="Char Char22"/>
    <w:qFormat/>
    <w:uiPriority w:val="0"/>
    <w:rPr>
      <w:rFonts w:hint="eastAsia" w:ascii="宋体" w:hAnsi="宋体" w:eastAsia="宋体"/>
      <w:b/>
      <w:kern w:val="2"/>
      <w:sz w:val="28"/>
      <w:szCs w:val="24"/>
      <w:lang w:val="en-US" w:eastAsia="zh-CN" w:bidi="ar-SA"/>
    </w:rPr>
  </w:style>
  <w:style w:type="character" w:customStyle="1" w:styleId="333">
    <w:name w:val="标题 6 Char"/>
    <w:qFormat/>
    <w:uiPriority w:val="0"/>
    <w:rPr>
      <w:rFonts w:ascii="Arial" w:hAnsi="Arial" w:eastAsia="黑体"/>
      <w:b/>
      <w:kern w:val="2"/>
      <w:sz w:val="24"/>
      <w:szCs w:val="24"/>
      <w:lang w:val="en-US" w:eastAsia="zh-CN" w:bidi="ar-SA"/>
    </w:rPr>
  </w:style>
  <w:style w:type="character" w:customStyle="1" w:styleId="334">
    <w:name w:val="h Char1"/>
    <w:qFormat/>
    <w:locked/>
    <w:uiPriority w:val="0"/>
    <w:rPr>
      <w:rFonts w:hint="eastAsia" w:ascii="宋体" w:hAnsi="宋体" w:eastAsia="宋体"/>
      <w:kern w:val="2"/>
      <w:sz w:val="18"/>
      <w:szCs w:val="18"/>
      <w:lang w:val="en-US" w:eastAsia="zh-CN" w:bidi="ar-SA"/>
    </w:rPr>
  </w:style>
  <w:style w:type="character" w:customStyle="1" w:styleId="335">
    <w:name w:val="脚注文本 Char2"/>
    <w:qFormat/>
    <w:uiPriority w:val="99"/>
    <w:rPr>
      <w:kern w:val="2"/>
      <w:sz w:val="18"/>
      <w:szCs w:val="18"/>
    </w:rPr>
  </w:style>
  <w:style w:type="character" w:customStyle="1" w:styleId="336">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37">
    <w:name w:val="Char Char20"/>
    <w:qFormat/>
    <w:uiPriority w:val="0"/>
    <w:rPr>
      <w:rFonts w:hint="eastAsia" w:ascii="仿宋_GB2312" w:eastAsia="仿宋_GB2312"/>
      <w:kern w:val="2"/>
      <w:sz w:val="32"/>
      <w:lang w:val="en-US" w:eastAsia="zh-CN" w:bidi="ar-SA"/>
    </w:rPr>
  </w:style>
  <w:style w:type="character" w:customStyle="1" w:styleId="338">
    <w:name w:val="Char Char Char Char Char Char Char1"/>
    <w:qFormat/>
    <w:uiPriority w:val="0"/>
    <w:rPr>
      <w:rFonts w:hint="eastAsia" w:ascii="宋体" w:hAnsi="宋体" w:eastAsia="宋体"/>
      <w:kern w:val="2"/>
      <w:sz w:val="24"/>
      <w:szCs w:val="24"/>
      <w:lang w:val="en-US" w:eastAsia="zh-CN" w:bidi="ar-SA"/>
    </w:rPr>
  </w:style>
  <w:style w:type="character" w:customStyle="1" w:styleId="339">
    <w:name w:val="Char Char33"/>
    <w:qFormat/>
    <w:locked/>
    <w:uiPriority w:val="0"/>
    <w:rPr>
      <w:rFonts w:hint="default" w:ascii="Arial" w:hAnsi="Arial" w:eastAsia="黑体" w:cs="宋体"/>
      <w:sz w:val="28"/>
      <w:lang w:val="en-US" w:eastAsia="zh-CN" w:bidi="ar-SA"/>
    </w:rPr>
  </w:style>
  <w:style w:type="character" w:customStyle="1" w:styleId="340">
    <w:name w:val="Char Char101"/>
    <w:qFormat/>
    <w:uiPriority w:val="0"/>
    <w:rPr>
      <w:rFonts w:hint="eastAsia" w:ascii="宋体" w:hAnsi="宋体" w:eastAsia="宋体"/>
      <w:kern w:val="2"/>
      <w:sz w:val="21"/>
      <w:szCs w:val="24"/>
      <w:lang w:val="en-US" w:eastAsia="zh-CN" w:bidi="ar-SA"/>
    </w:rPr>
  </w:style>
  <w:style w:type="character" w:customStyle="1" w:styleId="341">
    <w:name w:val="ca-3"/>
    <w:qFormat/>
    <w:uiPriority w:val="0"/>
  </w:style>
  <w:style w:type="character" w:customStyle="1" w:styleId="342">
    <w:name w:val="普通文字 Char Char2"/>
    <w:qFormat/>
    <w:uiPriority w:val="0"/>
    <w:rPr>
      <w:rFonts w:ascii="宋体" w:hAnsi="Courier New" w:eastAsia="宋体"/>
      <w:kern w:val="2"/>
      <w:sz w:val="21"/>
      <w:lang w:val="en-US" w:eastAsia="zh-CN" w:bidi="ar-SA"/>
    </w:rPr>
  </w:style>
  <w:style w:type="paragraph" w:customStyle="1" w:styleId="343">
    <w:name w:val="页脚 New New"/>
    <w:basedOn w:val="344"/>
    <w:qFormat/>
    <w:uiPriority w:val="0"/>
    <w:pPr>
      <w:tabs>
        <w:tab w:val="center" w:pos="4153"/>
        <w:tab w:val="right" w:pos="8306"/>
      </w:tabs>
      <w:snapToGrid w:val="0"/>
      <w:jc w:val="left"/>
    </w:pPr>
    <w:rPr>
      <w:sz w:val="18"/>
      <w:szCs w:val="18"/>
    </w:rPr>
  </w:style>
  <w:style w:type="paragraph" w:customStyle="1" w:styleId="34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3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7">
    <w:name w:val="样式 首行缩进:  2 字符"/>
    <w:basedOn w:val="1"/>
    <w:qFormat/>
    <w:uiPriority w:val="0"/>
    <w:pPr>
      <w:spacing w:line="400" w:lineRule="exact"/>
      <w:ind w:firstLine="200" w:firstLineChars="200"/>
    </w:pPr>
    <w:rPr>
      <w:rFonts w:cs="宋体"/>
      <w:sz w:val="24"/>
    </w:rPr>
  </w:style>
  <w:style w:type="paragraph" w:customStyle="1" w:styleId="34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49">
    <w:name w:val="默认段落字体 Para Char"/>
    <w:basedOn w:val="1"/>
    <w:qFormat/>
    <w:uiPriority w:val="0"/>
    <w:pPr>
      <w:adjustRightInd w:val="0"/>
      <w:spacing w:line="360" w:lineRule="auto"/>
    </w:pPr>
    <w:rPr>
      <w:szCs w:val="20"/>
    </w:rPr>
  </w:style>
  <w:style w:type="paragraph" w:customStyle="1" w:styleId="35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351">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352">
    <w:name w:val="列出段落2"/>
    <w:basedOn w:val="1"/>
    <w:qFormat/>
    <w:uiPriority w:val="0"/>
    <w:pPr>
      <w:ind w:firstLine="420" w:firstLineChars="200"/>
    </w:pPr>
    <w:rPr>
      <w:kern w:val="0"/>
      <w:sz w:val="20"/>
      <w:szCs w:val="20"/>
    </w:rPr>
  </w:style>
  <w:style w:type="paragraph" w:customStyle="1" w:styleId="353">
    <w:name w:val="表内文字"/>
    <w:basedOn w:val="1"/>
    <w:qFormat/>
    <w:uiPriority w:val="0"/>
    <w:pPr>
      <w:snapToGrid w:val="0"/>
      <w:spacing w:before="50" w:after="50" w:line="360" w:lineRule="exact"/>
    </w:pPr>
    <w:rPr>
      <w:rFonts w:ascii="宋体" w:hAnsi="宋体"/>
      <w:b/>
      <w:color w:val="0000FF"/>
      <w:szCs w:val="21"/>
    </w:rPr>
  </w:style>
  <w:style w:type="paragraph" w:customStyle="1" w:styleId="354">
    <w:name w:val="Normal0"/>
    <w:qFormat/>
    <w:uiPriority w:val="0"/>
    <w:rPr>
      <w:rFonts w:ascii="Times New Roman" w:hAnsi="Times New Roman" w:eastAsia="宋体" w:cs="Times New Roman"/>
      <w:lang w:val="en-US" w:eastAsia="en-US" w:bidi="ar-SA"/>
    </w:rPr>
  </w:style>
  <w:style w:type="paragraph" w:customStyle="1" w:styleId="3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56">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5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58">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Char"/>
    <w:basedOn w:val="18"/>
    <w:qFormat/>
    <w:uiPriority w:val="0"/>
    <w:pPr>
      <w:widowControl/>
      <w:ind w:firstLine="454"/>
      <w:jc w:val="left"/>
    </w:pPr>
    <w:rPr>
      <w:rFonts w:ascii="Tahoma" w:hAnsi="Tahoma" w:cs="宋体"/>
      <w:kern w:val="0"/>
      <w:sz w:val="24"/>
      <w:szCs w:val="20"/>
    </w:rPr>
  </w:style>
  <w:style w:type="paragraph" w:customStyle="1" w:styleId="36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2">
    <w:name w:val="列出段落3"/>
    <w:basedOn w:val="1"/>
    <w:qFormat/>
    <w:uiPriority w:val="0"/>
    <w:pPr>
      <w:ind w:firstLine="420" w:firstLineChars="200"/>
    </w:pPr>
    <w:rPr>
      <w:rFonts w:ascii="Calibri" w:hAnsi="Calibri"/>
      <w:szCs w:val="22"/>
    </w:rPr>
  </w:style>
  <w:style w:type="paragraph" w:customStyle="1" w:styleId="363">
    <w:name w:val="_Style 35"/>
    <w:basedOn w:val="18"/>
    <w:qFormat/>
    <w:uiPriority w:val="0"/>
    <w:pPr>
      <w:widowControl/>
      <w:ind w:firstLine="454"/>
      <w:jc w:val="left"/>
    </w:pPr>
  </w:style>
  <w:style w:type="paragraph" w:customStyle="1" w:styleId="364">
    <w:name w:val="样式1"/>
    <w:basedOn w:val="1"/>
    <w:qFormat/>
    <w:uiPriority w:val="0"/>
    <w:pPr>
      <w:spacing w:before="120" w:after="120" w:line="300" w:lineRule="auto"/>
    </w:pPr>
    <w:rPr>
      <w:rFonts w:ascii="宋体" w:hAnsi="宋体"/>
      <w:b/>
      <w:sz w:val="24"/>
      <w:szCs w:val="20"/>
    </w:rPr>
  </w:style>
  <w:style w:type="paragraph" w:customStyle="1" w:styleId="365">
    <w:name w:val="正文文本缩进 Char Char Char Char"/>
    <w:basedOn w:val="1"/>
    <w:qFormat/>
    <w:uiPriority w:val="0"/>
    <w:pPr>
      <w:ind w:firstLine="540"/>
    </w:pPr>
    <w:rPr>
      <w:rFonts w:hint="eastAsia" w:ascii="宋体" w:hAnsi="Courier New"/>
      <w:szCs w:val="20"/>
    </w:rPr>
  </w:style>
  <w:style w:type="paragraph" w:customStyle="1" w:styleId="36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7">
    <w:name w:val="样式 正文文字 + 小四 段后: 0 磅 行距: 1.5 倍行距"/>
    <w:basedOn w:val="3"/>
    <w:qFormat/>
    <w:uiPriority w:val="0"/>
    <w:pPr>
      <w:spacing w:line="360" w:lineRule="auto"/>
      <w:ind w:firstLine="480" w:firstLineChars="200"/>
    </w:pPr>
    <w:rPr>
      <w:rFonts w:cs="宋体"/>
      <w:szCs w:val="20"/>
    </w:rPr>
  </w:style>
  <w:style w:type="paragraph" w:customStyle="1" w:styleId="368">
    <w:name w:val="2-2ji"/>
    <w:basedOn w:val="5"/>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369">
    <w:name w:val="表格"/>
    <w:basedOn w:val="1"/>
    <w:qFormat/>
    <w:uiPriority w:val="0"/>
    <w:pPr>
      <w:spacing w:line="400" w:lineRule="exact"/>
    </w:pPr>
    <w:rPr>
      <w:sz w:val="24"/>
    </w:rPr>
  </w:style>
  <w:style w:type="paragraph" w:customStyle="1" w:styleId="370">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7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4">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7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6">
    <w:name w:val="招标标题1"/>
    <w:basedOn w:val="6"/>
    <w:qFormat/>
    <w:uiPriority w:val="0"/>
    <w:pPr>
      <w:numPr>
        <w:ilvl w:val="0"/>
        <w:numId w:val="1"/>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3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7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9">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0">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1">
    <w:name w:val="正文1"/>
    <w:basedOn w:val="1"/>
    <w:qFormat/>
    <w:uiPriority w:val="0"/>
    <w:rPr>
      <w:rFonts w:eastAsia="Times New Roman" w:cs="宋体"/>
      <w:kern w:val="0"/>
      <w:szCs w:val="20"/>
      <w:lang w:eastAsia="en-US"/>
    </w:rPr>
  </w:style>
  <w:style w:type="paragraph" w:customStyle="1" w:styleId="382">
    <w:name w:val="Char Char Char Char Char Char1 Char"/>
    <w:basedOn w:val="1"/>
    <w:qFormat/>
    <w:uiPriority w:val="0"/>
    <w:pPr>
      <w:widowControl/>
      <w:spacing w:after="160" w:line="240" w:lineRule="exact"/>
      <w:jc w:val="left"/>
    </w:pPr>
  </w:style>
  <w:style w:type="paragraph" w:customStyle="1" w:styleId="383">
    <w:name w:val="页脚 New New New New New"/>
    <w:basedOn w:val="384"/>
    <w:qFormat/>
    <w:uiPriority w:val="0"/>
    <w:pPr>
      <w:tabs>
        <w:tab w:val="center" w:pos="4153"/>
        <w:tab w:val="right" w:pos="8306"/>
      </w:tabs>
      <w:snapToGrid w:val="0"/>
      <w:jc w:val="left"/>
    </w:pPr>
    <w:rPr>
      <w:sz w:val="18"/>
      <w:szCs w:val="18"/>
    </w:rPr>
  </w:style>
  <w:style w:type="paragraph" w:customStyle="1" w:styleId="3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标题2"/>
    <w:basedOn w:val="5"/>
    <w:qFormat/>
    <w:uiPriority w:val="0"/>
    <w:pPr>
      <w:snapToGrid w:val="0"/>
      <w:spacing w:line="410" w:lineRule="auto"/>
    </w:pPr>
    <w:rPr>
      <w:rFonts w:eastAsia="宋体"/>
      <w:b w:val="0"/>
    </w:rPr>
  </w:style>
  <w:style w:type="paragraph" w:customStyle="1" w:styleId="386">
    <w:name w:val="页眉 New New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38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9">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390">
    <w:name w:val="1"/>
    <w:basedOn w:val="1"/>
    <w:next w:val="29"/>
    <w:qFormat/>
    <w:uiPriority w:val="0"/>
    <w:rPr>
      <w:rFonts w:ascii="宋体" w:hAnsi="Courier New"/>
      <w:szCs w:val="20"/>
    </w:rPr>
  </w:style>
  <w:style w:type="paragraph" w:customStyle="1" w:styleId="391">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392">
    <w:name w:val="页眉 New New New New New New New New"/>
    <w:basedOn w:val="393"/>
    <w:qFormat/>
    <w:uiPriority w:val="0"/>
    <w:pPr>
      <w:pBdr>
        <w:bottom w:val="single" w:color="auto" w:sz="6" w:space="1"/>
      </w:pBdr>
      <w:tabs>
        <w:tab w:val="center" w:pos="4153"/>
        <w:tab w:val="right" w:pos="8306"/>
      </w:tabs>
      <w:snapToGrid w:val="0"/>
      <w:jc w:val="center"/>
    </w:pPr>
    <w:rPr>
      <w:sz w:val="18"/>
      <w:szCs w:val="18"/>
    </w:rPr>
  </w:style>
  <w:style w:type="paragraph" w:customStyle="1" w:styleId="39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Plain Text1"/>
    <w:basedOn w:val="1"/>
    <w:qFormat/>
    <w:uiPriority w:val="0"/>
    <w:pPr>
      <w:autoSpaceDE w:val="0"/>
      <w:autoSpaceDN w:val="0"/>
      <w:adjustRightInd w:val="0"/>
    </w:pPr>
    <w:rPr>
      <w:rFonts w:ascii="宋体" w:hAnsi="Tms Rmn"/>
      <w:kern w:val="0"/>
      <w:szCs w:val="20"/>
    </w:rPr>
  </w:style>
  <w:style w:type="paragraph" w:customStyle="1" w:styleId="395">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39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397">
    <w:name w:val="正文文本缩进1"/>
    <w:basedOn w:val="1"/>
    <w:qFormat/>
    <w:uiPriority w:val="0"/>
    <w:pPr>
      <w:ind w:firstLine="830" w:firstLineChars="352"/>
    </w:pPr>
    <w:rPr>
      <w:rFonts w:ascii="宋体" w:hAnsi="Courier New"/>
      <w:szCs w:val="20"/>
    </w:rPr>
  </w:style>
  <w:style w:type="paragraph" w:customStyle="1" w:styleId="39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Char Char1 Char Char Char Char"/>
    <w:basedOn w:val="18"/>
    <w:qFormat/>
    <w:uiPriority w:val="0"/>
    <w:rPr>
      <w:rFonts w:ascii="Tahoma" w:hAnsi="Tahoma"/>
      <w:sz w:val="24"/>
    </w:rPr>
  </w:style>
  <w:style w:type="paragraph" w:customStyle="1" w:styleId="400">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0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2">
    <w:name w:val="正文首行缩进两字符"/>
    <w:basedOn w:val="1"/>
    <w:qFormat/>
    <w:uiPriority w:val="0"/>
    <w:pPr>
      <w:spacing w:line="360" w:lineRule="auto"/>
      <w:ind w:firstLine="200" w:firstLineChars="200"/>
    </w:pPr>
  </w:style>
  <w:style w:type="paragraph" w:customStyle="1" w:styleId="403">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5">
    <w:name w:val="444"/>
    <w:basedOn w:val="1"/>
    <w:qFormat/>
    <w:uiPriority w:val="0"/>
    <w:pPr>
      <w:adjustRightInd w:val="0"/>
      <w:spacing w:line="312" w:lineRule="atLeast"/>
      <w:jc w:val="center"/>
      <w:textAlignment w:val="baseline"/>
    </w:pPr>
    <w:rPr>
      <w:b/>
      <w:kern w:val="0"/>
      <w:sz w:val="36"/>
      <w:szCs w:val="36"/>
    </w:rPr>
  </w:style>
  <w:style w:type="paragraph" w:customStyle="1" w:styleId="406">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0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F2"/>
    <w:basedOn w:val="1"/>
    <w:qFormat/>
    <w:uiPriority w:val="0"/>
    <w:pPr>
      <w:autoSpaceDE w:val="0"/>
      <w:autoSpaceDN w:val="0"/>
      <w:adjustRightInd w:val="0"/>
      <w:ind w:firstLine="601"/>
    </w:pPr>
    <w:rPr>
      <w:kern w:val="0"/>
      <w:sz w:val="24"/>
      <w:szCs w:val="20"/>
    </w:rPr>
  </w:style>
  <w:style w:type="paragraph" w:customStyle="1" w:styleId="409">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0">
    <w:name w:val="列出段落22"/>
    <w:basedOn w:val="1"/>
    <w:qFormat/>
    <w:uiPriority w:val="0"/>
    <w:pPr>
      <w:ind w:firstLine="420" w:firstLineChars="200"/>
    </w:pPr>
    <w:rPr>
      <w:sz w:val="24"/>
    </w:rPr>
  </w:style>
  <w:style w:type="paragraph" w:customStyle="1" w:styleId="41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1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3">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14">
    <w:name w:val="页眉 New"/>
    <w:basedOn w:val="415"/>
    <w:qFormat/>
    <w:uiPriority w:val="0"/>
    <w:pPr>
      <w:pBdr>
        <w:bottom w:val="single" w:color="auto" w:sz="6" w:space="1"/>
      </w:pBdr>
      <w:tabs>
        <w:tab w:val="center" w:pos="4153"/>
        <w:tab w:val="right" w:pos="8306"/>
      </w:tabs>
      <w:snapToGrid w:val="0"/>
      <w:jc w:val="center"/>
    </w:pPr>
    <w:rPr>
      <w:sz w:val="18"/>
      <w:szCs w:val="18"/>
    </w:rPr>
  </w:style>
  <w:style w:type="paragraph" w:customStyle="1" w:styleId="4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17">
    <w:name w:val="Body"/>
    <w:basedOn w:val="1"/>
    <w:qFormat/>
    <w:uiPriority w:val="0"/>
    <w:pPr>
      <w:widowControl/>
      <w:tabs>
        <w:tab w:val="left" w:pos="1980"/>
      </w:tabs>
      <w:spacing w:before="80" w:after="80" w:line="360" w:lineRule="auto"/>
      <w:jc w:val="center"/>
    </w:pPr>
    <w:rPr>
      <w:szCs w:val="21"/>
    </w:rPr>
  </w:style>
  <w:style w:type="paragraph" w:customStyle="1" w:styleId="418">
    <w:name w:val="Char2"/>
    <w:basedOn w:val="1"/>
    <w:qFormat/>
    <w:uiPriority w:val="0"/>
    <w:rPr>
      <w:szCs w:val="20"/>
    </w:rPr>
  </w:style>
  <w:style w:type="paragraph" w:customStyle="1" w:styleId="419">
    <w:name w:val="页脚 New New New New"/>
    <w:basedOn w:val="387"/>
    <w:qFormat/>
    <w:uiPriority w:val="0"/>
    <w:pPr>
      <w:tabs>
        <w:tab w:val="center" w:pos="4153"/>
        <w:tab w:val="right" w:pos="8306"/>
      </w:tabs>
      <w:snapToGrid w:val="0"/>
      <w:jc w:val="left"/>
    </w:pPr>
    <w:rPr>
      <w:sz w:val="18"/>
      <w:szCs w:val="18"/>
    </w:rPr>
  </w:style>
  <w:style w:type="paragraph" w:customStyle="1" w:styleId="420">
    <w:name w:val="纯文本 New New"/>
    <w:basedOn w:val="421"/>
    <w:qFormat/>
    <w:uiPriority w:val="0"/>
    <w:rPr>
      <w:rFonts w:ascii="宋体" w:hAnsi="Courier New" w:cs="Courier New"/>
      <w:szCs w:val="21"/>
    </w:rPr>
  </w:style>
  <w:style w:type="paragraph" w:customStyle="1" w:styleId="42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Char11"/>
    <w:basedOn w:val="18"/>
    <w:qFormat/>
    <w:uiPriority w:val="0"/>
    <w:pPr>
      <w:widowControl/>
      <w:ind w:firstLine="454"/>
      <w:jc w:val="left"/>
    </w:pPr>
    <w:rPr>
      <w:rFonts w:ascii="Tahoma" w:hAnsi="Tahoma" w:cs="宋体"/>
      <w:kern w:val="0"/>
      <w:sz w:val="24"/>
      <w:szCs w:val="20"/>
    </w:rPr>
  </w:style>
  <w:style w:type="paragraph" w:customStyle="1" w:styleId="42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4">
    <w:name w:val="pa-6"/>
    <w:basedOn w:val="1"/>
    <w:qFormat/>
    <w:uiPriority w:val="0"/>
    <w:pPr>
      <w:widowControl/>
      <w:spacing w:before="169" w:after="169"/>
      <w:jc w:val="left"/>
    </w:pPr>
    <w:rPr>
      <w:rFonts w:ascii="宋体" w:hAnsi="宋体" w:cs="宋体"/>
      <w:kern w:val="0"/>
      <w:sz w:val="24"/>
    </w:rPr>
  </w:style>
  <w:style w:type="paragraph" w:customStyle="1" w:styleId="425">
    <w:name w:val="页脚 New New New New New New New New"/>
    <w:basedOn w:val="393"/>
    <w:qFormat/>
    <w:uiPriority w:val="0"/>
    <w:pPr>
      <w:tabs>
        <w:tab w:val="center" w:pos="4153"/>
        <w:tab w:val="right" w:pos="8306"/>
      </w:tabs>
      <w:snapToGrid w:val="0"/>
      <w:jc w:val="left"/>
    </w:pPr>
    <w:rPr>
      <w:sz w:val="18"/>
      <w:szCs w:val="18"/>
    </w:rPr>
  </w:style>
  <w:style w:type="paragraph" w:customStyle="1" w:styleId="42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7">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28">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29">
    <w:name w:val="Bullets"/>
    <w:basedOn w:val="1"/>
    <w:qFormat/>
    <w:uiPriority w:val="0"/>
    <w:pPr>
      <w:widowControl/>
      <w:adjustRightInd w:val="0"/>
      <w:snapToGrid w:val="0"/>
      <w:spacing w:before="60" w:after="60"/>
    </w:pPr>
    <w:rPr>
      <w:kern w:val="0"/>
      <w:sz w:val="24"/>
      <w:lang w:val="en-GB"/>
    </w:rPr>
  </w:style>
  <w:style w:type="paragraph" w:customStyle="1" w:styleId="430">
    <w:name w:val="页眉 New New New New New New New New New"/>
    <w:basedOn w:val="431"/>
    <w:qFormat/>
    <w:uiPriority w:val="0"/>
    <w:pPr>
      <w:pBdr>
        <w:bottom w:val="single" w:color="auto" w:sz="6" w:space="1"/>
      </w:pBdr>
      <w:tabs>
        <w:tab w:val="center" w:pos="4153"/>
        <w:tab w:val="right" w:pos="8306"/>
      </w:tabs>
      <w:snapToGrid w:val="0"/>
      <w:jc w:val="center"/>
    </w:pPr>
    <w:rPr>
      <w:sz w:val="18"/>
      <w:szCs w:val="18"/>
    </w:rPr>
  </w:style>
  <w:style w:type="paragraph" w:customStyle="1" w:styleId="43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p0"/>
    <w:basedOn w:val="1"/>
    <w:qFormat/>
    <w:uiPriority w:val="0"/>
    <w:pPr>
      <w:widowControl/>
    </w:pPr>
    <w:rPr>
      <w:kern w:val="0"/>
      <w:szCs w:val="21"/>
    </w:rPr>
  </w:style>
  <w:style w:type="paragraph" w:customStyle="1" w:styleId="4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4">
    <w:name w:val="2ji"/>
    <w:basedOn w:val="5"/>
    <w:qFormat/>
    <w:uiPriority w:val="0"/>
    <w:pPr>
      <w:adjustRightInd w:val="0"/>
      <w:spacing w:before="0" w:after="0" w:line="360" w:lineRule="auto"/>
      <w:textAlignment w:val="baseline"/>
    </w:pPr>
    <w:rPr>
      <w:rFonts w:ascii="宋体" w:hAnsi="宋体" w:eastAsia="宋体"/>
      <w:sz w:val="21"/>
      <w:szCs w:val="21"/>
    </w:rPr>
  </w:style>
  <w:style w:type="paragraph" w:customStyle="1" w:styleId="435">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7">
    <w:name w:val="pa-15"/>
    <w:basedOn w:val="1"/>
    <w:qFormat/>
    <w:uiPriority w:val="0"/>
    <w:pPr>
      <w:widowControl/>
      <w:spacing w:before="169" w:after="169"/>
      <w:jc w:val="left"/>
    </w:pPr>
    <w:rPr>
      <w:rFonts w:ascii="宋体" w:hAnsi="宋体" w:cs="宋体"/>
      <w:kern w:val="0"/>
      <w:sz w:val="24"/>
    </w:rPr>
  </w:style>
  <w:style w:type="paragraph" w:customStyle="1" w:styleId="43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39">
    <w:name w:val="页眉 New New"/>
    <w:basedOn w:val="344"/>
    <w:qFormat/>
    <w:uiPriority w:val="0"/>
    <w:pPr>
      <w:pBdr>
        <w:bottom w:val="single" w:color="auto" w:sz="6" w:space="1"/>
      </w:pBdr>
      <w:tabs>
        <w:tab w:val="center" w:pos="4153"/>
        <w:tab w:val="right" w:pos="8306"/>
      </w:tabs>
      <w:snapToGrid w:val="0"/>
      <w:jc w:val="center"/>
    </w:pPr>
    <w:rPr>
      <w:sz w:val="18"/>
      <w:szCs w:val="18"/>
    </w:rPr>
  </w:style>
  <w:style w:type="paragraph" w:customStyle="1" w:styleId="440">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41">
    <w:name w:val="_Style 33"/>
    <w:basedOn w:val="1"/>
    <w:qFormat/>
    <w:uiPriority w:val="0"/>
    <w:pPr>
      <w:widowControl/>
      <w:spacing w:after="160" w:line="240" w:lineRule="exact"/>
      <w:jc w:val="left"/>
    </w:pPr>
  </w:style>
  <w:style w:type="paragraph" w:customStyle="1" w:styleId="44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3">
    <w:name w:val="页脚 New New New New New New New New New"/>
    <w:basedOn w:val="431"/>
    <w:qFormat/>
    <w:uiPriority w:val="0"/>
    <w:pPr>
      <w:tabs>
        <w:tab w:val="center" w:pos="4153"/>
        <w:tab w:val="right" w:pos="8306"/>
      </w:tabs>
      <w:snapToGrid w:val="0"/>
      <w:jc w:val="left"/>
    </w:pPr>
    <w:rPr>
      <w:sz w:val="18"/>
      <w:szCs w:val="18"/>
    </w:rPr>
  </w:style>
  <w:style w:type="paragraph" w:customStyle="1" w:styleId="444">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4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46">
    <w:name w:val="页眉 New New New New New New New"/>
    <w:basedOn w:val="421"/>
    <w:qFormat/>
    <w:uiPriority w:val="0"/>
    <w:pPr>
      <w:pBdr>
        <w:bottom w:val="single" w:color="auto" w:sz="6" w:space="1"/>
      </w:pBdr>
      <w:tabs>
        <w:tab w:val="center" w:pos="4153"/>
        <w:tab w:val="right" w:pos="8306"/>
      </w:tabs>
      <w:snapToGrid w:val="0"/>
      <w:jc w:val="center"/>
    </w:pPr>
    <w:rPr>
      <w:sz w:val="18"/>
      <w:szCs w:val="18"/>
    </w:rPr>
  </w:style>
  <w:style w:type="paragraph" w:customStyle="1" w:styleId="447">
    <w:name w:val="我的正文"/>
    <w:basedOn w:val="1"/>
    <w:qFormat/>
    <w:uiPriority w:val="0"/>
    <w:pPr>
      <w:spacing w:line="520" w:lineRule="exact"/>
      <w:ind w:firstLine="192" w:firstLineChars="192"/>
    </w:pPr>
    <w:rPr>
      <w:sz w:val="28"/>
      <w:szCs w:val="28"/>
    </w:rPr>
  </w:style>
  <w:style w:type="paragraph" w:customStyle="1" w:styleId="4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9">
    <w:name w:val="Char Char Char Char"/>
    <w:basedOn w:val="18"/>
    <w:qFormat/>
    <w:uiPriority w:val="0"/>
    <w:pPr>
      <w:adjustRightInd w:val="0"/>
      <w:snapToGrid w:val="0"/>
      <w:spacing w:line="360" w:lineRule="auto"/>
    </w:pPr>
    <w:rPr>
      <w:rFonts w:ascii="Tahoma" w:hAnsi="Tahoma"/>
      <w:sz w:val="24"/>
    </w:rPr>
  </w:style>
  <w:style w:type="paragraph" w:customStyle="1" w:styleId="450">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5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53">
    <w:name w:val="pa-10"/>
    <w:basedOn w:val="1"/>
    <w:qFormat/>
    <w:uiPriority w:val="0"/>
    <w:pPr>
      <w:widowControl/>
      <w:spacing w:before="169" w:after="169"/>
      <w:jc w:val="left"/>
    </w:pPr>
    <w:rPr>
      <w:rFonts w:ascii="宋体" w:hAnsi="宋体" w:cs="宋体"/>
      <w:kern w:val="0"/>
      <w:sz w:val="24"/>
    </w:rPr>
  </w:style>
  <w:style w:type="paragraph" w:customStyle="1" w:styleId="45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7">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5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1">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62">
    <w:name w:val="Char1"/>
    <w:basedOn w:val="1"/>
    <w:qFormat/>
    <w:uiPriority w:val="0"/>
    <w:rPr>
      <w:szCs w:val="21"/>
    </w:rPr>
  </w:style>
  <w:style w:type="paragraph" w:customStyle="1" w:styleId="463">
    <w:name w:val="pa-4"/>
    <w:basedOn w:val="1"/>
    <w:qFormat/>
    <w:uiPriority w:val="0"/>
    <w:pPr>
      <w:widowControl/>
      <w:spacing w:before="169" w:after="169"/>
      <w:jc w:val="left"/>
    </w:pPr>
    <w:rPr>
      <w:rFonts w:ascii="宋体" w:hAnsi="宋体" w:cs="宋体"/>
      <w:kern w:val="0"/>
      <w:sz w:val="24"/>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7">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7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pa-8"/>
    <w:basedOn w:val="1"/>
    <w:qFormat/>
    <w:uiPriority w:val="0"/>
    <w:pPr>
      <w:widowControl/>
      <w:spacing w:before="169" w:after="169"/>
      <w:jc w:val="left"/>
    </w:pPr>
    <w:rPr>
      <w:rFonts w:ascii="宋体" w:hAnsi="宋体" w:cs="宋体"/>
      <w:kern w:val="0"/>
      <w:sz w:val="24"/>
    </w:rPr>
  </w:style>
  <w:style w:type="paragraph" w:customStyle="1" w:styleId="478">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9">
    <w:name w:val="样式 标题 2H2h22nd levelTitre2l22Header 2节标题一级节名Level 2 He..."/>
    <w:basedOn w:val="5"/>
    <w:qFormat/>
    <w:uiPriority w:val="0"/>
    <w:pPr>
      <w:numPr>
        <w:ilvl w:val="1"/>
        <w:numId w:val="2"/>
      </w:numPr>
      <w:adjustRightInd w:val="0"/>
      <w:snapToGrid w:val="0"/>
      <w:spacing w:before="0" w:after="0" w:line="360" w:lineRule="auto"/>
    </w:pPr>
    <w:rPr>
      <w:sz w:val="21"/>
      <w:szCs w:val="20"/>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1">
    <w:name w:val="pa-12"/>
    <w:basedOn w:val="1"/>
    <w:qFormat/>
    <w:uiPriority w:val="0"/>
    <w:pPr>
      <w:widowControl/>
      <w:spacing w:before="169" w:after="169"/>
      <w:jc w:val="left"/>
    </w:pPr>
    <w:rPr>
      <w:rFonts w:ascii="宋体" w:hAnsi="宋体" w:cs="宋体"/>
      <w:kern w:val="0"/>
      <w:sz w:val="24"/>
    </w:rPr>
  </w:style>
  <w:style w:type="paragraph" w:customStyle="1" w:styleId="48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83">
    <w:name w:val="Header Odd"/>
    <w:basedOn w:val="37"/>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8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5">
    <w:name w:val="页眉 New New New New New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48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har Char1 Char Char Char Char1"/>
    <w:basedOn w:val="18"/>
    <w:qFormat/>
    <w:uiPriority w:val="0"/>
    <w:rPr>
      <w:rFonts w:ascii="Tahoma" w:hAnsi="Tahoma"/>
      <w:sz w:val="24"/>
    </w:rPr>
  </w:style>
  <w:style w:type="paragraph" w:customStyle="1" w:styleId="48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9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1">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9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9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9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8">
    <w:name w:val="纯文本11"/>
    <w:basedOn w:val="1"/>
    <w:qFormat/>
    <w:uiPriority w:val="99"/>
    <w:rPr>
      <w:rFonts w:ascii="宋体" w:hAnsi="Courier New"/>
      <w:szCs w:val="21"/>
    </w:rPr>
  </w:style>
  <w:style w:type="paragraph" w:customStyle="1" w:styleId="499">
    <w:name w:val="_Style 56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1">
    <w:name w:val="pa-11"/>
    <w:basedOn w:val="1"/>
    <w:qFormat/>
    <w:uiPriority w:val="0"/>
    <w:pPr>
      <w:widowControl/>
      <w:spacing w:before="169" w:after="169"/>
      <w:jc w:val="left"/>
    </w:pPr>
    <w:rPr>
      <w:rFonts w:ascii="宋体" w:hAnsi="宋体" w:cs="宋体"/>
      <w:kern w:val="0"/>
      <w:sz w:val="24"/>
    </w:rPr>
  </w:style>
  <w:style w:type="paragraph" w:customStyle="1" w:styleId="5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0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06">
    <w:name w:val="Char Char Char Char Char Char Char Char Char"/>
    <w:basedOn w:val="1"/>
    <w:qFormat/>
    <w:uiPriority w:val="0"/>
    <w:pPr>
      <w:widowControl/>
      <w:spacing w:after="160" w:line="240" w:lineRule="exact"/>
      <w:jc w:val="left"/>
    </w:pPr>
    <w:rPr>
      <w:szCs w:val="20"/>
    </w:rPr>
  </w:style>
  <w:style w:type="paragraph" w:customStyle="1" w:styleId="50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9">
    <w:name w:val="页脚 New New New"/>
    <w:basedOn w:val="510"/>
    <w:qFormat/>
    <w:uiPriority w:val="0"/>
    <w:pPr>
      <w:tabs>
        <w:tab w:val="center" w:pos="4153"/>
        <w:tab w:val="right" w:pos="8306"/>
      </w:tabs>
      <w:snapToGrid w:val="0"/>
      <w:jc w:val="left"/>
    </w:pPr>
    <w:rPr>
      <w:sz w:val="18"/>
      <w:szCs w:val="18"/>
    </w:rPr>
  </w:style>
  <w:style w:type="paragraph" w:customStyle="1" w:styleId="5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51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51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5">
    <w:name w:val="5 Char Char Char Char Char Char Char Char Char Char"/>
    <w:basedOn w:val="1"/>
    <w:qFormat/>
    <w:uiPriority w:val="0"/>
  </w:style>
  <w:style w:type="paragraph" w:customStyle="1" w:styleId="516">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7">
    <w:name w:val="pa-14"/>
    <w:basedOn w:val="1"/>
    <w:qFormat/>
    <w:uiPriority w:val="0"/>
    <w:pPr>
      <w:widowControl/>
      <w:spacing w:before="169" w:after="169"/>
      <w:jc w:val="left"/>
    </w:pPr>
    <w:rPr>
      <w:rFonts w:ascii="宋体" w:hAnsi="宋体" w:cs="宋体"/>
      <w:kern w:val="0"/>
      <w:sz w:val="24"/>
    </w:rPr>
  </w:style>
  <w:style w:type="paragraph" w:customStyle="1" w:styleId="518">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519">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2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2">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5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页脚 New New New New New New"/>
    <w:basedOn w:val="486"/>
    <w:qFormat/>
    <w:uiPriority w:val="0"/>
    <w:pPr>
      <w:tabs>
        <w:tab w:val="center" w:pos="4153"/>
        <w:tab w:val="right" w:pos="8306"/>
      </w:tabs>
      <w:snapToGrid w:val="0"/>
      <w:jc w:val="left"/>
    </w:pPr>
    <w:rPr>
      <w:sz w:val="18"/>
      <w:szCs w:val="18"/>
    </w:rPr>
  </w:style>
  <w:style w:type="paragraph" w:customStyle="1" w:styleId="5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6">
    <w:name w:val="paragraph1"/>
    <w:basedOn w:val="1"/>
    <w:qFormat/>
    <w:uiPriority w:val="0"/>
    <w:pPr>
      <w:spacing w:line="300" w:lineRule="auto"/>
      <w:ind w:firstLine="200" w:firstLineChars="200"/>
    </w:pPr>
    <w:rPr>
      <w:sz w:val="24"/>
    </w:rPr>
  </w:style>
  <w:style w:type="paragraph" w:customStyle="1" w:styleId="527">
    <w:name w:val="默认段落字体 Para Char Char Char Char Char Char Char Char Char1 Char Char Char Char"/>
    <w:basedOn w:val="1"/>
    <w:qFormat/>
    <w:uiPriority w:val="0"/>
    <w:rPr>
      <w:rFonts w:ascii="Tahoma" w:hAnsi="Tahoma"/>
      <w:sz w:val="24"/>
      <w:szCs w:val="20"/>
    </w:rPr>
  </w:style>
  <w:style w:type="paragraph" w:customStyle="1" w:styleId="528">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29">
    <w:name w:val="页脚 New"/>
    <w:basedOn w:val="415"/>
    <w:qFormat/>
    <w:uiPriority w:val="0"/>
    <w:pPr>
      <w:tabs>
        <w:tab w:val="center" w:pos="4153"/>
        <w:tab w:val="right" w:pos="8306"/>
      </w:tabs>
      <w:snapToGrid w:val="0"/>
      <w:jc w:val="left"/>
    </w:pPr>
    <w:rPr>
      <w:sz w:val="18"/>
      <w:szCs w:val="18"/>
    </w:rPr>
  </w:style>
  <w:style w:type="paragraph" w:customStyle="1" w:styleId="53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31">
    <w:name w:val="样式 标题 3标题1.1二级节名h33rd level3l3Level 3 HeadH3heading 3 +..."/>
    <w:basedOn w:val="6"/>
    <w:qFormat/>
    <w:uiPriority w:val="0"/>
    <w:pPr>
      <w:numPr>
        <w:ilvl w:val="2"/>
        <w:numId w:val="3"/>
      </w:numPr>
      <w:spacing w:before="0" w:after="0" w:line="360" w:lineRule="auto"/>
      <w:jc w:val="left"/>
    </w:pPr>
    <w:rPr>
      <w:sz w:val="28"/>
      <w:szCs w:val="20"/>
    </w:rPr>
  </w:style>
  <w:style w:type="paragraph" w:customStyle="1" w:styleId="532">
    <w:name w:val="pa-7"/>
    <w:basedOn w:val="1"/>
    <w:qFormat/>
    <w:uiPriority w:val="0"/>
    <w:pPr>
      <w:widowControl/>
      <w:spacing w:before="169" w:after="169"/>
      <w:jc w:val="left"/>
    </w:pPr>
    <w:rPr>
      <w:rFonts w:ascii="宋体" w:hAnsi="宋体" w:cs="宋体"/>
      <w:kern w:val="0"/>
      <w:sz w:val="24"/>
    </w:rPr>
  </w:style>
  <w:style w:type="paragraph" w:customStyle="1" w:styleId="533">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4">
    <w:name w:val="List Paragraph1"/>
    <w:basedOn w:val="1"/>
    <w:qFormat/>
    <w:uiPriority w:val="0"/>
    <w:pPr>
      <w:ind w:firstLine="420" w:firstLineChars="200"/>
    </w:pPr>
    <w:rPr>
      <w:rFonts w:ascii="Calibri" w:hAnsi="Calibri"/>
      <w:szCs w:val="22"/>
    </w:rPr>
  </w:style>
  <w:style w:type="paragraph" w:customStyle="1" w:styleId="5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6">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7">
    <w:name w:val="表格文字"/>
    <w:basedOn w:val="22"/>
    <w:next w:val="1"/>
    <w:qFormat/>
    <w:uiPriority w:val="0"/>
    <w:pPr>
      <w:spacing w:before="25" w:after="25"/>
      <w:jc w:val="left"/>
    </w:pPr>
    <w:rPr>
      <w:bCs/>
      <w:spacing w:val="10"/>
      <w:kern w:val="0"/>
      <w:sz w:val="24"/>
    </w:rPr>
  </w:style>
  <w:style w:type="paragraph" w:customStyle="1" w:styleId="538">
    <w:name w:val="Char1 Char Char Char Char Char Char"/>
    <w:basedOn w:val="1"/>
    <w:qFormat/>
    <w:uiPriority w:val="0"/>
    <w:rPr>
      <w:rFonts w:ascii="Tahoma" w:hAnsi="Tahoma"/>
      <w:sz w:val="24"/>
      <w:szCs w:val="20"/>
    </w:rPr>
  </w:style>
  <w:style w:type="paragraph" w:customStyle="1" w:styleId="53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4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5">
    <w:name w:val="项目5"/>
    <w:basedOn w:val="1"/>
    <w:qFormat/>
    <w:uiPriority w:val="0"/>
    <w:pPr>
      <w:tabs>
        <w:tab w:val="left" w:pos="360"/>
        <w:tab w:val="left" w:pos="874"/>
      </w:tabs>
      <w:spacing w:line="400" w:lineRule="exact"/>
      <w:jc w:val="left"/>
    </w:pPr>
    <w:rPr>
      <w:szCs w:val="20"/>
    </w:rPr>
  </w:style>
  <w:style w:type="paragraph" w:customStyle="1" w:styleId="54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4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9">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51">
    <w:name w:val="节标题"/>
    <w:basedOn w:val="1"/>
    <w:next w:val="550"/>
    <w:qFormat/>
    <w:uiPriority w:val="0"/>
    <w:pPr>
      <w:widowControl/>
      <w:spacing w:line="289" w:lineRule="atLeast"/>
      <w:jc w:val="center"/>
      <w:textAlignment w:val="baseline"/>
    </w:pPr>
    <w:rPr>
      <w:color w:val="000000"/>
      <w:kern w:val="0"/>
      <w:sz w:val="28"/>
      <w:szCs w:val="20"/>
    </w:rPr>
  </w:style>
  <w:style w:type="paragraph" w:customStyle="1" w:styleId="552">
    <w:name w:val="正文段"/>
    <w:basedOn w:val="1"/>
    <w:qFormat/>
    <w:uiPriority w:val="0"/>
    <w:pPr>
      <w:widowControl/>
      <w:snapToGrid w:val="0"/>
      <w:spacing w:after="156" w:afterLines="50"/>
      <w:ind w:firstLine="200" w:firstLineChars="200"/>
    </w:pPr>
    <w:rPr>
      <w:kern w:val="0"/>
      <w:sz w:val="24"/>
      <w:szCs w:val="20"/>
    </w:rPr>
  </w:style>
  <w:style w:type="paragraph" w:customStyle="1" w:styleId="553">
    <w:name w:val="标准正文"/>
    <w:basedOn w:val="1"/>
    <w:next w:val="1"/>
    <w:qFormat/>
    <w:uiPriority w:val="0"/>
    <w:pPr>
      <w:widowControl/>
      <w:spacing w:after="50"/>
      <w:ind w:firstLine="200"/>
    </w:pPr>
    <w:rPr>
      <w:color w:val="000000"/>
      <w:sz w:val="24"/>
      <w:szCs w:val="20"/>
    </w:rPr>
  </w:style>
  <w:style w:type="paragraph" w:customStyle="1" w:styleId="554">
    <w:name w:val="4"/>
    <w:basedOn w:val="1"/>
    <w:next w:val="32"/>
    <w:qFormat/>
    <w:uiPriority w:val="0"/>
    <w:pPr>
      <w:spacing w:line="420" w:lineRule="exact"/>
      <w:ind w:firstLine="409" w:firstLineChars="195"/>
    </w:pPr>
  </w:style>
  <w:style w:type="paragraph" w:customStyle="1" w:styleId="55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57">
    <w:name w:val="页眉 New New New New New"/>
    <w:basedOn w:val="384"/>
    <w:qFormat/>
    <w:uiPriority w:val="0"/>
    <w:pPr>
      <w:pBdr>
        <w:bottom w:val="single" w:color="auto" w:sz="6" w:space="1"/>
      </w:pBdr>
      <w:tabs>
        <w:tab w:val="center" w:pos="4153"/>
        <w:tab w:val="right" w:pos="8306"/>
      </w:tabs>
      <w:snapToGrid w:val="0"/>
      <w:jc w:val="center"/>
    </w:pPr>
    <w:rPr>
      <w:sz w:val="18"/>
      <w:szCs w:val="18"/>
    </w:rPr>
  </w:style>
  <w:style w:type="paragraph" w:customStyle="1" w:styleId="558">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61">
    <w:name w:val="无间隔1"/>
    <w:qFormat/>
    <w:uiPriority w:val="0"/>
    <w:rPr>
      <w:rFonts w:ascii="Times New Roman" w:hAnsi="Times New Roman" w:eastAsia="宋体" w:cs="Times New Roman"/>
      <w:sz w:val="22"/>
      <w:szCs w:val="22"/>
      <w:lang w:val="en-US" w:eastAsia="zh-CN" w:bidi="ar-SA"/>
    </w:rPr>
  </w:style>
  <w:style w:type="paragraph" w:customStyle="1" w:styleId="56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3">
    <w:name w:val="文章总标题"/>
    <w:basedOn w:val="1"/>
    <w:next w:val="47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64">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65">
    <w:name w:val="pa-9"/>
    <w:basedOn w:val="1"/>
    <w:qFormat/>
    <w:uiPriority w:val="0"/>
    <w:pPr>
      <w:widowControl/>
      <w:spacing w:before="169" w:after="169"/>
      <w:jc w:val="left"/>
    </w:pPr>
    <w:rPr>
      <w:rFonts w:ascii="宋体" w:hAnsi="宋体" w:cs="宋体"/>
      <w:kern w:val="0"/>
      <w:sz w:val="24"/>
    </w:rPr>
  </w:style>
  <w:style w:type="paragraph" w:customStyle="1" w:styleId="566">
    <w:name w:val="页脚 New New New New New New New"/>
    <w:basedOn w:val="421"/>
    <w:qFormat/>
    <w:uiPriority w:val="0"/>
    <w:pPr>
      <w:tabs>
        <w:tab w:val="center" w:pos="4153"/>
        <w:tab w:val="right" w:pos="8306"/>
      </w:tabs>
      <w:snapToGrid w:val="0"/>
      <w:jc w:val="left"/>
    </w:pPr>
    <w:rPr>
      <w:sz w:val="18"/>
      <w:szCs w:val="18"/>
    </w:rPr>
  </w:style>
  <w:style w:type="paragraph" w:customStyle="1" w:styleId="567">
    <w:name w:val="p16"/>
    <w:basedOn w:val="1"/>
    <w:qFormat/>
    <w:uiPriority w:val="0"/>
    <w:pPr>
      <w:widowControl/>
    </w:pPr>
    <w:rPr>
      <w:rFonts w:ascii="宋体" w:hAnsi="宋体" w:cs="宋体"/>
      <w:kern w:val="0"/>
      <w:szCs w:val="21"/>
    </w:rPr>
  </w:style>
  <w:style w:type="paragraph" w:customStyle="1" w:styleId="56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69">
    <w:name w:val="Char Char24"/>
    <w:basedOn w:val="1"/>
    <w:qFormat/>
    <w:uiPriority w:val="0"/>
    <w:pPr>
      <w:widowControl/>
      <w:spacing w:after="160" w:line="240" w:lineRule="exact"/>
      <w:jc w:val="left"/>
    </w:pPr>
  </w:style>
  <w:style w:type="paragraph" w:customStyle="1" w:styleId="570">
    <w:name w:val="页眉 New New New"/>
    <w:basedOn w:val="510"/>
    <w:qFormat/>
    <w:uiPriority w:val="0"/>
    <w:pPr>
      <w:pBdr>
        <w:bottom w:val="single" w:color="auto" w:sz="6" w:space="1"/>
      </w:pBdr>
      <w:tabs>
        <w:tab w:val="center" w:pos="4153"/>
        <w:tab w:val="right" w:pos="8306"/>
      </w:tabs>
      <w:snapToGrid w:val="0"/>
      <w:jc w:val="center"/>
    </w:pPr>
    <w:rPr>
      <w:sz w:val="18"/>
      <w:szCs w:val="18"/>
    </w:rPr>
  </w:style>
  <w:style w:type="paragraph" w:customStyle="1" w:styleId="571">
    <w:name w:val="p15"/>
    <w:basedOn w:val="1"/>
    <w:qFormat/>
    <w:uiPriority w:val="0"/>
    <w:pPr>
      <w:widowControl/>
    </w:pPr>
    <w:rPr>
      <w:rFonts w:ascii="宋体" w:hAnsi="宋体" w:cs="宋体"/>
      <w:kern w:val="0"/>
      <w:szCs w:val="21"/>
    </w:rPr>
  </w:style>
  <w:style w:type="paragraph" w:customStyle="1" w:styleId="572">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3">
    <w:name w:val="纯文本 New"/>
    <w:basedOn w:val="1"/>
    <w:qFormat/>
    <w:uiPriority w:val="0"/>
    <w:rPr>
      <w:rFonts w:ascii="宋体" w:hAnsi="Courier New" w:cs="Courier New"/>
      <w:szCs w:val="21"/>
    </w:rPr>
  </w:style>
  <w:style w:type="paragraph" w:customStyle="1" w:styleId="5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6">
    <w:name w:val="正文11"/>
    <w:qFormat/>
    <w:uiPriority w:val="0"/>
    <w:pPr>
      <w:jc w:val="both"/>
    </w:pPr>
    <w:rPr>
      <w:rFonts w:ascii="Times New Roman" w:hAnsi="Times New Roman" w:eastAsia="宋体" w:cs="Times New Roman"/>
      <w:lang w:val="en-US" w:eastAsia="zh-CN" w:bidi="ar-SA"/>
    </w:rPr>
  </w:style>
  <w:style w:type="table" w:customStyle="1" w:styleId="577">
    <w:name w:val="网格型1"/>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8">
    <w:name w:val="Char Char37"/>
    <w:qFormat/>
    <w:uiPriority w:val="0"/>
    <w:rPr>
      <w:rFonts w:ascii="宋体" w:hAnsi="Courier New" w:eastAsia="宋体" w:cs="Courier New"/>
      <w:kern w:val="2"/>
      <w:sz w:val="21"/>
      <w:szCs w:val="21"/>
      <w:lang w:val="en-US" w:eastAsia="zh-CN" w:bidi="ar-SA"/>
    </w:rPr>
  </w:style>
  <w:style w:type="character" w:customStyle="1" w:styleId="579">
    <w:name w:val="bookmark-item uuid-1595940643756 code-00004 addword single-line-text-input-box-cls"/>
    <w:qFormat/>
    <w:uiPriority w:val="0"/>
  </w:style>
  <w:style w:type="character" w:customStyle="1" w:styleId="580">
    <w:name w:val="bookmark-item uuid-1596015939851 code-00003 addword single-line-text-input-box-cls"/>
    <w:qFormat/>
    <w:uiPriority w:val="0"/>
  </w:style>
  <w:style w:type="character" w:customStyle="1" w:styleId="581">
    <w:name w:val="bookmark-item uuid-1595940673658 code-am01400034 addword numeric-input-box-cls"/>
    <w:basedOn w:val="57"/>
    <w:qFormat/>
    <w:uiPriority w:val="0"/>
  </w:style>
  <w:style w:type="character" w:customStyle="1" w:styleId="582">
    <w:name w:val="bookmark-item uuid-1593432150293 code-am014biditemname editdisable single-line-text-input-box-cls"/>
    <w:qFormat/>
    <w:uiPriority w:val="0"/>
  </w:style>
  <w:style w:type="character" w:customStyle="1" w:styleId="583">
    <w:name w:val="bookmark-item uuid-1595941076685 code-am014biditemcount editdisable single-line-text-input-box-cls"/>
    <w:basedOn w:val="57"/>
    <w:qFormat/>
    <w:uiPriority w:val="0"/>
  </w:style>
  <w:style w:type="character" w:customStyle="1" w:styleId="584">
    <w:name w:val="bookmark-item uuid-1593421137256 code-am014budgetprice editdisable single-line-text-input-box-cls"/>
    <w:qFormat/>
    <w:uiPriority w:val="0"/>
  </w:style>
  <w:style w:type="character" w:customStyle="1" w:styleId="585">
    <w:name w:val="bookmark-item uuid-1593421202487 code-am014briefspecificationdesc editdisable single-line-text-input-box-cls"/>
    <w:basedOn w:val="57"/>
    <w:qFormat/>
    <w:uiPriority w:val="0"/>
  </w:style>
  <w:style w:type="character" w:customStyle="1" w:styleId="586">
    <w:name w:val="bookmark-item uuid-1593432166973 code-am014remarks editdisable single-line-text-input-box-cls"/>
    <w:basedOn w:val="57"/>
    <w:qFormat/>
    <w:uiPriority w:val="0"/>
  </w:style>
  <w:style w:type="character" w:customStyle="1" w:styleId="587">
    <w:name w:val="bookmark-item uuid-1595940687802 code-23021 editdisable multi-line-text-input-box-cls readonly"/>
    <w:basedOn w:val="57"/>
    <w:qFormat/>
    <w:uiPriority w:val="0"/>
  </w:style>
  <w:style w:type="character" w:customStyle="1" w:styleId="588">
    <w:name w:val="bookmark-item uuid-1596277470067 code-23002 editdisable multi-line-text-input-box-cls readonly"/>
    <w:basedOn w:val="57"/>
    <w:qFormat/>
    <w:uiPriority w:val="0"/>
  </w:style>
  <w:style w:type="character" w:customStyle="1" w:styleId="589">
    <w:name w:val="bookmark-item uuid-1587980024345 code-23003 addword date-selection-cls"/>
    <w:basedOn w:val="57"/>
    <w:qFormat/>
    <w:uiPriority w:val="0"/>
  </w:style>
  <w:style w:type="character" w:customStyle="1" w:styleId="590">
    <w:name w:val="bookmark-item uuid-1588129524349 code-23004 addword date-selection-cls readonly"/>
    <w:basedOn w:val="57"/>
    <w:qFormat/>
    <w:uiPriority w:val="0"/>
  </w:style>
  <w:style w:type="character" w:customStyle="1" w:styleId="591">
    <w:name w:val="bookmark-item uuid-1594624027756 code-23005 addword morning-time-section-selection-cls"/>
    <w:basedOn w:val="57"/>
    <w:qFormat/>
    <w:uiPriority w:val="0"/>
  </w:style>
  <w:style w:type="character" w:customStyle="1" w:styleId="592">
    <w:name w:val="bookmark-item uuid-1594624265677 code-23006 addword afternoon-time-section-selection-cls"/>
    <w:basedOn w:val="57"/>
    <w:qFormat/>
    <w:uiPriority w:val="0"/>
  </w:style>
  <w:style w:type="character" w:customStyle="1" w:styleId="593">
    <w:name w:val="bookmark-item uuid-1588129635457 code-23007 addword single-line-text-input-box-cls readonly"/>
    <w:basedOn w:val="57"/>
    <w:qFormat/>
    <w:uiPriority w:val="0"/>
  </w:style>
  <w:style w:type="character" w:customStyle="1" w:styleId="594">
    <w:name w:val="bookmark-item uuid-1595940713919 code-am01400046 editdisable single-line-text-input-box-cls readonly"/>
    <w:basedOn w:val="57"/>
    <w:qFormat/>
    <w:uiPriority w:val="0"/>
  </w:style>
  <w:style w:type="character" w:customStyle="1" w:styleId="595">
    <w:name w:val="bookmark-item uuid-1595940727161 code-23008 addword numeric-input-box-cls"/>
    <w:basedOn w:val="57"/>
    <w:qFormat/>
    <w:uiPriority w:val="0"/>
  </w:style>
  <w:style w:type="character" w:customStyle="1" w:styleId="596">
    <w:name w:val="bookmark-item uuid-1595940760210 code-23011 addword date-time-selection-cls"/>
    <w:basedOn w:val="57"/>
    <w:qFormat/>
    <w:uiPriority w:val="0"/>
  </w:style>
  <w:style w:type="character" w:customStyle="1" w:styleId="597">
    <w:name w:val="bookmark-item uuid-1594624424199 code-23012 addword single-line-text-input-box-cls readonly"/>
    <w:basedOn w:val="57"/>
    <w:qFormat/>
    <w:uiPriority w:val="0"/>
  </w:style>
  <w:style w:type="character" w:customStyle="1" w:styleId="598">
    <w:name w:val="bookmark-item uuid-1594624443488 code-23013 addword date-time-selection-cls readonly"/>
    <w:basedOn w:val="57"/>
    <w:qFormat/>
    <w:uiPriority w:val="0"/>
  </w:style>
  <w:style w:type="character" w:customStyle="1" w:styleId="599">
    <w:name w:val="bookmark-item uuid-1588129973591 code-23015 addword single-line-text-input-box-cls readonly"/>
    <w:basedOn w:val="57"/>
    <w:qFormat/>
    <w:uiPriority w:val="0"/>
  </w:style>
  <w:style w:type="character" w:customStyle="1" w:styleId="600">
    <w:name w:val="bookmark-item uuid-1589194982864 code-31006 addword multi-line-text-input-box-cls"/>
    <w:qFormat/>
    <w:uiPriority w:val="0"/>
  </w:style>
  <w:style w:type="character" w:customStyle="1" w:styleId="601">
    <w:name w:val="bookmark-item uuid-1596004663203 code-00014 editdisable interval-text-box-cls readonly"/>
    <w:basedOn w:val="57"/>
    <w:qFormat/>
    <w:uiPriority w:val="0"/>
  </w:style>
  <w:style w:type="character" w:customStyle="1" w:styleId="602">
    <w:name w:val="bookmark-item uuid-1596004672274 code-00018 addword single-line-text-input-box-cls"/>
    <w:qFormat/>
    <w:uiPriority w:val="0"/>
  </w:style>
  <w:style w:type="character" w:customStyle="1" w:styleId="603">
    <w:name w:val="bookmark-item uuid-1596004688403 code-00015 editdisable single-line-text-input-box-cls readonly"/>
    <w:qFormat/>
    <w:uiPriority w:val="0"/>
  </w:style>
  <w:style w:type="character" w:customStyle="1" w:styleId="604">
    <w:name w:val="bookmark-item uuid-1596004695990 code-00016 editdisable single-line-text-input-box-cls readonly"/>
    <w:qFormat/>
    <w:uiPriority w:val="0"/>
  </w:style>
  <w:style w:type="character" w:customStyle="1" w:styleId="605">
    <w:name w:val="bookmark-item uuid-1596004721081 code-00009 addword interval-text-box-cls"/>
    <w:basedOn w:val="57"/>
    <w:qFormat/>
    <w:uiPriority w:val="0"/>
  </w:style>
  <w:style w:type="character" w:customStyle="1" w:styleId="606">
    <w:name w:val="bookmark-item uuid-1596004728442 code-00013 editdisable single-line-text-input-box-cls readonly"/>
    <w:basedOn w:val="57"/>
    <w:qFormat/>
    <w:uiPriority w:val="0"/>
  </w:style>
  <w:style w:type="character" w:customStyle="1" w:styleId="607">
    <w:name w:val="bookmark-item uuid-1596004745033 code-00010 editdisable single-line-text-input-box-cls readonly"/>
    <w:basedOn w:val="57"/>
    <w:qFormat/>
    <w:uiPriority w:val="0"/>
  </w:style>
  <w:style w:type="character" w:customStyle="1" w:styleId="608">
    <w:name w:val="bookmark-item uuid-1596004753055 code-00011 addword single-line-text-input-box-cls"/>
    <w:basedOn w:val="57"/>
    <w:qFormat/>
    <w:uiPriority w:val="0"/>
  </w:style>
  <w:style w:type="paragraph" w:customStyle="1" w:styleId="60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10">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11">
    <w:name w:val="样式 0正文 + 首行缩进:  2 字符1"/>
    <w:basedOn w:val="1"/>
    <w:qFormat/>
    <w:uiPriority w:val="99"/>
    <w:pPr>
      <w:spacing w:line="360" w:lineRule="auto"/>
      <w:ind w:firstLine="200" w:firstLineChars="200"/>
    </w:pPr>
    <w:rPr>
      <w:szCs w:val="20"/>
    </w:rPr>
  </w:style>
  <w:style w:type="paragraph" w:customStyle="1" w:styleId="612">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character" w:customStyle="1" w:styleId="613">
    <w:name w:val="bookmark-item uuid-1595987359344 code-00004 addword single-line-text-input-box-cls"/>
    <w:qFormat/>
    <w:uiPriority w:val="0"/>
  </w:style>
  <w:style w:type="paragraph" w:customStyle="1" w:styleId="6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5">
    <w:name w:val="bookmark-item uuid-1595987425520 code-23021 editdisable multi-line-text-input-box-cls readonly"/>
    <w:qFormat/>
    <w:uiPriority w:val="0"/>
    <w:rPr>
      <w:rFonts w:ascii="Times New Roman" w:hAnsi="Times New Roman" w:eastAsia="宋体" w:cs="Times New Roman"/>
    </w:rPr>
  </w:style>
  <w:style w:type="character" w:customStyle="1" w:styleId="616">
    <w:name w:val="批注文字 字符1"/>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456</Words>
  <Characters>548</Characters>
  <Lines>299</Lines>
  <Paragraphs>84</Paragraphs>
  <TotalTime>1</TotalTime>
  <ScaleCrop>false</ScaleCrop>
  <LinksUpToDate>false</LinksUpToDate>
  <CharactersWithSpaces>648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2024-08-11T03:25:00Z</dcterms:created>
  <dc:creator>聂泉源</dc:creator>
  <cp:lastModifiedBy>gxxc</cp:lastModifiedBy>
  <cp:lastPrinted>2022-03-30T07:41:00Z</cp:lastPrinted>
  <dcterms:modified xsi:type="dcterms:W3CDTF">2025-11-17T10:59:12Z</dcterms:modified>
  <dc:title>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6E4A942759AA4CA58FA8228601C44448_13</vt:lpwstr>
  </property>
  <property fmtid="{D5CDD505-2E9C-101B-9397-08002B2CF9AE}" pid="4" name="commondata">
    <vt:lpwstr>eyJoZGlkIjoiZGIzMGZmYjk0NTNlMDVkZjVlNDIyMjRhZjQwOWVlZjIifQ==</vt:lpwstr>
  </property>
</Properties>
</file>