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BF36B">
      <w:pPr>
        <w:widowControl w:val="0"/>
        <w:jc w:val="center"/>
        <w:outlineLvl w:val="0"/>
        <w:rPr>
          <w:rFonts w:hint="eastAsia" w:ascii="宋体" w:hAnsi="宋体" w:eastAsia="宋体" w:cs="宋体"/>
          <w:b/>
          <w:color w:val="auto"/>
          <w:kern w:val="2"/>
          <w:sz w:val="36"/>
          <w:szCs w:val="20"/>
          <w:highlight w:val="none"/>
          <w:lang w:val="en-US" w:eastAsia="zh-CN" w:bidi="ar-SA"/>
        </w:rPr>
      </w:pPr>
      <w:bookmarkStart w:id="0" w:name="_Toc532545042"/>
      <w:bookmarkStart w:id="1" w:name="_Toc10599"/>
      <w:bookmarkStart w:id="2" w:name="_Toc10157"/>
      <w:bookmarkStart w:id="3" w:name="_Toc21791"/>
      <w:bookmarkStart w:id="4" w:name="_Toc32271"/>
      <w:bookmarkStart w:id="5" w:name="_Toc23540"/>
      <w:bookmarkStart w:id="6" w:name="_Toc22518"/>
      <w:bookmarkStart w:id="7" w:name="_Toc12160"/>
      <w:bookmarkStart w:id="8" w:name="_Toc4656"/>
      <w:bookmarkStart w:id="9" w:name="_Toc5131"/>
      <w:bookmarkStart w:id="10" w:name="_Toc28626"/>
      <w:bookmarkStart w:id="11" w:name="_Toc15135"/>
      <w:r>
        <w:rPr>
          <w:rFonts w:hint="eastAsia" w:ascii="宋体" w:hAnsi="宋体" w:eastAsia="宋体" w:cs="宋体"/>
          <w:b/>
          <w:color w:val="auto"/>
          <w:kern w:val="2"/>
          <w:sz w:val="36"/>
          <w:szCs w:val="20"/>
          <w:highlight w:val="none"/>
          <w:lang w:val="en-US" w:eastAsia="zh-CN" w:bidi="ar-SA"/>
        </w:rPr>
        <w:t xml:space="preserve">第二章  </w:t>
      </w:r>
      <w:bookmarkEnd w:id="0"/>
      <w:r>
        <w:rPr>
          <w:rFonts w:hint="eastAsia" w:ascii="宋体" w:hAnsi="宋体" w:eastAsia="宋体" w:cs="宋体"/>
          <w:b/>
          <w:color w:val="auto"/>
          <w:kern w:val="2"/>
          <w:sz w:val="36"/>
          <w:szCs w:val="20"/>
          <w:highlight w:val="none"/>
          <w:lang w:val="en-US" w:eastAsia="zh-CN" w:bidi="ar-SA"/>
        </w:rPr>
        <w:t>采购需求</w:t>
      </w:r>
      <w:bookmarkEnd w:id="1"/>
      <w:bookmarkEnd w:id="2"/>
      <w:bookmarkEnd w:id="3"/>
      <w:bookmarkEnd w:id="4"/>
      <w:bookmarkEnd w:id="5"/>
      <w:bookmarkEnd w:id="6"/>
      <w:bookmarkEnd w:id="7"/>
      <w:bookmarkEnd w:id="8"/>
      <w:bookmarkEnd w:id="9"/>
      <w:bookmarkEnd w:id="10"/>
      <w:bookmarkEnd w:id="11"/>
    </w:p>
    <w:p w14:paraId="3B8025D2">
      <w:pPr>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p>
    <w:p w14:paraId="6FB40137">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14:paraId="198986B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37E2002B">
      <w:pPr>
        <w:spacing w:line="360" w:lineRule="auto"/>
        <w:ind w:firstLine="424" w:firstLineChars="202"/>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14:paraId="4C45637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14:paraId="2E907CE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2352C254">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04D13720">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655635AC">
      <w:pPr>
        <w:tabs>
          <w:tab w:val="left" w:pos="180"/>
          <w:tab w:val="left" w:pos="1620"/>
        </w:tabs>
        <w:spacing w:line="420" w:lineRule="exact"/>
        <w:ind w:firstLine="420" w:firstLineChars="200"/>
        <w:jc w:val="left"/>
        <w:rPr>
          <w:rFonts w:hint="eastAsia" w:ascii="宋体" w:hAnsi="宋体" w:cs="宋体"/>
          <w:color w:val="auto"/>
          <w:sz w:val="24"/>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 xml:space="preserve">：工业 </w:t>
      </w:r>
    </w:p>
    <w:p w14:paraId="54A7AB8E">
      <w:pPr>
        <w:tabs>
          <w:tab w:val="left" w:pos="5010"/>
        </w:tabs>
        <w:spacing w:line="560" w:lineRule="exact"/>
        <w:ind w:firstLine="420" w:firstLineChars="200"/>
        <w:jc w:val="left"/>
        <w:rPr>
          <w:rFonts w:ascii="宋体" w:hAnsi="宋体" w:eastAsia="宋体" w:cs="Times New Roman"/>
          <w:sz w:val="21"/>
          <w:szCs w:val="21"/>
          <w:highlight w:val="none"/>
        </w:rPr>
      </w:pPr>
      <w:r>
        <w:rPr>
          <w:rFonts w:ascii="宋体" w:hAnsi="宋体" w:eastAsia="宋体" w:cs="Times New Roman"/>
          <w:sz w:val="21"/>
          <w:szCs w:val="21"/>
          <w:highlight w:val="none"/>
        </w:rPr>
        <w:tab/>
      </w:r>
    </w:p>
    <w:p w14:paraId="282852BB">
      <w:pPr>
        <w:rPr>
          <w:rFonts w:ascii="宋体" w:hAnsi="宋体" w:eastAsia="宋体" w:cs="Times New Roman"/>
          <w:sz w:val="21"/>
          <w:szCs w:val="21"/>
          <w:highlight w:val="none"/>
        </w:rPr>
      </w:pPr>
      <w:r>
        <w:rPr>
          <w:rFonts w:ascii="宋体" w:hAnsi="宋体" w:eastAsia="宋体" w:cs="Times New Roman"/>
          <w:sz w:val="21"/>
          <w:szCs w:val="21"/>
          <w:highlight w:val="none"/>
        </w:rPr>
        <w:br w:type="page"/>
      </w:r>
      <w:bookmarkStart w:id="12" w:name="_GoBack"/>
      <w:bookmarkEnd w:id="12"/>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3"/>
        <w:gridCol w:w="688"/>
        <w:gridCol w:w="610"/>
        <w:gridCol w:w="7497"/>
        <w:gridCol w:w="654"/>
      </w:tblGrid>
      <w:tr w14:paraId="16F2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0" w:type="auto"/>
            <w:noWrap w:val="0"/>
            <w:vAlign w:val="center"/>
          </w:tcPr>
          <w:p w14:paraId="2F7A295A">
            <w:pPr>
              <w:tabs>
                <w:tab w:val="left" w:pos="180"/>
                <w:tab w:val="left" w:pos="1620"/>
              </w:tabs>
              <w:spacing w:line="360"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0" w:type="auto"/>
            <w:noWrap w:val="0"/>
            <w:vAlign w:val="center"/>
          </w:tcPr>
          <w:p w14:paraId="3EF92262">
            <w:pPr>
              <w:tabs>
                <w:tab w:val="left" w:pos="180"/>
                <w:tab w:val="left" w:pos="1620"/>
              </w:tabs>
              <w:spacing w:line="360"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标的的名称</w:t>
            </w:r>
          </w:p>
        </w:tc>
        <w:tc>
          <w:tcPr>
            <w:tcW w:w="0" w:type="auto"/>
            <w:noWrap w:val="0"/>
            <w:vAlign w:val="top"/>
          </w:tcPr>
          <w:p w14:paraId="1DE65944">
            <w:pPr>
              <w:tabs>
                <w:tab w:val="left" w:pos="180"/>
                <w:tab w:val="left" w:pos="1620"/>
              </w:tabs>
              <w:spacing w:line="360"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数量及单位</w:t>
            </w:r>
          </w:p>
        </w:tc>
        <w:tc>
          <w:tcPr>
            <w:tcW w:w="0" w:type="auto"/>
            <w:noWrap w:val="0"/>
            <w:vAlign w:val="center"/>
          </w:tcPr>
          <w:p w14:paraId="53A91627">
            <w:pPr>
              <w:tabs>
                <w:tab w:val="left" w:pos="180"/>
                <w:tab w:val="left" w:pos="1620"/>
              </w:tabs>
              <w:spacing w:line="360"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0" w:type="auto"/>
            <w:noWrap w:val="0"/>
            <w:vAlign w:val="center"/>
          </w:tcPr>
          <w:p w14:paraId="44394CF4">
            <w:pPr>
              <w:tabs>
                <w:tab w:val="left" w:pos="180"/>
                <w:tab w:val="left" w:pos="1620"/>
              </w:tabs>
              <w:spacing w:line="360" w:lineRule="auto"/>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类别</w:t>
            </w:r>
          </w:p>
        </w:tc>
      </w:tr>
      <w:tr w14:paraId="5CF7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0" w:type="auto"/>
            <w:noWrap w:val="0"/>
            <w:vAlign w:val="center"/>
          </w:tcPr>
          <w:p w14:paraId="6998318E">
            <w:pPr>
              <w:tabs>
                <w:tab w:val="left" w:pos="180"/>
                <w:tab w:val="left" w:pos="1620"/>
              </w:tabs>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0" w:type="auto"/>
            <w:noWrap w:val="0"/>
            <w:vAlign w:val="center"/>
          </w:tcPr>
          <w:p w14:paraId="6B754AF8">
            <w:pPr>
              <w:tabs>
                <w:tab w:val="left" w:pos="180"/>
                <w:tab w:val="left" w:pos="1620"/>
              </w:tabs>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后装治疗机</w:t>
            </w:r>
          </w:p>
        </w:tc>
        <w:tc>
          <w:tcPr>
            <w:tcW w:w="0" w:type="auto"/>
            <w:noWrap w:val="0"/>
            <w:vAlign w:val="center"/>
          </w:tcPr>
          <w:p w14:paraId="26D385F2">
            <w:pPr>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套</w:t>
            </w:r>
          </w:p>
        </w:tc>
        <w:tc>
          <w:tcPr>
            <w:tcW w:w="0" w:type="auto"/>
            <w:noWrap w:val="0"/>
            <w:vAlign w:val="center"/>
          </w:tcPr>
          <w:p w14:paraId="24622F1D">
            <w:pPr>
              <w:keepNext w:val="0"/>
              <w:keepLines w:val="0"/>
              <w:pageBreakBefore w:val="0"/>
              <w:kinsoku/>
              <w:wordWrap/>
              <w:overflowPunct/>
              <w:topLinePunct w:val="0"/>
              <w:autoSpaceDE/>
              <w:autoSpaceDN/>
              <w:bidi w:val="0"/>
              <w:adjustRightInd w:val="0"/>
              <w:snapToGrid w:val="0"/>
              <w:spacing w:after="0" w:line="360" w:lineRule="auto"/>
              <w:textAlignment w:val="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采购需求：</w:t>
            </w:r>
          </w:p>
          <w:p w14:paraId="1F55CFC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left="510" w:hanging="510" w:firstLineChars="0"/>
              <w:jc w:val="both"/>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b/>
                <w:bCs/>
                <w:color w:val="000000"/>
                <w:kern w:val="2"/>
                <w:sz w:val="24"/>
                <w:szCs w:val="24"/>
                <w:highlight w:val="none"/>
                <w:lang w:val="en-US" w:eastAsia="zh-CN" w:bidi="ar-SA"/>
              </w:rPr>
              <w:t>设备用途</w:t>
            </w:r>
          </w:p>
          <w:p w14:paraId="2AC3E9A8">
            <w:pPr>
              <w:keepNext w:val="0"/>
              <w:keepLines w:val="0"/>
              <w:pageBreakBefore w:val="0"/>
              <w:widowControl w:val="0"/>
              <w:kinsoku/>
              <w:wordWrap/>
              <w:overflowPunct/>
              <w:topLinePunct w:val="0"/>
              <w:autoSpaceDE/>
              <w:autoSpaceDN/>
              <w:bidi w:val="0"/>
              <w:adjustRightInd w:val="0"/>
              <w:snapToGrid w:val="0"/>
              <w:spacing w:before="157" w:beforeLines="50" w:beforeAutospacing="1" w:after="157" w:afterLines="50" w:afterAutospacing="1" w:line="360" w:lineRule="auto"/>
              <w:ind w:firstLine="422" w:firstLineChars="200"/>
              <w:jc w:val="left"/>
              <w:textAlignment w:val="auto"/>
              <w:outlineLvl w:val="0"/>
              <w:rPr>
                <w:rFonts w:hint="eastAsia" w:ascii="宋体" w:hAnsi="宋体" w:eastAsia="宋体" w:cs="宋体"/>
                <w:b/>
                <w:color w:val="000000"/>
                <w:kern w:val="0"/>
                <w:sz w:val="21"/>
                <w:szCs w:val="21"/>
                <w:highlight w:val="none"/>
                <w:lang w:val="en-US" w:eastAsia="zh-CN" w:bidi="ar"/>
              </w:rPr>
            </w:pPr>
            <w:r>
              <w:rPr>
                <w:rFonts w:hint="eastAsia" w:ascii="宋体" w:hAnsi="宋体" w:eastAsia="宋体" w:cs="宋体"/>
                <w:b/>
                <w:color w:val="000000"/>
                <w:kern w:val="44"/>
                <w:sz w:val="21"/>
                <w:szCs w:val="21"/>
                <w:highlight w:val="none"/>
                <w:lang w:val="en-US" w:eastAsia="zh-CN" w:bidi="ar"/>
              </w:rPr>
              <w:t>后装治疗机主要用于近距离放射治疗，适用于所有可行近距离治疗的恶性肿瘤，包括根治性放疗和姑息性放疗、止血、止痛等，用于妇科恶性肿瘤的后装治疗，特别是宫颈癌、子宫内膜癌、阴道癌等，也可用于其他恶性肿瘤的近距离治疗，如直肠癌、鼻咽癌、食管癌、肺癌、腹盆腔转移瘤等等</w:t>
            </w:r>
            <w:r>
              <w:rPr>
                <w:rFonts w:hint="eastAsia" w:ascii="宋体" w:hAnsi="宋体" w:eastAsia="宋体" w:cs="宋体"/>
                <w:b/>
                <w:color w:val="000000"/>
                <w:kern w:val="0"/>
                <w:sz w:val="21"/>
                <w:szCs w:val="21"/>
                <w:highlight w:val="none"/>
                <w:lang w:val="en-US" w:eastAsia="zh-CN" w:bidi="ar"/>
              </w:rPr>
              <w:t>。</w:t>
            </w:r>
          </w:p>
          <w:p w14:paraId="61A54EF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360" w:lineRule="auto"/>
              <w:ind w:left="510" w:hanging="510" w:firstLineChars="0"/>
              <w:jc w:val="both"/>
              <w:textAlignment w:val="auto"/>
              <w:rPr>
                <w:rFonts w:hint="eastAsia" w:ascii="宋体" w:hAnsi="宋体" w:eastAsia="宋体" w:cs="Times New Roman"/>
                <w:b/>
                <w:bCs/>
                <w:color w:val="000000"/>
                <w:kern w:val="2"/>
                <w:sz w:val="24"/>
                <w:szCs w:val="24"/>
                <w:highlight w:val="none"/>
                <w:lang w:val="en-US" w:eastAsia="zh-CN" w:bidi="ar-SA"/>
              </w:rPr>
            </w:pPr>
            <w:r>
              <w:rPr>
                <w:rFonts w:hint="eastAsia" w:ascii="宋体" w:hAnsi="宋体" w:eastAsia="宋体" w:cs="Times New Roman"/>
                <w:b/>
                <w:bCs/>
                <w:color w:val="000000"/>
                <w:kern w:val="2"/>
                <w:sz w:val="24"/>
                <w:szCs w:val="24"/>
                <w:highlight w:val="none"/>
                <w:lang w:val="en-US" w:eastAsia="zh-CN" w:bidi="ar-SA"/>
              </w:rPr>
              <w:t>技术参数及要求</w:t>
            </w:r>
          </w:p>
          <w:p w14:paraId="17DC2173">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0" w:firstLineChars="0"/>
              <w:jc w:val="left"/>
              <w:textAlignment w:val="auto"/>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技术要求</w:t>
            </w:r>
          </w:p>
          <w:p w14:paraId="7D0F8DB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420" w:leftChars="0"/>
              <w:jc w:val="left"/>
              <w:textAlignment w:val="auto"/>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rPr>
              <w:t>总体要求：</w:t>
            </w:r>
            <w:r>
              <w:rPr>
                <w:rFonts w:hint="eastAsia" w:ascii="宋体" w:hAnsi="宋体" w:eastAsia="宋体" w:cs="宋体"/>
                <w:b w:val="0"/>
                <w:bCs w:val="0"/>
                <w:sz w:val="21"/>
                <w:szCs w:val="21"/>
                <w:highlight w:val="none"/>
                <w:u w:val="none"/>
                <w:lang w:val="en-US" w:eastAsia="zh-CN"/>
              </w:rPr>
              <w:t>新后装机</w:t>
            </w:r>
            <w:r>
              <w:rPr>
                <w:rFonts w:hint="eastAsia" w:ascii="宋体" w:hAnsi="宋体" w:eastAsia="宋体" w:cs="宋体"/>
                <w:b w:val="0"/>
                <w:bCs w:val="0"/>
                <w:sz w:val="21"/>
                <w:szCs w:val="21"/>
                <w:highlight w:val="none"/>
                <w:u w:val="none"/>
              </w:rPr>
              <w:t>主要用于高剂量率后装近距离治疗</w:t>
            </w:r>
            <w:r>
              <w:rPr>
                <w:rFonts w:hint="eastAsia" w:ascii="宋体" w:hAnsi="宋体" w:eastAsia="宋体" w:cs="宋体"/>
                <w:b w:val="0"/>
                <w:bCs w:val="0"/>
                <w:sz w:val="21"/>
                <w:szCs w:val="21"/>
                <w:highlight w:val="none"/>
                <w:u w:val="none"/>
                <w:lang w:eastAsia="zh-CN"/>
              </w:rPr>
              <w:t>。</w:t>
            </w:r>
          </w:p>
          <w:p w14:paraId="28F47139">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0" w:firstLineChars="0"/>
              <w:jc w:val="left"/>
              <w:textAlignment w:val="auto"/>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后装治疗主机　</w:t>
            </w:r>
          </w:p>
          <w:p w14:paraId="11137D4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2.1基本要求　</w:t>
            </w:r>
          </w:p>
          <w:p w14:paraId="7CD2F8F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2.1.1治疗通道：后装机应具备</w:t>
            </w:r>
            <w:r>
              <w:rPr>
                <w:rFonts w:hint="eastAsia" w:ascii="宋体" w:hAnsi="宋体" w:eastAsia="宋体" w:cs="宋体"/>
                <w:b w:val="0"/>
                <w:bCs w:val="0"/>
                <w:color w:val="auto"/>
                <w:sz w:val="21"/>
                <w:szCs w:val="21"/>
                <w:highlight w:val="none"/>
                <w:u w:val="none"/>
                <w:lang w:val="en-US" w:eastAsia="zh-CN"/>
              </w:rPr>
              <w:t>≥18</w:t>
            </w:r>
            <w:r>
              <w:rPr>
                <w:rFonts w:hint="eastAsia" w:ascii="宋体" w:hAnsi="宋体" w:eastAsia="宋体" w:cs="宋体"/>
                <w:b w:val="0"/>
                <w:bCs w:val="0"/>
                <w:color w:val="auto"/>
                <w:sz w:val="21"/>
                <w:szCs w:val="21"/>
                <w:highlight w:val="none"/>
                <w:u w:val="none"/>
              </w:rPr>
              <w:t>个治疗通道。</w:t>
            </w:r>
          </w:p>
          <w:p w14:paraId="531A130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2.1.2放射源驻留步长：最小步长≤1mm。</w:t>
            </w:r>
          </w:p>
          <w:p w14:paraId="7624D4F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2.1.</w:t>
            </w:r>
            <w:r>
              <w:rPr>
                <w:rFonts w:hint="eastAsia" w:ascii="宋体" w:hAnsi="宋体" w:eastAsia="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rPr>
              <w:t>治疗长度：最小步长1mm时，治疗长度应达到≥</w:t>
            </w:r>
            <w:r>
              <w:rPr>
                <w:rFonts w:hint="eastAsia" w:ascii="宋体" w:hAnsi="宋体" w:eastAsia="宋体" w:cs="宋体"/>
                <w:b w:val="0"/>
                <w:bCs w:val="0"/>
                <w:color w:val="auto"/>
                <w:sz w:val="21"/>
                <w:szCs w:val="21"/>
                <w:highlight w:val="none"/>
                <w:u w:val="none"/>
                <w:lang w:val="en-US" w:eastAsia="zh-CN"/>
              </w:rPr>
              <w:t>35</w:t>
            </w:r>
            <w:r>
              <w:rPr>
                <w:rFonts w:hint="eastAsia" w:ascii="宋体" w:hAnsi="宋体" w:eastAsia="宋体" w:cs="宋体"/>
                <w:b w:val="0"/>
                <w:bCs w:val="0"/>
                <w:color w:val="auto"/>
                <w:sz w:val="21"/>
                <w:szCs w:val="21"/>
                <w:highlight w:val="none"/>
                <w:u w:val="none"/>
              </w:rPr>
              <w:t>0mm。</w:t>
            </w:r>
          </w:p>
          <w:p w14:paraId="294305D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2.1.</w:t>
            </w: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rPr>
              <w:t>治疗导管长度：所有传输导管都为相同标准长度，避免传输管长度混淆。</w:t>
            </w:r>
          </w:p>
          <w:p w14:paraId="0886747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2.1.</w:t>
            </w:r>
            <w:r>
              <w:rPr>
                <w:rFonts w:hint="eastAsia" w:ascii="宋体" w:hAnsi="宋体" w:eastAsia="宋体" w:cs="宋体"/>
                <w:b w:val="0"/>
                <w:bCs w:val="0"/>
                <w:color w:val="auto"/>
                <w:sz w:val="21"/>
                <w:szCs w:val="21"/>
                <w:highlight w:val="none"/>
                <w:u w:val="none"/>
                <w:lang w:val="en-US" w:eastAsia="zh-CN"/>
              </w:rPr>
              <w:t>5具有滑轮，</w:t>
            </w:r>
            <w:r>
              <w:rPr>
                <w:rFonts w:hint="eastAsia" w:ascii="宋体" w:hAnsi="宋体" w:eastAsia="宋体" w:cs="宋体"/>
                <w:b w:val="0"/>
                <w:bCs w:val="0"/>
                <w:color w:val="auto"/>
                <w:sz w:val="21"/>
                <w:szCs w:val="21"/>
                <w:highlight w:val="none"/>
                <w:u w:val="none"/>
              </w:rPr>
              <w:t>便于移动。</w:t>
            </w:r>
          </w:p>
          <w:p w14:paraId="7F9C945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2.2放射源</w:t>
            </w:r>
          </w:p>
          <w:p w14:paraId="662DD14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2.2.1放射源类型：使用铱192放射源。</w:t>
            </w:r>
          </w:p>
          <w:p w14:paraId="614942A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2.2.2放射源活度：新放射源的活度应在10Ci±10%的范围。</w:t>
            </w:r>
          </w:p>
          <w:p w14:paraId="50F9CA1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2.2.3放射源传输次数：放射源传输次数≥</w:t>
            </w:r>
            <w:r>
              <w:rPr>
                <w:rFonts w:hint="eastAsia" w:ascii="宋体" w:hAnsi="宋体" w:eastAsia="宋体" w:cs="宋体"/>
                <w:b w:val="0"/>
                <w:bCs w:val="0"/>
                <w:color w:val="auto"/>
                <w:sz w:val="21"/>
                <w:szCs w:val="21"/>
                <w:highlight w:val="none"/>
                <w:u w:val="none"/>
                <w:lang w:val="en-US" w:eastAsia="zh-CN"/>
              </w:rPr>
              <w:t>25</w:t>
            </w:r>
            <w:r>
              <w:rPr>
                <w:rFonts w:hint="eastAsia" w:ascii="宋体" w:hAnsi="宋体" w:eastAsia="宋体" w:cs="宋体"/>
                <w:b w:val="0"/>
                <w:bCs w:val="0"/>
                <w:color w:val="auto"/>
                <w:sz w:val="21"/>
                <w:szCs w:val="21"/>
                <w:highlight w:val="none"/>
                <w:u w:val="none"/>
              </w:rPr>
              <w:t>000次。</w:t>
            </w:r>
          </w:p>
          <w:p w14:paraId="0BA76B7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2.2.</w:t>
            </w: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rPr>
              <w:t>放射源数量：1颗。</w:t>
            </w:r>
          </w:p>
          <w:p w14:paraId="629049C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2.3放射源驱动系统　</w:t>
            </w:r>
          </w:p>
          <w:p w14:paraId="37C7120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2.3.1放射源到位精度：放射源到位精度应达到≤0.5mm。</w:t>
            </w:r>
          </w:p>
          <w:p w14:paraId="2047419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2.3.2放射源最小步进长度：放射源最小步进长度≤1mm。</w:t>
            </w:r>
          </w:p>
          <w:p w14:paraId="711E440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2.3.3放射源最小治疗半径：源所能通过最小治疗通道半径≤13mm。</w:t>
            </w:r>
          </w:p>
          <w:p w14:paraId="7E396CD4">
            <w:pPr>
              <w:spacing w:line="360" w:lineRule="auto"/>
              <w:ind w:firstLine="424" w:firstLineChars="202"/>
              <w:jc w:val="left"/>
              <w:rPr>
                <w:rFonts w:hint="eastAsia" w:ascii="宋体" w:hAnsi="宋体" w:eastAsia="宋体" w:cs="宋体"/>
                <w:b w:val="0"/>
                <w:bCs w:val="0"/>
                <w:color w:val="auto"/>
                <w:sz w:val="21"/>
                <w:szCs w:val="21"/>
                <w:highlight w:val="none"/>
                <w:u w:val="none"/>
              </w:rPr>
            </w:pPr>
            <w:r>
              <w:rPr>
                <w:rFonts w:hint="eastAsia" w:ascii="宋体" w:hAnsi="宋体" w:cs="宋体"/>
                <w:color w:val="auto"/>
                <w:szCs w:val="21"/>
                <w:highlight w:val="none"/>
              </w:rPr>
              <w:t>2.3.4 放射源出源长度≥1200mm</w:t>
            </w:r>
          </w:p>
          <w:p w14:paraId="7963B0D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2.4辐射漏射</w:t>
            </w:r>
          </w:p>
          <w:p w14:paraId="4C474BB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2.4.1装载10居里放射源时，距离机器表面5cm处的剂量当量率≤ 0.01mSv/h。</w:t>
            </w:r>
          </w:p>
          <w:p w14:paraId="2998181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2.5安全性和质量保证要求</w:t>
            </w:r>
          </w:p>
          <w:p w14:paraId="0B3BF5F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2.5.1假源线：假源线检测传输导管和施源器连接的通道通畅性。</w:t>
            </w:r>
          </w:p>
          <w:p w14:paraId="49CAF23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2.5.2传输导管与后装机连接监测：通道分度器时刻监测所有传输导管与后装机的连接。</w:t>
            </w:r>
          </w:p>
          <w:p w14:paraId="7E82606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2.5.3放射源回收系统：应具备采用电池供电直流电机的放射源回收系统。</w:t>
            </w:r>
          </w:p>
          <w:p w14:paraId="51AE9FF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2.5.4放射源放射性污染检测工具：应具备专用源线擦拭工具，用于检测放射性污染。</w:t>
            </w:r>
          </w:p>
          <w:p w14:paraId="420CFC2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2.5.5放射源到位精度调整：可在控制系统中对放射源到位精度进行调整。</w:t>
            </w:r>
          </w:p>
          <w:p w14:paraId="7FF6360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2.6治疗控制系统</w:t>
            </w:r>
          </w:p>
          <w:p w14:paraId="769A3C8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2.6.1基本组成：含控制记录用工作站一台和治疗控制面板一套。</w:t>
            </w:r>
          </w:p>
          <w:p w14:paraId="1FAA8A2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2.6.2控制系统屏幕≥22英寸，操作系统性能相当于Windows7或以上系统。</w:t>
            </w:r>
          </w:p>
          <w:p w14:paraId="52A1CD8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2.6.3控制系统模块：治疗控制系统应该包括治疗、计划管理、维护、报告模块和专门的QA模块。</w:t>
            </w:r>
          </w:p>
          <w:p w14:paraId="0B2A219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2.6.4用户界面信息</w:t>
            </w:r>
          </w:p>
          <w:p w14:paraId="1308C26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2.6.4.1用户界面应可显示患者和系统的信息。</w:t>
            </w:r>
          </w:p>
          <w:p w14:paraId="6261F4B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2.6.4.2应具备信息显示栏，显示系统状态和提示下一步需要进行的操作。</w:t>
            </w:r>
          </w:p>
          <w:p w14:paraId="766BE82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2.6.4.3应具备检查列表，实时显示系统状态和安全连锁信息。</w:t>
            </w:r>
          </w:p>
          <w:p w14:paraId="17129E6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2.6.4.4治疗时，彩色动画显示治疗通道、放射源驻留位置和系统状态。</w:t>
            </w:r>
          </w:p>
          <w:p w14:paraId="6D07C07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2.6.5治疗计划修改和编辑：可方便</w:t>
            </w:r>
            <w:r>
              <w:rPr>
                <w:rFonts w:hint="eastAsia" w:ascii="Times New Roman" w:eastAsia="宋体"/>
                <w:highlight w:val="none"/>
                <w:lang w:val="en-US" w:eastAsia="zh-CN"/>
              </w:rPr>
              <w:t>地</w:t>
            </w:r>
            <w:r>
              <w:rPr>
                <w:rFonts w:hint="eastAsia" w:ascii="宋体" w:hAnsi="宋体" w:eastAsia="宋体" w:cs="宋体"/>
                <w:b w:val="0"/>
                <w:bCs w:val="0"/>
                <w:color w:val="auto"/>
                <w:sz w:val="21"/>
                <w:szCs w:val="21"/>
                <w:highlight w:val="none"/>
                <w:u w:val="none"/>
              </w:rPr>
              <w:t>修改和编辑计划。</w:t>
            </w:r>
          </w:p>
          <w:p w14:paraId="682A00B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2.6.6治疗报告：生成治疗前和治疗后报告。</w:t>
            </w:r>
          </w:p>
          <w:p w14:paraId="1F59134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2.6.7治疗计划导入：可支持通过网络导入DICOM治疗计划。</w:t>
            </w:r>
          </w:p>
          <w:p w14:paraId="4CE7B01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2.6.8用户权限管理：可对每个用户单独设置用户权限和密码保护。</w:t>
            </w:r>
          </w:p>
          <w:p w14:paraId="6A75CB4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2.6.9治疗控制面板　</w:t>
            </w:r>
          </w:p>
          <w:p w14:paraId="19D1762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2.6.9.1操控方式：治疗控制面板应采用触控式设计，可动态显示各种控制信息。</w:t>
            </w:r>
          </w:p>
          <w:p w14:paraId="475C03F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2.6.9.2报警</w:t>
            </w:r>
          </w:p>
          <w:p w14:paraId="498EF01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2.6.9.2.1出现报警状况时显示警报和编码。</w:t>
            </w:r>
          </w:p>
          <w:p w14:paraId="5B89F2F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2.6.9.2.2出现报警状态时具有声音报警。</w:t>
            </w:r>
          </w:p>
          <w:p w14:paraId="1184B34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2.6.9.2.3治疗状态显示：治疗过程中，动态显示剩余治疗时间和照射状态。</w:t>
            </w:r>
          </w:p>
          <w:p w14:paraId="68BE883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2.7配套工具和设备</w:t>
            </w:r>
          </w:p>
          <w:p w14:paraId="40F4F04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2.7.1配应急源罐1个。</w:t>
            </w:r>
          </w:p>
          <w:p w14:paraId="44A5897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2.7.2配应急钳子和剪刀各1把，用于紧急情况下处理放射源。</w:t>
            </w:r>
          </w:p>
          <w:p w14:paraId="3D507D0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2.7.3配放射源位置检查尺1个，精确验证放射源到位精度。</w:t>
            </w:r>
          </w:p>
          <w:p w14:paraId="541D69B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2.7.4配放射源位置模拟尺1把，用于确定治疗位置以及测量施源器的长度。</w:t>
            </w:r>
          </w:p>
          <w:p w14:paraId="206F5DE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2.7.5配独立室内辐射监测系统1套。</w:t>
            </w:r>
          </w:p>
          <w:p w14:paraId="0476F67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2.7.6配彩色闭路监视系统和对讲系统1套。</w:t>
            </w:r>
          </w:p>
          <w:p w14:paraId="020216F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2.7.7</w:t>
            </w:r>
            <w:r>
              <w:rPr>
                <w:rFonts w:hint="eastAsia" w:ascii="宋体" w:hAnsi="宋体" w:eastAsia="宋体" w:cs="宋体"/>
                <w:b w:val="0"/>
                <w:bCs w:val="0"/>
                <w:color w:val="auto"/>
                <w:sz w:val="21"/>
                <w:szCs w:val="21"/>
                <w:highlight w:val="none"/>
                <w:u w:val="none"/>
              </w:rPr>
              <w:t>传输管壁挂架</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用于放置传输管、转接头、引导丝等附件的壁挂架。</w:t>
            </w:r>
          </w:p>
          <w:p w14:paraId="21D5F64D">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0" w:firstLineChars="0"/>
              <w:jc w:val="left"/>
              <w:textAlignment w:val="auto"/>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近距离治疗计划系统</w:t>
            </w:r>
          </w:p>
          <w:p w14:paraId="13A8DBC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rPr>
              <w:t>工作站：含一台近距离治疗计划工作站及外设。</w:t>
            </w:r>
          </w:p>
          <w:p w14:paraId="7D97CD2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3.1.1操作系统：64位专业版操作系统，Windows10或以上系统。</w:t>
            </w:r>
          </w:p>
          <w:p w14:paraId="5B08107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3.1.2</w:t>
            </w: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rPr>
              <w:t>CPU：主频≥3.0GHz，八核CPU或以上。</w:t>
            </w:r>
          </w:p>
          <w:p w14:paraId="12FC9F4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3.1.3硬盘：固态硬盘</w:t>
            </w:r>
            <w:r>
              <w:rPr>
                <w:rFonts w:hint="eastAsia" w:ascii="宋体" w:hAnsi="宋体" w:eastAsia="宋体" w:cs="宋体"/>
                <w:b w:val="0"/>
                <w:bCs w:val="0"/>
                <w:color w:val="auto"/>
                <w:sz w:val="21"/>
                <w:szCs w:val="21"/>
                <w:highlight w:val="none"/>
                <w:u w:val="none"/>
                <w:lang w:val="en-US" w:eastAsia="zh-CN"/>
              </w:rPr>
              <w:t>2T</w:t>
            </w:r>
            <w:r>
              <w:rPr>
                <w:rFonts w:hint="eastAsia" w:ascii="宋体" w:hAnsi="宋体" w:eastAsia="宋体" w:cs="宋体"/>
                <w:b w:val="0"/>
                <w:bCs w:val="0"/>
                <w:color w:val="auto"/>
                <w:sz w:val="21"/>
                <w:szCs w:val="21"/>
                <w:highlight w:val="none"/>
                <w:u w:val="none"/>
              </w:rPr>
              <w:t>B</w:t>
            </w:r>
            <w:r>
              <w:rPr>
                <w:rFonts w:hint="eastAsia" w:ascii="宋体" w:hAnsi="宋体" w:eastAsia="宋体" w:cs="宋体"/>
                <w:b w:val="0"/>
                <w:bCs w:val="0"/>
                <w:color w:val="auto"/>
                <w:sz w:val="21"/>
                <w:szCs w:val="21"/>
                <w:highlight w:val="none"/>
                <w:u w:val="none"/>
                <w:lang w:val="en-US" w:eastAsia="zh-CN"/>
              </w:rPr>
              <w:t>及</w:t>
            </w:r>
            <w:r>
              <w:rPr>
                <w:rFonts w:hint="eastAsia" w:ascii="宋体" w:hAnsi="宋体" w:eastAsia="宋体" w:cs="宋体"/>
                <w:b w:val="0"/>
                <w:bCs w:val="0"/>
                <w:color w:val="auto"/>
                <w:sz w:val="21"/>
                <w:szCs w:val="21"/>
                <w:highlight w:val="none"/>
                <w:u w:val="none"/>
              </w:rPr>
              <w:t>以上。</w:t>
            </w:r>
          </w:p>
          <w:p w14:paraId="0FCF199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3.1.4图形加速卡：彩色图形加速卡，显存≥2GB。</w:t>
            </w:r>
          </w:p>
          <w:p w14:paraId="71F8123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3.1.5内存：工作站内存配置≥</w:t>
            </w:r>
            <w:r>
              <w:rPr>
                <w:rFonts w:hint="eastAsia" w:ascii="宋体" w:hAnsi="宋体" w:eastAsia="宋体" w:cs="宋体"/>
                <w:b w:val="0"/>
                <w:bCs w:val="0"/>
                <w:color w:val="auto"/>
                <w:sz w:val="21"/>
                <w:szCs w:val="21"/>
                <w:highlight w:val="none"/>
                <w:u w:val="none"/>
                <w:lang w:val="en-US" w:eastAsia="zh-CN"/>
              </w:rPr>
              <w:t>32</w:t>
            </w:r>
            <w:r>
              <w:rPr>
                <w:rFonts w:hint="eastAsia" w:ascii="宋体" w:hAnsi="宋体" w:eastAsia="宋体" w:cs="宋体"/>
                <w:b w:val="0"/>
                <w:bCs w:val="0"/>
                <w:color w:val="auto"/>
                <w:sz w:val="21"/>
                <w:szCs w:val="21"/>
                <w:highlight w:val="none"/>
                <w:u w:val="none"/>
              </w:rPr>
              <w:t>GB。</w:t>
            </w:r>
          </w:p>
          <w:p w14:paraId="12C8409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3.1.6操作界面屏幕≥24英寸。</w:t>
            </w:r>
          </w:p>
          <w:p w14:paraId="25C5E3B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3.1.7配置DVD刻录机。</w:t>
            </w:r>
          </w:p>
          <w:p w14:paraId="2F9C070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3.2应配置A4幅面彩色激光打印机。</w:t>
            </w:r>
          </w:p>
          <w:p w14:paraId="35EBA7D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3.3应配置不间断电源。</w:t>
            </w:r>
          </w:p>
          <w:p w14:paraId="570CF0A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3.4提供全新或基于</w:t>
            </w:r>
            <w:r>
              <w:rPr>
                <w:rFonts w:hint="eastAsia" w:ascii="宋体" w:hAnsi="宋体" w:cs="宋体"/>
                <w:b w:val="0"/>
                <w:bCs w:val="0"/>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rPr>
              <w:t>现有系统医科达microSelectronV3后装治疗机升级的近距离治疗计划系统软件，软件至少应具备以下功能：</w:t>
            </w:r>
          </w:p>
          <w:p w14:paraId="4861756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3.4.1轮廓线勾画和图像融合功能。</w:t>
            </w:r>
          </w:p>
          <w:p w14:paraId="62313A4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3.4.2近距离计划工具：应支持</w:t>
            </w:r>
            <w:r>
              <w:rPr>
                <w:rFonts w:hint="eastAsia" w:ascii="Times New Roman" w:eastAsia="宋体"/>
                <w:highlight w:val="none"/>
                <w:lang w:val="en-US" w:eastAsia="zh-CN"/>
              </w:rPr>
              <w:t>不少于2种</w:t>
            </w:r>
            <w:r>
              <w:rPr>
                <w:rFonts w:hint="eastAsia" w:ascii="宋体" w:hAnsi="宋体" w:eastAsia="宋体" w:cs="宋体"/>
                <w:b w:val="0"/>
                <w:bCs w:val="0"/>
                <w:color w:val="auto"/>
                <w:sz w:val="21"/>
                <w:szCs w:val="21"/>
                <w:highlight w:val="none"/>
                <w:u w:val="none"/>
              </w:rPr>
              <w:t>基于投影图像的二维重建方式；支持基于CT、MR图像的三维重建、三维逆向优化及设计功能。</w:t>
            </w:r>
          </w:p>
          <w:p w14:paraId="76C6A5C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3.4.3应提供至少2种基于不同优化算法的逆向优化工具，通过设置靶区和危及器官的剂量体积限制条件自动优化剂量分布。</w:t>
            </w:r>
          </w:p>
          <w:p w14:paraId="166F177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3.4.4至少1种逆向优化工具可锁定指定的通道，优化过程中锁定通道的驻留位置和驻留时间不会变化。</w:t>
            </w:r>
          </w:p>
          <w:p w14:paraId="05AE7C1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3.4.5应具备计划模板功能。</w:t>
            </w:r>
          </w:p>
          <w:p w14:paraId="6E3CF79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3.4.6应可设置剂量参考点。</w:t>
            </w:r>
          </w:p>
          <w:p w14:paraId="19536A7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3.4.7应提供计划评估工具。</w:t>
            </w:r>
          </w:p>
          <w:p w14:paraId="1816C69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3.4.8应具备打印输出功能。</w:t>
            </w:r>
          </w:p>
          <w:p w14:paraId="0737669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u w:val="none"/>
              </w:rPr>
              <w:t>3.4.9应支持DICOM RT标准，提供DICOM输入和输出接口。</w:t>
            </w:r>
          </w:p>
          <w:p w14:paraId="2D9ACA3A">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0" w:firstLineChars="0"/>
              <w:jc w:val="left"/>
              <w:textAlignment w:val="auto"/>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提供</w:t>
            </w:r>
            <w:r>
              <w:rPr>
                <w:rFonts w:hint="eastAsia" w:ascii="宋体" w:hAnsi="宋体" w:cs="宋体"/>
                <w:b w:val="0"/>
                <w:bCs w:val="0"/>
                <w:sz w:val="21"/>
                <w:szCs w:val="21"/>
                <w:highlight w:val="none"/>
                <w:u w:val="none"/>
                <w:lang w:val="en-US" w:eastAsia="zh-CN"/>
              </w:rPr>
              <w:t>4套</w:t>
            </w:r>
            <w:r>
              <w:rPr>
                <w:rFonts w:hint="eastAsia" w:ascii="宋体" w:hAnsi="宋体" w:eastAsia="宋体" w:cs="宋体"/>
                <w:b w:val="0"/>
                <w:bCs w:val="0"/>
                <w:sz w:val="21"/>
                <w:szCs w:val="21"/>
                <w:highlight w:val="none"/>
                <w:u w:val="none"/>
              </w:rPr>
              <w:t>医生工作站，包含工作站硬件及图像融合、计划分析模块。</w:t>
            </w:r>
          </w:p>
          <w:p w14:paraId="0C3567E3">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0" w:firstLineChars="0"/>
              <w:jc w:val="left"/>
              <w:textAlignment w:val="auto"/>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lang w:val="en-US" w:eastAsia="zh-CN"/>
              </w:rPr>
              <w:t>提供可用</w:t>
            </w:r>
            <w:r>
              <w:rPr>
                <w:rFonts w:hint="eastAsia" w:ascii="宋体" w:hAnsi="宋体" w:eastAsia="宋体" w:cs="宋体"/>
                <w:b w:val="0"/>
                <w:bCs w:val="0"/>
                <w:sz w:val="21"/>
                <w:szCs w:val="21"/>
                <w:highlight w:val="none"/>
                <w:u w:val="none"/>
              </w:rPr>
              <w:t>于连接</w:t>
            </w:r>
            <w:r>
              <w:rPr>
                <w:rFonts w:hint="eastAsia" w:ascii="宋体" w:hAnsi="宋体" w:cs="宋体"/>
                <w:b w:val="0"/>
                <w:bCs w:val="0"/>
                <w:sz w:val="21"/>
                <w:szCs w:val="21"/>
                <w:highlight w:val="none"/>
                <w:u w:val="none"/>
                <w:lang w:val="en-US" w:eastAsia="zh-CN"/>
              </w:rPr>
              <w:t>采购人</w:t>
            </w:r>
            <w:r>
              <w:rPr>
                <w:rFonts w:hint="eastAsia" w:ascii="宋体" w:hAnsi="宋体" w:eastAsia="宋体" w:cs="宋体"/>
                <w:b w:val="0"/>
                <w:bCs w:val="0"/>
                <w:sz w:val="21"/>
                <w:szCs w:val="21"/>
                <w:highlight w:val="none"/>
                <w:u w:val="none"/>
              </w:rPr>
              <w:t>现有施源器</w:t>
            </w:r>
            <w:r>
              <w:rPr>
                <w:rFonts w:hint="eastAsia" w:ascii="宋体" w:hAnsi="宋体" w:eastAsia="宋体" w:cs="宋体"/>
                <w:b w:val="0"/>
                <w:bCs w:val="0"/>
                <w:sz w:val="21"/>
                <w:szCs w:val="21"/>
                <w:highlight w:val="none"/>
                <w:u w:val="none"/>
                <w:lang w:val="en-US" w:eastAsia="zh-CN"/>
              </w:rPr>
              <w:t>Fletcher Williamson妇科施源器</w:t>
            </w:r>
            <w:r>
              <w:rPr>
                <w:rFonts w:hint="eastAsia" w:ascii="宋体" w:hAnsi="宋体" w:eastAsia="宋体" w:cs="宋体"/>
                <w:b w:val="0"/>
                <w:bCs w:val="0"/>
                <w:sz w:val="21"/>
                <w:szCs w:val="21"/>
                <w:highlight w:val="none"/>
                <w:u w:val="none"/>
              </w:rPr>
              <w:t>的传输管及标记线，具体包括：</w:t>
            </w:r>
          </w:p>
          <w:p w14:paraId="7494A16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5.1用于连接金属妇科施源器的传输管1套，应至少包括</w:t>
            </w:r>
            <w:r>
              <w:rPr>
                <w:rFonts w:hint="eastAsia" w:ascii="宋体" w:hAnsi="宋体" w:eastAsia="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rPr>
              <w:t>根传输管。</w:t>
            </w:r>
          </w:p>
          <w:p w14:paraId="199E1A6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u w:val="none"/>
              </w:rPr>
              <w:t>5.2用于连接金属插植针的传输管套件1套，应至少包含</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0根传输管。</w:t>
            </w:r>
          </w:p>
          <w:p w14:paraId="0EA1BA0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420" w:leftChars="0"/>
              <w:jc w:val="left"/>
              <w:textAlignment w:val="auto"/>
              <w:rPr>
                <w:rFonts w:ascii="宋体" w:hAnsi="宋体" w:eastAsia="宋体" w:cs="宋体"/>
                <w:sz w:val="21"/>
                <w:szCs w:val="21"/>
                <w:highlight w:val="none"/>
              </w:rPr>
            </w:pPr>
            <w:r>
              <w:rPr>
                <w:rFonts w:hint="eastAsia" w:ascii="宋体" w:hAnsi="宋体" w:cs="宋体"/>
                <w:b w:val="0"/>
                <w:bCs w:val="0"/>
                <w:sz w:val="21"/>
                <w:szCs w:val="21"/>
                <w:highlight w:val="none"/>
                <w:u w:val="none"/>
                <w:lang w:val="en-US" w:eastAsia="zh-CN"/>
              </w:rPr>
              <w:t>（六）</w:t>
            </w:r>
            <w:r>
              <w:rPr>
                <w:rFonts w:hint="eastAsia" w:ascii="宋体" w:hAnsi="宋体" w:eastAsia="宋体" w:cs="宋体"/>
                <w:b w:val="0"/>
                <w:bCs w:val="0"/>
                <w:sz w:val="21"/>
                <w:szCs w:val="21"/>
                <w:highlight w:val="none"/>
                <w:u w:val="none"/>
                <w:lang w:val="en-US" w:eastAsia="zh-CN"/>
              </w:rPr>
              <w:t>提供系统安装及应用培训，第一个病人现场治疗支持。</w:t>
            </w:r>
          </w:p>
        </w:tc>
        <w:tc>
          <w:tcPr>
            <w:tcW w:w="0" w:type="auto"/>
            <w:noWrap w:val="0"/>
            <w:vAlign w:val="center"/>
          </w:tcPr>
          <w:p w14:paraId="061CF4A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三类医疗器械</w:t>
            </w:r>
          </w:p>
        </w:tc>
      </w:tr>
      <w:tr w14:paraId="21F7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14:paraId="72DF2DBB">
            <w:pPr>
              <w:keepNext/>
              <w:keepLines/>
              <w:spacing w:line="360" w:lineRule="auto"/>
              <w:jc w:val="left"/>
              <w:outlineLvl w:val="2"/>
              <w:rPr>
                <w:rFonts w:hint="eastAsia" w:ascii="宋体" w:hAnsi="宋体" w:cs="宋体"/>
                <w:b/>
                <w:kern w:val="0"/>
                <w:sz w:val="21"/>
                <w:szCs w:val="21"/>
                <w:highlight w:val="none"/>
                <w:lang w:val="en-US" w:eastAsia="zh-CN"/>
              </w:rPr>
            </w:pPr>
            <w:r>
              <w:rPr>
                <w:rFonts w:hint="eastAsia" w:ascii="宋体" w:hAnsi="宋体" w:cs="宋体"/>
                <w:b/>
                <w:kern w:val="0"/>
                <w:sz w:val="21"/>
                <w:szCs w:val="21"/>
                <w:highlight w:val="none"/>
                <w:lang w:val="en-US" w:eastAsia="zh-CN"/>
              </w:rPr>
              <w:t>一、</w:t>
            </w:r>
            <w:r>
              <w:rPr>
                <w:rFonts w:hint="eastAsia" w:ascii="宋体" w:hAnsi="宋体" w:eastAsia="宋体" w:cs="宋体"/>
                <w:b/>
                <w:kern w:val="0"/>
                <w:sz w:val="21"/>
                <w:szCs w:val="21"/>
                <w:highlight w:val="none"/>
              </w:rPr>
              <w:t>商务条款</w:t>
            </w:r>
          </w:p>
        </w:tc>
      </w:tr>
      <w:tr w14:paraId="01C1A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D718721">
            <w:pPr>
              <w:snapToGrid w:val="0"/>
              <w:spacing w:line="360" w:lineRule="auto"/>
              <w:ind w:right="-16"/>
              <w:jc w:val="center"/>
              <w:rPr>
                <w:rFonts w:ascii="宋体" w:hAnsi="宋体" w:eastAsia="宋体" w:cs="宋体"/>
                <w:sz w:val="21"/>
                <w:szCs w:val="21"/>
                <w:highlight w:val="none"/>
              </w:rPr>
            </w:pPr>
            <w:r>
              <w:rPr>
                <w:rFonts w:hint="eastAsia" w:ascii="宋体" w:hAnsi="宋体" w:eastAsia="宋体" w:cs="宋体"/>
                <w:sz w:val="21"/>
                <w:szCs w:val="21"/>
                <w:highlight w:val="none"/>
              </w:rPr>
              <w:t>基本要求</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08FBDB09">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l.中标供应商提供的后装治疗机，必须是全新、完整、未使用过的原装产品，且在正常安装、使用和保养条件下，其使用寿命期内各项指标均达到质量要求。</w:t>
            </w:r>
          </w:p>
          <w:p w14:paraId="16C47C43">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2.中标供应商负责设备的包装、运输、装卸、就位、安装、调试、保险及通过相关部门的检测验收，并承担相关的一切费用。</w:t>
            </w:r>
          </w:p>
          <w:p w14:paraId="3A6CA157">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3.中标供应商</w:t>
            </w:r>
            <w:r>
              <w:rPr>
                <w:rFonts w:hint="eastAsia" w:ascii="宋体" w:hAnsi="宋体" w:cs="宋体"/>
                <w:sz w:val="21"/>
                <w:szCs w:val="21"/>
                <w:highlight w:val="none"/>
                <w:lang w:val="en-US" w:eastAsia="zh-CN"/>
              </w:rPr>
              <w:t>在交货时</w:t>
            </w:r>
            <w:r>
              <w:rPr>
                <w:rFonts w:hint="eastAsia" w:ascii="宋体" w:hAnsi="宋体" w:eastAsia="宋体" w:cs="宋体"/>
                <w:sz w:val="21"/>
                <w:szCs w:val="21"/>
                <w:highlight w:val="none"/>
              </w:rPr>
              <w:t>提供详细完整的设备资质证件、中文操作手册、产品合 格证明材料、使用说明书及维修手册等资料交给采购人，同时提供全套光 盘资料（包括：用户手册和安装程序等）使用操作及安全须知等重要资料应附有中文说明。</w:t>
            </w:r>
          </w:p>
          <w:p w14:paraId="58349017">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4.保修期内开机率:≥98%(按365日计算)。如果保修期内停机时间超 过2%，则超出天数按1:2加倍延长保修期限；超出10%(停机故障日/365日×100%≥10％)中标供应商应无条件为用户更换相同品牌型号的新设备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如遇停产等情形，可提供相当于或</w:t>
            </w:r>
            <w:r>
              <w:rPr>
                <w:rFonts w:hint="eastAsia" w:ascii="Times New Roman" w:eastAsia="宋体"/>
                <w:highlight w:val="none"/>
                <w:lang w:val="en-US" w:eastAsia="zh-CN"/>
              </w:rPr>
              <w:t>优于当前设备的</w:t>
            </w:r>
            <w:r>
              <w:rPr>
                <w:rFonts w:hint="eastAsia" w:ascii="宋体" w:hAnsi="宋体" w:eastAsia="宋体" w:cs="宋体"/>
                <w:sz w:val="21"/>
                <w:szCs w:val="21"/>
                <w:highlight w:val="none"/>
              </w:rPr>
              <w:t>新设备。并承担因换货产生的相关费用和所造成采购人的</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rPr>
              <w:t>经济损失。</w:t>
            </w:r>
          </w:p>
          <w:p w14:paraId="52C976D7">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5.设备在国内有维修中心及零配件库，中标供应商应提供10年（含）以上的零配件供应。</w:t>
            </w:r>
          </w:p>
          <w:p w14:paraId="53499206">
            <w:pPr>
              <w:keepNext w:val="0"/>
              <w:keepLines w:val="0"/>
              <w:pageBreakBefore w:val="0"/>
              <w:widowControl w:val="0"/>
              <w:kinsoku/>
              <w:wordWrap/>
              <w:overflowPunct/>
              <w:topLinePunct w:val="0"/>
              <w:autoSpaceDE/>
              <w:autoSpaceDN/>
              <w:bidi w:val="0"/>
              <w:adjustRightInd w:val="0"/>
              <w:snapToGrid w:val="0"/>
              <w:spacing w:line="360" w:lineRule="auto"/>
              <w:ind w:firstLine="457" w:firstLineChars="218"/>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6.中标供应商提供的设备如因采购人业务需要而接入采购人信息网络 （含信息网、无线网、设备网、物联网等），中标供应商需积极配合并承担相关费用。</w:t>
            </w:r>
          </w:p>
        </w:tc>
      </w:tr>
      <w:tr w14:paraId="305D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1CF7CA5">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售后服务要求</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15F0BFEC">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1.保修期要求：中标供应商对后装治疗机提供</w:t>
            </w:r>
            <w:r>
              <w:rPr>
                <w:rFonts w:hint="eastAsia" w:ascii="宋体" w:hAnsi="宋体" w:cs="Times New Roman"/>
                <w:kern w:val="0"/>
                <w:sz w:val="21"/>
                <w:szCs w:val="21"/>
                <w:highlight w:val="none"/>
                <w:lang w:val="en-US" w:eastAsia="zh-CN"/>
              </w:rPr>
              <w:t>自交货之日起</w:t>
            </w:r>
            <w:r>
              <w:rPr>
                <w:rFonts w:hint="eastAsia" w:ascii="宋体" w:hAnsi="宋体" w:eastAsia="宋体" w:cs="Times New Roman"/>
                <w:kern w:val="0"/>
                <w:sz w:val="21"/>
                <w:szCs w:val="21"/>
                <w:highlight w:val="none"/>
              </w:rPr>
              <w:t>1年原厂保修服务。保修期内设备发生一般故障时，中标供应商应负责维修、更换零配件：设备发生大故障（指主要部件出现质量问题）时，中标供应商应负责更换相同品牌、型号的新设备</w:t>
            </w:r>
            <w:r>
              <w:rPr>
                <w:rFonts w:hint="eastAsia" w:ascii="宋体" w:hAnsi="宋体" w:cs="Times New Roman"/>
                <w:kern w:val="0"/>
                <w:sz w:val="21"/>
                <w:szCs w:val="21"/>
                <w:highlight w:val="none"/>
                <w:lang w:eastAsia="zh-CN"/>
              </w:rPr>
              <w:t>，</w:t>
            </w:r>
            <w:r>
              <w:rPr>
                <w:rFonts w:hint="eastAsia" w:ascii="宋体" w:hAnsi="宋体" w:cs="宋体"/>
                <w:sz w:val="21"/>
                <w:szCs w:val="21"/>
                <w:highlight w:val="none"/>
                <w:lang w:val="en-US" w:eastAsia="zh-CN"/>
              </w:rPr>
              <w:t>如遇停产等情形，可提供相当于或</w:t>
            </w:r>
            <w:r>
              <w:rPr>
                <w:rFonts w:hint="eastAsia" w:ascii="Times New Roman" w:eastAsia="宋体"/>
                <w:highlight w:val="none"/>
                <w:lang w:val="en-US" w:eastAsia="zh-CN"/>
              </w:rPr>
              <w:t>优于当前设备的</w:t>
            </w:r>
            <w:r>
              <w:rPr>
                <w:rFonts w:hint="eastAsia" w:ascii="宋体" w:hAnsi="宋体" w:eastAsia="宋体" w:cs="宋体"/>
                <w:sz w:val="21"/>
                <w:szCs w:val="21"/>
                <w:highlight w:val="none"/>
              </w:rPr>
              <w:t>新设备</w:t>
            </w:r>
            <w:r>
              <w:rPr>
                <w:rFonts w:hint="eastAsia" w:ascii="宋体" w:hAnsi="宋体" w:eastAsia="宋体" w:cs="Times New Roman"/>
                <w:kern w:val="0"/>
                <w:sz w:val="21"/>
                <w:szCs w:val="21"/>
                <w:highlight w:val="none"/>
              </w:rPr>
              <w:t>，设备维修或更换后其保修期相应顺延。所有非故意性损坏以及在要求质量标准范围内的正常使用造成的损坏均要维修。保修期内发生的故障维修服务及更换配件均包含在投标报价中，采购人不再另外支付费用。对因采购人</w:t>
            </w:r>
            <w:r>
              <w:rPr>
                <w:rFonts w:hint="eastAsia" w:ascii="Times New Roman" w:eastAsia="宋体"/>
                <w:highlight w:val="none"/>
                <w:lang w:val="en-US" w:eastAsia="zh-CN"/>
              </w:rPr>
              <w:t>的使用</w:t>
            </w:r>
            <w:r>
              <w:rPr>
                <w:rFonts w:hint="eastAsia" w:ascii="宋体" w:hAnsi="宋体" w:eastAsia="宋体" w:cs="Times New Roman"/>
                <w:kern w:val="0"/>
                <w:sz w:val="21"/>
                <w:szCs w:val="21"/>
                <w:highlight w:val="none"/>
              </w:rPr>
              <w:t>人员的不正当使用所造成的设备损坏不在中标供应商保修范围，但中标供应商也要积极帮助采购人修理设备，并保证提供优惠价格的配件和服务。</w:t>
            </w:r>
          </w:p>
          <w:p w14:paraId="62877C81">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w:t>
            </w:r>
            <w:r>
              <w:rPr>
                <w:rFonts w:hint="eastAsia"/>
                <w:highlight w:val="none"/>
              </w:rPr>
              <w:t>在投标文件中提供相关设备的维修工程师姓名及电话号码。如国内有相关免费电话维修号码提供相关号码。</w:t>
            </w:r>
          </w:p>
          <w:p w14:paraId="0DDAC606">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3.故障响应时间：当接到设备报修通知后立即响应，24小时内派</w:t>
            </w:r>
            <w:r>
              <w:rPr>
                <w:rFonts w:hint="eastAsia" w:ascii="Times New Roman" w:eastAsia="宋体"/>
                <w:highlight w:val="none"/>
                <w:lang w:val="en-US" w:eastAsia="zh-CN"/>
              </w:rPr>
              <w:t>专业技术人员</w:t>
            </w:r>
            <w:r>
              <w:rPr>
                <w:rFonts w:hint="eastAsia" w:ascii="宋体" w:hAnsi="宋体" w:eastAsia="宋体" w:cs="Times New Roman"/>
                <w:kern w:val="0"/>
                <w:sz w:val="21"/>
                <w:szCs w:val="21"/>
                <w:highlight w:val="none"/>
              </w:rPr>
              <w:t>到设备现场及时维修，保证不影响采购人正常使用，每次维修应提供维修报告交给采购人备案。规定时限内中标供应商未能按时响应，采购人有权聘请第三方进行维修处理，由此产生的相关费用由中标供应商承担。</w:t>
            </w:r>
          </w:p>
          <w:p w14:paraId="47DE1D5E">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4.人员培训：设备安装完毕，由中标供应商</w:t>
            </w:r>
            <w:r>
              <w:rPr>
                <w:rFonts w:hint="eastAsia" w:ascii="Times New Roman" w:eastAsia="宋体"/>
                <w:highlight w:val="none"/>
                <w:lang w:val="en-US" w:eastAsia="zh-CN"/>
              </w:rPr>
              <w:t>的专业技术人员</w:t>
            </w:r>
            <w:r>
              <w:rPr>
                <w:rFonts w:hint="eastAsia" w:ascii="宋体" w:hAnsi="宋体" w:eastAsia="宋体" w:cs="Times New Roman"/>
                <w:kern w:val="0"/>
                <w:sz w:val="21"/>
                <w:szCs w:val="21"/>
                <w:highlight w:val="none"/>
              </w:rPr>
              <w:t>对采购人操作人员 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承担。</w:t>
            </w:r>
          </w:p>
          <w:p w14:paraId="0F5A4F72">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5.设备保修期内，中标供应商负责对后装治疗机进行定期维护保养，每年至少一次，包括设备的安全检查、质量检查，运行状态检查，提供设备维护保养情况书面报告，并承担所发生的一切费用（包括更换零部件费、人工费和差旅费等）。</w:t>
            </w:r>
          </w:p>
        </w:tc>
      </w:tr>
      <w:tr w14:paraId="12DD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F2CF856">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质保期</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542AFF4E">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自交货并验收合格之日起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tc>
      </w:tr>
      <w:tr w14:paraId="084B7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E77525A">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备品备件及耗材等要求</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179513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投标产品如包括必备的易损易耗备品备件和专用工具，</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应</w:t>
            </w:r>
            <w:r>
              <w:rPr>
                <w:rFonts w:hint="eastAsia" w:ascii="Times New Roman" w:eastAsia="宋体"/>
                <w:highlight w:val="none"/>
                <w:lang w:val="en-US" w:eastAsia="zh-CN"/>
              </w:rPr>
              <w:t>在投标文件中</w:t>
            </w:r>
            <w:r>
              <w:rPr>
                <w:rFonts w:hint="eastAsia" w:ascii="宋体" w:hAnsi="宋体" w:eastAsia="宋体" w:cs="宋体"/>
                <w:sz w:val="21"/>
                <w:szCs w:val="21"/>
                <w:highlight w:val="none"/>
              </w:rPr>
              <w:t>提供其清单。</w:t>
            </w:r>
          </w:p>
        </w:tc>
      </w:tr>
      <w:tr w14:paraId="7B60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E70C2A1">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合同签订时间</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37E4DC09">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自中标通知书发出之日起25日内。</w:t>
            </w:r>
          </w:p>
        </w:tc>
      </w:tr>
      <w:tr w14:paraId="62AD3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3713022">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交货时间及地点</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29EEB734">
            <w:pPr>
              <w:numPr>
                <w:ilvl w:val="0"/>
                <w:numId w:val="3"/>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交付使用期：自合同签订之日起设备90天内交货并安装调试完毕交付使用。</w:t>
            </w:r>
          </w:p>
          <w:p w14:paraId="5062F2D6">
            <w:pPr>
              <w:numPr>
                <w:ilvl w:val="0"/>
                <w:numId w:val="3"/>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交付地点：广西柳州市内采购人指定地点。</w:t>
            </w:r>
          </w:p>
        </w:tc>
      </w:tr>
      <w:tr w14:paraId="70905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4FBE6CE">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交货要求</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403C6D77">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中标供应商提供不符合招投标文件（或采购、</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en-US"/>
              </w:rPr>
              <w:t>）和签订的 合同规定的货物，采购人有权拒绝接收。</w:t>
            </w:r>
          </w:p>
          <w:p w14:paraId="7B98DE63">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中标供应商交货前应对产品作出全面检查和对验收文件进行整理， 并列出清单，作为采购人收货验收和使用的技术条件依据，检验的结果应 随货物交采购人。</w:t>
            </w:r>
          </w:p>
          <w:p w14:paraId="60DBFD1C">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中标供应商负责货物的卸货、搬运及安装，按照采购人要求将货物 搬运至指定地点并负责安装、组合成套</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中标供应商在运输安装设备过程中不得损坏</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val="en-US" w:eastAsia="en-US"/>
              </w:rPr>
              <w:t>设施（如地面、墙面、电梯、绿化带等），如有损坏，合理补偿。</w:t>
            </w:r>
          </w:p>
          <w:p w14:paraId="4817D3DF">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设备到达现场，确认包装完好性后，由采购人验货。中标供应商应将所提供货物的装箱清单、使用说明书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合格证（境内）、保修卡（境内）</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用户手册、原厂保修卡、随机资料、工具和备品、备件等交付给采购人，如有缺失应及时补齐，否则视为逾期交货。中标供应商应按采购人安排的时间派人到现场，对货物进行清点交付，并签字确认。若发现货物与装箱单不符，中标供应商负责补齐或收回。</w:t>
            </w:r>
          </w:p>
          <w:p w14:paraId="2D115359">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如果在设备交付使用前因事故造成设备损坏、部件短缺，中标供应 商要立即予以更换，不得拒绝和延误，以保证设备顺利安装完成。所造成 的费用及其</w:t>
            </w:r>
            <w:r>
              <w:rPr>
                <w:rFonts w:hint="eastAsia" w:ascii="宋体" w:hAnsi="宋体" w:cs="宋体"/>
                <w:sz w:val="21"/>
                <w:szCs w:val="21"/>
                <w:highlight w:val="none"/>
                <w:lang w:val="en-US" w:eastAsia="zh-CN"/>
              </w:rPr>
              <w:t>他</w:t>
            </w:r>
            <w:r>
              <w:rPr>
                <w:rFonts w:hint="eastAsia" w:ascii="宋体" w:hAnsi="宋体" w:eastAsia="宋体" w:cs="宋体"/>
                <w:sz w:val="21"/>
                <w:szCs w:val="21"/>
                <w:highlight w:val="none"/>
                <w:lang w:val="en-US" w:eastAsia="en-US"/>
              </w:rPr>
              <w:t>后果由中标供应商负责。</w:t>
            </w:r>
          </w:p>
          <w:p w14:paraId="734A4D86">
            <w:pPr>
              <w:numPr>
                <w:ilvl w:val="0"/>
                <w:numId w:val="4"/>
              </w:numPr>
              <w:snapToGrid w:val="0"/>
              <w:spacing w:line="360" w:lineRule="auto"/>
              <w:ind w:left="0" w:leftChars="0" w:right="-16"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对中标供应商提供的货物在使用前进行调试时，中标供应商需负责安装并培训采购人的使用操作人员，并协助采购人一起调试，直到符合技术要求，采购人才做最终验收。因中标供应商与采购人存在对需求理解有差异的可能性，要求所有设备功能及软件功能需求的响应以采购人意见为准。</w:t>
            </w:r>
          </w:p>
        </w:tc>
      </w:tr>
      <w:tr w14:paraId="52FB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03A86B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付款</w:t>
            </w:r>
            <w:r>
              <w:rPr>
                <w:rFonts w:hint="eastAsia" w:ascii="宋体" w:hAnsi="宋体" w:eastAsia="宋体" w:cs="宋体"/>
                <w:sz w:val="21"/>
                <w:szCs w:val="21"/>
                <w:highlight w:val="none"/>
                <w:lang w:val="en-US" w:eastAsia="zh-CN"/>
              </w:rPr>
              <w:t>方式</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7CD37B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货物交付完毕，采购人验收合格后（以采购人出</w:t>
            </w:r>
            <w:r>
              <w:rPr>
                <w:rFonts w:hint="eastAsia" w:ascii="宋体" w:hAnsi="宋体" w:cs="宋体"/>
                <w:color w:val="auto"/>
                <w:sz w:val="21"/>
                <w:szCs w:val="21"/>
                <w:highlight w:val="none"/>
                <w:lang w:eastAsia="zh-CN"/>
              </w:rPr>
              <w:t>具的</w:t>
            </w:r>
            <w:r>
              <w:rPr>
                <w:rFonts w:hint="eastAsia" w:ascii="宋体" w:hAnsi="宋体" w:eastAsia="宋体" w:cs="宋体"/>
                <w:color w:val="auto"/>
                <w:sz w:val="21"/>
                <w:szCs w:val="21"/>
                <w:highlight w:val="none"/>
              </w:rPr>
              <w:t>验收报告为准）中标供应商开具</w:t>
            </w:r>
            <w:r>
              <w:rPr>
                <w:rFonts w:hint="eastAsia" w:ascii="宋体" w:hAnsi="宋体" w:cs="宋体"/>
                <w:color w:val="auto"/>
                <w:sz w:val="21"/>
                <w:szCs w:val="21"/>
                <w:highlight w:val="none"/>
                <w:lang w:val="en-US" w:eastAsia="zh-CN"/>
              </w:rPr>
              <w:t>合同总金额100%</w:t>
            </w:r>
            <w:r>
              <w:rPr>
                <w:rFonts w:hint="eastAsia" w:ascii="宋体" w:hAnsi="宋体" w:eastAsia="宋体" w:cs="宋体"/>
                <w:color w:val="auto"/>
                <w:sz w:val="21"/>
                <w:szCs w:val="21"/>
                <w:highlight w:val="none"/>
              </w:rPr>
              <w:t>增值税普通发票给采购人，采购人收到全额发票后</w:t>
            </w:r>
            <w:r>
              <w:rPr>
                <w:rFonts w:hint="eastAsia" w:ascii="Times New Roman" w:eastAsia="宋体"/>
                <w:color w:val="auto"/>
                <w:highlight w:val="none"/>
                <w:lang w:val="en-US" w:eastAsia="zh-CN"/>
              </w:rPr>
              <w:t>提交支付申请通过后</w:t>
            </w:r>
            <w:r>
              <w:rPr>
                <w:rFonts w:hint="eastAsia" w:ascii="宋体" w:hAnsi="宋体" w:eastAsia="宋体" w:cs="宋体"/>
                <w:color w:val="auto"/>
                <w:sz w:val="21"/>
                <w:szCs w:val="21"/>
                <w:highlight w:val="none"/>
              </w:rPr>
              <w:t>支付合同总金额的60%；货物正常使用半年后，</w:t>
            </w:r>
            <w:r>
              <w:rPr>
                <w:rFonts w:hint="eastAsia" w:ascii="Times New Roman" w:eastAsia="宋体"/>
                <w:color w:val="auto"/>
                <w:highlight w:val="none"/>
                <w:lang w:val="en-US" w:eastAsia="zh-CN"/>
              </w:rPr>
              <w:t>提交支付申请通过后</w:t>
            </w:r>
            <w:r>
              <w:rPr>
                <w:rFonts w:hint="eastAsia" w:ascii="宋体" w:hAnsi="宋体" w:eastAsia="宋体" w:cs="宋体"/>
                <w:color w:val="auto"/>
                <w:sz w:val="21"/>
                <w:szCs w:val="21"/>
                <w:highlight w:val="none"/>
              </w:rPr>
              <w:t>支付合同总金额的30%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正常使用一年期满后，</w:t>
            </w:r>
            <w:r>
              <w:rPr>
                <w:rFonts w:hint="eastAsia" w:ascii="Times New Roman" w:eastAsia="宋体"/>
                <w:color w:val="auto"/>
                <w:highlight w:val="none"/>
                <w:lang w:val="en-US" w:eastAsia="zh-CN"/>
              </w:rPr>
              <w:t>提交支付申请通过后</w:t>
            </w:r>
            <w:r>
              <w:rPr>
                <w:rFonts w:hint="eastAsia" w:ascii="宋体" w:hAnsi="宋体" w:eastAsia="宋体" w:cs="宋体"/>
                <w:color w:val="auto"/>
                <w:sz w:val="21"/>
                <w:szCs w:val="21"/>
                <w:highlight w:val="none"/>
              </w:rPr>
              <w:t>支付合同总金额的10%。（不计利息）</w:t>
            </w:r>
          </w:p>
        </w:tc>
      </w:tr>
      <w:tr w14:paraId="6EE12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D182E3D">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验收标准</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55424A2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中标供应商交货前应对设备做出全面检查和对验收文件进行整理列出清单，作为采购人设备验收和使用的技术条件和依据。</w:t>
            </w:r>
          </w:p>
          <w:p w14:paraId="51F2143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应当在项目实施完毕，并且稳定运行1个月后进行验收。中标供应商交付前须作出全面检查和对验收文件进行整理列出清单，作为</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收货验收和使用的技术条件依据交给</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对中标供应商所交系统依照招标文件上的技术规格要求进行现场抽样验收，性能达到技术要求的，给予签收。验收不合格的不予签收，后果由中标供应商负责。验收合格后由双方签署验收单并加盖双方公章，双方各执一份。验收时中标供应商必须在场，如需第三方参与验收，所发</w:t>
            </w:r>
            <w:r>
              <w:rPr>
                <w:rFonts w:hint="eastAsia" w:ascii="宋体" w:hAnsi="宋体" w:eastAsia="宋体" w:cs="宋体"/>
                <w:sz w:val="21"/>
                <w:szCs w:val="21"/>
                <w:highlight w:val="none"/>
                <w:lang w:val="en-US" w:eastAsia="en-US"/>
              </w:rPr>
              <w:t>生的费用由中标供应商负责。</w:t>
            </w:r>
          </w:p>
          <w:p w14:paraId="0C0BCFE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en-US"/>
              </w:rPr>
              <w:t>项目实施完毕，</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lang w:val="en-US" w:eastAsia="en-US"/>
              </w:rPr>
              <w:t>稳定运行后进行验收</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采购人与中标供应商</w:t>
            </w:r>
            <w:r>
              <w:rPr>
                <w:rFonts w:hint="eastAsia" w:ascii="宋体" w:hAnsi="宋体" w:eastAsia="宋体" w:cs="宋体"/>
                <w:sz w:val="21"/>
                <w:szCs w:val="21"/>
                <w:highlight w:val="none"/>
              </w:rPr>
              <w:t>应共同在场，按照招标技术参数和配置单，设备制造国有关标准或行业标准进行验收工作。设备的各项参数指标及配置达到招标要求，通过临床试用满足采购人技术要求，则双方共同签署设备验收报告，即为设备验收合格。验收工作所发生费用由中标供应商承担。设备有损坏或达不到技术要求的不予验收，相关责任与损失由中标供应商承担。（中标供应商进行验收及签署验收相关文件的人员应具有相应授权。）</w:t>
            </w:r>
          </w:p>
          <w:p w14:paraId="57DD47E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验收由采购人组织，中标供应商配合进行。对技术复杂的货物，采购人可请国家认定的专业检测机构参与初步验收及最终验收，并由其出具质量检测报告。</w:t>
            </w:r>
          </w:p>
          <w:p w14:paraId="343159F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采购人委托第三方组织的验收项目，其验收时间以该项目验收方案 确定的验收时间为准，验收结果以该项目验收报告结论为准。在验收过程 中发现中标供应商有违约问题，可暂缓资金结算，待违约问题解决后，方 可办理资金结算事宜。</w:t>
            </w:r>
          </w:p>
          <w:p w14:paraId="01B0675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技术性能</w:t>
            </w:r>
            <w:r>
              <w:rPr>
                <w:rFonts w:hint="eastAsia" w:ascii="宋体" w:hAnsi="宋体" w:eastAsia="宋体" w:cs="宋体"/>
                <w:sz w:val="21"/>
                <w:szCs w:val="21"/>
                <w:highlight w:val="none"/>
              </w:rPr>
              <w:t>验收标准：</w:t>
            </w:r>
          </w:p>
          <w:p w14:paraId="28F23A1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17"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、响应参数为依据，满足使用需求为原则，由采购人组织相关部门组成验收小组对设备技术性能验收，响应参数是否符合采购参数要求以实际验收结果为准。</w:t>
            </w:r>
          </w:p>
          <w:p w14:paraId="0C17A11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17"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技术性能资料涵盖招投标技术参数、响应表及配置清单等。</w:t>
            </w:r>
          </w:p>
          <w:p w14:paraId="04A8C2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17"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设备技术参数及配置清单必须与采购、</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相符合，如出现不一致，以技术参数响应表响应内容为准。</w:t>
            </w:r>
          </w:p>
          <w:p w14:paraId="4878C5A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17"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验收小组依据采购、</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技术参数响应表逐条进行验收，对于设备技术参数与采购、响应技术参数响应不符的，作如下处理：</w:t>
            </w:r>
          </w:p>
          <w:p w14:paraId="7A3F19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16"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①设备技术参数与招投标参数比较有漏项的，在评审中未被发现的，以不实质响应招投标要求论处；</w:t>
            </w:r>
          </w:p>
          <w:p w14:paraId="268097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16"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②设备实际是负偏离的参数，在</w:t>
            </w:r>
            <w:r>
              <w:rPr>
                <w:rFonts w:hint="eastAsia" w:ascii="Times New Roman" w:eastAsia="宋体"/>
                <w:highlight w:val="none"/>
                <w:lang w:val="en-US" w:eastAsia="zh-CN"/>
              </w:rPr>
              <w:t>投标</w:t>
            </w:r>
            <w:r>
              <w:rPr>
                <w:rFonts w:hint="eastAsia" w:ascii="宋体" w:hAnsi="宋体" w:eastAsia="宋体" w:cs="宋体"/>
                <w:sz w:val="21"/>
                <w:szCs w:val="21"/>
                <w:highlight w:val="none"/>
              </w:rPr>
              <w:t>文件中标明是无偏离或正偏离，在评审中未被发现的，以虚假应标论处；</w:t>
            </w:r>
          </w:p>
          <w:p w14:paraId="1EF60A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16"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③设备实际是无偏离参数，响应表中标明是正偏离，在评审中未被发现的，以虚假应标论处；</w:t>
            </w:r>
          </w:p>
          <w:p w14:paraId="31E591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16"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④设备实际是正偏离参数，验收时并没有达到响应表中标明的正偏离范围，以虚假应标论处。</w:t>
            </w:r>
          </w:p>
          <w:p w14:paraId="515F27E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Times New Roman" w:eastAsia="宋体"/>
                <w:highlight w:val="none"/>
                <w:lang w:val="en-US" w:eastAsia="zh-CN"/>
              </w:rPr>
              <w:t>投标人</w:t>
            </w:r>
            <w:r>
              <w:rPr>
                <w:rFonts w:hint="eastAsia" w:ascii="宋体" w:hAnsi="宋体" w:eastAsia="宋体" w:cs="宋体"/>
                <w:sz w:val="21"/>
                <w:szCs w:val="21"/>
                <w:highlight w:val="none"/>
              </w:rPr>
              <w:t>成交后，采购人在设备验收环节发现设备的技术参数指标达不到</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中技术参数响应的内容，属虚假应标行为，采购人将单方面终止合同拒收货物，追究</w:t>
            </w:r>
            <w:r>
              <w:rPr>
                <w:rFonts w:hint="eastAsia" w:ascii="宋体" w:hAnsi="宋体" w:cs="宋体"/>
                <w:sz w:val="21"/>
                <w:szCs w:val="21"/>
                <w:highlight w:val="none"/>
                <w:lang w:eastAsia="zh-CN"/>
              </w:rPr>
              <w:t>中标供应商</w:t>
            </w:r>
            <w:r>
              <w:rPr>
                <w:rFonts w:hint="eastAsia" w:ascii="宋体" w:hAnsi="宋体" w:eastAsia="宋体" w:cs="宋体"/>
                <w:sz w:val="21"/>
                <w:szCs w:val="21"/>
                <w:highlight w:val="none"/>
              </w:rPr>
              <w:t>违约责任，赔偿采购人因采购时间延长造成的经济等方面损失，视情形将违约情况上报政府采购监督管理部门。</w:t>
            </w:r>
          </w:p>
          <w:p w14:paraId="2F7DE81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验收时如发现所交付的货物有短装、次品、损坏或</w:t>
            </w:r>
            <w:r>
              <w:rPr>
                <w:rFonts w:hint="eastAsia" w:ascii="宋体" w:hAnsi="宋体" w:cs="宋体"/>
                <w:sz w:val="21"/>
                <w:szCs w:val="21"/>
                <w:highlight w:val="none"/>
                <w:lang w:eastAsia="zh-CN"/>
              </w:rPr>
              <w:t>其他不</w:t>
            </w:r>
            <w:r>
              <w:rPr>
                <w:rFonts w:hint="eastAsia" w:ascii="宋体" w:hAnsi="宋体" w:eastAsia="宋体" w:cs="宋体"/>
                <w:sz w:val="21"/>
                <w:szCs w:val="21"/>
                <w:highlight w:val="none"/>
              </w:rPr>
              <w:t>符合标准及本合同规定之情形者，采购人应做出现场记录，或由双方签署备忘录，此现场记录或备忘录可用作补充、缺失和更换损坏部件的有效证据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由此产生的时间延误与有关费用由中标供应商承担，验收期限相应顺延；</w:t>
            </w:r>
          </w:p>
          <w:p w14:paraId="51DB0E4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如货物经中标供应商维修仍不能达到合同约定的质量标准，采购人有权退货，并视作中标供应商不能交付货物而须支付违约赔偿金给采购人，采购人还可依法追究中标供应商的其他违约责任。</w:t>
            </w:r>
          </w:p>
          <w:p w14:paraId="74CA862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验收结束后，应当出具验收书，列明各项标准的验收情况及项目总体评价，由验收双方共同签署并加盖采购单位公章，</w:t>
            </w:r>
            <w:r>
              <w:rPr>
                <w:rFonts w:hint="eastAsia" w:ascii="Times New Roman" w:eastAsia="宋体"/>
                <w:highlight w:val="none"/>
                <w:lang w:val="en-US" w:eastAsia="zh-CN"/>
              </w:rPr>
              <w:t>采购人和中标供应商</w:t>
            </w:r>
            <w:r>
              <w:rPr>
                <w:rFonts w:hint="eastAsia" w:ascii="宋体" w:hAnsi="宋体" w:eastAsia="宋体" w:cs="宋体"/>
                <w:sz w:val="21"/>
                <w:szCs w:val="21"/>
                <w:highlight w:val="none"/>
              </w:rPr>
              <w:t>双方各执一份。</w:t>
            </w:r>
          </w:p>
          <w:p w14:paraId="31CCCBF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16"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其他未尽事宜应严格按照《关于印发广西壮族自治区政府采购项目 履约验收管理办法的通知》 [桂财采〔2015〕22 号]以及《财政部关于进一 步加强政府采购需求和履约验收管理的指导意见》[财库〔2016〕205 号] 规定执行。</w:t>
            </w:r>
          </w:p>
        </w:tc>
      </w:tr>
      <w:tr w14:paraId="4F5A5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6E4FCA8">
            <w:pPr>
              <w:spacing w:line="360" w:lineRule="auto"/>
              <w:jc w:val="center"/>
              <w:rPr>
                <w:rFonts w:ascii="宋体" w:hAnsi="宋体" w:eastAsia="宋体" w:cs="宋体"/>
                <w:sz w:val="21"/>
                <w:szCs w:val="21"/>
                <w:highlight w:val="none"/>
              </w:rPr>
            </w:pPr>
            <w:r>
              <w:rPr>
                <w:rFonts w:hint="eastAsia" w:ascii="宋体" w:hAnsi="宋体" w:eastAsia="宋体" w:cs="宋体"/>
                <w:b/>
                <w:bCs/>
                <w:sz w:val="21"/>
                <w:szCs w:val="21"/>
                <w:highlight w:val="none"/>
              </w:rPr>
              <w:t>产品授权</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53490807">
            <w:pPr>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本项目投标产品如为进口产品的须在投标文件中提供投标产品生产企业或中国总经销或区域总代理对本次投标项目产品的投标人有效的销售授权证书和售后承诺书原件；否则投标无效。</w:t>
            </w:r>
          </w:p>
        </w:tc>
      </w:tr>
      <w:tr w14:paraId="10A86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14:paraId="21C07568">
            <w:pPr>
              <w:keepNext/>
              <w:keepLines/>
              <w:spacing w:line="360" w:lineRule="auto"/>
              <w:jc w:val="left"/>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二、投标人的履约能力要求表</w:t>
            </w:r>
          </w:p>
        </w:tc>
      </w:tr>
      <w:tr w14:paraId="54F61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92DE293">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质量管理、企业信用要求</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23C8B81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1.投标人无任何违法、违规、质量安全事故、履约不良等行为反映或记录；</w:t>
            </w:r>
          </w:p>
          <w:p w14:paraId="13462F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2.投标人无自身原因违约或不恰当履行合同引起的终止、纠纷、争议、仲裁、诉讼记录；</w:t>
            </w:r>
          </w:p>
          <w:p w14:paraId="22CBC5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3.投标人无被责令停业或暂停、取消投标资格，无经济方面犯罪或严重违法记录；</w:t>
            </w:r>
          </w:p>
          <w:p w14:paraId="65E312A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4.投标人无被国家工商或质量监督部门年检或抽检不合格或复查未通过问题。</w:t>
            </w:r>
          </w:p>
          <w:p w14:paraId="299787E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5.投标人或投标产品无信用不良而处于禁止或取消投标、采购情形。</w:t>
            </w:r>
          </w:p>
        </w:tc>
      </w:tr>
      <w:tr w14:paraId="4C3F2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8856CD6">
            <w:pPr>
              <w:spacing w:line="36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能力或者业绩要 求</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0B76EA95">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具备履行本项目合同的能力。</w:t>
            </w:r>
          </w:p>
        </w:tc>
      </w:tr>
      <w:tr w14:paraId="5A867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noWrap w:val="0"/>
            <w:vAlign w:val="top"/>
          </w:tcPr>
          <w:p w14:paraId="75DD7C7D">
            <w:pPr>
              <w:keepNext/>
              <w:keepLines/>
              <w:spacing w:line="360" w:lineRule="auto"/>
              <w:jc w:val="left"/>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三、政策性加分条件</w:t>
            </w:r>
          </w:p>
        </w:tc>
      </w:tr>
      <w:tr w14:paraId="51C6B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3FB4D7B">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政策性加分条件</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58C47B0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符合节能环保等国家政策要求。</w:t>
            </w:r>
          </w:p>
        </w:tc>
      </w:tr>
      <w:tr w14:paraId="19294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133FED7">
            <w:pPr>
              <w:keepNext/>
              <w:keepLines/>
              <w:spacing w:line="360" w:lineRule="auto"/>
              <w:jc w:val="left"/>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四、项目其他要求</w:t>
            </w:r>
          </w:p>
        </w:tc>
      </w:tr>
      <w:tr w14:paraId="4B588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308EDC4">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产品资料及说明文件</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2A719E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投标文件中如有可以提供设备性能参数描述文件彩页或说明书（可以是从生产厂家网页下载的PDF或HTML文件），以供评标时核对。当投标文件提供的仪器性能参数与</w:t>
            </w:r>
            <w:r>
              <w:rPr>
                <w:rFonts w:hint="eastAsia" w:ascii="Times New Roman" w:eastAsia="宋体"/>
                <w:highlight w:val="none"/>
                <w:lang w:val="en-US" w:eastAsia="zh-CN"/>
              </w:rPr>
              <w:t>其提供的</w:t>
            </w:r>
            <w:r>
              <w:rPr>
                <w:rFonts w:hint="eastAsia" w:ascii="宋体" w:hAnsi="宋体" w:eastAsia="宋体" w:cs="宋体"/>
                <w:kern w:val="0"/>
                <w:sz w:val="21"/>
                <w:szCs w:val="21"/>
                <w:highlight w:val="none"/>
              </w:rPr>
              <w:t>设备性能参数描述文件彩页或说明书不符合时，评标委员会有权以后者为准。</w:t>
            </w:r>
          </w:p>
        </w:tc>
      </w:tr>
      <w:tr w14:paraId="2E309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1B3A22C">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进口产品说明</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194B7D3C">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t>本项目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p w14:paraId="3F2CB0BA">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position w:val="0"/>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本项目货物不接受进口产品（即通过中国海关报关验放进入中国境内且产自关境外的产品）参与投标，如有进口产品参与投标的作</w:t>
            </w:r>
            <w:r>
              <w:rPr>
                <w:rFonts w:hint="eastAsia" w:ascii="宋体" w:hAnsi="宋体" w:eastAsia="宋体" w:cs="宋体"/>
                <w:b/>
                <w:sz w:val="21"/>
                <w:szCs w:val="21"/>
                <w:highlight w:val="none"/>
              </w:rPr>
              <w:t>无效投标处理</w:t>
            </w:r>
            <w:r>
              <w:rPr>
                <w:rFonts w:hint="eastAsia" w:ascii="宋体" w:hAnsi="宋体" w:eastAsia="宋体" w:cs="宋体"/>
                <w:sz w:val="21"/>
                <w:szCs w:val="21"/>
                <w:highlight w:val="none"/>
              </w:rPr>
              <w:t>。</w:t>
            </w:r>
          </w:p>
        </w:tc>
      </w:tr>
      <w:tr w14:paraId="1C4D8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23208C0">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其他资料</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1F7442F2">
            <w:pPr>
              <w:keepNext w:val="0"/>
              <w:keepLines w:val="0"/>
              <w:pageBreakBefore w:val="0"/>
              <w:widowControl w:val="0"/>
              <w:kinsoku/>
              <w:overflowPunct/>
              <w:topLinePunct w:val="0"/>
              <w:autoSpaceDE/>
              <w:autoSpaceDN/>
              <w:bidi w:val="0"/>
              <w:adjustRightInd w:val="0"/>
              <w:snapToGrid w:val="0"/>
              <w:spacing w:line="360" w:lineRule="auto"/>
              <w:jc w:val="left"/>
              <w:textAlignment w:val="auto"/>
              <w:rPr>
                <w:rFonts w:ascii="宋体" w:hAnsi="宋体" w:eastAsia="宋体" w:cs="Times New Roman"/>
                <w:kern w:val="0"/>
                <w:sz w:val="21"/>
                <w:szCs w:val="21"/>
                <w:highlight w:val="none"/>
              </w:rPr>
            </w:pPr>
            <w:r>
              <w:rPr>
                <w:rFonts w:hint="eastAsia" w:ascii="宋体" w:hAnsi="宋体" w:eastAsia="宋体" w:cs="宋体"/>
                <w:sz w:val="21"/>
                <w:szCs w:val="21"/>
                <w:highlight w:val="none"/>
              </w:rPr>
              <w:t>投标人结合自身能力及本项目采购需求提供以下内容</w:t>
            </w:r>
          </w:p>
          <w:p w14:paraId="0342F478">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left"/>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1</w:t>
            </w:r>
            <w:r>
              <w:rPr>
                <w:rFonts w:hint="eastAsia" w:ascii="宋体" w:hAnsi="宋体" w:eastAsia="宋体" w:cs="Times New Roman"/>
                <w:sz w:val="21"/>
                <w:szCs w:val="21"/>
                <w:highlight w:val="none"/>
              </w:rPr>
              <w:t>.</w:t>
            </w:r>
            <w:r>
              <w:rPr>
                <w:rFonts w:hint="eastAsia" w:ascii="宋体" w:hAnsi="宋体" w:eastAsia="宋体" w:cs="Courier New"/>
                <w:bCs/>
                <w:sz w:val="21"/>
                <w:szCs w:val="21"/>
                <w:highlight w:val="none"/>
              </w:rPr>
              <w:t>实施方案</w:t>
            </w:r>
            <w:r>
              <w:rPr>
                <w:rFonts w:hint="eastAsia" w:ascii="宋体" w:hAnsi="宋体" w:eastAsia="宋体" w:cs="Times New Roman"/>
                <w:sz w:val="21"/>
                <w:szCs w:val="21"/>
                <w:highlight w:val="none"/>
              </w:rPr>
              <w:t>。</w:t>
            </w:r>
          </w:p>
          <w:p w14:paraId="5A2E8E85">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left"/>
              <w:textAlignment w:val="auto"/>
              <w:rPr>
                <w:rFonts w:ascii="宋体" w:hAnsi="宋体" w:eastAsia="宋体" w:cs="Times New Roman"/>
                <w:sz w:val="21"/>
                <w:szCs w:val="21"/>
                <w:highlight w:val="none"/>
              </w:rPr>
            </w:pPr>
            <w:r>
              <w:rPr>
                <w:rFonts w:ascii="宋体" w:hAnsi="宋体" w:eastAsia="宋体" w:cs="Times New Roman"/>
                <w:sz w:val="21"/>
                <w:szCs w:val="21"/>
                <w:highlight w:val="none"/>
              </w:rPr>
              <w:t>2.</w:t>
            </w:r>
            <w:r>
              <w:rPr>
                <w:rFonts w:hint="eastAsia" w:ascii="宋体" w:hAnsi="宋体" w:eastAsia="宋体" w:cs="Times New Roman"/>
                <w:kern w:val="0"/>
                <w:sz w:val="21"/>
                <w:szCs w:val="21"/>
                <w:highlight w:val="none"/>
              </w:rPr>
              <w:t>售后服务方案及承诺</w:t>
            </w:r>
            <w:r>
              <w:rPr>
                <w:rFonts w:hint="eastAsia" w:ascii="宋体" w:hAnsi="宋体" w:eastAsia="宋体" w:cs="Times New Roman"/>
                <w:sz w:val="21"/>
                <w:szCs w:val="21"/>
                <w:highlight w:val="none"/>
              </w:rPr>
              <w:t>。</w:t>
            </w:r>
          </w:p>
          <w:p w14:paraId="745561AE">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.如有，请在投标文件中提供技术能力相关证明，包含但不限于：</w:t>
            </w:r>
            <w:r>
              <w:rPr>
                <w:rFonts w:ascii="宋体" w:hAnsi="宋体" w:eastAsia="宋体" w:cs="宋体"/>
                <w:sz w:val="21"/>
                <w:szCs w:val="21"/>
                <w:highlight w:val="none"/>
              </w:rPr>
              <w:t xml:space="preserve"> </w:t>
            </w:r>
          </w:p>
          <w:p w14:paraId="4FF26A53">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（1）投标人或投标产品生产厂商通过质量管理体系认证证书原件扫描件</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国家官网查询记录。</w:t>
            </w:r>
          </w:p>
          <w:p w14:paraId="2CCF1292">
            <w:pPr>
              <w:keepNext w:val="0"/>
              <w:keepLines w:val="0"/>
              <w:pageBreakBefore w:val="0"/>
              <w:widowControl w:val="0"/>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（2）投标人或投标产品生产厂商通过医疗器械质量管理体系认证证书原件扫描件</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国家官网查询记录。</w:t>
            </w:r>
          </w:p>
        </w:tc>
      </w:tr>
    </w:tbl>
    <w:p w14:paraId="4AD16CB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E2E45"/>
    <w:multiLevelType w:val="singleLevel"/>
    <w:tmpl w:val="AD1E2E45"/>
    <w:lvl w:ilvl="0" w:tentative="0">
      <w:start w:val="1"/>
      <w:numFmt w:val="chineseCounting"/>
      <w:suff w:val="nothing"/>
      <w:lvlText w:val="（%1）"/>
      <w:lvlJc w:val="left"/>
      <w:pPr>
        <w:ind w:left="0" w:firstLine="420"/>
      </w:pPr>
      <w:rPr>
        <w:rFonts w:hint="eastAsia"/>
      </w:rPr>
    </w:lvl>
  </w:abstractNum>
  <w:abstractNum w:abstractNumId="1">
    <w:nsid w:val="C7D3C7B8"/>
    <w:multiLevelType w:val="singleLevel"/>
    <w:tmpl w:val="C7D3C7B8"/>
    <w:lvl w:ilvl="0" w:tentative="0">
      <w:start w:val="1"/>
      <w:numFmt w:val="decimal"/>
      <w:lvlText w:val="(%1)"/>
      <w:lvlJc w:val="left"/>
      <w:pPr>
        <w:ind w:left="425" w:hanging="425"/>
      </w:pPr>
      <w:rPr>
        <w:rFonts w:hint="default"/>
      </w:rPr>
    </w:lvl>
  </w:abstractNum>
  <w:abstractNum w:abstractNumId="2">
    <w:nsid w:val="D2A471A1"/>
    <w:multiLevelType w:val="singleLevel"/>
    <w:tmpl w:val="D2A471A1"/>
    <w:lvl w:ilvl="0" w:tentative="0">
      <w:start w:val="1"/>
      <w:numFmt w:val="decimal"/>
      <w:suff w:val="nothing"/>
      <w:lvlText w:val="%1．"/>
      <w:lvlJc w:val="left"/>
      <w:pPr>
        <w:ind w:left="0" w:firstLine="400"/>
      </w:pPr>
      <w:rPr>
        <w:rFonts w:hint="default"/>
      </w:rPr>
    </w:lvl>
  </w:abstractNum>
  <w:abstractNum w:abstractNumId="3">
    <w:nsid w:val="DEF900D7"/>
    <w:multiLevelType w:val="singleLevel"/>
    <w:tmpl w:val="DEF900D7"/>
    <w:lvl w:ilvl="0" w:tentative="0">
      <w:start w:val="1"/>
      <w:numFmt w:val="decimal"/>
      <w:suff w:val="nothing"/>
      <w:lvlText w:val="%1．"/>
      <w:lvlJc w:val="left"/>
      <w:pPr>
        <w:ind w:left="0" w:firstLine="400"/>
      </w:pPr>
      <w:rPr>
        <w:rFonts w:hint="default"/>
      </w:rPr>
    </w:lvl>
  </w:abstractNum>
  <w:abstractNum w:abstractNumId="4">
    <w:nsid w:val="13304B58"/>
    <w:multiLevelType w:val="multilevel"/>
    <w:tmpl w:val="13304B58"/>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F27810A"/>
    <w:multiLevelType w:val="singleLevel"/>
    <w:tmpl w:val="1F27810A"/>
    <w:lvl w:ilvl="0" w:tentative="0">
      <w:start w:val="1"/>
      <w:numFmt w:val="decimal"/>
      <w:suff w:val="nothing"/>
      <w:lvlText w:val="%1．"/>
      <w:lvlJc w:val="left"/>
      <w:pPr>
        <w:ind w:left="0" w:firstLine="40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6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4">
    <w:name w:val="index 8"/>
    <w:basedOn w:val="1"/>
    <w:next w:val="1"/>
    <w:qFormat/>
    <w:uiPriority w:val="0"/>
    <w:pPr>
      <w:ind w:left="2940"/>
    </w:pPr>
  </w:style>
  <w:style w:type="paragraph" w:styleId="5">
    <w:name w:val="Plain Text"/>
    <w:basedOn w:val="1"/>
    <w:next w:val="4"/>
    <w:unhideWhenUsed/>
    <w:qFormat/>
    <w:uiPriority w:val="0"/>
    <w:rPr>
      <w:rFonts w:ascii="宋体" w:hAnsi="Courier New"/>
      <w:szCs w:val="20"/>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2025-06-06T04:09:17Z</dcterms:created>
  <dc:creator>63126</dc:creator>
  <cp:lastModifiedBy>63126</cp:lastModifiedBy>
  <dcterms:modified xsi:type="dcterms:W3CDTF">2025-06-06T04:11:31Z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eyJoZGlkIjoiYWU2OWU1NzA2ZDYzNjExMjM3YTMwOWUxN2ZlMDQ1ZGMiLCJ1c2VySWQiOiIyNTg3NTQwOTgifQ==</vt:lpwstr>
  </property>
  <property fmtid="{D5CDD505-2E9C-101B-9397-08002B2CF9AE}" pid="4" name="ICV">
    <vt:lpwstr>AA4924CC7904468C8BF44037E71DD8C6_12</vt:lpwstr>
  </property>
</Properties>
</file>