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bCs/>
          <w:sz w:val="44"/>
          <w:szCs w:val="44"/>
        </w:rPr>
      </w:pPr>
      <w:r>
        <w:rPr>
          <w:rFonts w:hint="eastAsia" w:ascii="宋体" w:hAnsi="宋体" w:eastAsia="宋体" w:cs="宋体"/>
          <w:b/>
          <w:bCs/>
          <w:kern w:val="44"/>
          <w:sz w:val="44"/>
          <w:szCs w:val="44"/>
        </w:rPr>
        <w:t>采购需求</w:t>
      </w:r>
    </w:p>
    <w:p>
      <w:pPr>
        <w:spacing w:line="420" w:lineRule="exact"/>
        <w:jc w:val="left"/>
        <w:rPr>
          <w:rFonts w:hint="eastAsia" w:cs="宋体"/>
          <w:szCs w:val="21"/>
          <w:highlight w:val="none"/>
        </w:rPr>
      </w:pPr>
      <w:r>
        <w:rPr>
          <w:rFonts w:hint="eastAsia" w:cs="宋体"/>
          <w:szCs w:val="21"/>
          <w:highlight w:val="none"/>
        </w:rPr>
        <w:t>说明：</w:t>
      </w:r>
    </w:p>
    <w:p>
      <w:pPr>
        <w:spacing w:line="360" w:lineRule="auto"/>
        <w:ind w:firstLine="420" w:firstLineChars="200"/>
        <w:jc w:val="left"/>
        <w:rPr>
          <w:rFonts w:hint="eastAsia" w:ascii="宋体" w:hAnsi="宋体" w:cs="宋体"/>
          <w:szCs w:val="21"/>
          <w:highlight w:val="none"/>
        </w:rPr>
      </w:pPr>
      <w:r>
        <w:rPr>
          <w:rFonts w:hint="eastAsia" w:ascii="宋体" w:hAnsi="宋体" w:cs="宋体"/>
          <w:highlight w:val="none"/>
        </w:rPr>
        <w:t>1.为落实政府采购政策需满足的要求：</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（1）本竞争性磋商文件所称中小企业必须符合《政府采购促进中小企业发展管理办法》（财库〔2020〕46号）的规定。</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（2）服务项目中包含货物的，根据《财政部 发展改革委生态环境部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有效期内的节能产品认证证书复印件（加盖供应商公章），</w:t>
      </w:r>
      <w:r>
        <w:rPr>
          <w:rFonts w:hint="eastAsia" w:ascii="宋体" w:hAnsi="宋体" w:cs="宋体"/>
          <w:b/>
          <w:bCs/>
          <w:szCs w:val="21"/>
          <w:highlight w:val="none"/>
        </w:rPr>
        <w:t>否则响应文件按无效处理</w:t>
      </w:r>
      <w:r>
        <w:rPr>
          <w:rFonts w:hint="eastAsia" w:ascii="宋体" w:hAnsi="宋体" w:cs="宋体"/>
          <w:szCs w:val="21"/>
          <w:highlight w:val="none"/>
        </w:rPr>
        <w:t xml:space="preserve">。如本项目包含的配套货物属于品目清单内非标注“★”的产品时，应优先采购，具体详见“第四章 </w:t>
      </w:r>
      <w:r>
        <w:rPr>
          <w:rStyle w:val="8"/>
          <w:rFonts w:hint="eastAsia" w:ascii="宋体" w:hAnsi="宋体" w:cs="宋体"/>
          <w:color w:val="auto"/>
          <w:highlight w:val="none"/>
        </w:rPr>
        <w:t>评审程序、评审方法和评审标准</w:t>
      </w:r>
      <w:r>
        <w:rPr>
          <w:rFonts w:hint="eastAsia" w:ascii="宋体" w:hAnsi="宋体" w:cs="宋体"/>
          <w:szCs w:val="21"/>
          <w:highlight w:val="none"/>
        </w:rPr>
        <w:t>”。</w:t>
      </w:r>
    </w:p>
    <w:p>
      <w:pPr>
        <w:spacing w:line="360" w:lineRule="auto"/>
        <w:ind w:firstLine="413" w:firstLineChars="196"/>
        <w:rPr>
          <w:rFonts w:hint="eastAsia" w:ascii="宋体" w:hAnsi="宋体" w:cs="宋体"/>
          <w:b/>
          <w:bCs/>
          <w:szCs w:val="21"/>
          <w:highlight w:val="none"/>
        </w:rPr>
      </w:pPr>
      <w:r>
        <w:rPr>
          <w:rFonts w:hint="eastAsia" w:ascii="宋体" w:hAnsi="宋体" w:cs="宋体"/>
          <w:b/>
          <w:bCs/>
          <w:szCs w:val="21"/>
          <w:highlight w:val="none"/>
        </w:rPr>
        <w:t>2.“实质性要求”是指磋商文件中已经指明不满足则响应文件按无效响应处理的条款，或者不能负偏离的条款，或者采购需求中带“▲”的条款。</w:t>
      </w:r>
    </w:p>
    <w:p>
      <w:pPr>
        <w:pStyle w:val="4"/>
        <w:spacing w:line="360" w:lineRule="auto"/>
        <w:ind w:firstLine="420" w:firstLineChars="200"/>
        <w:rPr>
          <w:rFonts w:hint="eastAsia" w:ascii="宋体" w:hAnsi="宋体" w:cs="宋体"/>
          <w:highlight w:val="none"/>
        </w:rPr>
      </w:pPr>
      <w:r>
        <w:rPr>
          <w:rFonts w:hint="eastAsia" w:ascii="宋体" w:hAnsi="宋体" w:cs="宋体"/>
          <w:szCs w:val="21"/>
          <w:highlight w:val="none"/>
        </w:rPr>
        <w:t>3.</w:t>
      </w:r>
      <w:r>
        <w:rPr>
          <w:rFonts w:hint="eastAsia" w:ascii="宋体" w:hAnsi="宋体" w:cs="宋体"/>
          <w:highlight w:val="none"/>
        </w:rPr>
        <w:t>如竞标产品存在侵犯他人的知识产权或者专利成果行为的，应承担相应法律责任。</w:t>
      </w:r>
    </w:p>
    <w:p>
      <w:pPr>
        <w:tabs>
          <w:tab w:val="left" w:pos="180"/>
          <w:tab w:val="left" w:pos="1620"/>
        </w:tabs>
        <w:spacing w:line="360" w:lineRule="auto"/>
        <w:ind w:firstLine="420" w:firstLineChars="200"/>
        <w:rPr>
          <w:rFonts w:hint="eastAsia" w:ascii="宋体" w:hAnsi="宋体" w:cs="宋体"/>
          <w:i/>
          <w:iCs/>
          <w:highlight w:val="none"/>
          <w:u w:val="single"/>
        </w:rPr>
      </w:pPr>
      <w:r>
        <w:rPr>
          <w:rFonts w:hint="eastAsia" w:ascii="宋体" w:hAnsi="宋体" w:cs="宋体"/>
          <w:highlight w:val="none"/>
        </w:rPr>
        <w:t>4.采购内容所属行业：</w:t>
      </w:r>
      <w:r>
        <w:rPr>
          <w:rFonts w:hint="eastAsia" w:ascii="宋体" w:hAnsi="宋体" w:cs="宋体"/>
          <w:highlight w:val="none"/>
          <w:u w:val="single"/>
        </w:rPr>
        <w:t xml:space="preserve"> 建筑业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905"/>
        <w:gridCol w:w="693"/>
        <w:gridCol w:w="707"/>
        <w:gridCol w:w="6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637" w:type="dxa"/>
            <w:noWrap w:val="0"/>
            <w:tcMar>
              <w:top w:w="13" w:type="dxa"/>
              <w:left w:w="57" w:type="dxa"/>
              <w:bottom w:w="0" w:type="dxa"/>
              <w:right w:w="57" w:type="dxa"/>
            </w:tcMar>
            <w:vAlign w:val="center"/>
          </w:tcPr>
          <w:p>
            <w:pPr>
              <w:spacing w:line="360" w:lineRule="auto"/>
              <w:jc w:val="center"/>
              <w:rPr>
                <w:rFonts w:ascii="宋体" w:cs="宋体"/>
                <w:b/>
                <w:color w:val="auto"/>
                <w:kern w:val="0"/>
                <w:szCs w:val="21"/>
                <w:highlight w:val="none"/>
              </w:rPr>
            </w:pPr>
            <w:r>
              <w:rPr>
                <w:rFonts w:hint="eastAsia" w:ascii="宋体" w:hAnsi="宋体" w:cs="宋体"/>
                <w:b/>
                <w:color w:val="auto"/>
                <w:kern w:val="0"/>
                <w:szCs w:val="21"/>
                <w:highlight w:val="none"/>
              </w:rPr>
              <w:t>序号</w:t>
            </w:r>
          </w:p>
        </w:tc>
        <w:tc>
          <w:tcPr>
            <w:tcW w:w="905" w:type="dxa"/>
            <w:noWrap w:val="0"/>
            <w:tcMar>
              <w:top w:w="13" w:type="dxa"/>
              <w:left w:w="57" w:type="dxa"/>
              <w:bottom w:w="0" w:type="dxa"/>
              <w:right w:w="57" w:type="dxa"/>
            </w:tcMar>
            <w:vAlign w:val="center"/>
          </w:tcPr>
          <w:p>
            <w:pPr>
              <w:snapToGrid w:val="0"/>
              <w:spacing w:line="360" w:lineRule="auto"/>
              <w:jc w:val="center"/>
              <w:rPr>
                <w:rFonts w:hint="eastAsia" w:ascii="宋体"/>
                <w:b/>
                <w:color w:val="auto"/>
                <w:szCs w:val="21"/>
                <w:highlight w:val="none"/>
              </w:rPr>
            </w:pPr>
            <w:r>
              <w:rPr>
                <w:rFonts w:hint="eastAsia" w:ascii="宋体"/>
                <w:b/>
                <w:color w:val="auto"/>
                <w:szCs w:val="21"/>
                <w:highlight w:val="none"/>
              </w:rPr>
              <w:t>标的</w:t>
            </w:r>
          </w:p>
          <w:p>
            <w:pPr>
              <w:snapToGrid w:val="0"/>
              <w:spacing w:line="360" w:lineRule="auto"/>
              <w:jc w:val="center"/>
              <w:rPr>
                <w:rFonts w:ascii="宋体"/>
                <w:b/>
                <w:color w:val="auto"/>
                <w:szCs w:val="21"/>
                <w:highlight w:val="none"/>
              </w:rPr>
            </w:pPr>
            <w:r>
              <w:rPr>
                <w:rFonts w:hint="eastAsia" w:ascii="宋体"/>
                <w:b/>
                <w:color w:val="auto"/>
                <w:szCs w:val="21"/>
                <w:highlight w:val="none"/>
              </w:rPr>
              <w:t>名称</w:t>
            </w:r>
          </w:p>
        </w:tc>
        <w:tc>
          <w:tcPr>
            <w:tcW w:w="693" w:type="dxa"/>
            <w:noWrap w:val="0"/>
            <w:tcMar>
              <w:top w:w="13" w:type="dxa"/>
              <w:left w:w="57" w:type="dxa"/>
              <w:bottom w:w="0" w:type="dxa"/>
              <w:right w:w="57" w:type="dxa"/>
            </w:tcMar>
            <w:vAlign w:val="center"/>
          </w:tcPr>
          <w:p>
            <w:pPr>
              <w:spacing w:line="360" w:lineRule="auto"/>
              <w:jc w:val="center"/>
              <w:rPr>
                <w:rFonts w:ascii="宋体" w:cs="宋体"/>
                <w:b/>
                <w:color w:val="auto"/>
                <w:kern w:val="0"/>
                <w:szCs w:val="21"/>
                <w:highlight w:val="none"/>
              </w:rPr>
            </w:pPr>
            <w:r>
              <w:rPr>
                <w:rFonts w:hint="eastAsia" w:ascii="宋体" w:hAnsi="宋体" w:cs="宋体"/>
                <w:b/>
                <w:color w:val="auto"/>
                <w:kern w:val="0"/>
                <w:szCs w:val="21"/>
                <w:highlight w:val="none"/>
              </w:rPr>
              <w:t>数量</w:t>
            </w:r>
          </w:p>
        </w:tc>
        <w:tc>
          <w:tcPr>
            <w:tcW w:w="707" w:type="dxa"/>
            <w:noWrap w:val="0"/>
            <w:tcMar>
              <w:top w:w="13" w:type="dxa"/>
              <w:left w:w="57" w:type="dxa"/>
              <w:bottom w:w="0" w:type="dxa"/>
              <w:right w:w="57" w:type="dxa"/>
            </w:tcMar>
            <w:vAlign w:val="center"/>
          </w:tcPr>
          <w:p>
            <w:pPr>
              <w:snapToGrid w:val="0"/>
              <w:spacing w:line="360" w:lineRule="auto"/>
              <w:jc w:val="center"/>
              <w:rPr>
                <w:rFonts w:ascii="宋体" w:cs="宋体"/>
                <w:b/>
                <w:color w:val="auto"/>
                <w:kern w:val="0"/>
                <w:szCs w:val="21"/>
                <w:highlight w:val="none"/>
              </w:rPr>
            </w:pPr>
            <w:r>
              <w:rPr>
                <w:rFonts w:hint="eastAsia" w:ascii="宋体" w:hAnsi="宋体" w:cs="宋体"/>
                <w:b/>
                <w:color w:val="auto"/>
                <w:kern w:val="0"/>
                <w:szCs w:val="21"/>
                <w:highlight w:val="none"/>
              </w:rPr>
              <w:t>单位</w:t>
            </w:r>
          </w:p>
        </w:tc>
        <w:tc>
          <w:tcPr>
            <w:tcW w:w="6427" w:type="dxa"/>
            <w:noWrap w:val="0"/>
            <w:tcMar>
              <w:top w:w="13" w:type="dxa"/>
              <w:left w:w="57" w:type="dxa"/>
              <w:bottom w:w="0" w:type="dxa"/>
              <w:right w:w="57" w:type="dxa"/>
            </w:tcMar>
            <w:vAlign w:val="center"/>
          </w:tcPr>
          <w:p>
            <w:pPr>
              <w:spacing w:line="360" w:lineRule="auto"/>
              <w:jc w:val="center"/>
              <w:rPr>
                <w:rFonts w:hint="eastAsia" w:ascii="宋体"/>
                <w:b/>
                <w:bCs/>
                <w:color w:val="auto"/>
                <w:szCs w:val="21"/>
                <w:highlight w:val="none"/>
              </w:rPr>
            </w:pPr>
            <w:r>
              <w:rPr>
                <w:rFonts w:hint="eastAsia" w:ascii="宋体" w:hAnsi="宋体" w:cs="宋体"/>
                <w:b/>
                <w:bCs/>
                <w:color w:val="auto"/>
                <w:szCs w:val="21"/>
                <w:highlight w:val="none"/>
              </w:rPr>
              <w:t>▲</w:t>
            </w:r>
            <w:r>
              <w:rPr>
                <w:rFonts w:hint="eastAsia" w:ascii="宋体" w:hAnsi="宋体" w:cs="宋体"/>
                <w:szCs w:val="21"/>
                <w:highlight w:val="none"/>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637" w:type="dxa"/>
            <w:noWrap w:val="0"/>
            <w:tcMar>
              <w:top w:w="13" w:type="dxa"/>
              <w:left w:w="57" w:type="dxa"/>
              <w:bottom w:w="0" w:type="dxa"/>
              <w:right w:w="57" w:type="dxa"/>
            </w:tcMar>
            <w:vAlign w:val="center"/>
          </w:tcPr>
          <w:p>
            <w:pPr>
              <w:spacing w:line="360" w:lineRule="auto"/>
              <w:jc w:val="center"/>
              <w:rPr>
                <w:rFonts w:hint="eastAsia" w:ascii="宋体"/>
                <w:color w:val="auto"/>
                <w:szCs w:val="21"/>
                <w:highlight w:val="none"/>
              </w:rPr>
            </w:pPr>
            <w:r>
              <w:rPr>
                <w:rFonts w:hint="eastAsia" w:ascii="宋体"/>
                <w:color w:val="auto"/>
                <w:szCs w:val="21"/>
                <w:highlight w:val="none"/>
              </w:rPr>
              <w:t>1</w:t>
            </w:r>
          </w:p>
        </w:tc>
        <w:tc>
          <w:tcPr>
            <w:tcW w:w="905" w:type="dxa"/>
            <w:noWrap w:val="0"/>
            <w:tcMar>
              <w:top w:w="13" w:type="dxa"/>
              <w:left w:w="57" w:type="dxa"/>
              <w:bottom w:w="0" w:type="dxa"/>
              <w:right w:w="57" w:type="dxa"/>
            </w:tcMar>
            <w:vAlign w:val="center"/>
          </w:tcPr>
          <w:p>
            <w:pPr>
              <w:spacing w:line="360" w:lineRule="auto"/>
              <w:jc w:val="center"/>
              <w:rPr>
                <w:rFonts w:ascii="宋体" w:cs="宋体"/>
                <w:color w:val="auto"/>
                <w:szCs w:val="21"/>
                <w:highlight w:val="none"/>
              </w:rPr>
            </w:pPr>
            <w:r>
              <w:rPr>
                <w:rFonts w:hint="eastAsia" w:ascii="宋体" w:hAnsi="宋体"/>
                <w:bCs/>
                <w:color w:val="auto"/>
                <w:szCs w:val="21"/>
                <w:highlight w:val="none"/>
                <w:shd w:val="clear" w:color="auto" w:fill="FFFFFF"/>
              </w:rPr>
              <w:t>河池学院专项维修改造工程施工服务采购</w:t>
            </w:r>
          </w:p>
        </w:tc>
        <w:tc>
          <w:tcPr>
            <w:tcW w:w="693" w:type="dxa"/>
            <w:noWrap w:val="0"/>
            <w:tcMar>
              <w:top w:w="13" w:type="dxa"/>
              <w:left w:w="57" w:type="dxa"/>
              <w:bottom w:w="0" w:type="dxa"/>
              <w:right w:w="57" w:type="dxa"/>
            </w:tcMar>
            <w:vAlign w:val="center"/>
          </w:tcPr>
          <w:p>
            <w:pPr>
              <w:spacing w:line="360" w:lineRule="auto"/>
              <w:jc w:val="center"/>
              <w:rPr>
                <w:rFonts w:ascii="宋体" w:cs="宋体"/>
                <w:color w:val="auto"/>
                <w:szCs w:val="21"/>
                <w:highlight w:val="none"/>
              </w:rPr>
            </w:pPr>
            <w:r>
              <w:rPr>
                <w:rFonts w:ascii="宋体" w:hAnsi="宋体" w:cs="宋体"/>
                <w:color w:val="auto"/>
                <w:szCs w:val="21"/>
                <w:highlight w:val="none"/>
              </w:rPr>
              <w:t>1</w:t>
            </w:r>
          </w:p>
        </w:tc>
        <w:tc>
          <w:tcPr>
            <w:tcW w:w="707" w:type="dxa"/>
            <w:noWrap w:val="0"/>
            <w:tcMar>
              <w:top w:w="13" w:type="dxa"/>
              <w:left w:w="57" w:type="dxa"/>
              <w:bottom w:w="0" w:type="dxa"/>
              <w:right w:w="57" w:type="dxa"/>
            </w:tcMar>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项</w:t>
            </w:r>
          </w:p>
        </w:tc>
        <w:tc>
          <w:tcPr>
            <w:tcW w:w="6427" w:type="dxa"/>
            <w:noWrap w:val="0"/>
            <w:tcMar>
              <w:top w:w="13" w:type="dxa"/>
              <w:left w:w="57" w:type="dxa"/>
              <w:bottom w:w="0" w:type="dxa"/>
              <w:right w:w="57" w:type="dxa"/>
            </w:tcMar>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一、仅适用于</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单项预算金额10万元以上至100万元以下的专项维修改造工程项目</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二、采购数量（专项维修改造工程</w:t>
            </w:r>
            <w:r>
              <w:rPr>
                <w:rFonts w:hint="eastAsia" w:ascii="宋体" w:hAnsi="宋体" w:cs="宋体"/>
                <w:color w:val="auto"/>
                <w:szCs w:val="21"/>
                <w:highlight w:val="none"/>
                <w:lang w:val="en-US" w:eastAsia="zh-CN"/>
              </w:rPr>
              <w:t>定点</w:t>
            </w:r>
            <w:r>
              <w:rPr>
                <w:rFonts w:hint="eastAsia" w:ascii="宋体" w:hAnsi="宋体" w:cs="宋体"/>
                <w:color w:val="auto"/>
                <w:szCs w:val="21"/>
                <w:highlight w:val="none"/>
              </w:rPr>
              <w:t>施工服务单位）：4家</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三、采购服务范围、内容，服务质量要求及其它相关要求：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1.基建类专项工程主要工作内容包括土建维修改造、装饰装修、水电维修改造、水电安装等；</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2.园林绿化类专项工程主要工作内容包括绿化施工、园林景观设施施工；</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3.服务地点</w:t>
            </w:r>
            <w:r>
              <w:rPr>
                <w:rFonts w:hint="eastAsia" w:ascii="宋体" w:hAnsi="宋体" w:cs="宋体"/>
                <w:color w:val="auto"/>
                <w:szCs w:val="21"/>
                <w:highlight w:val="none"/>
                <w:lang w:eastAsia="zh-CN"/>
              </w:rPr>
              <w:t>：</w:t>
            </w:r>
            <w:r>
              <w:rPr>
                <w:rFonts w:hint="eastAsia" w:ascii="宋体" w:hAnsi="宋体" w:cs="宋体"/>
                <w:color w:val="auto"/>
                <w:szCs w:val="21"/>
                <w:highlight w:val="none"/>
              </w:rPr>
              <w:t>在河池学院校园范围内；</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定点施工</w:t>
            </w:r>
            <w:r>
              <w:rPr>
                <w:rFonts w:hint="eastAsia" w:ascii="宋体" w:hAnsi="宋体" w:cs="宋体"/>
                <w:color w:val="auto"/>
                <w:szCs w:val="21"/>
                <w:highlight w:val="none"/>
              </w:rPr>
              <w:t>服务单位要求在接到专项维修改造工程施工任务后，在2个工作日内到国资处办理合同签订手续；</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5.专项维修改造工程原则上从定点施工</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单位中轮流派工，</w:t>
            </w:r>
            <w:r>
              <w:rPr>
                <w:rFonts w:hint="eastAsia" w:ascii="宋体" w:hAnsi="宋体" w:cs="宋体"/>
                <w:color w:val="auto"/>
                <w:szCs w:val="21"/>
                <w:highlight w:val="none"/>
                <w:lang w:val="en-US" w:eastAsia="zh-CN"/>
              </w:rPr>
              <w:t>定点施工</w:t>
            </w:r>
            <w:r>
              <w:rPr>
                <w:rFonts w:hint="eastAsia" w:ascii="宋体" w:hAnsi="宋体" w:cs="宋体"/>
                <w:color w:val="auto"/>
                <w:szCs w:val="21"/>
                <w:highlight w:val="none"/>
              </w:rPr>
              <w:t>服务单位接到施工安排后应尽快组织施工，工程施工完毕后7个工作日内要组织验收，不得推诿、拖延、挑选工作；</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6.定点施工</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单位要按照相关法律法规和规范要求进行施工，做好安全文明</w:t>
            </w:r>
            <w:r>
              <w:rPr>
                <w:rFonts w:hint="eastAsia" w:ascii="宋体" w:hAnsi="宋体" w:cs="宋体"/>
                <w:color w:val="auto"/>
                <w:szCs w:val="21"/>
                <w:highlight w:val="none"/>
                <w:lang w:val="en-US" w:eastAsia="zh-CN"/>
              </w:rPr>
              <w:t>施工</w:t>
            </w:r>
            <w:r>
              <w:rPr>
                <w:rFonts w:hint="eastAsia" w:ascii="宋体" w:hAnsi="宋体" w:cs="宋体"/>
                <w:color w:val="auto"/>
                <w:szCs w:val="21"/>
                <w:highlight w:val="none"/>
              </w:rPr>
              <w:t>工作，规范施工人员言行举止。</w:t>
            </w:r>
            <w:r>
              <w:rPr>
                <w:rFonts w:hint="eastAsia" w:ascii="宋体" w:hAnsi="宋体" w:cs="宋体"/>
                <w:color w:val="auto"/>
                <w:szCs w:val="21"/>
                <w:highlight w:val="none"/>
                <w:lang w:val="en-US" w:eastAsia="zh-CN"/>
              </w:rPr>
              <w:t>如施工内容</w:t>
            </w:r>
            <w:r>
              <w:rPr>
                <w:rFonts w:hint="eastAsia" w:ascii="宋体" w:hAnsi="宋体" w:cs="宋体"/>
                <w:color w:val="auto"/>
                <w:szCs w:val="21"/>
                <w:highlight w:val="none"/>
              </w:rPr>
              <w:t>有变更或工程量</w:t>
            </w:r>
            <w:r>
              <w:rPr>
                <w:rFonts w:hint="eastAsia" w:ascii="宋体" w:hAnsi="宋体" w:cs="宋体"/>
                <w:color w:val="auto"/>
                <w:szCs w:val="21"/>
                <w:highlight w:val="none"/>
                <w:lang w:val="en-US" w:eastAsia="zh-CN"/>
              </w:rPr>
              <w:t>有</w:t>
            </w:r>
            <w:r>
              <w:rPr>
                <w:rFonts w:hint="eastAsia" w:ascii="宋体" w:hAnsi="宋体" w:cs="宋体"/>
                <w:color w:val="auto"/>
                <w:szCs w:val="21"/>
                <w:highlight w:val="none"/>
              </w:rPr>
              <w:t>变化，要按</w:t>
            </w:r>
            <w:r>
              <w:rPr>
                <w:rFonts w:hint="eastAsia" w:ascii="宋体" w:hAnsi="宋体" w:cs="宋体"/>
                <w:color w:val="auto"/>
                <w:szCs w:val="21"/>
                <w:highlight w:val="none"/>
                <w:lang w:val="en-US" w:eastAsia="zh-CN"/>
              </w:rPr>
              <w:t>采购单位规定的</w:t>
            </w:r>
            <w:r>
              <w:rPr>
                <w:rFonts w:hint="eastAsia" w:ascii="宋体" w:hAnsi="宋体" w:cs="宋体"/>
                <w:color w:val="auto"/>
                <w:szCs w:val="21"/>
                <w:highlight w:val="none"/>
              </w:rPr>
              <w:t>变更流程完善变更、签证手续，未经审批完成的签证不予确认；</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7.定点施工</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单位完成相应的专项工程施工工作，并已验收合格的，须在一个月内（从验收合格日期起）向后勤管理处（基建处）报送专项工程结算资料，超过规定时间报送的结算资料将不予审核结算。结算资料审核完毕后</w:t>
            </w:r>
            <w:r>
              <w:rPr>
                <w:rFonts w:hint="eastAsia" w:ascii="宋体" w:hAnsi="宋体" w:cs="宋体"/>
                <w:color w:val="auto"/>
                <w:szCs w:val="21"/>
                <w:highlight w:val="none"/>
                <w:lang w:val="en-US" w:eastAsia="zh-CN"/>
              </w:rPr>
              <w:t>结算审计报告将送达定点施工服务单位，如定点</w:t>
            </w:r>
            <w:r>
              <w:rPr>
                <w:rFonts w:hint="eastAsia" w:ascii="宋体" w:hAnsi="宋体" w:cs="宋体"/>
                <w:color w:val="auto"/>
                <w:szCs w:val="21"/>
                <w:highlight w:val="none"/>
              </w:rPr>
              <w:t>施工</w:t>
            </w:r>
            <w:r>
              <w:rPr>
                <w:rFonts w:hint="eastAsia" w:ascii="宋体" w:hAnsi="宋体" w:cs="宋体"/>
                <w:color w:val="auto"/>
                <w:szCs w:val="21"/>
                <w:highlight w:val="none"/>
                <w:lang w:eastAsia="zh-CN"/>
              </w:rPr>
              <w:t>服务</w:t>
            </w:r>
            <w:r>
              <w:rPr>
                <w:rFonts w:hint="eastAsia" w:ascii="宋体" w:hAnsi="宋体" w:cs="宋体"/>
                <w:color w:val="auto"/>
                <w:szCs w:val="21"/>
                <w:highlight w:val="none"/>
              </w:rPr>
              <w:t>单位对审核结果</w:t>
            </w:r>
            <w:r>
              <w:rPr>
                <w:rFonts w:hint="eastAsia" w:ascii="宋体" w:hAnsi="宋体" w:cs="宋体"/>
                <w:color w:val="auto"/>
                <w:szCs w:val="21"/>
                <w:highlight w:val="none"/>
                <w:lang w:val="en-US" w:eastAsia="zh-CN"/>
              </w:rPr>
              <w:t>有</w:t>
            </w:r>
            <w:r>
              <w:rPr>
                <w:rFonts w:hint="eastAsia" w:ascii="宋体" w:hAnsi="宋体" w:cs="宋体"/>
                <w:color w:val="auto"/>
                <w:szCs w:val="21"/>
                <w:highlight w:val="none"/>
              </w:rPr>
              <w:t>异议的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应在收到审计报告后七个工作日内提出异议，并提供相关佐证资料，超过期限的视为同意审计结果；如定点</w:t>
            </w:r>
            <w:r>
              <w:rPr>
                <w:rFonts w:hint="eastAsia" w:ascii="宋体" w:hAnsi="宋体" w:cs="宋体"/>
                <w:color w:val="auto"/>
                <w:szCs w:val="21"/>
                <w:highlight w:val="none"/>
              </w:rPr>
              <w:t>施工</w:t>
            </w:r>
            <w:r>
              <w:rPr>
                <w:rFonts w:hint="eastAsia" w:ascii="宋体" w:hAnsi="宋体" w:cs="宋体"/>
                <w:color w:val="auto"/>
                <w:szCs w:val="21"/>
                <w:highlight w:val="none"/>
                <w:lang w:eastAsia="zh-CN"/>
              </w:rPr>
              <w:t>服务</w:t>
            </w:r>
            <w:r>
              <w:rPr>
                <w:rFonts w:hint="eastAsia" w:ascii="宋体" w:hAnsi="宋体" w:cs="宋体"/>
                <w:color w:val="auto"/>
                <w:szCs w:val="21"/>
                <w:highlight w:val="none"/>
              </w:rPr>
              <w:t>单位对审核结果无异议的应在7个工作日内签署同意审核结果的意见并按审核结果开具发票，后勤管理处（基建处）收到</w:t>
            </w:r>
            <w:r>
              <w:rPr>
                <w:rFonts w:hint="eastAsia" w:ascii="宋体" w:hAnsi="宋体" w:cs="宋体"/>
                <w:color w:val="auto"/>
                <w:szCs w:val="21"/>
                <w:highlight w:val="none"/>
                <w:lang w:val="en-US" w:eastAsia="zh-CN"/>
              </w:rPr>
              <w:t>定点</w:t>
            </w:r>
            <w:r>
              <w:rPr>
                <w:rFonts w:hint="eastAsia" w:ascii="宋体" w:hAnsi="宋体" w:cs="宋体"/>
                <w:color w:val="auto"/>
                <w:szCs w:val="21"/>
                <w:highlight w:val="none"/>
              </w:rPr>
              <w:t>施工</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单位提交的发票后按发票金额上报财务处支付专项维修改造工程施工服务费用；</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lang w:val="en-US" w:eastAsia="zh-CN"/>
              </w:rPr>
              <w:t>定点</w:t>
            </w:r>
            <w:r>
              <w:rPr>
                <w:rFonts w:hint="eastAsia" w:ascii="宋体" w:hAnsi="宋体" w:cs="宋体"/>
                <w:color w:val="auto"/>
                <w:szCs w:val="21"/>
                <w:highlight w:val="none"/>
              </w:rPr>
              <w:t>施工</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单位完成的专项维修改造工维修质保期限</w:t>
            </w:r>
            <w:r>
              <w:rPr>
                <w:rFonts w:hint="eastAsia" w:ascii="宋体" w:hAnsi="宋体" w:cs="宋体"/>
                <w:color w:val="auto"/>
                <w:szCs w:val="21"/>
                <w:highlight w:val="none"/>
                <w:lang w:eastAsia="zh-CN"/>
              </w:rPr>
              <w:t>：</w:t>
            </w:r>
            <w:r>
              <w:rPr>
                <w:rFonts w:hint="eastAsia" w:ascii="宋体" w:hAnsi="宋体" w:cs="宋体"/>
                <w:color w:val="auto"/>
                <w:szCs w:val="21"/>
                <w:highlight w:val="none"/>
              </w:rPr>
              <w:t>由</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定点施工服务单位</w:t>
            </w:r>
            <w:r>
              <w:rPr>
                <w:rFonts w:hint="eastAsia" w:ascii="宋体" w:hAnsi="宋体" w:eastAsia="宋体" w:cs="宋体"/>
                <w:color w:val="auto"/>
                <w:szCs w:val="21"/>
                <w:highlight w:val="none"/>
              </w:rPr>
              <w:t>根据项目施工内容按国家标准</w:t>
            </w:r>
            <w:r>
              <w:rPr>
                <w:rFonts w:hint="eastAsia" w:ascii="宋体" w:hAnsi="宋体" w:cs="宋体"/>
                <w:color w:val="auto"/>
                <w:szCs w:val="21"/>
                <w:highlight w:val="none"/>
              </w:rPr>
              <w:t>约定。建设工程的质保期，自竣工验收合格之日起计算。</w:t>
            </w:r>
          </w:p>
          <w:p>
            <w:pPr>
              <w:pStyle w:val="4"/>
              <w:spacing w:line="360" w:lineRule="auto"/>
              <w:rPr>
                <w:rFonts w:hint="default" w:ascii="宋体" w:hAnsi="宋体" w:eastAsia="宋体" w:cs="宋体"/>
                <w:szCs w:val="21"/>
                <w:highlight w:val="none"/>
              </w:rPr>
            </w:pPr>
            <w:r>
              <w:rPr>
                <w:rFonts w:hint="default" w:ascii="宋体" w:hAnsi="宋体" w:eastAsia="宋体" w:cs="宋体"/>
                <w:szCs w:val="21"/>
                <w:highlight w:val="none"/>
                <w:lang w:val="en-US" w:eastAsia="zh-CN"/>
              </w:rPr>
              <w:t>9.</w:t>
            </w:r>
            <w:r>
              <w:rPr>
                <w:rFonts w:hint="default" w:ascii="宋体" w:hAnsi="宋体" w:eastAsia="宋体" w:cs="宋体"/>
                <w:szCs w:val="21"/>
                <w:highlight w:val="none"/>
              </w:rPr>
              <w:t>当工程结算审减率大于6%时，超出部分的审计费由乙方承担。</w:t>
            </w:r>
          </w:p>
          <w:p>
            <w:pPr>
              <w:pStyle w:val="4"/>
              <w:spacing w:line="360" w:lineRule="auto"/>
              <w:rPr>
                <w:rFonts w:hint="eastAsia" w:ascii="宋体" w:hAnsi="宋体" w:cs="宋体"/>
                <w:color w:val="auto"/>
                <w:szCs w:val="21"/>
                <w:highlight w:val="none"/>
              </w:rPr>
            </w:pPr>
            <w:r>
              <w:rPr>
                <w:rFonts w:hint="default" w:ascii="宋体" w:hAnsi="宋体" w:eastAsia="宋体" w:cs="宋体"/>
                <w:szCs w:val="21"/>
                <w:highlight w:val="none"/>
                <w:lang w:val="en-US" w:eastAsia="zh-CN"/>
              </w:rPr>
              <w:t>10</w:t>
            </w:r>
            <w:r>
              <w:rPr>
                <w:rFonts w:hint="default" w:ascii="宋体" w:hAnsi="宋体" w:eastAsia="宋体" w:cs="宋体"/>
                <w:szCs w:val="21"/>
                <w:highlight w:val="none"/>
              </w:rPr>
              <w:t>.乙方应在施工合同约定的日期竣工交付甲方使用，逾期不竣工交付使用视为违约，每逾期一天在工程结算时将扣除合同总额千分之三违约金。</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四、其他要求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定点施工</w:t>
            </w:r>
            <w:r>
              <w:rPr>
                <w:rFonts w:hint="eastAsia" w:ascii="宋体" w:hAnsi="宋体" w:cs="宋体"/>
                <w:color w:val="auto"/>
                <w:szCs w:val="21"/>
                <w:highlight w:val="none"/>
              </w:rPr>
              <w:t>服务单位</w:t>
            </w:r>
            <w:r>
              <w:rPr>
                <w:rFonts w:hint="eastAsia" w:ascii="宋体" w:hAnsi="宋体" w:cs="宋体"/>
                <w:color w:val="auto"/>
                <w:szCs w:val="21"/>
                <w:highlight w:val="none"/>
                <w:lang w:eastAsia="zh-CN"/>
              </w:rPr>
              <w:t>须承诺在</w:t>
            </w:r>
            <w:r>
              <w:rPr>
                <w:rFonts w:hint="eastAsia" w:ascii="宋体" w:hAnsi="宋体" w:cs="宋体"/>
                <w:color w:val="auto"/>
                <w:szCs w:val="21"/>
                <w:highlight w:val="none"/>
              </w:rPr>
              <w:t>合同履行期内，在河池市宜州区</w:t>
            </w:r>
            <w:r>
              <w:rPr>
                <w:rFonts w:hint="eastAsia" w:ascii="宋体" w:hAnsi="宋体" w:cs="宋体"/>
                <w:color w:val="auto"/>
                <w:szCs w:val="21"/>
                <w:highlight w:val="none"/>
                <w:lang w:eastAsia="zh-CN"/>
              </w:rPr>
              <w:t>设立办公场所并</w:t>
            </w:r>
            <w:r>
              <w:rPr>
                <w:rFonts w:hint="eastAsia" w:ascii="宋体" w:hAnsi="宋体" w:cs="宋体"/>
                <w:color w:val="auto"/>
                <w:szCs w:val="21"/>
                <w:highlight w:val="none"/>
              </w:rPr>
              <w:t>派常驻现场负责人</w:t>
            </w:r>
            <w:r>
              <w:rPr>
                <w:rFonts w:hint="eastAsia" w:ascii="宋体" w:hAnsi="宋体" w:cs="宋体"/>
                <w:color w:val="auto"/>
                <w:szCs w:val="21"/>
                <w:highlight w:val="none"/>
                <w:lang w:eastAsia="zh-CN"/>
              </w:rPr>
              <w:t>（拟投入本项目的项目经理）</w:t>
            </w:r>
            <w:r>
              <w:rPr>
                <w:rFonts w:hint="eastAsia" w:ascii="宋体" w:hAnsi="宋体" w:cs="宋体"/>
                <w:color w:val="auto"/>
                <w:szCs w:val="21"/>
                <w:highlight w:val="none"/>
              </w:rPr>
              <w:t>直接对接工作。</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定点施工</w:t>
            </w:r>
            <w:r>
              <w:rPr>
                <w:rFonts w:hint="eastAsia" w:ascii="宋体" w:hAnsi="宋体" w:cs="宋体"/>
                <w:color w:val="auto"/>
                <w:szCs w:val="21"/>
                <w:highlight w:val="none"/>
              </w:rPr>
              <w:t>服务单位应同时具备校园建筑物、道路及其他配套基础设施维护、维修或改造能力和绿化施工、园林景观施工、城市园林绿化施工能力，且在人员、设备、资金等方面具有相应的施工能力。</w:t>
            </w:r>
          </w:p>
          <w:p>
            <w:pPr>
              <w:pStyle w:val="9"/>
              <w:shd w:val="clear" w:color="auto" w:fill="FFFFFF"/>
              <w:spacing w:line="360" w:lineRule="auto"/>
              <w:rPr>
                <w:rFonts w:hint="default" w:ascii="宋体" w:hAnsi="宋体" w:eastAsia="宋体" w:cs="宋体"/>
                <w:bCs/>
                <w:color w:val="auto"/>
                <w:highlight w:val="none"/>
                <w:lang w:val="en-US" w:eastAsia="zh-CN"/>
              </w:rPr>
            </w:pPr>
            <w:r>
              <w:rPr>
                <w:rFonts w:hint="eastAsia" w:ascii="宋体" w:hAnsi="宋体" w:cs="宋体"/>
                <w:color w:val="auto"/>
                <w:highlight w:val="none"/>
              </w:rPr>
              <w:t>3.</w:t>
            </w:r>
            <w:r>
              <w:rPr>
                <w:rFonts w:hint="eastAsia" w:ascii="宋体" w:hAnsi="宋体" w:cs="宋体"/>
                <w:color w:val="auto"/>
                <w:szCs w:val="21"/>
                <w:highlight w:val="none"/>
              </w:rPr>
              <w:t>合同履行期内</w:t>
            </w:r>
            <w:r>
              <w:rPr>
                <w:rFonts w:hint="eastAsia" w:ascii="宋体" w:hAnsi="宋体" w:cs="宋体"/>
                <w:color w:val="auto"/>
                <w:highlight w:val="none"/>
              </w:rPr>
              <w:t>，</w:t>
            </w:r>
            <w:r>
              <w:rPr>
                <w:rFonts w:hint="eastAsia" w:ascii="宋体" w:hAnsi="宋体" w:cs="宋体"/>
                <w:bCs/>
                <w:color w:val="auto"/>
                <w:highlight w:val="none"/>
              </w:rPr>
              <w:t>采购人按项目对</w:t>
            </w:r>
            <w:r>
              <w:rPr>
                <w:rFonts w:hint="eastAsia" w:ascii="宋体" w:hAnsi="宋体" w:cs="宋体"/>
                <w:bCs/>
                <w:color w:val="auto"/>
                <w:highlight w:val="none"/>
                <w:lang w:val="en-US" w:eastAsia="zh-CN"/>
              </w:rPr>
              <w:t>定点施工</w:t>
            </w:r>
            <w:r>
              <w:rPr>
                <w:rFonts w:hint="eastAsia" w:ascii="宋体" w:hAnsi="宋体" w:cs="宋体"/>
                <w:bCs/>
                <w:color w:val="auto"/>
                <w:highlight w:val="none"/>
              </w:rPr>
              <w:t>服务单位进行考核及综合评价，评价等级分为满意，一般，不满意三个等级，累计两次综合评定为不满意等级，则暂停委托服务。</w:t>
            </w:r>
            <w:r>
              <w:rPr>
                <w:rFonts w:hint="eastAsia" w:ascii="宋体" w:hAnsi="宋体" w:cs="宋体"/>
                <w:bCs/>
                <w:color w:val="auto"/>
                <w:highlight w:val="none"/>
                <w:lang w:eastAsia="zh-CN"/>
              </w:rPr>
              <w:t>（</w:t>
            </w:r>
            <w:r>
              <w:rPr>
                <w:rFonts w:hint="eastAsia" w:ascii="宋体" w:hAnsi="宋体" w:cs="宋体"/>
                <w:bCs/>
                <w:color w:val="auto"/>
                <w:highlight w:val="none"/>
                <w:lang w:val="en-US" w:eastAsia="zh-CN"/>
              </w:rPr>
              <w:t>具体详见附件2：服务考核评价表</w:t>
            </w:r>
            <w:r>
              <w:rPr>
                <w:rFonts w:hint="eastAsia" w:ascii="宋体" w:hAnsi="宋体" w:cs="宋体"/>
                <w:bCs/>
                <w:color w:val="auto"/>
                <w:highlight w:val="none"/>
                <w:lang w:eastAsia="zh-CN"/>
              </w:rPr>
              <w:t>）</w:t>
            </w:r>
          </w:p>
          <w:p>
            <w:pPr>
              <w:pStyle w:val="9"/>
              <w:shd w:val="clear" w:color="auto" w:fill="FFFFFF"/>
              <w:spacing w:line="360" w:lineRule="auto"/>
              <w:rPr>
                <w:rFonts w:hint="default" w:ascii="宋体" w:hAnsi="宋体" w:eastAsia="宋体" w:cs="宋体"/>
                <w:bCs/>
                <w:color w:val="auto"/>
                <w:highlight w:val="none"/>
                <w:lang w:val="en-US" w:eastAsia="zh-CN"/>
              </w:rPr>
            </w:pPr>
            <w:r>
              <w:rPr>
                <w:rFonts w:hint="eastAsia" w:ascii="宋体" w:hAnsi="宋体" w:cs="宋体"/>
                <w:bCs/>
                <w:color w:val="auto"/>
                <w:szCs w:val="21"/>
                <w:highlight w:val="none"/>
                <w:lang w:val="en-US" w:eastAsia="zh-CN"/>
              </w:rPr>
              <w:t>4.拟投入本</w:t>
            </w:r>
            <w:r>
              <w:rPr>
                <w:rFonts w:hint="eastAsia"/>
                <w:color w:val="auto"/>
                <w:szCs w:val="21"/>
                <w:highlight w:val="none"/>
              </w:rPr>
              <w:t>项目</w:t>
            </w:r>
            <w:r>
              <w:rPr>
                <w:rFonts w:hint="eastAsia"/>
                <w:color w:val="auto"/>
                <w:szCs w:val="21"/>
                <w:highlight w:val="none"/>
                <w:lang w:val="en-US" w:eastAsia="zh-CN"/>
              </w:rPr>
              <w:t>的主要</w:t>
            </w:r>
            <w:r>
              <w:rPr>
                <w:rFonts w:hint="eastAsia"/>
                <w:color w:val="auto"/>
                <w:szCs w:val="21"/>
                <w:highlight w:val="none"/>
              </w:rPr>
              <w:t>实施人员最低</w:t>
            </w:r>
            <w:r>
              <w:rPr>
                <w:rFonts w:hint="eastAsia"/>
                <w:bCs/>
                <w:color w:val="auto"/>
                <w:szCs w:val="21"/>
                <w:highlight w:val="none"/>
              </w:rPr>
              <w:t>配备为：1名项目经理，具有建筑工程</w:t>
            </w:r>
            <w:r>
              <w:rPr>
                <w:rFonts w:hint="eastAsia"/>
                <w:bCs/>
                <w:color w:val="auto"/>
                <w:szCs w:val="21"/>
                <w:highlight w:val="none"/>
                <w:lang w:val="en-US" w:eastAsia="zh-CN"/>
              </w:rPr>
              <w:t>专业</w:t>
            </w:r>
            <w:r>
              <w:rPr>
                <w:rFonts w:hint="eastAsia"/>
                <w:bCs/>
                <w:color w:val="auto"/>
                <w:szCs w:val="21"/>
                <w:highlight w:val="none"/>
              </w:rPr>
              <w:t>二级及以上注册建造师执业资格，并具备有效的安全生产考核合格证书（B类）；</w:t>
            </w:r>
            <w:r>
              <w:rPr>
                <w:rFonts w:ascii="宋体" w:hAnsi="宋体" w:cs="宋体"/>
                <w:bCs/>
                <w:color w:val="auto"/>
                <w:szCs w:val="21"/>
                <w:highlight w:val="none"/>
              </w:rPr>
              <w:t>施工员1名、质量员1名、</w:t>
            </w:r>
            <w:r>
              <w:rPr>
                <w:rFonts w:hint="eastAsia" w:ascii="宋体" w:hAnsi="宋体" w:cs="宋体"/>
                <w:bCs/>
                <w:color w:val="auto"/>
                <w:szCs w:val="21"/>
                <w:highlight w:val="none"/>
              </w:rPr>
              <w:t>材料</w:t>
            </w:r>
            <w:r>
              <w:rPr>
                <w:rFonts w:ascii="宋体" w:hAnsi="宋体" w:cs="宋体"/>
                <w:bCs/>
                <w:color w:val="auto"/>
                <w:szCs w:val="21"/>
                <w:highlight w:val="none"/>
              </w:rPr>
              <w:t>员1名</w:t>
            </w:r>
            <w:r>
              <w:rPr>
                <w:rFonts w:hint="eastAsia" w:ascii="宋体" w:hAnsi="宋体" w:cs="宋体"/>
                <w:bCs/>
                <w:color w:val="auto"/>
                <w:szCs w:val="21"/>
                <w:highlight w:val="none"/>
              </w:rPr>
              <w:t>，</w:t>
            </w:r>
            <w:r>
              <w:rPr>
                <w:rFonts w:ascii="宋体" w:hAnsi="宋体" w:cs="宋体"/>
                <w:color w:val="auto"/>
                <w:highlight w:val="none"/>
              </w:rPr>
              <w:t>均须具备有效的相应施工现场专业人员职业培训合格证书</w:t>
            </w:r>
            <w:r>
              <w:rPr>
                <w:rFonts w:hint="eastAsia" w:ascii="宋体" w:hAnsi="宋体" w:cs="宋体"/>
                <w:bCs/>
                <w:color w:val="auto"/>
                <w:szCs w:val="21"/>
                <w:highlight w:val="none"/>
              </w:rPr>
              <w:t>；</w:t>
            </w:r>
            <w:r>
              <w:rPr>
                <w:rFonts w:ascii="宋体" w:hAnsi="宋体" w:cs="宋体"/>
                <w:bCs/>
                <w:color w:val="auto"/>
                <w:szCs w:val="21"/>
                <w:highlight w:val="none"/>
              </w:rPr>
              <w:t>安全员1名</w:t>
            </w:r>
            <w:r>
              <w:rPr>
                <w:rFonts w:hint="eastAsia" w:ascii="宋体" w:hAnsi="宋体" w:cs="宋体"/>
                <w:bCs/>
                <w:color w:val="auto"/>
                <w:szCs w:val="21"/>
                <w:highlight w:val="none"/>
              </w:rPr>
              <w:t>，</w:t>
            </w:r>
            <w:r>
              <w:rPr>
                <w:rFonts w:hint="eastAsia" w:cs="宋体"/>
                <w:color w:val="auto"/>
                <w:highlight w:val="none"/>
              </w:rPr>
              <w:t>具备有效的安全生产考核合格证书（</w:t>
            </w:r>
            <w:r>
              <w:rPr>
                <w:color w:val="auto"/>
                <w:highlight w:val="none"/>
              </w:rPr>
              <w:t>C</w:t>
            </w:r>
            <w:r>
              <w:rPr>
                <w:rFonts w:hint="eastAsia" w:cs="宋体"/>
                <w:color w:val="auto"/>
                <w:highlight w:val="none"/>
              </w:rPr>
              <w:t>类）</w:t>
            </w:r>
            <w:r>
              <w:rPr>
                <w:rFonts w:hint="eastAsia" w:ascii="宋体" w:hAnsi="宋体" w:cs="宋体"/>
                <w:bCs/>
                <w:color w:val="auto"/>
                <w:szCs w:val="21"/>
                <w:highlight w:val="none"/>
              </w:rPr>
              <w:t>；预算</w:t>
            </w:r>
            <w:r>
              <w:rPr>
                <w:rFonts w:ascii="宋体" w:hAnsi="宋体" w:cs="宋体"/>
                <w:bCs/>
                <w:color w:val="auto"/>
                <w:szCs w:val="21"/>
                <w:highlight w:val="none"/>
              </w:rPr>
              <w:t>员1名</w:t>
            </w:r>
            <w:r>
              <w:rPr>
                <w:rFonts w:hint="eastAsia" w:ascii="宋体" w:hAnsi="宋体" w:cs="宋体"/>
                <w:bCs/>
                <w:color w:val="auto"/>
                <w:szCs w:val="21"/>
                <w:highlight w:val="none"/>
              </w:rPr>
              <w:t>，具备相应的岗位证书</w:t>
            </w:r>
            <w:r>
              <w:rPr>
                <w:rFonts w:hint="eastAsia"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9369" w:type="dxa"/>
            <w:gridSpan w:val="5"/>
            <w:noWrap w:val="0"/>
            <w:tcMar>
              <w:top w:w="13" w:type="dxa"/>
              <w:left w:w="57" w:type="dxa"/>
              <w:bottom w:w="0" w:type="dxa"/>
              <w:right w:w="57" w:type="dxa"/>
            </w:tcMar>
            <w:vAlign w:val="center"/>
          </w:tcPr>
          <w:p>
            <w:pPr>
              <w:spacing w:line="360" w:lineRule="auto"/>
              <w:rPr>
                <w:rFonts w:ascii="宋体"/>
                <w:b/>
                <w:color w:val="auto"/>
                <w:szCs w:val="21"/>
                <w:highlight w:val="none"/>
              </w:rPr>
            </w:pPr>
            <w:r>
              <w:rPr>
                <w:rFonts w:hint="eastAsia" w:ascii="宋体" w:hAnsi="宋体" w:cs="宋体"/>
                <w:b/>
                <w:bCs/>
                <w:color w:val="auto"/>
                <w:szCs w:val="21"/>
                <w:highlight w:val="none"/>
              </w:rPr>
              <w:t>▲</w:t>
            </w:r>
            <w:r>
              <w:rPr>
                <w:rFonts w:hint="eastAsia" w:ascii="宋体" w:hAnsi="宋体"/>
                <w:b/>
                <w:color w:val="auto"/>
                <w:szCs w:val="21"/>
                <w:highlight w:val="none"/>
              </w:rPr>
              <w:t>商务条款要求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1542" w:type="dxa"/>
            <w:gridSpan w:val="2"/>
            <w:noWrap w:val="0"/>
            <w:tcMar>
              <w:top w:w="13" w:type="dxa"/>
              <w:left w:w="57" w:type="dxa"/>
              <w:bottom w:w="0" w:type="dxa"/>
              <w:right w:w="57" w:type="dxa"/>
            </w:tcMar>
            <w:vAlign w:val="center"/>
          </w:tcPr>
          <w:p>
            <w:pPr>
              <w:snapToGrid w:val="0"/>
              <w:spacing w:line="360" w:lineRule="auto"/>
              <w:jc w:val="center"/>
              <w:rPr>
                <w:rFonts w:hint="eastAsia"/>
                <w:color w:val="auto"/>
                <w:highlight w:val="none"/>
              </w:rPr>
            </w:pPr>
            <w:r>
              <w:rPr>
                <w:rFonts w:hint="eastAsia"/>
                <w:color w:val="auto"/>
                <w:highlight w:val="none"/>
              </w:rPr>
              <w:t>签订合同</w:t>
            </w:r>
          </w:p>
          <w:p>
            <w:pPr>
              <w:snapToGrid w:val="0"/>
              <w:spacing w:line="360" w:lineRule="auto"/>
              <w:jc w:val="center"/>
              <w:rPr>
                <w:rFonts w:hint="eastAsia" w:ascii="宋体" w:hAnsi="宋体" w:cs="宋体"/>
                <w:color w:val="auto"/>
                <w:szCs w:val="21"/>
                <w:highlight w:val="none"/>
              </w:rPr>
            </w:pPr>
            <w:r>
              <w:rPr>
                <w:rFonts w:hint="eastAsia"/>
                <w:color w:val="auto"/>
                <w:highlight w:val="none"/>
              </w:rPr>
              <w:t>的时间</w:t>
            </w:r>
          </w:p>
        </w:tc>
        <w:tc>
          <w:tcPr>
            <w:tcW w:w="7827" w:type="dxa"/>
            <w:gridSpan w:val="3"/>
            <w:noWrap w:val="0"/>
            <w:tcMar>
              <w:top w:w="0" w:type="dxa"/>
              <w:left w:w="57" w:type="dxa"/>
              <w:bottom w:w="0" w:type="dxa"/>
              <w:right w:w="57" w:type="dxa"/>
            </w:tcMar>
            <w:vAlign w:val="center"/>
          </w:tcPr>
          <w:p>
            <w:pPr>
              <w:pStyle w:val="5"/>
              <w:snapToGrid w:val="0"/>
              <w:spacing w:line="360" w:lineRule="auto"/>
              <w:outlineLvl w:val="0"/>
              <w:rPr>
                <w:rFonts w:hAnsi="宋体"/>
                <w:color w:val="auto"/>
                <w:sz w:val="21"/>
                <w:highlight w:val="none"/>
              </w:rPr>
            </w:pPr>
            <w:bookmarkStart w:id="0" w:name="_Toc28439"/>
            <w:bookmarkStart w:id="1" w:name="_Toc21794"/>
            <w:bookmarkStart w:id="2" w:name="_Toc6490"/>
            <w:r>
              <w:rPr>
                <w:rFonts w:hint="eastAsia" w:hAnsi="宋体" w:cs="仿宋"/>
                <w:bCs/>
                <w:color w:val="auto"/>
                <w:highlight w:val="none"/>
              </w:rPr>
              <w:t>自成交通知书发出之日起</w:t>
            </w:r>
            <w:r>
              <w:rPr>
                <w:rFonts w:hint="eastAsia" w:hAnsi="宋体" w:cs="仿宋"/>
                <w:bCs/>
                <w:color w:val="auto"/>
                <w:highlight w:val="none"/>
                <w:u w:val="single"/>
              </w:rPr>
              <w:t xml:space="preserve"> 25 </w:t>
            </w:r>
            <w:r>
              <w:rPr>
                <w:rFonts w:hint="eastAsia" w:hAnsi="宋体" w:cs="仿宋"/>
                <w:bCs/>
                <w:color w:val="auto"/>
                <w:highlight w:val="none"/>
              </w:rPr>
              <w:t>日内。</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1542" w:type="dxa"/>
            <w:gridSpan w:val="2"/>
            <w:noWrap w:val="0"/>
            <w:tcMar>
              <w:top w:w="13" w:type="dxa"/>
              <w:left w:w="57" w:type="dxa"/>
              <w:bottom w:w="0" w:type="dxa"/>
              <w:right w:w="57" w:type="dxa"/>
            </w:tcMar>
            <w:vAlign w:val="center"/>
          </w:tcPr>
          <w:p>
            <w:pPr>
              <w:snapToGrid w:val="0"/>
              <w:spacing w:line="360" w:lineRule="auto"/>
              <w:jc w:val="center"/>
              <w:rPr>
                <w:color w:val="auto"/>
                <w:highlight w:val="none"/>
              </w:rPr>
            </w:pPr>
            <w:r>
              <w:rPr>
                <w:rFonts w:hint="eastAsia" w:ascii="宋体" w:hAnsi="宋体" w:cs="宋体"/>
                <w:color w:val="auto"/>
                <w:szCs w:val="21"/>
                <w:highlight w:val="none"/>
              </w:rPr>
              <w:t>合同履行期限</w:t>
            </w:r>
          </w:p>
        </w:tc>
        <w:tc>
          <w:tcPr>
            <w:tcW w:w="7827" w:type="dxa"/>
            <w:gridSpan w:val="3"/>
            <w:noWrap w:val="0"/>
            <w:tcMar>
              <w:top w:w="0" w:type="dxa"/>
              <w:left w:w="57" w:type="dxa"/>
              <w:bottom w:w="0" w:type="dxa"/>
              <w:right w:w="57" w:type="dxa"/>
            </w:tcMar>
            <w:vAlign w:val="center"/>
          </w:tcPr>
          <w:p>
            <w:pPr>
              <w:pStyle w:val="5"/>
              <w:snapToGrid w:val="0"/>
              <w:spacing w:line="360" w:lineRule="auto"/>
              <w:outlineLvl w:val="0"/>
              <w:rPr>
                <w:rFonts w:hint="eastAsia"/>
                <w:color w:val="auto"/>
                <w:sz w:val="21"/>
                <w:szCs w:val="22"/>
                <w:highlight w:val="none"/>
              </w:rPr>
            </w:pPr>
            <w:bookmarkStart w:id="3" w:name="_Toc10920"/>
            <w:bookmarkStart w:id="4" w:name="_Toc4611"/>
            <w:bookmarkStart w:id="5" w:name="_Toc2482"/>
            <w:r>
              <w:rPr>
                <w:rFonts w:hint="eastAsia" w:hAnsi="宋体" w:cs="宋体"/>
                <w:color w:val="auto"/>
                <w:highlight w:val="none"/>
              </w:rPr>
              <w:t>自采购合同签订之日起2年。</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1542" w:type="dxa"/>
            <w:gridSpan w:val="2"/>
            <w:noWrap w:val="0"/>
            <w:tcMar>
              <w:top w:w="13" w:type="dxa"/>
              <w:left w:w="57" w:type="dxa"/>
              <w:bottom w:w="0" w:type="dxa"/>
              <w:right w:w="57" w:type="dxa"/>
            </w:tcMar>
            <w:vAlign w:val="center"/>
          </w:tcPr>
          <w:p>
            <w:pPr>
              <w:snapToGrid w:val="0"/>
              <w:spacing w:line="360" w:lineRule="auto"/>
              <w:jc w:val="center"/>
              <w:rPr>
                <w:rFonts w:ascii="宋体"/>
                <w:color w:val="auto"/>
                <w:szCs w:val="21"/>
                <w:highlight w:val="none"/>
              </w:rPr>
            </w:pPr>
            <w:r>
              <w:rPr>
                <w:rFonts w:hint="eastAsia" w:ascii="宋体" w:hAnsi="宋体"/>
                <w:color w:val="auto"/>
                <w:szCs w:val="21"/>
                <w:highlight w:val="none"/>
              </w:rPr>
              <w:t>报价要求</w:t>
            </w:r>
          </w:p>
        </w:tc>
        <w:tc>
          <w:tcPr>
            <w:tcW w:w="7827" w:type="dxa"/>
            <w:gridSpan w:val="3"/>
            <w:noWrap w:val="0"/>
            <w:tcMar>
              <w:top w:w="0" w:type="dxa"/>
              <w:left w:w="57" w:type="dxa"/>
              <w:bottom w:w="0" w:type="dxa"/>
              <w:right w:w="57" w:type="dxa"/>
            </w:tcMar>
            <w:vAlign w:val="center"/>
          </w:tcPr>
          <w:p>
            <w:pPr>
              <w:spacing w:line="420" w:lineRule="exact"/>
              <w:jc w:val="left"/>
              <w:rPr>
                <w:rFonts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本项目采用</w:t>
            </w:r>
            <w:r>
              <w:rPr>
                <w:rFonts w:hint="eastAsia" w:ascii="宋体" w:hAnsi="宋体" w:cs="宋体"/>
                <w:b/>
                <w:bCs w:val="0"/>
                <w:color w:val="auto"/>
                <w:szCs w:val="21"/>
                <w:highlight w:val="none"/>
                <w:u w:val="single"/>
              </w:rPr>
              <w:t xml:space="preserve"> 下浮系数 </w:t>
            </w:r>
            <w:r>
              <w:rPr>
                <w:rFonts w:ascii="宋体" w:hAnsi="宋体" w:cs="宋体"/>
                <w:bCs/>
                <w:color w:val="auto"/>
                <w:szCs w:val="21"/>
                <w:highlight w:val="none"/>
              </w:rPr>
              <w:t>报价（保留小数点后2位），</w:t>
            </w:r>
            <w:r>
              <w:rPr>
                <w:rFonts w:hint="eastAsia" w:ascii="宋体" w:hAnsi="宋体" w:cs="宋体"/>
                <w:bCs/>
                <w:color w:val="auto"/>
                <w:szCs w:val="21"/>
                <w:highlight w:val="none"/>
              </w:rPr>
              <w:t>供应商根据自身情况并结合项目实际情况进行报价。</w:t>
            </w:r>
            <w:r>
              <w:rPr>
                <w:rFonts w:hint="eastAsia" w:ascii="宋体" w:hAnsi="宋体"/>
                <w:color w:val="auto"/>
                <w:kern w:val="0"/>
                <w:szCs w:val="21"/>
                <w:highlight w:val="none"/>
              </w:rPr>
              <w:t>项目资金实行成交供应商总价包干制，包干上限价为经有资质的造价机构审定的上限控制价乘以（1-下浮系数）。</w:t>
            </w:r>
          </w:p>
          <w:p>
            <w:pPr>
              <w:spacing w:line="420" w:lineRule="exact"/>
              <w:jc w:val="left"/>
              <w:rPr>
                <w:rFonts w:hint="eastAsia" w:ascii="宋体" w:hAnsi="宋体" w:cs="宋体"/>
                <w:bCs/>
                <w:color w:val="auto"/>
                <w:szCs w:val="21"/>
                <w:highlight w:val="none"/>
              </w:rPr>
            </w:pPr>
            <w:bookmarkStart w:id="6" w:name="OLE_LINK25"/>
            <w:r>
              <w:rPr>
                <w:rFonts w:hint="eastAsia" w:ascii="宋体" w:hAnsi="宋体" w:cs="宋体"/>
                <w:bCs/>
                <w:color w:val="auto"/>
                <w:szCs w:val="21"/>
                <w:highlight w:val="none"/>
              </w:rPr>
              <w:t>2.有效下浮系数报价范围为：</w:t>
            </w:r>
            <w:r>
              <w:rPr>
                <w:rFonts w:hint="eastAsia" w:ascii="宋体" w:hAnsi="宋体" w:cs="宋体"/>
                <w:bCs/>
                <w:color w:val="auto"/>
                <w:szCs w:val="21"/>
                <w:highlight w:val="none"/>
                <w:u w:val="single"/>
                <w:lang w:val="en-US" w:eastAsia="zh-CN"/>
              </w:rPr>
              <w:t xml:space="preserve"> 10</w:t>
            </w:r>
            <w:r>
              <w:rPr>
                <w:rFonts w:ascii="宋体" w:hAnsi="宋体" w:cs="宋体"/>
                <w:b/>
                <w:bCs w:val="0"/>
                <w:color w:val="auto"/>
                <w:szCs w:val="21"/>
                <w:highlight w:val="none"/>
                <w:u w:val="single"/>
              </w:rPr>
              <w:t>%</w:t>
            </w:r>
            <w:r>
              <w:rPr>
                <w:rFonts w:hint="eastAsia" w:ascii="宋体" w:hAnsi="宋体" w:cs="宋体"/>
                <w:bCs/>
                <w:color w:val="auto"/>
                <w:szCs w:val="21"/>
                <w:highlight w:val="none"/>
                <w:u w:val="single"/>
                <w:lang w:val="en-US" w:eastAsia="zh-CN"/>
              </w:rPr>
              <w:t>≤</w:t>
            </w:r>
            <w:r>
              <w:rPr>
                <w:rFonts w:hint="eastAsia" w:ascii="宋体" w:hAnsi="宋体" w:cs="宋体"/>
                <w:b/>
                <w:bCs w:val="0"/>
                <w:color w:val="auto"/>
                <w:szCs w:val="21"/>
                <w:highlight w:val="none"/>
                <w:u w:val="single"/>
              </w:rPr>
              <w:t>下浮系数</w:t>
            </w:r>
            <w:r>
              <w:rPr>
                <w:rFonts w:hint="eastAsia" w:ascii="宋体" w:hAnsi="宋体"/>
                <w:color w:val="auto"/>
                <w:kern w:val="0"/>
                <w:szCs w:val="21"/>
                <w:highlight w:val="none"/>
                <w:u w:val="single"/>
                <w:lang w:val="en-US" w:eastAsia="zh-CN"/>
              </w:rPr>
              <w:t>≤</w:t>
            </w:r>
            <w:r>
              <w:rPr>
                <w:rFonts w:ascii="宋体" w:hAnsi="宋体" w:cs="宋体"/>
                <w:b/>
                <w:bCs w:val="0"/>
                <w:color w:val="auto"/>
                <w:szCs w:val="21"/>
                <w:highlight w:val="none"/>
                <w:u w:val="single"/>
              </w:rPr>
              <w:t>1</w:t>
            </w:r>
            <w:r>
              <w:rPr>
                <w:rFonts w:hint="eastAsia" w:ascii="宋体" w:hAnsi="宋体" w:cs="宋体"/>
                <w:b/>
                <w:bCs w:val="0"/>
                <w:color w:val="auto"/>
                <w:szCs w:val="21"/>
                <w:highlight w:val="none"/>
                <w:u w:val="single"/>
                <w:lang w:val="en-US" w:eastAsia="zh-CN"/>
              </w:rPr>
              <w:t>5</w:t>
            </w:r>
            <w:r>
              <w:rPr>
                <w:rFonts w:ascii="宋体" w:hAnsi="宋体" w:cs="宋体"/>
                <w:b/>
                <w:bCs w:val="0"/>
                <w:color w:val="auto"/>
                <w:szCs w:val="21"/>
                <w:highlight w:val="none"/>
                <w:u w:val="single"/>
              </w:rPr>
              <w:t>%</w:t>
            </w:r>
            <w:r>
              <w:rPr>
                <w:rFonts w:hint="eastAsia" w:ascii="宋体" w:hAnsi="宋体" w:cs="宋体"/>
                <w:b/>
                <w:bCs w:val="0"/>
                <w:color w:val="auto"/>
                <w:szCs w:val="21"/>
                <w:highlight w:val="none"/>
                <w:u w:val="single"/>
                <w:lang w:val="en-US" w:eastAsia="zh-CN"/>
              </w:rPr>
              <w:t xml:space="preserve"> </w:t>
            </w:r>
            <w:bookmarkEnd w:id="6"/>
            <w:r>
              <w:rPr>
                <w:rFonts w:hint="eastAsia" w:ascii="宋体" w:hAnsi="宋体" w:cs="宋体"/>
                <w:bCs/>
                <w:color w:val="auto"/>
                <w:szCs w:val="21"/>
                <w:highlight w:val="none"/>
              </w:rPr>
              <w:t>，超出有效下浮系数报价范围的报价将作无效标处理。磋商小组认为供应商的报价明显低于其他通过符合性审查供应商的报价，有可能影响工程质量或者不能诚信履约的，应当要求其在评审现场合理的时间内提供书面说明，必要时提交相关证明材料；供应商不能证明其报价合理性的，评审小组应当将其作为无效磋商处理。</w:t>
            </w:r>
          </w:p>
          <w:p>
            <w:pPr>
              <w:spacing w:line="42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3.合同履约</w:t>
            </w:r>
            <w:r>
              <w:rPr>
                <w:rFonts w:ascii="宋体" w:hAnsi="宋体" w:cs="宋体"/>
                <w:bCs/>
                <w:color w:val="auto"/>
                <w:szCs w:val="21"/>
                <w:highlight w:val="none"/>
              </w:rPr>
              <w:t>期限内</w:t>
            </w:r>
            <w:r>
              <w:rPr>
                <w:rFonts w:hint="eastAsia" w:ascii="宋体" w:hAnsi="宋体" w:cs="宋体"/>
                <w:bCs/>
                <w:color w:val="auto"/>
                <w:szCs w:val="21"/>
                <w:highlight w:val="none"/>
              </w:rPr>
              <w:t>采购人不承诺业务量且成交</w:t>
            </w:r>
            <w:r>
              <w:rPr>
                <w:rFonts w:ascii="宋体" w:hAnsi="宋体" w:cs="宋体"/>
                <w:bCs/>
                <w:color w:val="auto"/>
                <w:szCs w:val="21"/>
                <w:highlight w:val="none"/>
              </w:rPr>
              <w:t>人的</w:t>
            </w:r>
            <w:r>
              <w:rPr>
                <w:rFonts w:hint="eastAsia" w:ascii="宋体" w:hAnsi="宋体" w:cs="宋体"/>
                <w:bCs/>
                <w:color w:val="auto"/>
                <w:szCs w:val="21"/>
                <w:highlight w:val="none"/>
              </w:rPr>
              <w:t>下浮系数</w:t>
            </w:r>
            <w:r>
              <w:rPr>
                <w:rFonts w:ascii="宋体" w:hAnsi="宋体" w:cs="宋体"/>
                <w:bCs/>
                <w:color w:val="auto"/>
                <w:szCs w:val="21"/>
                <w:highlight w:val="none"/>
              </w:rPr>
              <w:t>按</w:t>
            </w:r>
            <w:r>
              <w:rPr>
                <w:rFonts w:hint="eastAsia" w:ascii="宋体" w:hAnsi="宋体" w:cs="宋体"/>
                <w:bCs/>
                <w:color w:val="auto"/>
                <w:szCs w:val="21"/>
                <w:highlight w:val="none"/>
              </w:rPr>
              <w:t>竞标</w:t>
            </w:r>
            <w:r>
              <w:rPr>
                <w:rFonts w:ascii="宋体" w:hAnsi="宋体" w:cs="宋体"/>
                <w:bCs/>
                <w:color w:val="auto"/>
                <w:szCs w:val="21"/>
                <w:highlight w:val="none"/>
              </w:rPr>
              <w:t>时承诺的不变</w:t>
            </w:r>
            <w:r>
              <w:rPr>
                <w:rFonts w:hint="eastAsia" w:ascii="宋体" w:hAnsi="宋体" w:cs="宋体"/>
                <w:bCs/>
                <w:color w:val="auto"/>
                <w:szCs w:val="21"/>
                <w:highlight w:val="none"/>
              </w:rPr>
              <w:t>，竞标人应自行考虑风险进行报价。</w:t>
            </w:r>
          </w:p>
          <w:p>
            <w:pPr>
              <w:spacing w:line="420" w:lineRule="exact"/>
              <w:jc w:val="left"/>
              <w:rPr>
                <w:rFonts w:hint="eastAsia" w:cs="宋体"/>
                <w:color w:val="auto"/>
                <w:highlight w:val="none"/>
              </w:rPr>
            </w:pPr>
            <w:r>
              <w:rPr>
                <w:rFonts w:hint="eastAsia" w:ascii="宋体" w:hAnsi="宋体" w:cs="宋体"/>
                <w:bCs/>
                <w:color w:val="auto"/>
                <w:szCs w:val="21"/>
                <w:highlight w:val="none"/>
              </w:rPr>
              <w:t>4.竞标报价包括但不限于：</w:t>
            </w:r>
            <w:bookmarkStart w:id="7" w:name="OLE_LINK1"/>
            <w:r>
              <w:rPr>
                <w:rFonts w:hint="eastAsia" w:ascii="宋体" w:hAnsi="宋体"/>
                <w:color w:val="auto"/>
                <w:szCs w:val="21"/>
                <w:highlight w:val="none"/>
              </w:rPr>
              <w:t>完成</w:t>
            </w:r>
            <w:r>
              <w:rPr>
                <w:rFonts w:hint="eastAsia" w:ascii="宋体" w:hAnsi="宋体"/>
                <w:bCs/>
                <w:color w:val="auto"/>
                <w:szCs w:val="21"/>
                <w:highlight w:val="none"/>
                <w:shd w:val="clear" w:color="auto" w:fill="FFFFFF"/>
              </w:rPr>
              <w:t>专项维修改造工程</w:t>
            </w:r>
            <w:r>
              <w:rPr>
                <w:rFonts w:hint="eastAsia" w:ascii="宋体" w:hAnsi="宋体"/>
                <w:color w:val="auto"/>
                <w:szCs w:val="21"/>
                <w:highlight w:val="none"/>
              </w:rPr>
              <w:t>的成本、利润、税金、开办费、技术措施费、风险费、政策性文件规定费用、配套</w:t>
            </w:r>
            <w:r>
              <w:rPr>
                <w:rFonts w:hint="eastAsia"/>
                <w:color w:val="auto"/>
                <w:highlight w:val="none"/>
              </w:rPr>
              <w:t>货物、随配附件、备品备件、工具、现场安装调试、人工费、材料费、管理费，施工机具使用费，规费和售后服务</w:t>
            </w:r>
            <w:r>
              <w:rPr>
                <w:rFonts w:hint="eastAsia" w:ascii="宋体" w:hAnsi="宋体"/>
                <w:color w:val="auto"/>
                <w:szCs w:val="21"/>
                <w:highlight w:val="none"/>
              </w:rPr>
              <w:t>等所有费用。</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1542" w:type="dxa"/>
            <w:gridSpan w:val="2"/>
            <w:noWrap w:val="0"/>
            <w:tcMar>
              <w:top w:w="13" w:type="dxa"/>
              <w:left w:w="57" w:type="dxa"/>
              <w:bottom w:w="0" w:type="dxa"/>
              <w:right w:w="57" w:type="dxa"/>
            </w:tcMar>
            <w:vAlign w:val="center"/>
          </w:tcPr>
          <w:p>
            <w:pPr>
              <w:snapToGrid w:val="0"/>
              <w:spacing w:line="360" w:lineRule="auto"/>
              <w:jc w:val="center"/>
              <w:rPr>
                <w:rFonts w:hint="eastAsia" w:ascii="宋体" w:hAnsi="宋体"/>
                <w:color w:val="auto"/>
                <w:szCs w:val="21"/>
                <w:highlight w:val="none"/>
              </w:rPr>
            </w:pPr>
            <w:r>
              <w:rPr>
                <w:rFonts w:hint="eastAsia" w:ascii="宋体" w:hAnsi="宋体"/>
                <w:bCs/>
                <w:color w:val="auto"/>
                <w:szCs w:val="21"/>
                <w:highlight w:val="none"/>
                <w:shd w:val="clear" w:color="auto" w:fill="FFFFFF"/>
              </w:rPr>
              <w:t>项目</w:t>
            </w:r>
            <w:r>
              <w:rPr>
                <w:rFonts w:hint="eastAsia" w:ascii="宋体" w:hAnsi="宋体"/>
                <w:color w:val="auto"/>
                <w:szCs w:val="21"/>
                <w:highlight w:val="none"/>
              </w:rPr>
              <w:t>预算</w:t>
            </w:r>
          </w:p>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计价依据</w:t>
            </w:r>
          </w:p>
        </w:tc>
        <w:tc>
          <w:tcPr>
            <w:tcW w:w="7827" w:type="dxa"/>
            <w:gridSpan w:val="3"/>
            <w:noWrap w:val="0"/>
            <w:tcMar>
              <w:top w:w="0" w:type="dxa"/>
              <w:left w:w="57" w:type="dxa"/>
              <w:bottom w:w="0" w:type="dxa"/>
              <w:right w:w="57" w:type="dxa"/>
            </w:tcMar>
            <w:vAlign w:val="center"/>
          </w:tcPr>
          <w:p>
            <w:pPr>
              <w:spacing w:line="420" w:lineRule="exact"/>
              <w:ind w:firstLine="420" w:firstLineChars="200"/>
              <w:jc w:val="left"/>
              <w:rPr>
                <w:rFonts w:hint="eastAsia" w:ascii="宋体" w:hAnsi="宋体" w:cs="宋体"/>
                <w:bCs/>
                <w:color w:val="auto"/>
                <w:szCs w:val="21"/>
                <w:highlight w:val="none"/>
              </w:rPr>
            </w:pPr>
            <w:r>
              <w:rPr>
                <w:rFonts w:hint="eastAsia" w:ascii="宋体" w:hAnsi="宋体" w:eastAsia="宋体" w:cs="Times New Roman"/>
                <w:color w:val="auto"/>
                <w:szCs w:val="21"/>
                <w:highlight w:val="none"/>
              </w:rPr>
              <w:t>依据《建设工程工程量清单计价规范》(GB 50500-2013)、广西壮族自治区住房和城乡建设厅颁布的《&lt;建设工程工程量清单计价规范&gt;GB 50500-2013广西壮族自治区实施细则》、《&lt;建设工程工程量清单计算规范&gt;GB 50854～50862-2013广西壮族自治区实施细则》(修订本)以及有关配套文件和施工图纸编制；2021年《广西壮族自治区园林绿化及仿古建筑工程消耗量定额》</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2024年《广西壮族自治区建筑装饰装修工程消耗量及费用定额》、2023年《广西壮族自治区安装工程消耗量及费用定额》</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2024年《广西壮族自治区建筑工程拆除消耗量及费用定额》</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2016年《广西壮族自治区建设工程费用定额》及现行的有关配套费率、人工和机械台班费用调整规定；《关于建筑业实施营业税改征增值税后广西壮族自治区建设工程计价依据调整的通知》（桂建标〔2016〕17号）</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关于调整除税价计算适用增值税税率的通知》桂造价〔2019〕10号；人工工资和管理费费率的调整按《关于调整建设工程定额人工费及有关费率的通知》桂建标【2018】19号文执行；桂建发[2023]6号文关于工程安全生产责任保险计价规定的通知及现行有关规定及相关资料</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价格按《河池市建设工程造价信息》当期发布的材料价计取，信息价缺项部分按市场询价。如上述规定有更新，则按最新规定执行。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1542" w:type="dxa"/>
            <w:gridSpan w:val="2"/>
            <w:noWrap w:val="0"/>
            <w:tcMar>
              <w:top w:w="13" w:type="dxa"/>
              <w:left w:w="57" w:type="dxa"/>
              <w:bottom w:w="0" w:type="dxa"/>
              <w:right w:w="57" w:type="dxa"/>
            </w:tcMar>
            <w:vAlign w:val="center"/>
          </w:tcPr>
          <w:p>
            <w:pPr>
              <w:snapToGrid w:val="0"/>
              <w:spacing w:line="360" w:lineRule="auto"/>
              <w:jc w:val="center"/>
              <w:rPr>
                <w:rFonts w:ascii="宋体"/>
                <w:color w:val="auto"/>
                <w:szCs w:val="21"/>
                <w:highlight w:val="none"/>
              </w:rPr>
            </w:pPr>
            <w:r>
              <w:rPr>
                <w:rFonts w:hint="eastAsia" w:ascii="宋体" w:hAnsi="宋体"/>
                <w:color w:val="auto"/>
                <w:szCs w:val="21"/>
                <w:highlight w:val="none"/>
              </w:rPr>
              <w:t>验收标准</w:t>
            </w:r>
          </w:p>
        </w:tc>
        <w:tc>
          <w:tcPr>
            <w:tcW w:w="7827" w:type="dxa"/>
            <w:gridSpan w:val="3"/>
            <w:noWrap w:val="0"/>
            <w:tcMar>
              <w:top w:w="0" w:type="dxa"/>
              <w:left w:w="57" w:type="dxa"/>
              <w:bottom w:w="0" w:type="dxa"/>
              <w:right w:w="57" w:type="dxa"/>
            </w:tcMar>
            <w:vAlign w:val="center"/>
          </w:tcPr>
          <w:p>
            <w:pPr>
              <w:spacing w:line="380" w:lineRule="exact"/>
              <w:jc w:val="left"/>
              <w:textAlignment w:val="baseline"/>
              <w:rPr>
                <w:rFonts w:ascii="宋体" w:hAnsi="宋体"/>
                <w:color w:val="auto"/>
                <w:szCs w:val="21"/>
                <w:highlight w:val="none"/>
              </w:rPr>
            </w:pPr>
            <w:r>
              <w:rPr>
                <w:rFonts w:hint="eastAsia" w:ascii="宋体" w:hAnsi="宋体"/>
                <w:color w:val="auto"/>
                <w:szCs w:val="21"/>
                <w:highlight w:val="none"/>
              </w:rPr>
              <w:t>1.符合现行国家相关标准、行业标准、地方标准或者其他标准、规范。</w:t>
            </w:r>
          </w:p>
          <w:p>
            <w:pPr>
              <w:spacing w:line="38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2.合同履行过程中，采购人按照本项目合同及竞争性磋商文件、成交供应商响应文件承诺进行验收（或委托具有相应资质的第三方机构进行验收，费用由成交供应商承担，竞标报价时应考虑报价风险），如验收不合格，由成交供应商按采购人（或第三方验收机构）要求整改，成交供应商不按要求整改或拒不整改的，采购人有权终止合同，给采购单位造成的损失等费用由成交供应商承担。如不符合采购文件项目需要及技术需求以及提供虚假承诺的，按相关规定做违约处理，采购人依据相关法律规定追究成交供应商的责任，由此带来的一切损失由成交供应商自行承担。</w:t>
            </w:r>
          </w:p>
          <w:p>
            <w:pPr>
              <w:spacing w:line="380" w:lineRule="exact"/>
              <w:jc w:val="left"/>
              <w:textAlignment w:val="baseline"/>
              <w:rPr>
                <w:rFonts w:hAnsi="宋体"/>
                <w:color w:val="auto"/>
                <w:highlight w:val="none"/>
              </w:rPr>
            </w:pPr>
            <w:r>
              <w:rPr>
                <w:rFonts w:hint="eastAsia" w:ascii="宋体" w:hAnsi="宋体"/>
                <w:color w:val="auto"/>
                <w:szCs w:val="21"/>
                <w:highlight w:val="none"/>
              </w:rPr>
              <w:t>3.验收所需工具、器材由成交供应商自理；各项性能指标达到技术要求的，由供需双方共同签字认可，现场验收。验收过程中所产生的一切费用均由成交供应商承担。报价时应考虑相关费用。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1542" w:type="dxa"/>
            <w:gridSpan w:val="2"/>
            <w:noWrap w:val="0"/>
            <w:tcMar>
              <w:top w:w="13" w:type="dxa"/>
              <w:left w:w="57" w:type="dxa"/>
              <w:bottom w:w="0" w:type="dxa"/>
              <w:right w:w="57" w:type="dxa"/>
            </w:tcMar>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工程进度款</w:t>
            </w:r>
          </w:p>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支付方式</w:t>
            </w:r>
          </w:p>
        </w:tc>
        <w:tc>
          <w:tcPr>
            <w:tcW w:w="7827" w:type="dxa"/>
            <w:gridSpan w:val="3"/>
            <w:noWrap w:val="0"/>
            <w:tcMar>
              <w:top w:w="0" w:type="dxa"/>
              <w:left w:w="57" w:type="dxa"/>
              <w:bottom w:w="0" w:type="dxa"/>
              <w:right w:w="57" w:type="dxa"/>
            </w:tcMar>
            <w:vAlign w:val="center"/>
          </w:tcPr>
          <w:p>
            <w:pPr>
              <w:spacing w:line="38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1.按合同内进度款：按照当期计量的80%支付，累计不超过合同价的80%。</w:t>
            </w:r>
          </w:p>
          <w:p>
            <w:pPr>
              <w:widowControl/>
              <w:spacing w:line="360" w:lineRule="exact"/>
              <w:contextualSpacing/>
              <w:rPr>
                <w:rFonts w:hint="eastAsia" w:ascii="宋体" w:hAnsi="宋体" w:cs="仿宋_GB2312"/>
                <w:color w:val="auto"/>
                <w:szCs w:val="21"/>
                <w:highlight w:val="none"/>
              </w:rPr>
            </w:pPr>
            <w:r>
              <w:rPr>
                <w:rFonts w:hint="eastAsia" w:ascii="宋体" w:hAnsi="宋体"/>
                <w:color w:val="auto"/>
                <w:szCs w:val="21"/>
                <w:highlight w:val="none"/>
              </w:rPr>
              <w:t>2.合同外（设计变更）工程进度款：累计增加的变更金额在合同价的10%以内（含10%），按照当期计量的60%支付；累计增加的变更金额超出合同价的10%部分，不进行进度款计量支付，留待工程结算时一并支付。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1542" w:type="dxa"/>
            <w:gridSpan w:val="2"/>
            <w:noWrap w:val="0"/>
            <w:tcMar>
              <w:top w:w="13" w:type="dxa"/>
              <w:left w:w="57" w:type="dxa"/>
              <w:bottom w:w="0" w:type="dxa"/>
              <w:right w:w="57" w:type="dxa"/>
            </w:tcMar>
            <w:vAlign w:val="center"/>
          </w:tcPr>
          <w:p>
            <w:pPr>
              <w:snapToGrid w:val="0"/>
              <w:spacing w:line="360" w:lineRule="auto"/>
              <w:jc w:val="center"/>
              <w:rPr>
                <w:rFonts w:ascii="宋体" w:cs="宋体"/>
                <w:b/>
                <w:bCs/>
                <w:color w:val="auto"/>
                <w:highlight w:val="none"/>
              </w:rPr>
            </w:pPr>
            <w:r>
              <w:rPr>
                <w:rFonts w:ascii="宋体" w:hAnsi="宋体" w:cs="宋体"/>
                <w:b/>
                <w:color w:val="auto"/>
                <w:szCs w:val="21"/>
                <w:highlight w:val="none"/>
              </w:rPr>
              <w:t>履约保证金</w:t>
            </w:r>
          </w:p>
        </w:tc>
        <w:tc>
          <w:tcPr>
            <w:tcW w:w="7827" w:type="dxa"/>
            <w:gridSpan w:val="3"/>
            <w:noWrap w:val="0"/>
            <w:tcMar>
              <w:top w:w="0" w:type="dxa"/>
              <w:left w:w="57" w:type="dxa"/>
              <w:bottom w:w="0" w:type="dxa"/>
              <w:right w:w="57" w:type="dxa"/>
            </w:tcMar>
            <w:vAlign w:val="center"/>
          </w:tcPr>
          <w:p>
            <w:pPr>
              <w:adjustRightInd w:val="0"/>
              <w:spacing w:line="360" w:lineRule="auto"/>
              <w:rPr>
                <w:rFonts w:hint="eastAsia" w:ascii="宋体" w:hAnsi="宋体" w:cs="宋体"/>
                <w:color w:val="auto"/>
                <w:spacing w:val="-4"/>
                <w:szCs w:val="21"/>
                <w:highlight w:val="none"/>
              </w:rPr>
            </w:pPr>
            <w:r>
              <w:rPr>
                <w:rFonts w:hint="eastAsia" w:ascii="宋体" w:hAnsi="宋体" w:cs="宋体"/>
                <w:color w:val="auto"/>
                <w:szCs w:val="21"/>
                <w:highlight w:val="none"/>
              </w:rPr>
              <w:t>1.</w:t>
            </w:r>
            <w:r>
              <w:rPr>
                <w:rFonts w:hint="eastAsia" w:ascii="宋体" w:hAnsi="宋体" w:cs="宋体"/>
                <w:color w:val="auto"/>
                <w:spacing w:val="-4"/>
                <w:szCs w:val="21"/>
                <w:highlight w:val="none"/>
              </w:rPr>
              <w:t>提供履约担保时间：成交</w:t>
            </w:r>
            <w:r>
              <w:rPr>
                <w:rFonts w:hint="eastAsia" w:ascii="宋体" w:hAnsi="宋体" w:cs="宋体"/>
                <w:color w:val="auto"/>
                <w:spacing w:val="-4"/>
                <w:szCs w:val="21"/>
                <w:highlight w:val="none"/>
                <w:lang w:val="en-US" w:eastAsia="zh-CN"/>
              </w:rPr>
              <w:t>供应商</w:t>
            </w:r>
            <w:r>
              <w:rPr>
                <w:rFonts w:hint="eastAsia" w:ascii="宋体" w:hAnsi="宋体" w:cs="宋体"/>
                <w:color w:val="auto"/>
                <w:spacing w:val="-4"/>
                <w:szCs w:val="21"/>
                <w:highlight w:val="none"/>
              </w:rPr>
              <w:t>在收到成交通知书后，须在</w:t>
            </w:r>
            <w:r>
              <w:rPr>
                <w:rFonts w:hint="eastAsia"/>
                <w:color w:val="auto"/>
                <w:highlight w:val="none"/>
                <w:lang w:val="en-US" w:eastAsia="zh-CN"/>
              </w:rPr>
              <w:t>签订合同前</w:t>
            </w:r>
            <w:r>
              <w:rPr>
                <w:rFonts w:hint="eastAsia" w:ascii="宋体" w:hAnsi="宋体" w:cs="宋体"/>
                <w:color w:val="auto"/>
                <w:spacing w:val="-4"/>
                <w:szCs w:val="21"/>
                <w:highlight w:val="none"/>
                <w:u w:val="single"/>
              </w:rPr>
              <w:t xml:space="preserve"> 10 </w:t>
            </w:r>
            <w:r>
              <w:rPr>
                <w:rFonts w:hint="eastAsia" w:ascii="宋体" w:hAnsi="宋体" w:cs="宋体"/>
                <w:color w:val="auto"/>
                <w:spacing w:val="-4"/>
                <w:szCs w:val="21"/>
                <w:highlight w:val="none"/>
              </w:rPr>
              <w:t>日内向采购人提交履约担保。</w:t>
            </w:r>
          </w:p>
          <w:p>
            <w:pPr>
              <w:adjustRightInd w:val="0"/>
              <w:spacing w:line="360" w:lineRule="auto"/>
              <w:rPr>
                <w:rFonts w:hint="eastAsia" w:ascii="宋体" w:hAnsi="宋体" w:cs="宋体"/>
                <w:color w:val="auto"/>
                <w:spacing w:val="-4"/>
                <w:szCs w:val="21"/>
                <w:highlight w:val="none"/>
              </w:rPr>
            </w:pPr>
            <w:r>
              <w:rPr>
                <w:rFonts w:hint="eastAsia" w:ascii="宋体" w:hAnsi="宋体" w:cs="宋体"/>
                <w:color w:val="auto"/>
                <w:spacing w:val="-4"/>
                <w:szCs w:val="21"/>
                <w:highlight w:val="none"/>
              </w:rPr>
              <w:t>2.</w:t>
            </w:r>
            <w:r>
              <w:rPr>
                <w:rFonts w:hint="eastAsia" w:ascii="宋体" w:hAnsi="宋体" w:cs="宋体"/>
                <w:color w:val="auto"/>
                <w:spacing w:val="-4"/>
                <w:szCs w:val="21"/>
                <w:highlight w:val="none"/>
                <w:lang w:val="en-US" w:eastAsia="zh-CN"/>
              </w:rPr>
              <w:t>成交供应商</w:t>
            </w:r>
            <w:r>
              <w:rPr>
                <w:rFonts w:hint="eastAsia" w:ascii="宋体" w:hAnsi="宋体" w:cs="宋体"/>
                <w:color w:val="auto"/>
                <w:spacing w:val="-4"/>
                <w:szCs w:val="21"/>
                <w:highlight w:val="none"/>
              </w:rPr>
              <w:t>提供履约担保的形式、金额、期限及退回：</w:t>
            </w:r>
          </w:p>
          <w:p>
            <w:pPr>
              <w:adjustRightInd w:val="0"/>
              <w:spacing w:line="360" w:lineRule="auto"/>
              <w:ind w:firstLine="202" w:firstLineChars="100"/>
              <w:rPr>
                <w:rFonts w:hint="eastAsia" w:ascii="宋体" w:hAnsi="宋体" w:cs="宋体"/>
                <w:color w:val="auto"/>
                <w:spacing w:val="-4"/>
                <w:szCs w:val="21"/>
                <w:highlight w:val="none"/>
              </w:rPr>
            </w:pPr>
            <w:r>
              <w:rPr>
                <w:rFonts w:hint="eastAsia" w:ascii="宋体" w:hAnsi="宋体" w:cs="宋体"/>
                <w:color w:val="auto"/>
                <w:spacing w:val="-4"/>
                <w:szCs w:val="21"/>
                <w:highlight w:val="none"/>
              </w:rPr>
              <w:t>2.1形式：</w:t>
            </w:r>
            <w:r>
              <w:rPr>
                <w:rFonts w:hint="eastAsia" w:ascii="宋体" w:hAnsi="宋体" w:cs="宋体"/>
                <w:color w:val="auto"/>
                <w:spacing w:val="-4"/>
                <w:szCs w:val="21"/>
                <w:highlight w:val="none"/>
                <w:lang w:val="zh-CN"/>
              </w:rPr>
              <w:t>银行转账、支票、汇票、本票或者金融、担保机构出具的保函等非现金方式</w:t>
            </w:r>
            <w:r>
              <w:rPr>
                <w:rFonts w:hint="eastAsia" w:ascii="宋体" w:hAnsi="宋体" w:cs="宋体"/>
                <w:color w:val="auto"/>
                <w:spacing w:val="-4"/>
                <w:szCs w:val="21"/>
                <w:highlight w:val="none"/>
              </w:rPr>
              <w:t>。</w:t>
            </w:r>
          </w:p>
          <w:p>
            <w:pPr>
              <w:adjustRightInd w:val="0"/>
              <w:spacing w:line="360" w:lineRule="auto"/>
              <w:ind w:firstLine="202" w:firstLineChars="100"/>
              <w:rPr>
                <w:rFonts w:ascii="宋体" w:hAnsi="宋体" w:cs="宋体"/>
                <w:color w:val="auto"/>
                <w:spacing w:val="-4"/>
                <w:szCs w:val="21"/>
                <w:highlight w:val="none"/>
                <w:u w:val="single"/>
              </w:rPr>
            </w:pPr>
            <w:r>
              <w:rPr>
                <w:rFonts w:hint="eastAsia" w:ascii="宋体" w:hAnsi="宋体" w:cs="宋体"/>
                <w:color w:val="auto"/>
                <w:spacing w:val="-4"/>
                <w:szCs w:val="21"/>
                <w:highlight w:val="none"/>
              </w:rPr>
              <w:t>2.2金额：</w:t>
            </w:r>
            <w:r>
              <w:rPr>
                <w:rFonts w:hint="eastAsia" w:ascii="宋体" w:hAnsi="宋体" w:cs="宋体"/>
                <w:b/>
                <w:bCs/>
                <w:color w:val="auto"/>
                <w:spacing w:val="-4"/>
                <w:szCs w:val="21"/>
                <w:highlight w:val="none"/>
                <w:u w:val="none"/>
                <w:lang w:val="en-US" w:eastAsia="zh-CN"/>
              </w:rPr>
              <w:t>人民币</w:t>
            </w:r>
            <w:r>
              <w:rPr>
                <w:rFonts w:hint="eastAsia" w:cs="宋体"/>
                <w:b/>
                <w:bCs/>
                <w:color w:val="auto"/>
                <w:szCs w:val="21"/>
                <w:highlight w:val="none"/>
                <w:u w:val="none"/>
              </w:rPr>
              <w:t>叁万元整（¥30000.00）</w:t>
            </w:r>
          </w:p>
          <w:p>
            <w:pPr>
              <w:adjustRightInd w:val="0"/>
              <w:spacing w:line="360" w:lineRule="auto"/>
              <w:ind w:firstLine="202" w:firstLineChars="100"/>
              <w:rPr>
                <w:rFonts w:hint="default" w:ascii="宋体" w:hAnsi="宋体" w:eastAsia="宋体" w:cs="宋体"/>
                <w:color w:val="auto"/>
                <w:spacing w:val="-4"/>
                <w:szCs w:val="21"/>
                <w:highlight w:val="none"/>
                <w:lang w:val="en-US" w:eastAsia="zh-CN"/>
              </w:rPr>
            </w:pPr>
            <w:r>
              <w:rPr>
                <w:rFonts w:hint="eastAsia" w:ascii="宋体" w:hAnsi="宋体" w:cs="宋体"/>
                <w:color w:val="auto"/>
                <w:spacing w:val="-4"/>
                <w:szCs w:val="21"/>
                <w:highlight w:val="none"/>
              </w:rPr>
              <w:t>2.3</w:t>
            </w:r>
            <w:r>
              <w:rPr>
                <w:rFonts w:hint="eastAsia" w:ascii="宋体" w:hAnsi="宋体" w:cs="宋体"/>
                <w:color w:val="auto"/>
                <w:spacing w:val="-4"/>
                <w:szCs w:val="21"/>
                <w:highlight w:val="none"/>
                <w:lang w:val="zh-CN"/>
              </w:rPr>
              <w:t>履约保证金退还时间：</w:t>
            </w:r>
            <w:r>
              <w:rPr>
                <w:rFonts w:hint="eastAsia" w:ascii="宋体" w:hAnsi="宋体" w:cs="宋体"/>
                <w:color w:val="auto"/>
                <w:spacing w:val="-4"/>
                <w:szCs w:val="21"/>
                <w:highlight w:val="none"/>
                <w:lang w:val="en-US" w:eastAsia="zh-CN"/>
              </w:rPr>
              <w:t>履约担保形式为银行转账的，</w:t>
            </w:r>
            <w:r>
              <w:rPr>
                <w:rFonts w:hint="eastAsia" w:ascii="宋体" w:hAnsi="宋体" w:cs="宋体"/>
                <w:color w:val="auto"/>
                <w:spacing w:val="-4"/>
                <w:szCs w:val="21"/>
                <w:highlight w:val="none"/>
                <w:lang w:val="zh-CN"/>
              </w:rPr>
              <w:t>合同期满且</w:t>
            </w:r>
            <w:r>
              <w:rPr>
                <w:rFonts w:hint="eastAsia" w:ascii="宋体" w:hAnsi="宋体" w:cs="宋体"/>
                <w:color w:val="auto"/>
                <w:spacing w:val="-4"/>
                <w:szCs w:val="21"/>
                <w:highlight w:val="none"/>
                <w:lang w:val="en-US" w:eastAsia="zh-CN"/>
              </w:rPr>
              <w:t>成交供应商</w:t>
            </w:r>
            <w:r>
              <w:rPr>
                <w:rFonts w:hint="eastAsia" w:ascii="宋体" w:hAnsi="宋体" w:cs="宋体"/>
                <w:color w:val="auto"/>
                <w:spacing w:val="-4"/>
                <w:szCs w:val="21"/>
                <w:highlight w:val="none"/>
                <w:lang w:val="zh-CN"/>
              </w:rPr>
              <w:t>在合同履约期间无违约情况下，履约保证金（</w:t>
            </w:r>
            <w:r>
              <w:rPr>
                <w:rFonts w:hint="eastAsia" w:ascii="宋体" w:hAnsi="宋体" w:cs="宋体"/>
                <w:color w:val="auto"/>
                <w:spacing w:val="-4"/>
                <w:szCs w:val="21"/>
                <w:highlight w:val="none"/>
                <w:lang w:val="en-US" w:eastAsia="zh-CN"/>
              </w:rPr>
              <w:t>不计</w:t>
            </w:r>
            <w:r>
              <w:rPr>
                <w:rFonts w:hint="eastAsia" w:ascii="宋体" w:hAnsi="宋体" w:cs="宋体"/>
                <w:color w:val="auto"/>
                <w:szCs w:val="21"/>
                <w:highlight w:val="none"/>
              </w:rPr>
              <w:t>利息</w:t>
            </w:r>
            <w:r>
              <w:rPr>
                <w:rFonts w:hint="eastAsia" w:ascii="宋体" w:hAnsi="宋体" w:cs="宋体"/>
                <w:color w:val="auto"/>
                <w:spacing w:val="-4"/>
                <w:szCs w:val="21"/>
                <w:highlight w:val="none"/>
                <w:lang w:val="zh-CN"/>
              </w:rPr>
              <w:t>）由</w:t>
            </w:r>
            <w:r>
              <w:rPr>
                <w:rFonts w:hint="eastAsia" w:ascii="宋体" w:hAnsi="宋体" w:cs="宋体"/>
                <w:color w:val="auto"/>
                <w:spacing w:val="-4"/>
                <w:szCs w:val="21"/>
                <w:highlight w:val="none"/>
              </w:rPr>
              <w:t>采购人</w:t>
            </w:r>
            <w:r>
              <w:rPr>
                <w:rFonts w:hint="eastAsia" w:ascii="宋体" w:hAnsi="宋体" w:cs="宋体"/>
                <w:color w:val="auto"/>
                <w:spacing w:val="-4"/>
                <w:szCs w:val="21"/>
                <w:highlight w:val="none"/>
                <w:lang w:val="zh-CN"/>
              </w:rPr>
              <w:t>一次性退回</w:t>
            </w:r>
            <w:r>
              <w:rPr>
                <w:rFonts w:hint="eastAsia" w:ascii="宋体" w:hAnsi="宋体" w:cs="宋体"/>
                <w:color w:val="auto"/>
                <w:spacing w:val="-4"/>
                <w:szCs w:val="21"/>
                <w:highlight w:val="none"/>
              </w:rPr>
              <w:t>成交供应商</w:t>
            </w:r>
            <w:r>
              <w:rPr>
                <w:rFonts w:hint="eastAsia" w:ascii="宋体" w:hAnsi="宋体" w:cs="宋体"/>
                <w:color w:val="auto"/>
                <w:spacing w:val="-4"/>
                <w:szCs w:val="21"/>
                <w:highlight w:val="none"/>
                <w:lang w:val="zh-CN"/>
              </w:rPr>
              <w:t>指定银行账户。如</w:t>
            </w:r>
            <w:r>
              <w:rPr>
                <w:rFonts w:hint="eastAsia" w:ascii="宋体" w:hAnsi="宋体" w:cs="宋体"/>
                <w:color w:val="auto"/>
                <w:spacing w:val="-4"/>
                <w:szCs w:val="21"/>
                <w:highlight w:val="none"/>
              </w:rPr>
              <w:t>成交供应商</w:t>
            </w:r>
            <w:r>
              <w:rPr>
                <w:rFonts w:hint="eastAsia" w:ascii="宋体" w:hAnsi="宋体" w:cs="宋体"/>
                <w:color w:val="auto"/>
                <w:spacing w:val="-4"/>
                <w:szCs w:val="21"/>
                <w:highlight w:val="none"/>
                <w:lang w:val="zh-CN"/>
              </w:rPr>
              <w:t>不按双方签订的合同规定履约的，则扣除相应的罚金后剩余部分一次性退回</w:t>
            </w:r>
            <w:r>
              <w:rPr>
                <w:rFonts w:hint="eastAsia" w:ascii="宋体" w:hAnsi="宋体" w:cs="宋体"/>
                <w:color w:val="auto"/>
                <w:spacing w:val="-4"/>
                <w:szCs w:val="21"/>
                <w:highlight w:val="none"/>
              </w:rPr>
              <w:t>成交供应商</w:t>
            </w:r>
            <w:r>
              <w:rPr>
                <w:rFonts w:hint="eastAsia" w:ascii="宋体" w:hAnsi="宋体" w:cs="宋体"/>
                <w:color w:val="auto"/>
                <w:spacing w:val="-4"/>
                <w:szCs w:val="21"/>
                <w:highlight w:val="none"/>
                <w:lang w:val="zh-CN"/>
              </w:rPr>
              <w:t>指定银行账户。</w:t>
            </w:r>
            <w:r>
              <w:rPr>
                <w:rFonts w:hint="eastAsia" w:ascii="宋体" w:hAnsi="宋体" w:cs="宋体"/>
                <w:color w:val="auto"/>
                <w:szCs w:val="21"/>
                <w:highlight w:val="none"/>
                <w:lang w:val="en-US" w:eastAsia="zh-CN"/>
              </w:rPr>
              <w:t>其他形式的履约担保退付详见合同。</w:t>
            </w:r>
          </w:p>
          <w:p>
            <w:pPr>
              <w:adjustRightInd w:val="0"/>
              <w:spacing w:line="360" w:lineRule="auto"/>
              <w:ind w:firstLine="202" w:firstLineChars="100"/>
              <w:rPr>
                <w:rFonts w:hint="eastAsia" w:ascii="宋体" w:hAnsi="宋体" w:eastAsia="宋体" w:cs="宋体"/>
                <w:color w:val="auto"/>
                <w:spacing w:val="-4"/>
                <w:szCs w:val="21"/>
                <w:highlight w:val="none"/>
                <w:lang w:val="zh-CN"/>
              </w:rPr>
            </w:pPr>
            <w:r>
              <w:rPr>
                <w:rFonts w:hint="eastAsia" w:ascii="宋体" w:hAnsi="宋体" w:eastAsia="宋体" w:cs="宋体"/>
                <w:color w:val="auto"/>
                <w:spacing w:val="-4"/>
                <w:szCs w:val="21"/>
                <w:highlight w:val="none"/>
                <w:lang w:val="zh-CN"/>
              </w:rPr>
              <w:t>2.4履约保证金指定账户：</w:t>
            </w:r>
          </w:p>
          <w:p>
            <w:pPr>
              <w:adjustRightInd w:val="0"/>
              <w:spacing w:line="360" w:lineRule="auto"/>
              <w:ind w:firstLine="202" w:firstLineChars="100"/>
              <w:rPr>
                <w:rFonts w:hint="eastAsia" w:ascii="宋体" w:hAnsi="宋体" w:eastAsia="宋体" w:cs="宋体"/>
                <w:color w:val="auto"/>
                <w:spacing w:val="-4"/>
                <w:szCs w:val="21"/>
                <w:highlight w:val="none"/>
                <w:u w:val="single"/>
                <w:lang w:val="zh-CN"/>
              </w:rPr>
            </w:pPr>
            <w:r>
              <w:rPr>
                <w:rFonts w:hint="eastAsia" w:ascii="宋体" w:hAnsi="宋体" w:eastAsia="宋体" w:cs="宋体"/>
                <w:color w:val="auto"/>
                <w:spacing w:val="-4"/>
                <w:szCs w:val="21"/>
                <w:highlight w:val="none"/>
                <w:u w:val="none"/>
                <w:lang w:val="zh-CN"/>
              </w:rPr>
              <w:t>户名：</w:t>
            </w:r>
            <w:r>
              <w:rPr>
                <w:rFonts w:hint="eastAsia" w:ascii="宋体" w:hAnsi="宋体" w:eastAsia="宋体" w:cs="宋体"/>
                <w:color w:val="auto"/>
                <w:spacing w:val="-4"/>
                <w:szCs w:val="21"/>
                <w:highlight w:val="none"/>
                <w:u w:val="single"/>
                <w:lang w:val="zh-CN"/>
              </w:rPr>
              <w:t>河池学院</w:t>
            </w:r>
          </w:p>
          <w:p>
            <w:pPr>
              <w:adjustRightInd w:val="0"/>
              <w:spacing w:line="360" w:lineRule="auto"/>
              <w:ind w:firstLine="202" w:firstLineChars="100"/>
              <w:rPr>
                <w:rFonts w:hint="eastAsia" w:ascii="宋体" w:hAnsi="宋体" w:eastAsia="宋体" w:cs="宋体"/>
                <w:color w:val="auto"/>
                <w:spacing w:val="-4"/>
                <w:szCs w:val="21"/>
                <w:highlight w:val="none"/>
                <w:u w:val="single"/>
                <w:lang w:val="zh-CN"/>
              </w:rPr>
            </w:pPr>
            <w:r>
              <w:rPr>
                <w:rFonts w:hint="eastAsia" w:ascii="宋体" w:hAnsi="宋体" w:eastAsia="宋体" w:cs="宋体"/>
                <w:color w:val="auto"/>
                <w:spacing w:val="-4"/>
                <w:szCs w:val="21"/>
                <w:highlight w:val="none"/>
                <w:u w:val="none"/>
                <w:lang w:val="zh-CN"/>
              </w:rPr>
              <w:t>账号：</w:t>
            </w:r>
            <w:r>
              <w:rPr>
                <w:rFonts w:hint="eastAsia" w:ascii="宋体" w:hAnsi="宋体" w:eastAsia="宋体" w:cs="宋体"/>
                <w:color w:val="auto"/>
                <w:spacing w:val="-4"/>
                <w:szCs w:val="21"/>
                <w:highlight w:val="none"/>
                <w:u w:val="single"/>
                <w:lang w:val="zh-CN"/>
              </w:rPr>
              <w:t>45001697146050502776</w:t>
            </w:r>
          </w:p>
          <w:p>
            <w:pPr>
              <w:adjustRightInd w:val="0"/>
              <w:spacing w:line="360" w:lineRule="auto"/>
              <w:ind w:firstLine="202" w:firstLineChars="100"/>
              <w:rPr>
                <w:rFonts w:hint="eastAsia" w:ascii="宋体" w:hAnsi="宋体" w:eastAsia="宋体" w:cs="宋体"/>
                <w:color w:val="auto"/>
                <w:spacing w:val="-4"/>
                <w:szCs w:val="21"/>
                <w:highlight w:val="none"/>
                <w:u w:val="single"/>
                <w:lang w:val="zh-CN"/>
              </w:rPr>
            </w:pPr>
            <w:r>
              <w:rPr>
                <w:rFonts w:hint="eastAsia" w:ascii="宋体" w:hAnsi="宋体" w:eastAsia="宋体" w:cs="宋体"/>
                <w:color w:val="auto"/>
                <w:spacing w:val="-4"/>
                <w:szCs w:val="21"/>
                <w:highlight w:val="none"/>
                <w:u w:val="none"/>
                <w:lang w:val="zh-CN"/>
              </w:rPr>
              <w:t>开户银行：</w:t>
            </w:r>
            <w:r>
              <w:rPr>
                <w:rFonts w:hint="eastAsia" w:ascii="宋体" w:hAnsi="宋体" w:eastAsia="宋体" w:cs="宋体"/>
                <w:color w:val="auto"/>
                <w:spacing w:val="-4"/>
                <w:szCs w:val="21"/>
                <w:highlight w:val="none"/>
                <w:u w:val="single"/>
                <w:lang w:val="zh-CN"/>
              </w:rPr>
              <w:t>建行宜州支行营业部</w:t>
            </w:r>
          </w:p>
          <w:p>
            <w:pPr>
              <w:adjustRightIn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备注：</w:t>
            </w:r>
          </w:p>
          <w:p>
            <w:pPr>
              <w:adjustRightIn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不予签订合同。</w:t>
            </w:r>
          </w:p>
          <w:p>
            <w:pPr>
              <w:adjustRightIn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.采用金融、担保机构出具保函的，必须为无条件保函，否则视为未按规定提交履约保证金，不予签订合同。</w:t>
            </w:r>
          </w:p>
          <w:p>
            <w:pPr>
              <w:adjustRightInd w:val="0"/>
              <w:spacing w:line="360" w:lineRule="auto"/>
              <w:ind w:firstLine="422" w:firstLineChars="200"/>
              <w:rPr>
                <w:rFonts w:hAnsi="宋体"/>
                <w:color w:val="auto"/>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w:t>
            </w:r>
            <w:r>
              <w:rPr>
                <w:rFonts w:cs="宋体"/>
                <w:b/>
                <w:color w:val="auto"/>
                <w:szCs w:val="21"/>
                <w:highlight w:val="none"/>
              </w:rPr>
              <w:t>签订合同后</w:t>
            </w:r>
            <w:r>
              <w:rPr>
                <w:rFonts w:hint="eastAsia" w:cs="宋体"/>
                <w:b/>
                <w:color w:val="auto"/>
                <w:szCs w:val="21"/>
                <w:highlight w:val="none"/>
              </w:rPr>
              <w:t>履约保证金</w:t>
            </w:r>
            <w:r>
              <w:rPr>
                <w:rFonts w:cs="宋体"/>
                <w:b/>
                <w:color w:val="auto"/>
                <w:szCs w:val="21"/>
                <w:highlight w:val="none"/>
              </w:rPr>
              <w:t>转为</w:t>
            </w:r>
            <w:r>
              <w:rPr>
                <w:rFonts w:hint="eastAsia" w:cs="宋体"/>
                <w:b/>
                <w:color w:val="auto"/>
                <w:szCs w:val="21"/>
                <w:highlight w:val="none"/>
              </w:rPr>
              <w:t>工程</w:t>
            </w:r>
            <w:r>
              <w:rPr>
                <w:rFonts w:cs="宋体"/>
                <w:b/>
                <w:color w:val="auto"/>
                <w:szCs w:val="21"/>
                <w:highlight w:val="none"/>
              </w:rPr>
              <w:t>质量保证金</w:t>
            </w:r>
            <w:r>
              <w:rPr>
                <w:rFonts w:hint="eastAsia" w:cs="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1542" w:type="dxa"/>
            <w:gridSpan w:val="2"/>
            <w:noWrap w:val="0"/>
            <w:tcMar>
              <w:top w:w="13" w:type="dxa"/>
              <w:left w:w="57" w:type="dxa"/>
              <w:bottom w:w="0" w:type="dxa"/>
              <w:right w:w="57" w:type="dxa"/>
            </w:tcMar>
            <w:vAlign w:val="center"/>
          </w:tcPr>
          <w:p>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其他</w:t>
            </w:r>
          </w:p>
        </w:tc>
        <w:tc>
          <w:tcPr>
            <w:tcW w:w="7827" w:type="dxa"/>
            <w:gridSpan w:val="3"/>
            <w:noWrap w:val="0"/>
            <w:tcMar>
              <w:top w:w="0" w:type="dxa"/>
              <w:left w:w="57" w:type="dxa"/>
              <w:bottom w:w="0" w:type="dxa"/>
              <w:right w:w="57" w:type="dxa"/>
            </w:tcMar>
            <w:vAlign w:val="center"/>
          </w:tcPr>
          <w:p>
            <w:pPr>
              <w:adjustRightInd w:val="0"/>
              <w:spacing w:line="360" w:lineRule="auto"/>
              <w:rPr>
                <w:rFonts w:hint="eastAsia" w:ascii="宋体" w:hAnsi="宋体" w:cs="宋体"/>
                <w:snapToGrid w:val="0"/>
                <w:color w:val="auto"/>
                <w:spacing w:val="-2"/>
                <w:kern w:val="0"/>
                <w:szCs w:val="21"/>
                <w:highlight w:val="none"/>
              </w:rPr>
            </w:pPr>
            <w:r>
              <w:rPr>
                <w:rFonts w:hint="eastAsia" w:ascii="宋体" w:hAnsi="宋体"/>
                <w:color w:val="auto"/>
                <w:szCs w:val="21"/>
                <w:highlight w:val="none"/>
              </w:rPr>
              <w:t>1.供应商可根据本项目需求在响应文件提供</w:t>
            </w:r>
            <w:r>
              <w:rPr>
                <w:rFonts w:hint="eastAsia"/>
                <w:color w:val="auto"/>
                <w:szCs w:val="21"/>
                <w:highlight w:val="none"/>
              </w:rPr>
              <w:t>项目现状、需求及问题分析</w:t>
            </w:r>
            <w:r>
              <w:rPr>
                <w:rFonts w:hint="eastAsia" w:ascii="宋体" w:hAnsi="宋体" w:cs="Nimbus Roman No9 L"/>
                <w:color w:val="auto"/>
                <w:szCs w:val="21"/>
                <w:highlight w:val="none"/>
              </w:rPr>
              <w:t>，</w:t>
            </w:r>
            <w:r>
              <w:rPr>
                <w:rFonts w:hint="eastAsia" w:ascii="宋体" w:hAnsi="宋体" w:cs="宋体"/>
                <w:bCs/>
                <w:color w:val="auto"/>
                <w:kern w:val="0"/>
                <w:szCs w:val="21"/>
                <w:highlight w:val="none"/>
              </w:rPr>
              <w:t>项目实施方案，</w:t>
            </w:r>
            <w:r>
              <w:rPr>
                <w:rFonts w:hint="eastAsia"/>
                <w:color w:val="auto"/>
                <w:highlight w:val="none"/>
              </w:rPr>
              <w:t>项目保障措施，</w:t>
            </w:r>
            <w:r>
              <w:rPr>
                <w:rFonts w:hint="eastAsia" w:ascii="宋体" w:hAnsi="宋体" w:cs="宋体"/>
                <w:bCs/>
                <w:color w:val="auto"/>
                <w:kern w:val="0"/>
                <w:szCs w:val="21"/>
                <w:highlight w:val="none"/>
              </w:rPr>
              <w:t>服务承诺，</w:t>
            </w:r>
            <w:r>
              <w:rPr>
                <w:rFonts w:hint="eastAsia"/>
                <w:color w:val="auto"/>
                <w:szCs w:val="21"/>
                <w:highlight w:val="none"/>
              </w:rPr>
              <w:t>拟投入施工机械设备及项目实施人员配备情况</w:t>
            </w:r>
            <w:r>
              <w:rPr>
                <w:rFonts w:hint="eastAsia" w:ascii="宋体" w:hAnsi="宋体" w:cs="宋体"/>
                <w:snapToGrid w:val="0"/>
                <w:color w:val="auto"/>
                <w:spacing w:val="-2"/>
                <w:kern w:val="0"/>
                <w:szCs w:val="21"/>
                <w:highlight w:val="none"/>
              </w:rPr>
              <w:t>等内容。</w:t>
            </w:r>
          </w:p>
          <w:p>
            <w:pPr>
              <w:adjustRightInd w:val="0"/>
              <w:spacing w:line="360" w:lineRule="auto"/>
              <w:rPr>
                <w:rFonts w:hint="eastAsia" w:ascii="宋体" w:hAnsi="宋体"/>
                <w:color w:val="auto"/>
                <w:szCs w:val="21"/>
                <w:highlight w:val="none"/>
              </w:rPr>
            </w:pPr>
            <w:r>
              <w:rPr>
                <w:rFonts w:hint="eastAsia" w:ascii="宋体" w:hAnsi="宋体"/>
                <w:color w:val="auto"/>
                <w:szCs w:val="21"/>
                <w:highlight w:val="none"/>
              </w:rPr>
              <w:t>2.违约责任</w:t>
            </w:r>
          </w:p>
          <w:p>
            <w:pPr>
              <w:adjustRightInd w:val="0"/>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供应商如有以下行为之一的，由采购人停止该供应商</w:t>
            </w:r>
            <w:r>
              <w:rPr>
                <w:rFonts w:hint="eastAsia" w:ascii="宋体" w:hAnsi="宋体" w:cs="宋体"/>
                <w:color w:val="auto"/>
                <w:szCs w:val="21"/>
                <w:highlight w:val="none"/>
                <w:lang w:val="en-US" w:eastAsia="zh-CN"/>
              </w:rPr>
              <w:t>定点施工</w:t>
            </w:r>
            <w:r>
              <w:rPr>
                <w:rFonts w:hint="eastAsia" w:ascii="宋体" w:hAnsi="宋体" w:cs="宋体"/>
                <w:color w:val="auto"/>
                <w:szCs w:val="21"/>
                <w:highlight w:val="none"/>
              </w:rPr>
              <w:t>服务单位</w:t>
            </w:r>
            <w:r>
              <w:rPr>
                <w:rFonts w:hint="eastAsia" w:ascii="宋体" w:hAnsi="宋体"/>
                <w:color w:val="auto"/>
                <w:szCs w:val="21"/>
                <w:highlight w:val="none"/>
              </w:rPr>
              <w:t>资格并取消其下一次定点</w:t>
            </w:r>
            <w:r>
              <w:rPr>
                <w:rFonts w:hint="eastAsia" w:ascii="宋体" w:hAnsi="宋体" w:cs="宋体"/>
                <w:color w:val="auto"/>
                <w:szCs w:val="21"/>
                <w:highlight w:val="none"/>
                <w:lang w:val="en-US" w:eastAsia="zh-CN"/>
              </w:rPr>
              <w:t>施工</w:t>
            </w:r>
            <w:r>
              <w:rPr>
                <w:rFonts w:hint="eastAsia" w:ascii="宋体" w:hAnsi="宋体" w:cs="宋体"/>
                <w:color w:val="auto"/>
                <w:szCs w:val="21"/>
                <w:highlight w:val="none"/>
              </w:rPr>
              <w:t>服务单位</w:t>
            </w:r>
            <w:r>
              <w:rPr>
                <w:rFonts w:hint="eastAsia" w:ascii="宋体" w:hAnsi="宋体"/>
                <w:color w:val="auto"/>
                <w:szCs w:val="21"/>
                <w:highlight w:val="none"/>
              </w:rPr>
              <w:t>采购</w:t>
            </w:r>
            <w:r>
              <w:rPr>
                <w:rFonts w:hint="eastAsia" w:ascii="宋体" w:hAnsi="宋体"/>
                <w:color w:val="auto"/>
                <w:szCs w:val="21"/>
                <w:highlight w:val="none"/>
                <w:lang w:eastAsia="zh-CN"/>
              </w:rPr>
              <w:t>竞标</w:t>
            </w:r>
            <w:r>
              <w:rPr>
                <w:rFonts w:hint="eastAsia" w:ascii="宋体" w:hAnsi="宋体"/>
                <w:color w:val="auto"/>
                <w:szCs w:val="21"/>
                <w:highlight w:val="none"/>
              </w:rPr>
              <w:t>资格。</w:t>
            </w:r>
          </w:p>
          <w:p>
            <w:pPr>
              <w:adjustRightInd w:val="0"/>
              <w:spacing w:line="360" w:lineRule="auto"/>
              <w:rPr>
                <w:rFonts w:hint="eastAsia" w:ascii="宋体" w:hAnsi="宋体"/>
                <w:color w:val="auto"/>
                <w:szCs w:val="21"/>
                <w:highlight w:val="none"/>
              </w:rPr>
            </w:pPr>
            <w:r>
              <w:rPr>
                <w:rFonts w:hint="eastAsia" w:ascii="宋体" w:hAnsi="宋体"/>
                <w:color w:val="auto"/>
                <w:szCs w:val="21"/>
                <w:highlight w:val="none"/>
              </w:rPr>
              <w:t>（1）提供虚假投标材料的；</w:t>
            </w:r>
          </w:p>
          <w:p>
            <w:pPr>
              <w:adjustRightInd w:val="0"/>
              <w:spacing w:line="360" w:lineRule="auto"/>
              <w:rPr>
                <w:rFonts w:hint="eastAsia" w:ascii="宋体" w:hAnsi="宋体"/>
                <w:color w:val="auto"/>
                <w:szCs w:val="21"/>
                <w:highlight w:val="none"/>
              </w:rPr>
            </w:pPr>
            <w:r>
              <w:rPr>
                <w:rFonts w:hint="eastAsia" w:ascii="宋体" w:hAnsi="宋体"/>
                <w:color w:val="auto"/>
                <w:szCs w:val="21"/>
                <w:highlight w:val="none"/>
              </w:rPr>
              <w:t>（2）向采购人或采购人工作人员行贿或提供其他不正当利益的；</w:t>
            </w:r>
          </w:p>
          <w:p>
            <w:pPr>
              <w:adjustRightInd w:val="0"/>
              <w:spacing w:line="360" w:lineRule="auto"/>
              <w:rPr>
                <w:rFonts w:hint="eastAsia" w:ascii="宋体" w:hAnsi="宋体"/>
                <w:color w:val="auto"/>
                <w:szCs w:val="21"/>
                <w:highlight w:val="none"/>
              </w:rPr>
            </w:pPr>
            <w:r>
              <w:rPr>
                <w:rFonts w:hint="eastAsia" w:ascii="宋体" w:hAnsi="宋体"/>
                <w:color w:val="auto"/>
                <w:szCs w:val="21"/>
                <w:highlight w:val="none"/>
              </w:rPr>
              <w:t>（3）成交后弃标、拒签采购协议的；</w:t>
            </w:r>
          </w:p>
          <w:p>
            <w:pPr>
              <w:adjustRightInd w:val="0"/>
              <w:spacing w:line="360" w:lineRule="auto"/>
              <w:rPr>
                <w:rFonts w:hint="eastAsia" w:ascii="宋体" w:hAnsi="宋体"/>
                <w:color w:val="auto"/>
                <w:szCs w:val="21"/>
                <w:highlight w:val="none"/>
              </w:rPr>
            </w:pPr>
            <w:r>
              <w:rPr>
                <w:rFonts w:hint="eastAsia" w:ascii="宋体" w:hAnsi="宋体"/>
                <w:color w:val="auto"/>
                <w:szCs w:val="21"/>
                <w:highlight w:val="none"/>
              </w:rPr>
              <w:t>（4）在执行过程中采取价格联盟，损害采购人利益的；</w:t>
            </w:r>
          </w:p>
          <w:p>
            <w:pPr>
              <w:adjustRightInd w:val="0"/>
              <w:spacing w:line="360" w:lineRule="auto"/>
              <w:rPr>
                <w:rFonts w:hint="eastAsia" w:ascii="宋体" w:hAnsi="宋体"/>
                <w:color w:val="auto"/>
                <w:szCs w:val="21"/>
                <w:highlight w:val="none"/>
              </w:rPr>
            </w:pPr>
            <w:r>
              <w:rPr>
                <w:rFonts w:hint="eastAsia" w:ascii="宋体" w:hAnsi="宋体"/>
                <w:color w:val="auto"/>
                <w:szCs w:val="21"/>
                <w:highlight w:val="none"/>
              </w:rPr>
              <w:t>（5）不按要求和承诺提供相关的服务的；</w:t>
            </w:r>
          </w:p>
          <w:p>
            <w:pPr>
              <w:adjustRightInd w:val="0"/>
              <w:spacing w:line="360" w:lineRule="auto"/>
              <w:rPr>
                <w:rFonts w:hint="eastAsia" w:ascii="宋体" w:hAnsi="宋体"/>
                <w:color w:val="auto"/>
                <w:szCs w:val="21"/>
                <w:highlight w:val="none"/>
              </w:rPr>
            </w:pPr>
            <w:r>
              <w:rPr>
                <w:rFonts w:hint="eastAsia" w:ascii="宋体" w:hAnsi="宋体"/>
                <w:color w:val="auto"/>
                <w:szCs w:val="21"/>
                <w:highlight w:val="none"/>
              </w:rPr>
              <w:t>（6）串通订立虚假采购合同的；</w:t>
            </w:r>
          </w:p>
          <w:p>
            <w:pPr>
              <w:adjustRightInd w:val="0"/>
              <w:spacing w:line="360" w:lineRule="auto"/>
              <w:rPr>
                <w:rFonts w:hint="eastAsia" w:ascii="宋体" w:hAnsi="宋体"/>
                <w:color w:val="auto"/>
                <w:szCs w:val="21"/>
                <w:highlight w:val="none"/>
              </w:rPr>
            </w:pPr>
            <w:r>
              <w:rPr>
                <w:rFonts w:hint="eastAsia" w:ascii="宋体" w:hAnsi="宋体"/>
                <w:color w:val="auto"/>
                <w:szCs w:val="21"/>
                <w:highlight w:val="none"/>
              </w:rPr>
              <w:t>（7）不按要求报送合同、报表等有关资料的；</w:t>
            </w:r>
          </w:p>
          <w:p>
            <w:pPr>
              <w:adjustRightInd w:val="0"/>
              <w:spacing w:line="360" w:lineRule="auto"/>
              <w:rPr>
                <w:rFonts w:hint="eastAsia" w:ascii="宋体" w:hAnsi="宋体"/>
                <w:color w:val="auto"/>
                <w:szCs w:val="21"/>
                <w:highlight w:val="none"/>
              </w:rPr>
            </w:pPr>
            <w:r>
              <w:rPr>
                <w:rFonts w:hint="eastAsia" w:ascii="宋体" w:hAnsi="宋体"/>
                <w:color w:val="auto"/>
                <w:szCs w:val="21"/>
                <w:highlight w:val="none"/>
              </w:rPr>
              <w:t>（8）不按要求和承诺提供相关的施工和服务；</w:t>
            </w:r>
          </w:p>
          <w:p>
            <w:pPr>
              <w:adjustRightInd w:val="0"/>
              <w:spacing w:line="360" w:lineRule="auto"/>
              <w:rPr>
                <w:rFonts w:hint="eastAsia" w:ascii="宋体" w:hAnsi="宋体"/>
                <w:color w:val="auto"/>
                <w:szCs w:val="21"/>
                <w:highlight w:val="none"/>
              </w:rPr>
            </w:pPr>
            <w:r>
              <w:rPr>
                <w:rFonts w:hint="eastAsia" w:ascii="宋体" w:hAnsi="宋体"/>
                <w:color w:val="auto"/>
                <w:szCs w:val="21"/>
                <w:highlight w:val="none"/>
              </w:rPr>
              <w:t>（9）提供假冒伪劣产品进行施工的；</w:t>
            </w:r>
          </w:p>
          <w:p>
            <w:pPr>
              <w:adjustRightInd w:val="0"/>
              <w:spacing w:line="360" w:lineRule="auto"/>
              <w:rPr>
                <w:rFonts w:hint="eastAsia" w:ascii="宋体" w:hAnsi="宋体"/>
                <w:color w:val="auto"/>
                <w:szCs w:val="21"/>
                <w:highlight w:val="none"/>
              </w:rPr>
            </w:pPr>
            <w:r>
              <w:rPr>
                <w:rFonts w:hint="eastAsia" w:ascii="宋体" w:hAnsi="宋体"/>
                <w:color w:val="auto"/>
                <w:szCs w:val="21"/>
                <w:highlight w:val="none"/>
              </w:rPr>
              <w:t>（10）不能按承诺的施工时间完工的；</w:t>
            </w:r>
          </w:p>
          <w:p>
            <w:pPr>
              <w:adjustRightInd w:val="0"/>
              <w:spacing w:line="360" w:lineRule="auto"/>
              <w:rPr>
                <w:rFonts w:hint="eastAsia" w:ascii="宋体" w:hAnsi="宋体" w:cs="宋体"/>
                <w:b/>
                <w:color w:val="auto"/>
                <w:szCs w:val="21"/>
                <w:highlight w:val="none"/>
              </w:rPr>
            </w:pPr>
            <w:r>
              <w:rPr>
                <w:rFonts w:hint="eastAsia" w:ascii="宋体" w:hAnsi="宋体"/>
                <w:color w:val="auto"/>
                <w:szCs w:val="21"/>
                <w:highlight w:val="none"/>
              </w:rPr>
              <w:t>（11）有其他违反有关法律法规规定的情形的。</w:t>
            </w:r>
          </w:p>
        </w:tc>
      </w:tr>
    </w:tbl>
    <w:p>
      <w:pPr>
        <w:jc w:val="left"/>
        <w:rPr>
          <w:rFonts w:hint="eastAsia" w:ascii="Arial Unicode MS" w:hAnsi="Arial Unicode MS" w:eastAsia="Arial Unicode MS" w:cs="Arial Unicode MS"/>
          <w:kern w:val="0"/>
          <w:sz w:val="32"/>
          <w:szCs w:val="32"/>
        </w:rPr>
      </w:pPr>
      <w:bookmarkStart w:id="12" w:name="_GoBack"/>
      <w:bookmarkEnd w:id="12"/>
      <w:r>
        <w:rPr>
          <w:rFonts w:hint="eastAsia" w:hAnsi="宋体"/>
          <w:b/>
          <w:color w:val="auto"/>
          <w:sz w:val="32"/>
          <w:szCs w:val="32"/>
        </w:rPr>
        <w:br w:type="page"/>
      </w:r>
      <w:r>
        <w:rPr>
          <w:rFonts w:hint="eastAsia" w:ascii="Arial Unicode MS" w:hAnsi="Arial Unicode MS" w:eastAsia="Arial Unicode MS" w:cs="Arial Unicode MS"/>
          <w:sz w:val="32"/>
          <w:szCs w:val="32"/>
        </w:rPr>
        <w:t>附件</w:t>
      </w:r>
      <w:r>
        <w:rPr>
          <w:rFonts w:hint="eastAsia" w:ascii="Arial Unicode MS" w:hAnsi="Arial Unicode MS" w:cs="Arial Unicode MS"/>
          <w:sz w:val="32"/>
          <w:szCs w:val="32"/>
        </w:rPr>
        <w:t>1</w:t>
      </w:r>
      <w:r>
        <w:rPr>
          <w:rFonts w:hint="eastAsia" w:ascii="Arial Unicode MS" w:hAnsi="Arial Unicode MS" w:eastAsia="Arial Unicode MS" w:cs="Arial Unicode MS"/>
          <w:sz w:val="32"/>
          <w:szCs w:val="32"/>
        </w:rPr>
        <w:t>：</w:t>
      </w:r>
    </w:p>
    <w:p>
      <w:pPr>
        <w:widowControl/>
        <w:spacing w:before="120" w:beforeLines="50" w:after="120" w:afterLines="50" w:line="280" w:lineRule="exact"/>
        <w:jc w:val="center"/>
        <w:rPr>
          <w:rFonts w:ascii="宋体" w:hAnsi="宋体" w:cs="宋体"/>
          <w:b/>
          <w:bCs/>
          <w:kern w:val="0"/>
          <w:sz w:val="30"/>
          <w:szCs w:val="30"/>
        </w:rPr>
      </w:pPr>
      <w:bookmarkStart w:id="8" w:name="_Toc28361_WPSOffice_Level2"/>
      <w:r>
        <w:rPr>
          <w:rFonts w:hint="eastAsia" w:ascii="宋体" w:hAnsi="宋体" w:cs="宋体"/>
          <w:b/>
          <w:bCs/>
          <w:kern w:val="0"/>
          <w:sz w:val="30"/>
          <w:szCs w:val="30"/>
        </w:rPr>
        <w:t>统计上大中小微型企业划分标准</w:t>
      </w:r>
      <w:bookmarkEnd w:id="8"/>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pPr>
              <w:widowControl/>
              <w:spacing w:line="28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1369" w:type="dxa"/>
            <w:shd w:val="clear" w:color="auto" w:fill="8DB3E2"/>
            <w:noWrap w:val="0"/>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指标名称</w:t>
            </w:r>
          </w:p>
        </w:tc>
        <w:tc>
          <w:tcPr>
            <w:tcW w:w="709" w:type="dxa"/>
            <w:shd w:val="clear" w:color="auto" w:fill="8DB3E2"/>
            <w:noWrap w:val="0"/>
            <w:vAlign w:val="center"/>
          </w:tcPr>
          <w:p>
            <w:pPr>
              <w:widowControl/>
              <w:spacing w:line="280" w:lineRule="exact"/>
              <w:jc w:val="center"/>
              <w:rPr>
                <w:rFonts w:hint="eastAsia" w:ascii="宋体" w:hAnsi="宋体" w:cs="宋体"/>
                <w:b/>
                <w:bCs/>
                <w:kern w:val="0"/>
                <w:sz w:val="18"/>
                <w:szCs w:val="18"/>
              </w:rPr>
            </w:pPr>
            <w:r>
              <w:rPr>
                <w:rFonts w:hint="eastAsia" w:ascii="宋体" w:hAnsi="宋体" w:cs="宋体"/>
                <w:b/>
                <w:bCs/>
                <w:kern w:val="0"/>
                <w:sz w:val="18"/>
                <w:szCs w:val="18"/>
              </w:rPr>
              <w:t>计量</w:t>
            </w:r>
          </w:p>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单位</w:t>
            </w:r>
          </w:p>
        </w:tc>
        <w:tc>
          <w:tcPr>
            <w:tcW w:w="1125" w:type="dxa"/>
            <w:shd w:val="clear" w:color="auto" w:fill="8DB3E2"/>
            <w:noWrap w:val="0"/>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大型</w:t>
            </w:r>
          </w:p>
        </w:tc>
        <w:tc>
          <w:tcPr>
            <w:tcW w:w="1701" w:type="dxa"/>
            <w:shd w:val="clear" w:color="auto" w:fill="8DB3E2"/>
            <w:noWrap w:val="0"/>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中型</w:t>
            </w:r>
          </w:p>
        </w:tc>
        <w:tc>
          <w:tcPr>
            <w:tcW w:w="1426" w:type="dxa"/>
            <w:shd w:val="clear" w:color="auto" w:fill="8DB3E2"/>
            <w:noWrap w:val="0"/>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小型</w:t>
            </w:r>
          </w:p>
        </w:tc>
        <w:tc>
          <w:tcPr>
            <w:tcW w:w="992" w:type="dxa"/>
            <w:shd w:val="clear" w:color="auto" w:fill="8DB3E2"/>
            <w:noWrap w:val="0"/>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农、林、牧、渔业</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50≤Y＜500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工业 *</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2000≤Y＜40000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300≤Y＜2000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建筑业</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Y≥80000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6000≤Y＜80000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300≤Y＜6000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Z≥80000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5000≤Z＜80000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300≤Z＜5000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批发业</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20≤X＜200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5≤X＜20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5000≤Y＜40000</w:t>
            </w:r>
          </w:p>
        </w:tc>
        <w:tc>
          <w:tcPr>
            <w:tcW w:w="1426" w:type="dxa"/>
            <w:noWrap w:val="0"/>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1000≤Y＜5000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零售业</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50≤X＜300</w:t>
            </w:r>
          </w:p>
        </w:tc>
        <w:tc>
          <w:tcPr>
            <w:tcW w:w="1426" w:type="dxa"/>
            <w:noWrap w:val="0"/>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 xml:space="preserve">10≤X＜50 </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noWrap w:val="0"/>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100≤Y＜500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交通运输业 *</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3000≤Y＜30000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200≤Y＜3000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仓储业*</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noWrap w:val="0"/>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100≤X＜200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20≤X＜100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1000≤Y＜30000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邮政业</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2000≤Y＜30000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住宿业</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餐饮业</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信息传输业 *</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100≤X＜2000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spacing w:val="-12"/>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50≤Y＜1000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1000≤Y＜200000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5000≤Z＜10000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2000≤Z＜5000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物业管理</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100≤X＜300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Y≥5000</w:t>
            </w:r>
          </w:p>
        </w:tc>
        <w:tc>
          <w:tcPr>
            <w:tcW w:w="1701" w:type="dxa"/>
            <w:noWrap w:val="0"/>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1000≤Y＜5000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500≤Y＜1000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租赁和商务服务业</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kern w:val="0"/>
                <w:sz w:val="18"/>
                <w:szCs w:val="18"/>
              </w:rPr>
            </w:pP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Z≥120000</w:t>
            </w:r>
          </w:p>
        </w:tc>
        <w:tc>
          <w:tcPr>
            <w:tcW w:w="1701"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8000≤Z＜120000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100≤Z＜8000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其他未列明行业 *</w:t>
            </w:r>
          </w:p>
        </w:tc>
        <w:tc>
          <w:tcPr>
            <w:tcW w:w="136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noWrap w:val="0"/>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bl>
    <w:p>
      <w:pPr>
        <w:widowControl/>
        <w:spacing w:line="280" w:lineRule="exact"/>
        <w:rPr>
          <w:rFonts w:ascii="宋体" w:hAnsi="宋体" w:cs="宋体"/>
          <w:spacing w:val="8"/>
          <w:kern w:val="0"/>
          <w:sz w:val="24"/>
        </w:rPr>
      </w:pPr>
    </w:p>
    <w:p>
      <w:pPr>
        <w:widowControl/>
        <w:spacing w:line="480" w:lineRule="auto"/>
        <w:rPr>
          <w:rFonts w:ascii="宋体" w:hAnsi="宋体" w:cs="宋体"/>
          <w:spacing w:val="8"/>
          <w:kern w:val="0"/>
          <w:szCs w:val="21"/>
        </w:rPr>
      </w:pPr>
      <w:r>
        <w:rPr>
          <w:rFonts w:hint="eastAsia" w:ascii="宋体" w:hAnsi="宋体" w:cs="宋体"/>
          <w:spacing w:val="8"/>
          <w:kern w:val="0"/>
          <w:szCs w:val="21"/>
        </w:rPr>
        <w:t>说明：</w:t>
      </w:r>
    </w:p>
    <w:p>
      <w:pPr>
        <w:pStyle w:val="5"/>
        <w:adjustRightInd w:val="0"/>
        <w:spacing w:line="480" w:lineRule="auto"/>
        <w:ind w:firstLine="432" w:firstLineChars="200"/>
        <w:contextualSpacing/>
        <w:rPr>
          <w:rFonts w:hAnsi="宋体" w:cs="宋体"/>
          <w:spacing w:val="8"/>
        </w:rPr>
      </w:pPr>
      <w:r>
        <w:rPr>
          <w:rFonts w:hint="eastAsia" w:hAnsi="宋体" w:cs="宋体"/>
          <w:spacing w:val="8"/>
        </w:rPr>
        <w:t>1.大型、中型和小型企业须同时满足所列指标的下限，否则下划一档；微型企业只须满足所列指标中的一项即可。</w:t>
      </w:r>
    </w:p>
    <w:p>
      <w:pPr>
        <w:pStyle w:val="5"/>
        <w:adjustRightInd w:val="0"/>
        <w:spacing w:line="480" w:lineRule="auto"/>
        <w:ind w:firstLine="432" w:firstLineChars="200"/>
        <w:contextualSpacing/>
        <w:rPr>
          <w:rFonts w:hAnsi="宋体" w:cs="宋体"/>
          <w:spacing w:val="8"/>
        </w:rPr>
      </w:pPr>
      <w:r>
        <w:rPr>
          <w:rFonts w:hint="eastAsia" w:hAnsi="宋体" w:cs="宋体"/>
          <w:spacing w:val="8"/>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5"/>
        <w:spacing w:line="480" w:lineRule="auto"/>
        <w:ind w:firstLine="432" w:firstLineChars="200"/>
        <w:rPr>
          <w:rFonts w:hAnsi="宋体" w:cs="宋体"/>
          <w:spacing w:val="8"/>
          <w:sz w:val="24"/>
          <w:szCs w:val="24"/>
        </w:rPr>
      </w:pPr>
      <w:r>
        <w:rPr>
          <w:rFonts w:hint="eastAsia" w:hAnsi="宋体" w:cs="宋体"/>
          <w:spacing w:val="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pageBreakBefore w:val="0"/>
        <w:kinsoku/>
        <w:wordWrap/>
        <w:overflowPunct/>
        <w:topLinePunct w:val="0"/>
        <w:autoSpaceDE/>
        <w:autoSpaceDN/>
        <w:bidi w:val="0"/>
        <w:adjustRightInd/>
        <w:snapToGrid/>
        <w:spacing w:line="360" w:lineRule="auto"/>
        <w:jc w:val="left"/>
        <w:rPr>
          <w:rFonts w:hint="eastAsia" w:ascii="Arial Unicode MS" w:hAnsi="Arial Unicode MS" w:eastAsia="Arial Unicode MS" w:cs="Arial Unicode MS"/>
          <w:sz w:val="32"/>
          <w:szCs w:val="32"/>
        </w:rPr>
      </w:pPr>
      <w:r>
        <w:rPr>
          <w:rFonts w:hint="eastAsia" w:ascii="Cambria" w:hAnsi="Cambria"/>
          <w:bCs w:val="0"/>
          <w:sz w:val="32"/>
          <w:szCs w:val="32"/>
        </w:rPr>
        <w:br w:type="page"/>
      </w:r>
    </w:p>
    <w:p>
      <w:pPr>
        <w:jc w:val="left"/>
        <w:rPr>
          <w:rFonts w:hint="eastAsia" w:ascii="Arial Unicode MS" w:hAnsi="Arial Unicode MS" w:eastAsia="Arial Unicode MS" w:cs="Arial Unicode MS"/>
          <w:sz w:val="32"/>
          <w:szCs w:val="32"/>
        </w:rPr>
      </w:pPr>
      <w:bookmarkStart w:id="9" w:name="_Toc10382"/>
      <w:bookmarkStart w:id="10" w:name="_Toc23305"/>
      <w:bookmarkStart w:id="11" w:name="_Toc23063"/>
      <w:r>
        <w:rPr>
          <w:rFonts w:hint="eastAsia" w:ascii="Arial Unicode MS" w:hAnsi="Arial Unicode MS" w:eastAsia="Arial Unicode MS" w:cs="Arial Unicode MS"/>
          <w:sz w:val="32"/>
          <w:szCs w:val="32"/>
        </w:rPr>
        <w:t>附件</w:t>
      </w:r>
      <w:r>
        <w:rPr>
          <w:rFonts w:hint="eastAsia" w:ascii="Arial Unicode MS" w:hAnsi="Arial Unicode MS" w:eastAsia="Arial Unicode MS" w:cs="Arial Unicode MS"/>
          <w:sz w:val="32"/>
          <w:szCs w:val="32"/>
          <w:lang w:val="en-US" w:eastAsia="zh-CN"/>
        </w:rPr>
        <w:t>2</w:t>
      </w:r>
      <w:r>
        <w:rPr>
          <w:rFonts w:hint="eastAsia" w:ascii="Arial Unicode MS" w:hAnsi="Arial Unicode MS" w:eastAsia="Arial Unicode MS" w:cs="Arial Unicode MS"/>
          <w:sz w:val="32"/>
          <w:szCs w:val="32"/>
        </w:rPr>
        <w:t>：</w:t>
      </w:r>
      <w:bookmarkEnd w:id="9"/>
      <w:bookmarkEnd w:id="10"/>
      <w:bookmarkEnd w:id="11"/>
    </w:p>
    <w:p>
      <w:pPr>
        <w:pageBreakBefore w:val="0"/>
        <w:widowControl/>
        <w:kinsoku/>
        <w:wordWrap/>
        <w:overflowPunct/>
        <w:topLinePunct w:val="0"/>
        <w:autoSpaceDE/>
        <w:autoSpaceDN/>
        <w:bidi w:val="0"/>
        <w:adjustRightInd/>
        <w:snapToGrid/>
        <w:spacing w:before="120" w:beforeLines="50" w:after="120" w:afterLines="50" w:line="360" w:lineRule="auto"/>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服务考核评价表</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2724"/>
        <w:gridCol w:w="309"/>
        <w:gridCol w:w="1482"/>
        <w:gridCol w:w="1719"/>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shd w:val="clear" w:color="auto" w:fill="FEFEFE"/>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rPr>
              <w:t>服务考核评价表（格式）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4" w:type="pct"/>
            <w:shd w:val="clear" w:color="auto" w:fill="EBE9E6"/>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填表单位（公章）：</w:t>
            </w:r>
          </w:p>
        </w:tc>
        <w:tc>
          <w:tcPr>
            <w:tcW w:w="1538" w:type="pct"/>
            <w:gridSpan w:val="2"/>
            <w:shd w:val="clear" w:color="auto" w:fill="EBE9E6"/>
            <w:noWrap/>
            <w:vAlign w:val="center"/>
          </w:tcPr>
          <w:p>
            <w:pPr>
              <w:pageBreakBefore w:val="0"/>
              <w:kinsoku/>
              <w:wordWrap/>
              <w:overflowPunct/>
              <w:topLinePunct w:val="0"/>
              <w:autoSpaceDE/>
              <w:autoSpaceDN/>
              <w:bidi w:val="0"/>
              <w:adjustRightInd/>
              <w:snapToGrid/>
              <w:spacing w:line="360" w:lineRule="auto"/>
              <w:jc w:val="center"/>
              <w:rPr>
                <w:rFonts w:ascii="宋体" w:hAnsi="宋体" w:cs="宋体"/>
                <w:color w:val="000000"/>
                <w:szCs w:val="21"/>
              </w:rPr>
            </w:pPr>
          </w:p>
        </w:tc>
        <w:tc>
          <w:tcPr>
            <w:tcW w:w="752" w:type="pct"/>
            <w:shd w:val="clear" w:color="auto" w:fill="EBE9E6"/>
            <w:noWrap/>
            <w:vAlign w:val="center"/>
          </w:tcPr>
          <w:p>
            <w:pPr>
              <w:pageBreakBefore w:val="0"/>
              <w:kinsoku/>
              <w:wordWrap/>
              <w:overflowPunct/>
              <w:topLinePunct w:val="0"/>
              <w:autoSpaceDE/>
              <w:autoSpaceDN/>
              <w:bidi w:val="0"/>
              <w:adjustRightInd/>
              <w:snapToGrid/>
              <w:spacing w:line="360" w:lineRule="auto"/>
              <w:jc w:val="center"/>
              <w:rPr>
                <w:rFonts w:ascii="宋体" w:hAnsi="宋体" w:cs="宋体"/>
                <w:color w:val="000000"/>
                <w:szCs w:val="21"/>
              </w:rPr>
            </w:pPr>
            <w:r>
              <w:rPr>
                <w:rFonts w:hint="eastAsia" w:ascii="宋体" w:hAnsi="宋体" w:cs="宋体"/>
                <w:color w:val="000000"/>
                <w:kern w:val="0"/>
                <w:szCs w:val="21"/>
              </w:rPr>
              <w:t>填表日期：</w:t>
            </w:r>
          </w:p>
        </w:tc>
        <w:tc>
          <w:tcPr>
            <w:tcW w:w="872" w:type="pct"/>
            <w:shd w:val="clear" w:color="auto" w:fill="EBE9E6"/>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p>
        </w:tc>
        <w:tc>
          <w:tcPr>
            <w:tcW w:w="661" w:type="pct"/>
            <w:shd w:val="clear" w:color="auto" w:fill="EBE9E6"/>
            <w:noWrap/>
            <w:vAlign w:val="center"/>
          </w:tcPr>
          <w:p>
            <w:pPr>
              <w:pageBreakBefore w:val="0"/>
              <w:kinsoku/>
              <w:wordWrap/>
              <w:overflowPunct/>
              <w:topLinePunct w:val="0"/>
              <w:autoSpaceDE/>
              <w:autoSpaceDN/>
              <w:bidi w:val="0"/>
              <w:adjustRightInd/>
              <w:snapToGrid/>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13" w:type="pct"/>
            <w:gridSpan w:val="3"/>
            <w:shd w:val="clear" w:color="auto" w:fill="EBE9E6"/>
            <w:noWrap/>
            <w:vAlign w:val="center"/>
          </w:tcPr>
          <w:p>
            <w:pPr>
              <w:pageBreakBefore w:val="0"/>
              <w:kinsoku/>
              <w:wordWrap/>
              <w:overflowPunct/>
              <w:topLinePunct w:val="0"/>
              <w:autoSpaceDE/>
              <w:autoSpaceDN/>
              <w:bidi w:val="0"/>
              <w:adjustRightInd/>
              <w:snapToGrid/>
              <w:spacing w:line="360" w:lineRule="auto"/>
              <w:jc w:val="left"/>
              <w:rPr>
                <w:rFonts w:ascii="宋体" w:hAnsi="宋体" w:cs="宋体"/>
                <w:color w:val="000000"/>
                <w:szCs w:val="21"/>
              </w:rPr>
            </w:pPr>
            <w:r>
              <w:rPr>
                <w:rFonts w:hint="eastAsia" w:ascii="宋体" w:hAnsi="宋体" w:cs="宋体"/>
                <w:color w:val="000000"/>
                <w:kern w:val="0"/>
                <w:szCs w:val="21"/>
              </w:rPr>
              <w:t>填表人姓名及联系电话：</w:t>
            </w:r>
          </w:p>
        </w:tc>
        <w:tc>
          <w:tcPr>
            <w:tcW w:w="2286" w:type="pct"/>
            <w:gridSpan w:val="3"/>
            <w:shd w:val="clear" w:color="auto" w:fill="EBE9E6"/>
            <w:noWrap/>
            <w:vAlign w:val="center"/>
          </w:tcPr>
          <w:p>
            <w:pPr>
              <w:pageBreakBefore w:val="0"/>
              <w:kinsoku/>
              <w:wordWrap/>
              <w:overflowPunct/>
              <w:topLinePunct w:val="0"/>
              <w:autoSpaceDE/>
              <w:autoSpaceDN/>
              <w:bidi w:val="0"/>
              <w:adjustRightInd/>
              <w:snapToGrid/>
              <w:spacing w:line="360" w:lineRule="auto"/>
              <w:jc w:val="left"/>
              <w:rPr>
                <w:rFonts w:ascii="宋体" w:hAnsi="宋体" w:cs="宋体"/>
                <w:color w:val="000000"/>
                <w:szCs w:val="21"/>
              </w:rPr>
            </w:pPr>
            <w:r>
              <w:rPr>
                <w:rFonts w:hint="eastAsia" w:ascii="宋体" w:hAnsi="宋体" w:cs="宋体"/>
                <w:color w:val="000000"/>
                <w:kern w:val="0"/>
                <w:szCs w:val="21"/>
              </w:rPr>
              <w:t>审核人姓名及联系电话：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4" w:type="pct"/>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项目名称</w:t>
            </w:r>
          </w:p>
        </w:tc>
        <w:tc>
          <w:tcPr>
            <w:tcW w:w="2290" w:type="pct"/>
            <w:gridSpan w:val="3"/>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p>
        </w:tc>
        <w:tc>
          <w:tcPr>
            <w:tcW w:w="872" w:type="pct"/>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委托方</w:t>
            </w:r>
          </w:p>
        </w:tc>
        <w:tc>
          <w:tcPr>
            <w:tcW w:w="661" w:type="pct"/>
            <w:shd w:val="clear" w:color="auto" w:fill="EBE9E6"/>
            <w:noWrap w:val="0"/>
            <w:vAlign w:val="center"/>
          </w:tcPr>
          <w:p>
            <w:pPr>
              <w:pageBreakBefore w:val="0"/>
              <w:kinsoku/>
              <w:wordWrap/>
              <w:overflowPunct/>
              <w:topLinePunct w:val="0"/>
              <w:autoSpaceDE/>
              <w:autoSpaceDN/>
              <w:bidi w:val="0"/>
              <w:adjustRightInd/>
              <w:snapToGrid/>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4" w:type="pct"/>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建设内容</w:t>
            </w:r>
          </w:p>
        </w:tc>
        <w:tc>
          <w:tcPr>
            <w:tcW w:w="2290" w:type="pct"/>
            <w:gridSpan w:val="3"/>
            <w:shd w:val="clear" w:color="auto" w:fill="EBE9E6"/>
            <w:noWrap w:val="0"/>
            <w:vAlign w:val="center"/>
          </w:tcPr>
          <w:p>
            <w:pPr>
              <w:pageBreakBefore w:val="0"/>
              <w:kinsoku/>
              <w:wordWrap/>
              <w:overflowPunct/>
              <w:topLinePunct w:val="0"/>
              <w:autoSpaceDE/>
              <w:autoSpaceDN/>
              <w:bidi w:val="0"/>
              <w:adjustRightInd/>
              <w:snapToGrid/>
              <w:spacing w:line="360" w:lineRule="auto"/>
              <w:jc w:val="center"/>
              <w:rPr>
                <w:rFonts w:ascii="宋体" w:hAnsi="宋体" w:cs="宋体"/>
                <w:color w:val="000000"/>
                <w:szCs w:val="21"/>
              </w:rPr>
            </w:pPr>
          </w:p>
        </w:tc>
        <w:tc>
          <w:tcPr>
            <w:tcW w:w="872" w:type="pct"/>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成交服务单位</w:t>
            </w:r>
          </w:p>
        </w:tc>
        <w:tc>
          <w:tcPr>
            <w:tcW w:w="661" w:type="pct"/>
            <w:shd w:val="clear" w:color="auto" w:fill="EBE9E6"/>
            <w:noWrap w:val="0"/>
            <w:vAlign w:val="center"/>
          </w:tcPr>
          <w:p>
            <w:pPr>
              <w:pageBreakBefore w:val="0"/>
              <w:kinsoku/>
              <w:wordWrap/>
              <w:overflowPunct/>
              <w:topLinePunct w:val="0"/>
              <w:autoSpaceDE/>
              <w:autoSpaceDN/>
              <w:bidi w:val="0"/>
              <w:adjustRightInd/>
              <w:snapToGrid/>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4" w:type="pct"/>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合同价</w:t>
            </w:r>
          </w:p>
        </w:tc>
        <w:tc>
          <w:tcPr>
            <w:tcW w:w="2290" w:type="pct"/>
            <w:gridSpan w:val="3"/>
            <w:shd w:val="clear" w:color="auto" w:fill="EBE9E6"/>
            <w:noWrap w:val="0"/>
            <w:vAlign w:val="center"/>
          </w:tcPr>
          <w:p>
            <w:pPr>
              <w:pageBreakBefore w:val="0"/>
              <w:kinsoku/>
              <w:wordWrap/>
              <w:overflowPunct/>
              <w:topLinePunct w:val="0"/>
              <w:autoSpaceDE/>
              <w:autoSpaceDN/>
              <w:bidi w:val="0"/>
              <w:adjustRightInd/>
              <w:snapToGrid/>
              <w:spacing w:line="360" w:lineRule="auto"/>
              <w:jc w:val="center"/>
              <w:rPr>
                <w:rFonts w:ascii="宋体" w:hAnsi="宋体" w:cs="宋体"/>
                <w:color w:val="000000"/>
                <w:szCs w:val="21"/>
              </w:rPr>
            </w:pPr>
          </w:p>
        </w:tc>
        <w:tc>
          <w:tcPr>
            <w:tcW w:w="872" w:type="pct"/>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服务期限</w:t>
            </w:r>
          </w:p>
        </w:tc>
        <w:tc>
          <w:tcPr>
            <w:tcW w:w="661" w:type="pct"/>
            <w:shd w:val="clear" w:color="auto" w:fill="EBE9E6"/>
            <w:noWrap w:val="0"/>
            <w:vAlign w:val="center"/>
          </w:tcPr>
          <w:p>
            <w:pPr>
              <w:pageBreakBefore w:val="0"/>
              <w:kinsoku/>
              <w:wordWrap/>
              <w:overflowPunct/>
              <w:topLinePunct w:val="0"/>
              <w:autoSpaceDE/>
              <w:autoSpaceDN/>
              <w:bidi w:val="0"/>
              <w:adjustRightInd/>
              <w:snapToGrid/>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4" w:type="pct"/>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评价人</w:t>
            </w:r>
          </w:p>
        </w:tc>
        <w:tc>
          <w:tcPr>
            <w:tcW w:w="1382" w:type="pct"/>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评价内容</w:t>
            </w:r>
          </w:p>
        </w:tc>
        <w:tc>
          <w:tcPr>
            <w:tcW w:w="908" w:type="pct"/>
            <w:gridSpan w:val="2"/>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评价等级</w:t>
            </w:r>
          </w:p>
        </w:tc>
        <w:tc>
          <w:tcPr>
            <w:tcW w:w="872" w:type="pct"/>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得分</w:t>
            </w:r>
          </w:p>
        </w:tc>
        <w:tc>
          <w:tcPr>
            <w:tcW w:w="661" w:type="pct"/>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4" w:type="pct"/>
            <w:vMerge w:val="restart"/>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委托方</w:t>
            </w:r>
          </w:p>
        </w:tc>
        <w:tc>
          <w:tcPr>
            <w:tcW w:w="1382" w:type="pct"/>
            <w:shd w:val="clear" w:color="auto" w:fill="EBE9E6"/>
            <w:noWrap w:val="0"/>
            <w:vAlign w:val="center"/>
          </w:tcPr>
          <w:p>
            <w:pPr>
              <w:pageBreakBefore w:val="0"/>
              <w:widowControl/>
              <w:numPr>
                <w:ilvl w:val="0"/>
                <w:numId w:val="1"/>
              </w:numPr>
              <w:kinsoku/>
              <w:wordWrap/>
              <w:overflowPunct/>
              <w:topLinePunct w:val="0"/>
              <w:autoSpaceDE/>
              <w:autoSpaceDN/>
              <w:bidi w:val="0"/>
              <w:adjustRightInd/>
              <w:snapToGrid/>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对成交服务单位的服务质量满意度的评价：</w:t>
            </w:r>
          </w:p>
          <w:p>
            <w:pPr>
              <w:pageBreakBefore w:val="0"/>
              <w:widowControl/>
              <w:numPr>
                <w:ilvl w:val="0"/>
                <w:numId w:val="0"/>
              </w:numPr>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（满分60分）</w:t>
            </w:r>
          </w:p>
        </w:tc>
        <w:tc>
          <w:tcPr>
            <w:tcW w:w="908" w:type="pct"/>
            <w:gridSpan w:val="2"/>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rPr>
              <w:t>□满意51-60分</w:t>
            </w:r>
          </w:p>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rPr>
              <w:t>□一般37-50分</w:t>
            </w:r>
          </w:p>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szCs w:val="21"/>
              </w:rPr>
            </w:pPr>
            <w:r>
              <w:rPr>
                <w:rFonts w:hint="eastAsia" w:ascii="宋体" w:hAnsi="宋体" w:cs="宋体"/>
                <w:color w:val="000000"/>
                <w:kern w:val="0"/>
                <w:szCs w:val="21"/>
              </w:rPr>
              <w:t>□不满意0-36分</w:t>
            </w:r>
          </w:p>
        </w:tc>
        <w:tc>
          <w:tcPr>
            <w:tcW w:w="872" w:type="pct"/>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c>
          <w:tcPr>
            <w:tcW w:w="661" w:type="pct"/>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4" w:type="pct"/>
            <w:vMerge w:val="continue"/>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c>
          <w:tcPr>
            <w:tcW w:w="1382" w:type="pct"/>
            <w:shd w:val="clear" w:color="auto" w:fill="EBE9E6"/>
            <w:noWrap w:val="0"/>
            <w:vAlign w:val="center"/>
          </w:tcPr>
          <w:p>
            <w:pPr>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cs="宋体"/>
                <w:color w:val="000000"/>
                <w:kern w:val="0"/>
                <w:szCs w:val="21"/>
              </w:rPr>
            </w:pPr>
            <w:r>
              <w:rPr>
                <w:rFonts w:hint="eastAsia" w:ascii="宋体" w:hAnsi="宋体" w:cs="宋体"/>
                <w:color w:val="000000"/>
                <w:kern w:val="0"/>
                <w:szCs w:val="21"/>
              </w:rPr>
              <w:t>对成交服务单位的</w:t>
            </w:r>
          </w:p>
          <w:p>
            <w:pPr>
              <w:pageBreakBefore w:val="0"/>
              <w:widowControl/>
              <w:numPr>
                <w:ilvl w:val="0"/>
                <w:numId w:val="0"/>
              </w:numPr>
              <w:kinsoku/>
              <w:wordWrap/>
              <w:overflowPunct/>
              <w:topLinePunct w:val="0"/>
              <w:autoSpaceDE/>
              <w:autoSpaceDN/>
              <w:bidi w:val="0"/>
              <w:adjustRightInd/>
              <w:snapToGrid/>
              <w:spacing w:line="360" w:lineRule="auto"/>
              <w:ind w:leftChars="0"/>
              <w:jc w:val="center"/>
              <w:textAlignment w:val="center"/>
              <w:rPr>
                <w:rFonts w:hint="eastAsia" w:ascii="宋体" w:hAnsi="宋体" w:cs="宋体"/>
                <w:color w:val="000000"/>
                <w:kern w:val="0"/>
                <w:szCs w:val="21"/>
              </w:rPr>
            </w:pPr>
            <w:r>
              <w:rPr>
                <w:rFonts w:hint="eastAsia" w:ascii="宋体" w:hAnsi="宋体" w:cs="宋体"/>
                <w:color w:val="000000"/>
                <w:kern w:val="0"/>
                <w:szCs w:val="21"/>
              </w:rPr>
              <w:t>项目机构人员配备满意度的评价：</w:t>
            </w:r>
          </w:p>
          <w:p>
            <w:pPr>
              <w:pageBreakBefore w:val="0"/>
              <w:widowControl/>
              <w:numPr>
                <w:ilvl w:val="0"/>
                <w:numId w:val="0"/>
              </w:numPr>
              <w:kinsoku/>
              <w:wordWrap/>
              <w:overflowPunct/>
              <w:topLinePunct w:val="0"/>
              <w:autoSpaceDE/>
              <w:autoSpaceDN/>
              <w:bidi w:val="0"/>
              <w:adjustRightInd/>
              <w:snapToGrid/>
              <w:spacing w:line="360" w:lineRule="auto"/>
              <w:ind w:leftChars="0"/>
              <w:jc w:val="center"/>
              <w:textAlignment w:val="center"/>
              <w:rPr>
                <w:rFonts w:ascii="宋体" w:hAnsi="宋体" w:cs="宋体"/>
                <w:color w:val="000000"/>
                <w:szCs w:val="21"/>
              </w:rPr>
            </w:pPr>
            <w:r>
              <w:rPr>
                <w:rFonts w:hint="eastAsia" w:ascii="宋体" w:hAnsi="宋体" w:cs="宋体"/>
                <w:color w:val="000000"/>
                <w:kern w:val="0"/>
                <w:szCs w:val="21"/>
              </w:rPr>
              <w:t>（满分10分）</w:t>
            </w:r>
          </w:p>
        </w:tc>
        <w:tc>
          <w:tcPr>
            <w:tcW w:w="908" w:type="pct"/>
            <w:gridSpan w:val="2"/>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rPr>
              <w:t>□满意9-10分</w:t>
            </w:r>
          </w:p>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rPr>
              <w:t>□一般7-8分</w:t>
            </w:r>
          </w:p>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szCs w:val="21"/>
              </w:rPr>
            </w:pPr>
            <w:r>
              <w:rPr>
                <w:rFonts w:hint="eastAsia" w:ascii="宋体" w:hAnsi="宋体" w:cs="宋体"/>
                <w:color w:val="000000"/>
                <w:kern w:val="0"/>
                <w:szCs w:val="21"/>
              </w:rPr>
              <w:t>□不满意0-6分</w:t>
            </w:r>
          </w:p>
        </w:tc>
        <w:tc>
          <w:tcPr>
            <w:tcW w:w="872" w:type="pct"/>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c>
          <w:tcPr>
            <w:tcW w:w="661" w:type="pct"/>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4" w:type="pct"/>
            <w:vMerge w:val="continue"/>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c>
          <w:tcPr>
            <w:tcW w:w="1382" w:type="pct"/>
            <w:shd w:val="clear" w:color="auto" w:fill="EBE9E6"/>
            <w:noWrap w:val="0"/>
            <w:vAlign w:val="center"/>
          </w:tcPr>
          <w:p>
            <w:pPr>
              <w:pageBreakBefore w:val="0"/>
              <w:widowControl/>
              <w:numPr>
                <w:ilvl w:val="0"/>
                <w:numId w:val="2"/>
              </w:numPr>
              <w:kinsoku/>
              <w:wordWrap/>
              <w:overflowPunct/>
              <w:topLinePunct w:val="0"/>
              <w:autoSpaceDE/>
              <w:autoSpaceDN/>
              <w:bidi w:val="0"/>
              <w:adjustRightInd/>
              <w:snapToGrid/>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对成交服务单位的服务态度满意度的评价：</w:t>
            </w:r>
          </w:p>
          <w:p>
            <w:pPr>
              <w:pageBreakBefore w:val="0"/>
              <w:widowControl/>
              <w:numPr>
                <w:ilvl w:val="0"/>
                <w:numId w:val="0"/>
              </w:numPr>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（满分10分）</w:t>
            </w:r>
          </w:p>
        </w:tc>
        <w:tc>
          <w:tcPr>
            <w:tcW w:w="908" w:type="pct"/>
            <w:gridSpan w:val="2"/>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rPr>
              <w:t>□满意9-10分</w:t>
            </w:r>
          </w:p>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rPr>
              <w:t>□一般7-8分</w:t>
            </w:r>
          </w:p>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szCs w:val="21"/>
              </w:rPr>
            </w:pPr>
            <w:r>
              <w:rPr>
                <w:rFonts w:hint="eastAsia" w:ascii="宋体" w:hAnsi="宋体" w:cs="宋体"/>
                <w:color w:val="000000"/>
                <w:kern w:val="0"/>
                <w:szCs w:val="21"/>
              </w:rPr>
              <w:t>□不满意0-6分</w:t>
            </w:r>
          </w:p>
        </w:tc>
        <w:tc>
          <w:tcPr>
            <w:tcW w:w="872" w:type="pct"/>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c>
          <w:tcPr>
            <w:tcW w:w="661" w:type="pct"/>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4" w:type="pct"/>
            <w:vMerge w:val="continue"/>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c>
          <w:tcPr>
            <w:tcW w:w="1382" w:type="pct"/>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4、对成交服务单位的人员履职情况满意度的评价：（满分10分）</w:t>
            </w:r>
          </w:p>
        </w:tc>
        <w:tc>
          <w:tcPr>
            <w:tcW w:w="908" w:type="pct"/>
            <w:gridSpan w:val="2"/>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rPr>
              <w:t>□满意9-10分</w:t>
            </w:r>
          </w:p>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rPr>
              <w:t>□一般7-8分</w:t>
            </w:r>
          </w:p>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szCs w:val="21"/>
              </w:rPr>
            </w:pPr>
            <w:r>
              <w:rPr>
                <w:rFonts w:hint="eastAsia" w:ascii="宋体" w:hAnsi="宋体" w:cs="宋体"/>
                <w:color w:val="000000"/>
                <w:kern w:val="0"/>
                <w:szCs w:val="21"/>
              </w:rPr>
              <w:t>□不满意0-6分</w:t>
            </w:r>
          </w:p>
        </w:tc>
        <w:tc>
          <w:tcPr>
            <w:tcW w:w="872" w:type="pct"/>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c>
          <w:tcPr>
            <w:tcW w:w="661" w:type="pct"/>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74" w:type="pct"/>
            <w:vMerge w:val="continue"/>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c>
          <w:tcPr>
            <w:tcW w:w="1382" w:type="pct"/>
            <w:shd w:val="clear" w:color="auto" w:fill="EBE9E6"/>
            <w:noWrap w:val="0"/>
            <w:vAlign w:val="center"/>
          </w:tcPr>
          <w:p>
            <w:pPr>
              <w:pageBreakBefore w:val="0"/>
              <w:widowControl/>
              <w:numPr>
                <w:ilvl w:val="0"/>
                <w:numId w:val="3"/>
              </w:numPr>
              <w:kinsoku/>
              <w:wordWrap/>
              <w:overflowPunct/>
              <w:topLinePunct w:val="0"/>
              <w:autoSpaceDE/>
              <w:autoSpaceDN/>
              <w:bidi w:val="0"/>
              <w:adjustRightInd/>
              <w:snapToGrid/>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对成交服务单位的负责人跟踪情况满意度的评价：</w:t>
            </w:r>
          </w:p>
          <w:p>
            <w:pPr>
              <w:pageBreakBefore w:val="0"/>
              <w:widowControl/>
              <w:numPr>
                <w:ilvl w:val="0"/>
                <w:numId w:val="0"/>
              </w:numPr>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（满分10分）</w:t>
            </w:r>
          </w:p>
        </w:tc>
        <w:tc>
          <w:tcPr>
            <w:tcW w:w="908" w:type="pct"/>
            <w:gridSpan w:val="2"/>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rPr>
              <w:t>□满意9-10分</w:t>
            </w:r>
          </w:p>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rPr>
              <w:t>□一般7-8分</w:t>
            </w:r>
          </w:p>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szCs w:val="21"/>
              </w:rPr>
            </w:pPr>
            <w:r>
              <w:rPr>
                <w:rFonts w:hint="eastAsia" w:ascii="宋体" w:hAnsi="宋体" w:cs="宋体"/>
                <w:color w:val="000000"/>
                <w:kern w:val="0"/>
                <w:szCs w:val="21"/>
              </w:rPr>
              <w:t>□不满意0-6分</w:t>
            </w:r>
          </w:p>
        </w:tc>
        <w:tc>
          <w:tcPr>
            <w:tcW w:w="872" w:type="pct"/>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c>
          <w:tcPr>
            <w:tcW w:w="661" w:type="pct"/>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1174" w:type="pct"/>
            <w:vMerge w:val="continue"/>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c>
          <w:tcPr>
            <w:tcW w:w="1382" w:type="pct"/>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综合评定</w:t>
            </w:r>
          </w:p>
        </w:tc>
        <w:tc>
          <w:tcPr>
            <w:tcW w:w="908" w:type="pct"/>
            <w:gridSpan w:val="2"/>
            <w:shd w:val="clear" w:color="auto" w:fill="EBE9E6"/>
            <w:noWrap w:val="0"/>
            <w:vAlign w:val="center"/>
          </w:tcPr>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rPr>
              <w:t>□满意83-100分</w:t>
            </w:r>
          </w:p>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rPr>
              <w:t>□一般61-82分</w:t>
            </w:r>
          </w:p>
          <w:p>
            <w:pPr>
              <w:pageBreakBefore w:val="0"/>
              <w:widowControl/>
              <w:kinsoku/>
              <w:wordWrap/>
              <w:overflowPunct/>
              <w:topLinePunct w:val="0"/>
              <w:autoSpaceDE/>
              <w:autoSpaceDN/>
              <w:bidi w:val="0"/>
              <w:adjustRightInd/>
              <w:snapToGrid/>
              <w:spacing w:line="360" w:lineRule="auto"/>
              <w:jc w:val="left"/>
              <w:textAlignment w:val="center"/>
              <w:rPr>
                <w:rFonts w:ascii="宋体" w:hAnsi="宋体" w:cs="宋体"/>
                <w:color w:val="000000"/>
                <w:szCs w:val="21"/>
              </w:rPr>
            </w:pPr>
            <w:r>
              <w:rPr>
                <w:rFonts w:hint="eastAsia" w:ascii="宋体" w:hAnsi="宋体" w:cs="宋体"/>
                <w:color w:val="000000"/>
                <w:kern w:val="0"/>
                <w:szCs w:val="21"/>
              </w:rPr>
              <w:t>□不满意0-60分</w:t>
            </w:r>
          </w:p>
        </w:tc>
        <w:tc>
          <w:tcPr>
            <w:tcW w:w="872" w:type="pct"/>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c>
          <w:tcPr>
            <w:tcW w:w="661" w:type="pct"/>
            <w:shd w:val="clear" w:color="auto" w:fill="EBE9E6"/>
            <w:noWrap w:val="0"/>
            <w:vAlign w:val="center"/>
          </w:tcPr>
          <w:p>
            <w:pPr>
              <w:pageBreakBefore w:val="0"/>
              <w:kinsoku/>
              <w:wordWrap/>
              <w:overflowPunct/>
              <w:topLinePunct w:val="0"/>
              <w:autoSpaceDE/>
              <w:autoSpaceDN/>
              <w:bidi w:val="0"/>
              <w:adjustRightInd/>
              <w:snapToGrid/>
              <w:spacing w:line="360" w:lineRule="auto"/>
              <w:rPr>
                <w:rFonts w:ascii="宋体" w:hAnsi="宋体" w:cs="宋体"/>
                <w:color w:val="000000"/>
                <w:szCs w:val="21"/>
              </w:rPr>
            </w:pPr>
          </w:p>
        </w:tc>
      </w:tr>
    </w:tbl>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85C1C"/>
    <w:multiLevelType w:val="singleLevel"/>
    <w:tmpl w:val="0A185C1C"/>
    <w:lvl w:ilvl="0" w:tentative="0">
      <w:start w:val="3"/>
      <w:numFmt w:val="decimal"/>
      <w:suff w:val="nothing"/>
      <w:lvlText w:val="%1、"/>
      <w:lvlJc w:val="left"/>
    </w:lvl>
  </w:abstractNum>
  <w:abstractNum w:abstractNumId="1">
    <w:nsid w:val="1524B31B"/>
    <w:multiLevelType w:val="singleLevel"/>
    <w:tmpl w:val="1524B31B"/>
    <w:lvl w:ilvl="0" w:tentative="0">
      <w:start w:val="5"/>
      <w:numFmt w:val="decimal"/>
      <w:suff w:val="nothing"/>
      <w:lvlText w:val="%1、"/>
      <w:lvlJc w:val="left"/>
    </w:lvl>
  </w:abstractNum>
  <w:abstractNum w:abstractNumId="2">
    <w:nsid w:val="45A3223F"/>
    <w:multiLevelType w:val="singleLevel"/>
    <w:tmpl w:val="45A3223F"/>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MGFjYzhlNGQyNTYxODcwNzgxM2Y0Mjc2M2I2M2YifQ=="/>
  </w:docVars>
  <w:rsids>
    <w:rsidRoot w:val="0A500233"/>
    <w:rsid w:val="0A500233"/>
    <w:rsid w:val="2ACF4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Plain Text"/>
    <w:basedOn w:val="1"/>
    <w:next w:val="3"/>
    <w:autoRedefine/>
    <w:qFormat/>
    <w:uiPriority w:val="0"/>
    <w:rPr>
      <w:rFonts w:ascii="宋体" w:hAnsi="Courier New"/>
      <w:kern w:val="0"/>
      <w:sz w:val="20"/>
      <w:szCs w:val="21"/>
    </w:rPr>
  </w:style>
  <w:style w:type="character" w:styleId="8">
    <w:name w:val="Hyperlink"/>
    <w:autoRedefine/>
    <w:unhideWhenUsed/>
    <w:qFormat/>
    <w:uiPriority w:val="99"/>
    <w:rPr>
      <w:color w:val="0000FF"/>
      <w:u w:val="single"/>
    </w:rPr>
  </w:style>
  <w:style w:type="paragraph" w:customStyle="1" w:styleId="9">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2025-08-19T07:28:00Z</dcterms:created>
  <dc:creator>梁尉</dc:creator>
  <cp:lastModifiedBy>梁尉</cp:lastModifiedBy>
  <dcterms:modified xsi:type="dcterms:W3CDTF">2025-08-20T09:34:20Z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FBF67685BFF3482DA79F46110217EDD1_11</vt:lpwstr>
  </property>
</Properties>
</file>