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hint="eastAsia" w:ascii="Cambria" w:hAnsi="Cambria"/>
          <w:bCs w:val="0"/>
          <w:color w:val="auto"/>
          <w:sz w:val="32"/>
          <w:szCs w:val="32"/>
          <w:highlight w:val="none"/>
        </w:rPr>
      </w:pPr>
      <w:r>
        <w:rPr>
          <w:rFonts w:hint="eastAsia" w:ascii="Cambria" w:hAnsi="Cambria"/>
          <w:bCs w:val="0"/>
          <w:color w:val="auto"/>
          <w:sz w:val="32"/>
          <w:szCs w:val="32"/>
          <w:highlight w:val="none"/>
        </w:rPr>
        <w:t>采购需求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为落实政府采购政策需满足的要求：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（2）服务项目中包含货物的，根据《财政部 发展改革委生态环境部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的，供应商必须在响应文件中提供所竞标产品有效期内的节能产品认证证书复印件（加盖供应商公章），</w:t>
      </w:r>
      <w:r>
        <w:rPr>
          <w:rFonts w:hint="eastAsia" w:ascii="宋体" w:hAnsi="宋体" w:eastAsia="宋体" w:cs="宋体"/>
          <w:b/>
          <w:bCs/>
          <w:color w:val="auto"/>
          <w:szCs w:val="21"/>
          <w:highlight w:val="none"/>
        </w:rPr>
        <w:t>否则响应文件按无效处理</w:t>
      </w:r>
      <w:r>
        <w:rPr>
          <w:rFonts w:hint="eastAsia" w:ascii="宋体" w:hAnsi="宋体" w:eastAsia="宋体" w:cs="宋体"/>
          <w:color w:val="auto"/>
          <w:szCs w:val="21"/>
          <w:highlight w:val="none"/>
        </w:rPr>
        <w:t>。如本项目包含的配套货物属于品目清单内非标注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的产品时，应优先采购，具体详见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第四章</w:t>
      </w:r>
      <w:r>
        <w:rPr>
          <w:rFonts w:hint="eastAsia" w:ascii="宋体" w:hAnsi="宋体" w:cs="宋体"/>
          <w:color w:val="auto"/>
          <w:szCs w:val="21"/>
          <w:highlight w:val="none"/>
          <w:lang w:val="en-US" w:eastAsia="zh-CN"/>
        </w:rPr>
        <w:t xml:space="preserve"> </w:t>
      </w:r>
      <w:r>
        <w:rPr>
          <w:rStyle w:val="11"/>
          <w:rFonts w:hint="eastAsia" w:ascii="宋体" w:hAnsi="宋体" w:eastAsia="宋体" w:cs="宋体"/>
          <w:color w:val="auto"/>
          <w:highlight w:val="none"/>
        </w:rPr>
        <w:t>评审程序、评审方法和评审标准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实质性要求</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是指磋商文件中已经指明不满足则响应文件按无效响应处理的条款，或者不能负偏离的条款，或者采购需求中带</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的条款。</w:t>
      </w:r>
    </w:p>
    <w:p>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如</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标产品存在侵犯他人的知识产权或者专利成果行为的，应承担相应法律责任。</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iCs/>
          <w:color w:val="auto"/>
          <w:highlight w:val="none"/>
          <w:u w:val="single"/>
        </w:rPr>
      </w:pPr>
      <w:r>
        <w:rPr>
          <w:rFonts w:hint="eastAsia" w:ascii="宋体" w:hAnsi="宋体" w:eastAsia="宋体" w:cs="宋体"/>
          <w:color w:val="auto"/>
          <w:highlight w:val="none"/>
        </w:rPr>
        <w:t>4.采购内容所属行业：</w:t>
      </w:r>
      <w:r>
        <w:rPr>
          <w:rFonts w:hint="eastAsia" w:ascii="宋体" w:hAnsi="宋体" w:eastAsia="宋体" w:cs="宋体"/>
          <w:color w:val="auto"/>
          <w:highlight w:val="none"/>
          <w:u w:val="single"/>
        </w:rPr>
        <w:t xml:space="preserve"> 建筑业 </w:t>
      </w:r>
    </w:p>
    <w:p>
      <w:pPr>
        <w:pStyle w:val="4"/>
        <w:rPr>
          <w:rFonts w:hint="eastAsia"/>
          <w:color w:val="auto"/>
          <w:highlight w:val="none"/>
        </w:rPr>
      </w:pPr>
    </w:p>
    <w:tbl>
      <w:tblPr>
        <w:tblStyle w:val="9"/>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675"/>
        <w:gridCol w:w="1105"/>
        <w:gridCol w:w="633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Merge w:val="restart"/>
            <w:tcBorders>
              <w:top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需求一览表</w:t>
            </w:r>
          </w:p>
        </w:tc>
        <w:tc>
          <w:tcPr>
            <w:tcW w:w="596" w:type="dxa"/>
            <w:tcBorders>
              <w:top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75" w:type="dxa"/>
            <w:tcBorders>
              <w:top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1105" w:type="dxa"/>
            <w:tcBorders>
              <w:top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w:t>
            </w:r>
          </w:p>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p>
            <w:pPr>
              <w:spacing w:line="320" w:lineRule="exact"/>
              <w:jc w:val="center"/>
              <w:rPr>
                <w:rFonts w:hint="eastAsia" w:ascii="宋体" w:hAnsi="宋体" w:eastAsia="宋体" w:cs="宋体"/>
                <w:color w:val="auto"/>
                <w:sz w:val="21"/>
                <w:szCs w:val="21"/>
                <w:highlight w:val="none"/>
              </w:rPr>
            </w:pPr>
          </w:p>
        </w:tc>
        <w:tc>
          <w:tcPr>
            <w:tcW w:w="6339" w:type="dxa"/>
            <w:tcBorders>
              <w:top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c>
          <w:tcPr>
            <w:tcW w:w="967" w:type="dxa"/>
            <w:tcBorders>
              <w:top w:val="single" w:color="auto" w:sz="4" w:space="0"/>
            </w:tcBorders>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中小企业划分标准所属行业名称（行业名称及划分见本章附件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3" w:type="dxa"/>
            <w:vMerge w:val="continue"/>
            <w:noWrap w:val="0"/>
            <w:vAlign w:val="center"/>
          </w:tcPr>
          <w:p>
            <w:pPr>
              <w:spacing w:line="320" w:lineRule="exact"/>
              <w:jc w:val="center"/>
              <w:rPr>
                <w:rFonts w:hint="eastAsia" w:ascii="宋体" w:hAnsi="宋体" w:eastAsia="宋体" w:cs="宋体"/>
                <w:color w:val="auto"/>
                <w:sz w:val="21"/>
                <w:szCs w:val="21"/>
                <w:highlight w:val="none"/>
              </w:rPr>
            </w:pPr>
          </w:p>
        </w:tc>
        <w:tc>
          <w:tcPr>
            <w:tcW w:w="596" w:type="dxa"/>
            <w:noWrap w:val="0"/>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5" w:type="dxa"/>
            <w:noWrap w:val="0"/>
            <w:vAlign w:val="center"/>
          </w:tcPr>
          <w:p>
            <w:p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广西体育高等专科学校配电扩容及单体电路改造项目</w:t>
            </w:r>
          </w:p>
        </w:tc>
        <w:tc>
          <w:tcPr>
            <w:tcW w:w="1105" w:type="dxa"/>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6339" w:type="dxa"/>
            <w:noWrap w:val="0"/>
            <w:vAlign w:val="center"/>
          </w:tcPr>
          <w:p>
            <w:pPr>
              <w:numPr>
                <w:ilvl w:val="0"/>
                <w:numId w:val="1"/>
              </w:numPr>
              <w:spacing w:line="40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内容：广西体育高等专科学校配电扩容及单体电路改造项目</w:t>
            </w:r>
            <w:r>
              <w:rPr>
                <w:rFonts w:hint="eastAsia" w:ascii="宋体" w:hAnsi="宋体" w:eastAsia="宋体" w:cs="宋体"/>
                <w:color w:val="auto"/>
                <w:sz w:val="21"/>
                <w:szCs w:val="21"/>
                <w:highlight w:val="none"/>
                <w:lang w:val="en-US" w:eastAsia="zh-CN"/>
              </w:rPr>
              <w:t>，工程内容主要是在原7号配电房增加1台高压柜；新建6号配电房安装2台高压柜、1台变压器、5台低压柜及配电房照明、通风、防雷接地安装、6号配电房至13#学术交流中心、14#行政楼、15#体质检测中心的电缆敷设及管井砌筑；在原食堂1号配电室增加3台中置柜、1台变压器、5台低压柜、1号配电房至21#教学楼的电缆敷设及管井砌筑；13#学术交流中心、14#行政楼、15#体质检测中心、21#教学楼新增的配电总箱安装等（具体以施工图纸和工程量清单内容为准）。</w:t>
            </w:r>
          </w:p>
          <w:p>
            <w:pPr>
              <w:numPr>
                <w:ilvl w:val="0"/>
                <w:numId w:val="1"/>
              </w:numPr>
              <w:spacing w:line="40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建设地点：广西壮族自治区南宁市西乡塘区大学西路176号(广西体育高等专科学校相思湖校区)</w:t>
            </w:r>
          </w:p>
          <w:p>
            <w:pPr>
              <w:numPr>
                <w:ilvl w:val="0"/>
                <w:numId w:val="0"/>
              </w:num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要求工期：</w:t>
            </w:r>
            <w:r>
              <w:rPr>
                <w:rFonts w:hint="eastAsia" w:ascii="宋体" w:hAnsi="宋体" w:eastAsia="宋体" w:cs="宋体"/>
                <w:color w:val="auto"/>
                <w:sz w:val="21"/>
                <w:szCs w:val="21"/>
                <w:highlight w:val="none"/>
                <w:u w:val="single"/>
                <w:lang w:val="en-US" w:eastAsia="zh-CN"/>
              </w:rPr>
              <w:t xml:space="preserve"> 60 </w:t>
            </w:r>
            <w:r>
              <w:rPr>
                <w:rFonts w:hint="eastAsia" w:ascii="宋体" w:hAnsi="宋体" w:eastAsia="宋体" w:cs="宋体"/>
                <w:color w:val="auto"/>
                <w:sz w:val="21"/>
                <w:szCs w:val="21"/>
                <w:highlight w:val="none"/>
                <w:lang w:val="en-US" w:eastAsia="zh-CN"/>
              </w:rPr>
              <w:t>日历天</w:t>
            </w:r>
            <w:r>
              <w:rPr>
                <w:rFonts w:hint="eastAsia" w:ascii="宋体" w:hAnsi="宋体" w:eastAsia="宋体" w:cs="宋体"/>
                <w:color w:val="auto"/>
                <w:sz w:val="21"/>
                <w:szCs w:val="21"/>
                <w:highlight w:val="none"/>
              </w:rPr>
              <w:t>。</w:t>
            </w:r>
          </w:p>
          <w:p>
            <w:pPr>
              <w:numPr>
                <w:ilvl w:val="0"/>
                <w:numId w:val="0"/>
              </w:num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质量要求：</w:t>
            </w:r>
            <w:r>
              <w:rPr>
                <w:rFonts w:hint="eastAsia" w:ascii="宋体" w:hAnsi="宋体" w:eastAsia="宋体" w:cs="宋体"/>
                <w:color w:val="auto"/>
                <w:sz w:val="21"/>
                <w:szCs w:val="21"/>
                <w:highlight w:val="none"/>
                <w:lang w:eastAsia="zh-CN"/>
              </w:rPr>
              <w:t>达到国家现行验收规范合格标准</w:t>
            </w:r>
            <w:r>
              <w:rPr>
                <w:rFonts w:hint="eastAsia" w:ascii="宋体" w:hAnsi="宋体" w:eastAsia="宋体" w:cs="宋体"/>
                <w:color w:val="auto"/>
                <w:sz w:val="21"/>
                <w:szCs w:val="21"/>
                <w:highlight w:val="none"/>
              </w:rPr>
              <w:t>。</w:t>
            </w:r>
          </w:p>
          <w:p>
            <w:pPr>
              <w:numPr>
                <w:ilvl w:val="0"/>
                <w:numId w:val="0"/>
              </w:num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施工组织设计：供应商应根据设计施工图纸、工程量清单进行施工组织设计，</w:t>
            </w:r>
            <w:bookmarkStart w:id="0" w:name="OLE_LINK6"/>
            <w:r>
              <w:rPr>
                <w:rFonts w:hint="eastAsia" w:ascii="宋体" w:hAnsi="宋体" w:eastAsia="宋体" w:cs="宋体"/>
                <w:color w:val="auto"/>
                <w:sz w:val="21"/>
                <w:szCs w:val="21"/>
                <w:highlight w:val="none"/>
              </w:rPr>
              <w:t>包含施工方案、机械配置和设备材料质量控制、本项目的工作重点、施工难点技术环节的综合分析、施工进度计划及网络计划、关键节点和线路的保证措施、各专业工种的配置、劳动力的投入等内容。</w:t>
            </w:r>
            <w:bookmarkEnd w:id="0"/>
          </w:p>
          <w:p>
            <w:pPr>
              <w:numPr>
                <w:ilvl w:val="0"/>
                <w:numId w:val="0"/>
              </w:num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拟投入</w:t>
            </w:r>
            <w:bookmarkStart w:id="1" w:name="OLE_LINK13"/>
            <w:r>
              <w:rPr>
                <w:rFonts w:hint="eastAsia" w:ascii="宋体" w:hAnsi="宋体" w:cs="宋体"/>
                <w:color w:val="auto"/>
                <w:sz w:val="21"/>
                <w:szCs w:val="21"/>
                <w:highlight w:val="none"/>
                <w:lang w:eastAsia="zh-CN"/>
              </w:rPr>
              <w:t>项目管理</w:t>
            </w:r>
            <w:r>
              <w:rPr>
                <w:rFonts w:hint="eastAsia" w:ascii="宋体" w:hAnsi="宋体" w:eastAsia="宋体" w:cs="宋体"/>
                <w:color w:val="auto"/>
                <w:sz w:val="21"/>
                <w:szCs w:val="21"/>
                <w:highlight w:val="none"/>
              </w:rPr>
              <w:t>人员</w:t>
            </w:r>
            <w:bookmarkEnd w:id="1"/>
            <w:r>
              <w:rPr>
                <w:rFonts w:hint="eastAsia" w:ascii="宋体" w:hAnsi="宋体" w:eastAsia="宋体" w:cs="宋体"/>
                <w:color w:val="auto"/>
                <w:sz w:val="21"/>
                <w:szCs w:val="21"/>
                <w:highlight w:val="none"/>
              </w:rPr>
              <w:t>要求：</w:t>
            </w:r>
          </w:p>
          <w:p>
            <w:pPr>
              <w:numPr>
                <w:ilvl w:val="0"/>
                <w:numId w:val="2"/>
              </w:num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r>
              <w:rPr>
                <w:rFonts w:hint="eastAsia" w:ascii="宋体" w:hAnsi="宋体" w:cs="宋体"/>
                <w:color w:val="auto"/>
                <w:sz w:val="21"/>
                <w:szCs w:val="21"/>
                <w:highlight w:val="none"/>
                <w:lang w:val="en-US" w:eastAsia="zh-CN"/>
              </w:rPr>
              <w:t>1名，</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u w:val="single"/>
                <w:lang w:val="en-US" w:eastAsia="zh-CN"/>
              </w:rPr>
              <w:t xml:space="preserve"> 机电</w:t>
            </w:r>
            <w:r>
              <w:rPr>
                <w:rFonts w:hint="eastAsia" w:ascii="宋体" w:hAnsi="宋体" w:eastAsia="宋体" w:cs="宋体"/>
                <w:color w:val="auto"/>
                <w:sz w:val="21"/>
                <w:szCs w:val="21"/>
                <w:highlight w:val="none"/>
                <w:u w:val="single"/>
              </w:rPr>
              <w:t>工程</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专业二级（含）以上注册建造师执业资格，具备有效的安全生产考核合格证书（B类）</w:t>
            </w:r>
            <w:r>
              <w:rPr>
                <w:rFonts w:hint="eastAsia" w:ascii="宋体" w:hAnsi="宋体" w:cs="宋体"/>
                <w:color w:val="auto"/>
                <w:sz w:val="21"/>
                <w:szCs w:val="21"/>
                <w:highlight w:val="none"/>
                <w:lang w:eastAsia="zh-CN"/>
              </w:rPr>
              <w:t>，</w:t>
            </w:r>
            <w:r>
              <w:rPr>
                <w:rFonts w:hint="eastAsia"/>
                <w:color w:val="auto"/>
                <w:szCs w:val="21"/>
                <w:highlight w:val="none"/>
              </w:rPr>
              <w:t>提供供应商为其依法缴纳社会保险（202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3</w:t>
            </w:r>
            <w:r>
              <w:rPr>
                <w:rFonts w:hint="eastAsia"/>
                <w:color w:val="auto"/>
                <w:szCs w:val="21"/>
                <w:highlight w:val="none"/>
              </w:rPr>
              <w:t>月至响应文件</w:t>
            </w:r>
            <w:r>
              <w:rPr>
                <w:color w:val="auto"/>
                <w:szCs w:val="21"/>
                <w:highlight w:val="none"/>
              </w:rPr>
              <w:t>提交截止时间止</w:t>
            </w:r>
            <w:r>
              <w:rPr>
                <w:rFonts w:hint="eastAsia"/>
                <w:color w:val="auto"/>
                <w:szCs w:val="21"/>
                <w:highlight w:val="none"/>
              </w:rPr>
              <w:t>任意</w:t>
            </w:r>
            <w:r>
              <w:rPr>
                <w:rFonts w:hint="eastAsia"/>
                <w:color w:val="auto"/>
                <w:szCs w:val="21"/>
                <w:highlight w:val="none"/>
                <w:lang w:val="en-US" w:eastAsia="zh-CN"/>
              </w:rPr>
              <w:t>1</w:t>
            </w:r>
            <w:r>
              <w:rPr>
                <w:rFonts w:hint="eastAsia"/>
                <w:color w:val="auto"/>
                <w:szCs w:val="21"/>
                <w:highlight w:val="none"/>
              </w:rPr>
              <w:t>个月的证明材料）</w:t>
            </w:r>
            <w:r>
              <w:rPr>
                <w:rFonts w:hint="eastAsia" w:ascii="宋体" w:hAnsi="宋体" w:eastAsia="宋体" w:cs="宋体"/>
                <w:color w:val="auto"/>
                <w:sz w:val="21"/>
                <w:szCs w:val="21"/>
                <w:highlight w:val="none"/>
              </w:rPr>
              <w:t>。</w:t>
            </w:r>
          </w:p>
          <w:p>
            <w:pPr>
              <w:numPr>
                <w:ilvl w:val="0"/>
                <w:numId w:val="2"/>
              </w:numPr>
              <w:spacing w:line="400" w:lineRule="exact"/>
              <w:ind w:firstLine="420" w:firstLineChars="200"/>
              <w:rPr>
                <w:rFonts w:hint="eastAsia"/>
                <w:color w:val="auto"/>
                <w:highlight w:val="none"/>
                <w:lang w:val="en-US" w:eastAsia="zh-CN"/>
              </w:rPr>
            </w:pPr>
            <w:r>
              <w:rPr>
                <w:rFonts w:hint="eastAsia" w:ascii="宋体" w:hAnsi="宋体" w:eastAsia="宋体" w:cs="宋体"/>
                <w:color w:val="auto"/>
                <w:sz w:val="21"/>
                <w:szCs w:val="21"/>
                <w:highlight w:val="none"/>
              </w:rPr>
              <w:t>安全员：</w:t>
            </w:r>
            <w:r>
              <w:rPr>
                <w:rFonts w:hint="eastAsia" w:ascii="宋体" w:hAnsi="宋体" w:cs="宋体"/>
                <w:color w:val="auto"/>
                <w:sz w:val="21"/>
                <w:szCs w:val="21"/>
                <w:highlight w:val="none"/>
                <w:lang w:val="en-US" w:eastAsia="zh-CN"/>
              </w:rPr>
              <w:t>1名，</w:t>
            </w:r>
            <w:r>
              <w:rPr>
                <w:rFonts w:hint="eastAsia" w:ascii="宋体" w:hAnsi="宋体" w:eastAsia="宋体" w:cs="宋体"/>
                <w:color w:val="auto"/>
                <w:sz w:val="21"/>
                <w:szCs w:val="21"/>
                <w:highlight w:val="none"/>
              </w:rPr>
              <w:t>具备有效的安全生产考核合格证书（C类）</w:t>
            </w:r>
            <w:r>
              <w:rPr>
                <w:rFonts w:hint="eastAsia" w:ascii="宋体" w:hAnsi="宋体" w:cs="宋体"/>
                <w:color w:val="auto"/>
                <w:sz w:val="21"/>
                <w:szCs w:val="21"/>
                <w:highlight w:val="none"/>
                <w:lang w:eastAsia="zh-CN"/>
              </w:rPr>
              <w:t>，</w:t>
            </w:r>
            <w:r>
              <w:rPr>
                <w:rFonts w:hint="eastAsia"/>
                <w:color w:val="auto"/>
                <w:szCs w:val="21"/>
                <w:highlight w:val="none"/>
              </w:rPr>
              <w:t>提供供应商为其依法缴纳社会保险（202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3</w:t>
            </w:r>
            <w:r>
              <w:rPr>
                <w:rFonts w:hint="eastAsia"/>
                <w:color w:val="auto"/>
                <w:szCs w:val="21"/>
                <w:highlight w:val="none"/>
              </w:rPr>
              <w:t>月至响应文件</w:t>
            </w:r>
            <w:r>
              <w:rPr>
                <w:color w:val="auto"/>
                <w:szCs w:val="21"/>
                <w:highlight w:val="none"/>
              </w:rPr>
              <w:t>提交截止时间止</w:t>
            </w:r>
            <w:r>
              <w:rPr>
                <w:rFonts w:hint="eastAsia"/>
                <w:color w:val="auto"/>
                <w:szCs w:val="21"/>
                <w:highlight w:val="none"/>
              </w:rPr>
              <w:t>任意</w:t>
            </w:r>
            <w:r>
              <w:rPr>
                <w:rFonts w:hint="eastAsia"/>
                <w:color w:val="auto"/>
                <w:szCs w:val="21"/>
                <w:highlight w:val="none"/>
                <w:lang w:val="en-US" w:eastAsia="zh-CN"/>
              </w:rPr>
              <w:t>1</w:t>
            </w:r>
            <w:r>
              <w:rPr>
                <w:rFonts w:hint="eastAsia"/>
                <w:color w:val="auto"/>
                <w:szCs w:val="21"/>
                <w:highlight w:val="none"/>
              </w:rPr>
              <w:t>个月的证明材料）</w:t>
            </w:r>
            <w:r>
              <w:rPr>
                <w:rFonts w:hint="eastAsia" w:ascii="宋体" w:hAnsi="宋体" w:eastAsia="宋体" w:cs="宋体"/>
                <w:color w:val="auto"/>
                <w:sz w:val="21"/>
                <w:szCs w:val="21"/>
                <w:highlight w:val="none"/>
              </w:rPr>
              <w:t>。</w:t>
            </w:r>
          </w:p>
          <w:p>
            <w:pPr>
              <w:numPr>
                <w:ilvl w:val="0"/>
                <w:numId w:val="0"/>
              </w:numPr>
              <w:spacing w:line="400" w:lineRule="exact"/>
              <w:ind w:firstLine="210" w:firstLineChars="100"/>
              <w:rPr>
                <w:color w:val="auto"/>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施工员、质量员、材料员：</w:t>
            </w:r>
            <w:r>
              <w:rPr>
                <w:rFonts w:hint="eastAsia" w:ascii="宋体" w:hAnsi="宋体" w:cs="宋体"/>
                <w:color w:val="auto"/>
                <w:sz w:val="21"/>
                <w:szCs w:val="21"/>
                <w:highlight w:val="none"/>
                <w:lang w:eastAsia="zh-CN"/>
              </w:rPr>
              <w:t>各</w:t>
            </w:r>
            <w:r>
              <w:rPr>
                <w:rFonts w:hint="eastAsia" w:ascii="宋体" w:hAnsi="宋体" w:cs="宋体"/>
                <w:color w:val="auto"/>
                <w:sz w:val="21"/>
                <w:szCs w:val="21"/>
                <w:highlight w:val="none"/>
                <w:lang w:val="en-US" w:eastAsia="zh-CN"/>
              </w:rPr>
              <w:t>1名，</w:t>
            </w:r>
            <w:r>
              <w:rPr>
                <w:rFonts w:hint="eastAsia" w:ascii="宋体" w:hAnsi="宋体" w:eastAsia="宋体" w:cs="宋体"/>
                <w:color w:val="auto"/>
                <w:kern w:val="0"/>
                <w:sz w:val="21"/>
                <w:szCs w:val="21"/>
                <w:highlight w:val="none"/>
              </w:rPr>
              <w:t>具有相应施工现场专业人</w:t>
            </w:r>
            <w:r>
              <w:rPr>
                <w:rFonts w:hint="eastAsia" w:ascii="宋体" w:hAnsi="宋体" w:eastAsia="宋体" w:cs="宋体"/>
                <w:color w:val="auto"/>
                <w:sz w:val="21"/>
                <w:szCs w:val="21"/>
                <w:highlight w:val="none"/>
              </w:rPr>
              <w:t>员职业培训合格证书并在有效期内</w:t>
            </w:r>
            <w:r>
              <w:rPr>
                <w:rFonts w:hint="eastAsia" w:ascii="宋体" w:hAnsi="宋体" w:cs="宋体"/>
                <w:color w:val="auto"/>
                <w:sz w:val="21"/>
                <w:szCs w:val="21"/>
                <w:highlight w:val="none"/>
                <w:lang w:eastAsia="zh-CN"/>
              </w:rPr>
              <w:t>，</w:t>
            </w:r>
            <w:r>
              <w:rPr>
                <w:rFonts w:hint="eastAsia"/>
                <w:color w:val="auto"/>
                <w:szCs w:val="21"/>
                <w:highlight w:val="none"/>
              </w:rPr>
              <w:t>提供供应商为其依法缴纳社会保险（202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3</w:t>
            </w:r>
            <w:r>
              <w:rPr>
                <w:rFonts w:hint="eastAsia"/>
                <w:color w:val="auto"/>
                <w:szCs w:val="21"/>
                <w:highlight w:val="none"/>
              </w:rPr>
              <w:t>月至响应文件</w:t>
            </w:r>
            <w:r>
              <w:rPr>
                <w:color w:val="auto"/>
                <w:szCs w:val="21"/>
                <w:highlight w:val="none"/>
              </w:rPr>
              <w:t>提交截止时间止</w:t>
            </w:r>
            <w:r>
              <w:rPr>
                <w:rFonts w:hint="eastAsia"/>
                <w:color w:val="auto"/>
                <w:szCs w:val="21"/>
                <w:highlight w:val="none"/>
              </w:rPr>
              <w:t>任意</w:t>
            </w:r>
            <w:r>
              <w:rPr>
                <w:rFonts w:hint="eastAsia"/>
                <w:color w:val="auto"/>
                <w:szCs w:val="21"/>
                <w:highlight w:val="none"/>
                <w:lang w:val="en-US" w:eastAsia="zh-CN"/>
              </w:rPr>
              <w:t>1</w:t>
            </w:r>
            <w:r>
              <w:rPr>
                <w:rFonts w:hint="eastAsia"/>
                <w:color w:val="auto"/>
                <w:szCs w:val="21"/>
                <w:highlight w:val="none"/>
              </w:rPr>
              <w:t>个月的证明材料）</w:t>
            </w:r>
            <w:r>
              <w:rPr>
                <w:rFonts w:hint="eastAsia" w:ascii="宋体" w:hAnsi="宋体" w:eastAsia="宋体" w:cs="宋体"/>
                <w:color w:val="auto"/>
                <w:sz w:val="21"/>
                <w:szCs w:val="21"/>
                <w:highlight w:val="none"/>
              </w:rPr>
              <w:t>。</w:t>
            </w:r>
          </w:p>
          <w:p>
            <w:pPr>
              <w:numPr>
                <w:ilvl w:val="0"/>
                <w:numId w:val="0"/>
              </w:numPr>
              <w:spacing w:line="400" w:lineRule="exact"/>
              <w:ind w:firstLine="210" w:firstLineChars="100"/>
              <w:rPr>
                <w:rFonts w:hint="eastAsia"/>
                <w:color w:val="auto"/>
                <w:highlight w:val="none"/>
                <w:lang w:val="en-US" w:eastAsia="zh-CN"/>
              </w:rPr>
            </w:pPr>
            <w:r>
              <w:rPr>
                <w:color w:val="auto"/>
                <w:highlight w:val="none"/>
              </w:rPr>
              <w:t>▲</w:t>
            </w:r>
            <w:r>
              <w:rPr>
                <w:rFonts w:hint="eastAsia"/>
                <w:b/>
                <w:bCs/>
                <w:color w:val="auto"/>
                <w:highlight w:val="none"/>
                <w:lang w:val="en-US" w:eastAsia="zh-CN"/>
              </w:rPr>
              <w:t>（7）</w:t>
            </w:r>
            <w:r>
              <w:rPr>
                <w:rFonts w:hint="eastAsia"/>
                <w:b/>
                <w:bCs/>
                <w:color w:val="auto"/>
                <w:highlight w:val="none"/>
                <w:lang w:eastAsia="zh-CN"/>
              </w:rPr>
              <w:t>项目各项技术</w:t>
            </w:r>
            <w:r>
              <w:rPr>
                <w:rFonts w:hint="eastAsia" w:ascii="宋体" w:hAnsi="宋体" w:eastAsia="宋体" w:cs="宋体"/>
                <w:b/>
                <w:bCs/>
                <w:color w:val="auto"/>
                <w:kern w:val="2"/>
                <w:sz w:val="21"/>
                <w:szCs w:val="24"/>
                <w:highlight w:val="none"/>
                <w:lang w:val="en-US" w:eastAsia="zh-CN" w:bidi="ar-SA"/>
              </w:rPr>
              <w:t>指标要求：附后，具体内容详见附件3</w:t>
            </w:r>
            <w:r>
              <w:rPr>
                <w:b/>
                <w:bCs/>
                <w:color w:val="auto"/>
                <w:highlight w:val="none"/>
              </w:rPr>
              <w:t>。</w:t>
            </w:r>
            <w:r>
              <w:rPr>
                <w:rFonts w:hint="eastAsia"/>
                <w:b/>
                <w:bCs/>
                <w:color w:val="auto"/>
                <w:highlight w:val="none"/>
                <w:lang w:eastAsia="zh-CN"/>
              </w:rPr>
              <w:t>（供应商响应文件中必须附上附件</w:t>
            </w:r>
            <w:r>
              <w:rPr>
                <w:rFonts w:hint="eastAsia"/>
                <w:b/>
                <w:bCs/>
                <w:color w:val="auto"/>
                <w:highlight w:val="none"/>
                <w:lang w:val="en-US" w:eastAsia="zh-CN"/>
              </w:rPr>
              <w:t>3，否则按无效响应处理）</w:t>
            </w:r>
          </w:p>
        </w:tc>
        <w:tc>
          <w:tcPr>
            <w:tcW w:w="967" w:type="dxa"/>
            <w:noWrap w:val="0"/>
            <w:vAlign w:val="center"/>
          </w:tcPr>
          <w:p>
            <w:p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noWrap w:val="0"/>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682" w:type="dxa"/>
            <w:gridSpan w:val="5"/>
            <w:noWrap w:val="0"/>
            <w:vAlign w:val="top"/>
          </w:tcPr>
          <w:p>
            <w:pPr>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竞标有效期：自首次响应文件提交截止日起60日</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质量保修期：</w:t>
            </w:r>
            <w:r>
              <w:rPr>
                <w:rFonts w:hint="eastAsia"/>
                <w:color w:val="auto"/>
                <w:highlight w:val="none"/>
                <w:lang w:val="en-US" w:eastAsia="zh-CN"/>
              </w:rPr>
              <w:t>自验收合格之日起两年。</w:t>
            </w:r>
          </w:p>
          <w:p>
            <w:pPr>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w:t>
            </w:r>
          </w:p>
          <w:p>
            <w:pPr>
              <w:numPr>
                <w:ilvl w:val="0"/>
                <w:numId w:val="3"/>
              </w:numPr>
              <w:spacing w:line="40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预付款：</w:t>
            </w:r>
            <w:r>
              <w:rPr>
                <w:rFonts w:hint="eastAsia" w:ascii="宋体" w:hAnsi="宋体" w:eastAsia="宋体" w:cs="宋体"/>
                <w:b/>
                <w:bCs/>
                <w:color w:val="auto"/>
                <w:sz w:val="21"/>
                <w:szCs w:val="21"/>
                <w:highlight w:val="none"/>
              </w:rPr>
              <w:t>合同价款的30%</w:t>
            </w:r>
            <w:r>
              <w:rPr>
                <w:rFonts w:hint="eastAsia" w:ascii="宋体" w:hAnsi="宋体" w:eastAsia="宋体" w:cs="宋体"/>
                <w:b/>
                <w:bCs/>
                <w:color w:val="auto"/>
                <w:sz w:val="21"/>
                <w:szCs w:val="21"/>
                <w:highlight w:val="none"/>
                <w:lang w:eastAsia="zh-CN"/>
              </w:rPr>
              <w:t>，在合同签订且施工</w:t>
            </w:r>
            <w:r>
              <w:rPr>
                <w:rFonts w:hint="eastAsia" w:ascii="宋体" w:hAnsi="宋体" w:cs="宋体"/>
                <w:b/>
                <w:bCs/>
                <w:color w:val="auto"/>
                <w:sz w:val="21"/>
                <w:szCs w:val="21"/>
                <w:highlight w:val="none"/>
                <w:lang w:eastAsia="zh-CN"/>
              </w:rPr>
              <w:t>方法</w:t>
            </w:r>
            <w:r>
              <w:rPr>
                <w:rFonts w:hint="eastAsia" w:ascii="宋体" w:hAnsi="宋体" w:eastAsia="宋体" w:cs="宋体"/>
                <w:b/>
                <w:bCs/>
                <w:color w:val="auto"/>
                <w:sz w:val="21"/>
                <w:szCs w:val="21"/>
                <w:highlight w:val="none"/>
                <w:lang w:val="en-US" w:eastAsia="zh-CN"/>
              </w:rPr>
              <w:t>和</w:t>
            </w:r>
            <w:r>
              <w:rPr>
                <w:rFonts w:hint="eastAsia" w:ascii="宋体" w:hAnsi="宋体" w:cs="宋体"/>
                <w:b/>
                <w:bCs/>
                <w:color w:val="auto"/>
                <w:sz w:val="21"/>
                <w:szCs w:val="21"/>
                <w:highlight w:val="none"/>
                <w:lang w:val="en-US" w:eastAsia="zh-CN"/>
              </w:rPr>
              <w:t>设备</w:t>
            </w:r>
            <w:r>
              <w:rPr>
                <w:rFonts w:hint="eastAsia" w:ascii="宋体" w:hAnsi="宋体" w:eastAsia="宋体" w:cs="宋体"/>
                <w:b/>
                <w:bCs/>
                <w:color w:val="auto"/>
                <w:sz w:val="21"/>
                <w:szCs w:val="21"/>
                <w:highlight w:val="none"/>
                <w:lang w:val="en-US" w:eastAsia="zh-CN"/>
              </w:rPr>
              <w:t>安装技术方案</w:t>
            </w:r>
            <w:r>
              <w:rPr>
                <w:rFonts w:hint="eastAsia" w:ascii="宋体" w:hAnsi="宋体" w:eastAsia="宋体" w:cs="宋体"/>
                <w:b/>
                <w:bCs/>
                <w:color w:val="auto"/>
                <w:sz w:val="21"/>
                <w:szCs w:val="21"/>
                <w:highlight w:val="none"/>
                <w:lang w:eastAsia="zh-CN"/>
              </w:rPr>
              <w:t>获得采购方同意后15个工作日内，采购人向成交供应商支付。</w:t>
            </w:r>
          </w:p>
          <w:p>
            <w:pPr>
              <w:numPr>
                <w:ilvl w:val="0"/>
                <w:numId w:val="3"/>
              </w:num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工程竣工验收合格后支付合同价的70%，最终结算价格以采购方审计部门审定金额为准。</w:t>
            </w:r>
            <w:r>
              <w:rPr>
                <w:rFonts w:hint="eastAsia" w:ascii="宋体" w:hAnsi="宋体" w:eastAsia="宋体" w:cs="宋体"/>
                <w:b/>
                <w:bCs/>
                <w:color w:val="auto"/>
                <w:sz w:val="21"/>
                <w:szCs w:val="21"/>
                <w:highlight w:val="none"/>
                <w:lang w:eastAsia="zh-CN"/>
              </w:rPr>
              <w:t>供应商须在付尾款前一次性开具与最终结算金额相对应的发票给采购人</w:t>
            </w:r>
          </w:p>
          <w:p>
            <w:pPr>
              <w:numPr>
                <w:ilvl w:val="0"/>
                <w:numId w:val="3"/>
              </w:num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结算</w:t>
            </w:r>
            <w:r>
              <w:rPr>
                <w:rFonts w:hint="eastAsia" w:ascii="宋体" w:hAnsi="宋体" w:eastAsia="宋体" w:cs="宋体"/>
                <w:b/>
                <w:bCs/>
                <w:color w:val="auto"/>
                <w:sz w:val="21"/>
                <w:szCs w:val="21"/>
                <w:highlight w:val="none"/>
                <w:lang w:val="en-US" w:eastAsia="zh-CN"/>
              </w:rPr>
              <w:t>后</w:t>
            </w:r>
            <w:r>
              <w:rPr>
                <w:rFonts w:hint="eastAsia" w:ascii="宋体" w:hAnsi="宋体" w:eastAsia="宋体" w:cs="宋体"/>
                <w:b/>
                <w:bCs/>
                <w:color w:val="auto"/>
                <w:sz w:val="21"/>
                <w:szCs w:val="21"/>
                <w:highlight w:val="none"/>
                <w:lang w:eastAsia="zh-CN"/>
              </w:rPr>
              <w:t>，成交供应商按</w:t>
            </w:r>
            <w:r>
              <w:rPr>
                <w:rFonts w:hint="eastAsia" w:ascii="宋体" w:hAnsi="宋体" w:eastAsia="宋体" w:cs="宋体"/>
                <w:b/>
                <w:bCs/>
                <w:color w:val="auto"/>
                <w:sz w:val="21"/>
                <w:szCs w:val="21"/>
                <w:highlight w:val="none"/>
                <w:lang w:val="en-US" w:eastAsia="zh-CN"/>
              </w:rPr>
              <w:t>结算</w:t>
            </w:r>
            <w:r>
              <w:rPr>
                <w:rFonts w:hint="eastAsia" w:ascii="宋体" w:hAnsi="宋体" w:eastAsia="宋体" w:cs="宋体"/>
                <w:b/>
                <w:bCs/>
                <w:color w:val="auto"/>
                <w:sz w:val="21"/>
                <w:szCs w:val="21"/>
                <w:highlight w:val="none"/>
                <w:lang w:eastAsia="zh-CN"/>
              </w:rPr>
              <w:t>金额的2%交纳质量保证金，质量保证金在保修期满后，无息退还。</w:t>
            </w:r>
          </w:p>
          <w:p>
            <w:pPr>
              <w:numPr>
                <w:ilvl w:val="0"/>
                <w:numId w:val="0"/>
              </w:numPr>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磋商报价要求</w:t>
            </w:r>
            <w:r>
              <w:rPr>
                <w:rFonts w:hint="eastAsia" w:ascii="宋体" w:hAnsi="宋体" w:eastAsia="宋体" w:cs="宋体"/>
                <w:color w:val="auto"/>
                <w:sz w:val="21"/>
                <w:szCs w:val="21"/>
                <w:highlight w:val="none"/>
              </w:rPr>
              <w:t>：</w:t>
            </w:r>
          </w:p>
          <w:p>
            <w:pPr>
              <w:numPr>
                <w:ilvl w:val="0"/>
                <w:numId w:val="4"/>
              </w:num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合同价款为</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固定</w:t>
            </w:r>
            <w:r>
              <w:rPr>
                <w:rFonts w:hint="eastAsia" w:ascii="宋体" w:hAnsi="宋体" w:eastAsia="宋体" w:cs="宋体"/>
                <w:b/>
                <w:color w:val="auto"/>
                <w:sz w:val="21"/>
                <w:szCs w:val="21"/>
                <w:highlight w:val="none"/>
                <w:u w:val="single"/>
                <w:lang w:eastAsia="zh-CN"/>
              </w:rPr>
              <w:t>总价包干</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形式，采用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eastAsia="zh-CN"/>
              </w:rPr>
              <w:t>工程量清单</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报价。</w:t>
            </w:r>
            <w:r>
              <w:rPr>
                <w:rFonts w:hint="eastAsia" w:ascii="宋体" w:hAnsi="宋体" w:eastAsia="宋体" w:cs="宋体"/>
                <w:bCs/>
                <w:color w:val="auto"/>
                <w:szCs w:val="21"/>
                <w:highlight w:val="none"/>
              </w:rPr>
              <w:t>磋商报价</w:t>
            </w:r>
            <w:r>
              <w:rPr>
                <w:rFonts w:hint="eastAsia" w:ascii="宋体" w:hAnsi="宋体" w:eastAsia="宋体" w:cs="宋体"/>
                <w:color w:val="auto"/>
                <w:szCs w:val="21"/>
                <w:highlight w:val="none"/>
              </w:rPr>
              <w:t>为</w:t>
            </w:r>
            <w:r>
              <w:rPr>
                <w:rFonts w:hint="eastAsia" w:ascii="宋体" w:hAnsi="宋体" w:eastAsia="宋体" w:cs="宋体"/>
                <w:bCs/>
                <w:color w:val="auto"/>
                <w:szCs w:val="21"/>
                <w:highlight w:val="none"/>
              </w:rPr>
              <w:t>供应商</w:t>
            </w:r>
            <w:r>
              <w:rPr>
                <w:rFonts w:hint="eastAsia" w:ascii="宋体" w:hAnsi="宋体" w:eastAsia="宋体" w:cs="宋体"/>
                <w:color w:val="auto"/>
                <w:szCs w:val="21"/>
                <w:highlight w:val="none"/>
              </w:rPr>
              <w:t>在竞争性磋商响应文件中提出的各项支付金额的总和</w:t>
            </w:r>
            <w:r>
              <w:rPr>
                <w:rFonts w:hint="eastAsia" w:ascii="宋体" w:hAnsi="宋体" w:eastAsia="宋体" w:cs="宋体"/>
                <w:color w:val="auto"/>
                <w:sz w:val="21"/>
                <w:szCs w:val="21"/>
                <w:highlight w:val="none"/>
              </w:rPr>
              <w:t>。</w:t>
            </w:r>
          </w:p>
          <w:p>
            <w:pPr>
              <w:numPr>
                <w:ilvl w:val="0"/>
                <w:numId w:val="4"/>
              </w:num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lang w:eastAsia="zh-CN"/>
              </w:rPr>
              <w:t>此</w:t>
            </w:r>
            <w:r>
              <w:rPr>
                <w:rFonts w:hint="eastAsia" w:ascii="宋体" w:hAnsi="宋体" w:eastAsia="宋体" w:cs="宋体"/>
                <w:color w:val="auto"/>
                <w:sz w:val="21"/>
                <w:szCs w:val="21"/>
                <w:highlight w:val="none"/>
              </w:rPr>
              <w:t>价格</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采购人指定地点的现场交货价，</w:t>
            </w:r>
            <w:r>
              <w:rPr>
                <w:rFonts w:hint="eastAsia" w:ascii="宋体" w:hAnsi="宋体" w:eastAsia="宋体" w:cs="宋体"/>
                <w:color w:val="auto"/>
                <w:highlight w:val="none"/>
              </w:rPr>
              <w:t>包括供货所需的所有费用，包括采购、运输、劳务、管理、利润、税金、保险、协调、安装、调试、验收、售后服务以及所有的不定因素的风险等，合同履行过程中，采购人不再支付合同以外的其他费用</w:t>
            </w:r>
            <w:r>
              <w:rPr>
                <w:rFonts w:hint="eastAsia" w:ascii="宋体" w:hAnsi="宋体" w:eastAsia="宋体" w:cs="宋体"/>
                <w:color w:val="auto"/>
                <w:sz w:val="21"/>
                <w:szCs w:val="21"/>
                <w:highlight w:val="none"/>
                <w:u w:val="none"/>
                <w:lang w:eastAsia="zh-CN"/>
              </w:rPr>
              <w:t>。</w:t>
            </w:r>
          </w:p>
          <w:p>
            <w:pPr>
              <w:numPr>
                <w:ilvl w:val="0"/>
                <w:numId w:val="4"/>
              </w:num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因采购人要求项目变更引起工程项目、工程量变化的，变更合同价款按下列方法进行：</w:t>
            </w:r>
          </w:p>
          <w:p>
            <w:pPr>
              <w:numPr>
                <w:ilvl w:val="0"/>
                <w:numId w:val="0"/>
              </w:numPr>
              <w:spacing w:line="400" w:lineRule="exact"/>
              <w:ind w:firstLine="422" w:firstLineChars="200"/>
              <w:rPr>
                <w:color w:val="auto"/>
                <w:highlight w:val="none"/>
              </w:rPr>
            </w:pPr>
            <w:bookmarkStart w:id="2" w:name="OLE_LINK26"/>
            <w:r>
              <w:rPr>
                <w:rFonts w:hint="eastAsia" w:ascii="宋体" w:hAnsi="宋体" w:eastAsia="宋体" w:cs="宋体"/>
                <w:b/>
                <w:color w:val="auto"/>
                <w:szCs w:val="21"/>
                <w:highlight w:val="none"/>
                <w:lang w:val="en-US" w:eastAsia="zh-CN"/>
              </w:rPr>
              <w:t>①、</w:t>
            </w:r>
            <w:bookmarkEnd w:id="2"/>
            <w:r>
              <w:rPr>
                <w:rFonts w:hint="eastAsia" w:ascii="宋体" w:hAnsi="宋体" w:eastAsia="宋体" w:cs="宋体"/>
                <w:b/>
                <w:color w:val="auto"/>
                <w:szCs w:val="21"/>
                <w:highlight w:val="none"/>
              </w:rPr>
              <w:t>工程量清单中有相同项目的按磋商时成交价格进行结算；有类似项目的按类似项目成交单价结算；新增项目的单价有定额的套定额计算，其中材料价格按竞争性磋商响应文件价格，如竞争性磋商响应文件中无相应材料价格的按信息价，无信息价的由发包人、承包人到市场询价确定；新增项目无定额可套的，由发包人、承包人到市场询价确定。新增项目单价必须经发包人审定。</w:t>
            </w:r>
          </w:p>
          <w:p>
            <w:pPr>
              <w:numPr>
                <w:ilvl w:val="0"/>
                <w:numId w:val="0"/>
              </w:numPr>
              <w:spacing w:line="400" w:lineRule="exact"/>
              <w:ind w:firstLine="422" w:firstLineChars="200"/>
              <w:rPr>
                <w:rFonts w:hint="eastAsia" w:ascii="宋体" w:hAnsi="宋体" w:cs="宋体"/>
                <w:color w:val="auto"/>
                <w:sz w:val="21"/>
                <w:szCs w:val="21"/>
                <w:highlight w:val="none"/>
                <w:lang w:val="en-US" w:eastAsia="zh-CN"/>
              </w:rPr>
            </w:pPr>
            <w:bookmarkStart w:id="3" w:name="OLE_LINK25"/>
            <w:r>
              <w:rPr>
                <w:rFonts w:hint="eastAsia" w:ascii="宋体" w:hAnsi="宋体" w:eastAsia="宋体" w:cs="宋体"/>
                <w:b/>
                <w:color w:val="auto"/>
                <w:szCs w:val="21"/>
                <w:highlight w:val="none"/>
              </w:rPr>
              <w:t>②</w:t>
            </w:r>
            <w:r>
              <w:rPr>
                <w:rFonts w:hint="eastAsia" w:ascii="宋体" w:hAnsi="宋体" w:eastAsia="宋体" w:cs="宋体"/>
                <w:b/>
                <w:color w:val="auto"/>
                <w:szCs w:val="21"/>
                <w:highlight w:val="none"/>
                <w:lang w:eastAsia="zh-CN"/>
              </w:rPr>
              <w:t>、</w:t>
            </w:r>
            <w:bookmarkEnd w:id="3"/>
            <w:r>
              <w:rPr>
                <w:rFonts w:hint="eastAsia" w:ascii="宋体" w:hAnsi="宋体" w:eastAsia="宋体" w:cs="宋体"/>
                <w:b/>
                <w:color w:val="auto"/>
                <w:szCs w:val="21"/>
                <w:highlight w:val="none"/>
              </w:rPr>
              <w:t>国家和本自治区政策性调整有关费用标准的，按文件规定执行。</w:t>
            </w:r>
          </w:p>
          <w:p>
            <w:pPr>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计价依据：详见第七章工程量清单</w:t>
            </w:r>
            <w:r>
              <w:rPr>
                <w:rFonts w:hint="eastAsia" w:ascii="宋体" w:hAnsi="宋体" w:cs="宋体"/>
                <w:color w:val="auto"/>
                <w:sz w:val="21"/>
                <w:szCs w:val="21"/>
                <w:highlight w:val="none"/>
                <w:lang w:eastAsia="zh-CN"/>
              </w:rPr>
              <w:t>。</w:t>
            </w:r>
          </w:p>
          <w:p>
            <w:pPr>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合同签订时间：自成交公告发出之日起25个日历日。</w:t>
            </w:r>
          </w:p>
          <w:p>
            <w:pPr>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验收过程中所产生的一切费用均由成交供应商承担，</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报价时应考虑相关费用。</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成交供应商在货物验收时由采购人对照采购文件的功能目标及服务指标全面核对检验，对所有要求出具的证明文件的原件进行核查，如不符合采购文件的采购需求及要求以及提供虚假承诺的，按相关规定做不给与验收通过处理及违约处理，成交供应商承担所有责任和费用，采购人保留进一步追究责任的权利。</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成交供应商工程经过双方检验认可后，签署验收报告，质量保证期自验收合格之日起算，由成交供应商提供产品保修文件。</w:t>
            </w:r>
          </w:p>
          <w:p>
            <w:pPr>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highlight w:val="none"/>
              </w:rPr>
              <w:t>在验收时实际不满足技术参数要求的，视为供货商虚假应标，采购人有权终止合同，并追究供应商责任，同时报财政部门备案。</w:t>
            </w:r>
          </w:p>
          <w:p>
            <w:pPr>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当满足以下条件时，采购人才向成交供应商签发货物验收报告：</w:t>
            </w:r>
          </w:p>
          <w:p>
            <w:pPr>
              <w:spacing w:line="40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Cs w:val="21"/>
                <w:highlight w:val="none"/>
                <w:lang w:val="en-US" w:eastAsia="zh-CN"/>
              </w:rPr>
              <w:t>①、</w:t>
            </w:r>
            <w:r>
              <w:rPr>
                <w:rFonts w:hint="eastAsia" w:ascii="宋体" w:hAnsi="宋体" w:eastAsia="宋体" w:cs="宋体"/>
                <w:b w:val="0"/>
                <w:bCs w:val="0"/>
                <w:color w:val="auto"/>
                <w:sz w:val="21"/>
                <w:szCs w:val="21"/>
                <w:highlight w:val="none"/>
              </w:rPr>
              <w:t>成交供应商已按照合同规定提供了全部产品及完整的技术资料。</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Cs w:val="21"/>
                <w:highlight w:val="none"/>
              </w:rPr>
              <w:t>②</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 w:val="21"/>
                <w:szCs w:val="21"/>
                <w:highlight w:val="none"/>
              </w:rPr>
              <w:t>货物</w:t>
            </w:r>
            <w:r>
              <w:rPr>
                <w:rFonts w:hint="eastAsia" w:ascii="宋体" w:hAnsi="宋体" w:eastAsia="宋体" w:cs="宋体"/>
                <w:color w:val="auto"/>
                <w:sz w:val="21"/>
                <w:szCs w:val="21"/>
                <w:highlight w:val="none"/>
              </w:rPr>
              <w:t>各项参数</w:t>
            </w:r>
            <w:r>
              <w:rPr>
                <w:rFonts w:hint="eastAsia" w:ascii="宋体" w:hAnsi="宋体" w:eastAsia="宋体" w:cs="宋体"/>
                <w:color w:val="auto"/>
                <w:sz w:val="21"/>
                <w:szCs w:val="21"/>
                <w:highlight w:val="none"/>
                <w:lang w:val="en-US" w:eastAsia="zh-CN"/>
              </w:rPr>
              <w:t>及性能</w:t>
            </w:r>
            <w:r>
              <w:rPr>
                <w:rFonts w:hint="eastAsia" w:ascii="宋体" w:hAnsi="宋体" w:eastAsia="宋体" w:cs="宋体"/>
                <w:color w:val="auto"/>
                <w:sz w:val="21"/>
                <w:szCs w:val="21"/>
                <w:highlight w:val="none"/>
              </w:rPr>
              <w:t>完全</w:t>
            </w:r>
            <w:r>
              <w:rPr>
                <w:rFonts w:hint="eastAsia" w:ascii="宋体" w:hAnsi="宋体" w:eastAsia="宋体" w:cs="宋体"/>
                <w:color w:val="auto"/>
                <w:sz w:val="21"/>
                <w:szCs w:val="21"/>
                <w:highlight w:val="none"/>
                <w:lang w:val="en-US" w:eastAsia="zh-CN"/>
              </w:rPr>
              <w:t>满足或优于</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（工程量清单中设备及材料的参数和参考品牌）</w:t>
            </w:r>
            <w:r>
              <w:rPr>
                <w:rFonts w:hint="eastAsia" w:ascii="宋体" w:hAnsi="宋体" w:eastAsia="宋体" w:cs="宋体"/>
                <w:color w:val="auto"/>
                <w:sz w:val="21"/>
                <w:szCs w:val="21"/>
                <w:highlight w:val="none"/>
              </w:rPr>
              <w:t>要求，若实际验收与采购文件</w:t>
            </w:r>
            <w:r>
              <w:rPr>
                <w:rFonts w:hint="eastAsia" w:ascii="宋体" w:hAnsi="宋体" w:eastAsia="宋体" w:cs="宋体"/>
                <w:color w:val="auto"/>
                <w:sz w:val="21"/>
                <w:szCs w:val="21"/>
                <w:highlight w:val="none"/>
                <w:lang w:eastAsia="zh-CN"/>
              </w:rPr>
              <w:t>（</w:t>
            </w:r>
            <w:r>
              <w:rPr>
                <w:rFonts w:hint="eastAsia" w:ascii="宋体" w:hAnsi="宋体" w:cs="宋体"/>
                <w:color w:val="auto"/>
                <w:kern w:val="0"/>
                <w:szCs w:val="21"/>
                <w:highlight w:val="none"/>
                <w:lang w:val="en-US" w:eastAsia="zh-CN"/>
              </w:rPr>
              <w:t>工程量清单中</w:t>
            </w:r>
            <w:r>
              <w:rPr>
                <w:rFonts w:hint="eastAsia"/>
                <w:color w:val="auto"/>
                <w:highlight w:val="none"/>
                <w:lang w:eastAsia="zh-CN"/>
              </w:rPr>
              <w:t>设备及材料的参数和参考品牌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要求、响应文件响应的参数不符的，采购人有权拒绝验收并解除合同，相关损失与责任由成交供应商承担。</w:t>
            </w:r>
          </w:p>
          <w:p>
            <w:pPr>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售后服务要求：</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1）免费送货上门、免费提供产品工程师现场安装、安装调试服务。7天×8小时工作制。24小时内响应，3天内给出问题解决方案。</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2）维修响应：成交供应商在接到用户维修电话后1小时内响应，2小时内到达现场处理，一般情况下24小时内恢复正常使用，若不能修复须有合理应对方案。</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3）质保期满后，成交供应商依然负责采购人设备的售后服务工作，7天×8小时工作制。24小时内响应，3天内给出问题解决方案。</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成交供应商除承担运输、安装、调试、验收与培训等义务外，还将为采购人提供技术支持，包括保修期外的维护及技术指导、配件供应等。成交供应商承诺免费为用户提供终生技术咨询服务。至少一年二次电话回访以及对设备维护。</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5）成交供应商在签合同前必须提供切实可行的施工</w:t>
            </w:r>
            <w:r>
              <w:rPr>
                <w:rFonts w:hint="eastAsia" w:ascii="宋体" w:hAnsi="宋体" w:cs="宋体"/>
                <w:color w:val="auto"/>
                <w:sz w:val="21"/>
                <w:szCs w:val="21"/>
                <w:highlight w:val="none"/>
                <w:lang w:val="en-US" w:eastAsia="zh-CN"/>
              </w:rPr>
              <w:t>方法及设备</w:t>
            </w:r>
            <w:r>
              <w:rPr>
                <w:rFonts w:hint="eastAsia" w:ascii="宋体" w:hAnsi="宋体" w:eastAsia="宋体" w:cs="宋体"/>
                <w:color w:val="auto"/>
                <w:sz w:val="21"/>
                <w:szCs w:val="21"/>
                <w:highlight w:val="none"/>
                <w:lang w:val="en-US" w:eastAsia="zh-CN"/>
              </w:rPr>
              <w:t>安装技术方案，经采购人和使用方确认，且使用方签字盖章后方可进场施工。在施工期间，供应商应严格按施工方案和安装技术方案进行施工，如未按施工方案实施等原因，造成的工期延误问题，由供应商自行承担；</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bookmarkStart w:id="4" w:name="OLE_LINK21"/>
            <w:bookmarkStart w:id="5" w:name="OLE_LINK7"/>
            <w:r>
              <w:rPr>
                <w:rFonts w:hint="eastAsia" w:ascii="宋体" w:hAnsi="宋体" w:cs="宋体"/>
                <w:color w:val="auto"/>
                <w:sz w:val="21"/>
                <w:szCs w:val="21"/>
                <w:highlight w:val="none"/>
                <w:lang w:val="en-US" w:eastAsia="zh-CN"/>
              </w:rPr>
              <w:t>设备</w:t>
            </w:r>
            <w:r>
              <w:rPr>
                <w:rFonts w:hint="eastAsia" w:ascii="宋体" w:hAnsi="宋体" w:eastAsia="宋体" w:cs="宋体"/>
                <w:color w:val="auto"/>
                <w:sz w:val="21"/>
                <w:szCs w:val="21"/>
                <w:highlight w:val="none"/>
                <w:lang w:val="en-US" w:eastAsia="zh-CN"/>
              </w:rPr>
              <w:t>安装技术人员</w:t>
            </w:r>
            <w:bookmarkEnd w:id="4"/>
            <w:r>
              <w:rPr>
                <w:rFonts w:hint="eastAsia" w:ascii="宋体" w:hAnsi="宋体" w:eastAsia="宋体" w:cs="宋体"/>
                <w:color w:val="auto"/>
                <w:sz w:val="21"/>
                <w:szCs w:val="21"/>
                <w:highlight w:val="none"/>
                <w:lang w:val="en-US" w:eastAsia="zh-CN"/>
              </w:rPr>
              <w:t>必须具备高压作业操作证</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eastAsia="zh-CN"/>
              </w:rPr>
              <w:t>安全生产考核合格证</w:t>
            </w:r>
            <w:bookmarkEnd w:id="5"/>
            <w:r>
              <w:rPr>
                <w:rFonts w:hint="eastAsia" w:ascii="宋体" w:hAnsi="宋体" w:eastAsia="宋体" w:cs="宋体"/>
                <w:color w:val="auto"/>
                <w:sz w:val="21"/>
                <w:szCs w:val="21"/>
                <w:highlight w:val="none"/>
                <w:lang w:val="en-US" w:eastAsia="zh-CN"/>
              </w:rPr>
              <w:t>（签合同前提供</w:t>
            </w:r>
            <w:r>
              <w:rPr>
                <w:rFonts w:hint="eastAsia" w:ascii="宋体" w:hAnsi="宋体" w:cs="宋体"/>
                <w:color w:val="auto"/>
                <w:sz w:val="21"/>
                <w:szCs w:val="21"/>
                <w:highlight w:val="none"/>
                <w:lang w:val="en-US" w:eastAsia="zh-CN"/>
              </w:rPr>
              <w:t>设备</w:t>
            </w:r>
            <w:r>
              <w:rPr>
                <w:rFonts w:hint="eastAsia" w:ascii="宋体" w:hAnsi="宋体" w:eastAsia="宋体" w:cs="宋体"/>
                <w:color w:val="auto"/>
                <w:sz w:val="21"/>
                <w:szCs w:val="21"/>
                <w:highlight w:val="none"/>
                <w:lang w:val="en-US" w:eastAsia="zh-CN"/>
              </w:rPr>
              <w:t>安装技术人员相应证书原件审核）。</w:t>
            </w:r>
          </w:p>
        </w:tc>
      </w:tr>
    </w:tbl>
    <w:p>
      <w:pPr>
        <w:spacing w:line="428" w:lineRule="exact"/>
        <w:ind w:left="119"/>
        <w:rPr>
          <w:rFonts w:eastAsia="Arial Unicode MS"/>
          <w:color w:val="auto"/>
          <w:sz w:val="17"/>
          <w:szCs w:val="17"/>
          <w:highlight w:val="none"/>
        </w:rPr>
      </w:pPr>
      <w:r>
        <w:rPr>
          <w:rFonts w:eastAsia="Arial Unicode MS"/>
          <w:color w:val="auto"/>
          <w:sz w:val="32"/>
          <w:szCs w:val="32"/>
          <w:highlight w:val="none"/>
        </w:rPr>
        <w:br w:type="page"/>
      </w:r>
      <w:r>
        <w:rPr>
          <w:rFonts w:eastAsia="Arial Unicode MS"/>
          <w:color w:val="auto"/>
          <w:sz w:val="32"/>
          <w:szCs w:val="32"/>
          <w:highlight w:val="none"/>
        </w:rPr>
        <w:t>附件</w:t>
      </w:r>
      <w:r>
        <w:rPr>
          <w:color w:val="auto"/>
          <w:sz w:val="32"/>
          <w:szCs w:val="32"/>
          <w:highlight w:val="none"/>
        </w:rPr>
        <w:t>1</w:t>
      </w:r>
      <w:r>
        <w:rPr>
          <w:rFonts w:eastAsia="Arial Unicode MS"/>
          <w:color w:val="auto"/>
          <w:sz w:val="32"/>
          <w:szCs w:val="32"/>
          <w:highlight w:val="none"/>
        </w:rPr>
        <w:t>：</w:t>
      </w:r>
    </w:p>
    <w:p>
      <w:pPr>
        <w:spacing w:line="528" w:lineRule="exact"/>
        <w:jc w:val="center"/>
        <w:rPr>
          <w:rFonts w:eastAsia="Arial Unicode MS"/>
          <w:color w:val="auto"/>
          <w:sz w:val="40"/>
          <w:szCs w:val="40"/>
          <w:highlight w:val="none"/>
        </w:rPr>
      </w:pPr>
      <w:r>
        <w:rPr>
          <w:rFonts w:eastAsia="微软雅黑"/>
          <w:color w:val="auto"/>
          <w:sz w:val="40"/>
          <w:szCs w:val="40"/>
          <w:highlight w:val="none"/>
        </w:rPr>
        <w:t>节能产品政府采购品目清单</w:t>
      </w:r>
    </w:p>
    <w:tbl>
      <w:tblPr>
        <w:tblStyle w:val="9"/>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val="0"/>
            <w:vAlign w:val="top"/>
          </w:tcPr>
          <w:p>
            <w:pPr>
              <w:widowControl/>
              <w:jc w:val="center"/>
              <w:rPr>
                <w:b/>
                <w:bCs/>
                <w:color w:val="auto"/>
                <w:kern w:val="0"/>
                <w:sz w:val="22"/>
                <w:szCs w:val="22"/>
                <w:highlight w:val="none"/>
              </w:rPr>
            </w:pPr>
            <w:r>
              <w:rPr>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pPr>
              <w:widowControl/>
              <w:jc w:val="center"/>
              <w:rPr>
                <w:b/>
                <w:bCs/>
                <w:color w:val="auto"/>
                <w:kern w:val="0"/>
                <w:sz w:val="22"/>
                <w:szCs w:val="22"/>
                <w:highlight w:val="none"/>
              </w:rPr>
            </w:pPr>
            <w:r>
              <w:rPr>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0"/>
            <w:vAlign w:val="center"/>
          </w:tcPr>
          <w:p>
            <w:pPr>
              <w:widowControl/>
              <w:jc w:val="center"/>
              <w:rPr>
                <w:b/>
                <w:bCs/>
                <w:color w:val="auto"/>
                <w:kern w:val="0"/>
                <w:sz w:val="22"/>
                <w:szCs w:val="22"/>
                <w:highlight w:val="none"/>
              </w:rPr>
            </w:pPr>
            <w:r>
              <w:rPr>
                <w:b/>
                <w:bCs/>
                <w:color w:val="auto"/>
                <w:kern w:val="0"/>
                <w:sz w:val="22"/>
                <w:szCs w:val="22"/>
                <w:highlight w:val="none"/>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《计算机显示器能效限定值及能效等级》（GB21520）</w:t>
            </w:r>
          </w:p>
        </w:tc>
      </w:tr>
      <w:tr>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3</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4</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5</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《水（地）源热泵机组能效限定值及能效等级》（GB30721）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《单元式空气调节机能效限定值及能效等级》（GB19576）</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7</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8</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9</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《家用电冰箱耗电量限定值及能效等级》（GB 12021.2）</w:t>
            </w:r>
          </w:p>
        </w:tc>
      </w:tr>
      <w:tr>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《电动洗衣机能效水效限定值及等级》（GB12021.4）</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《储水式电热水器能效限定值及能效等级》（GB21519）</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《热泵热水机（器）能效限定值及能效等级》（GB29541）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11</w:t>
            </w:r>
          </w:p>
        </w:tc>
        <w:tc>
          <w:tcPr>
            <w:tcW w:w="1080" w:type="dxa"/>
            <w:vMerge w:val="restart"/>
            <w:tcBorders>
              <w:top w:val="nil"/>
              <w:left w:val="single" w:color="auto" w:sz="8" w:space="0"/>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A020619照明设备</w:t>
            </w: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★普通照明用双端荧光灯</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LED道路/隧道照明产品</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LED筒灯</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普通照明用非定向自镇流LED灯</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12</w:t>
            </w:r>
          </w:p>
        </w:tc>
        <w:tc>
          <w:tcPr>
            <w:tcW w:w="108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★A020910电视设备</w:t>
            </w: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A02091001普通电视设备（电视机）</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13</w:t>
            </w:r>
          </w:p>
        </w:tc>
        <w:tc>
          <w:tcPr>
            <w:tcW w:w="108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★A020911视频设备</w:t>
            </w: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A02091107视频监控设备</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监视器</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14</w:t>
            </w:r>
          </w:p>
        </w:tc>
        <w:tc>
          <w:tcPr>
            <w:tcW w:w="108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A031210饮食炊事机械</w:t>
            </w: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商用燃气灶具</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15</w:t>
            </w:r>
          </w:p>
        </w:tc>
        <w:tc>
          <w:tcPr>
            <w:tcW w:w="1080" w:type="dxa"/>
            <w:vMerge w:val="restart"/>
            <w:tcBorders>
              <w:top w:val="nil"/>
              <w:left w:val="single" w:color="auto" w:sz="8" w:space="0"/>
              <w:bottom w:val="single" w:color="000000"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★A060805便器</w:t>
            </w: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坐便器</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《坐便器水效限定值及水效等级》（GB25502）</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蹲便器</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《蹲便器用水效率限定值及用水效率等级》（GB30717）</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pPr>
              <w:widowControl/>
              <w:jc w:val="left"/>
              <w:rPr>
                <w:color w:val="auto"/>
                <w:kern w:val="0"/>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0"/>
            <w:vAlign w:val="center"/>
          </w:tcPr>
          <w:p>
            <w:pPr>
              <w:widowControl/>
              <w:jc w:val="left"/>
              <w:rPr>
                <w:color w:val="auto"/>
                <w:kern w:val="0"/>
                <w:sz w:val="20"/>
                <w:szCs w:val="20"/>
                <w:highlight w:val="none"/>
              </w:rPr>
            </w:pPr>
          </w:p>
        </w:tc>
        <w:tc>
          <w:tcPr>
            <w:tcW w:w="13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小便器</w:t>
            </w:r>
          </w:p>
        </w:tc>
        <w:tc>
          <w:tcPr>
            <w:tcW w:w="1620" w:type="dxa"/>
            <w:tcBorders>
              <w:top w:val="nil"/>
              <w:left w:val="nil"/>
              <w:bottom w:val="single" w:color="auto" w:sz="8" w:space="0"/>
              <w:right w:val="single" w:color="auto"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auto" w:sz="8" w:space="0"/>
              <w:right w:val="single" w:color="auto" w:sz="8" w:space="0"/>
            </w:tcBorders>
            <w:noWrap w:val="0"/>
            <w:vAlign w:val="center"/>
          </w:tcPr>
          <w:p>
            <w:pPr>
              <w:widowControl/>
              <w:jc w:val="left"/>
              <w:rPr>
                <w:color w:val="auto"/>
                <w:kern w:val="0"/>
                <w:sz w:val="20"/>
                <w:szCs w:val="20"/>
                <w:highlight w:val="none"/>
              </w:rPr>
            </w:pPr>
            <w:r>
              <w:rPr>
                <w:color w:val="auto"/>
                <w:kern w:val="0"/>
                <w:sz w:val="20"/>
                <w:szCs w:val="20"/>
                <w:highlight w:val="none"/>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16</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17</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18</w:t>
            </w:r>
          </w:p>
        </w:tc>
        <w:tc>
          <w:tcPr>
            <w:tcW w:w="108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pPr>
              <w:widowControl/>
              <w:jc w:val="center"/>
              <w:rPr>
                <w:color w:val="auto"/>
                <w:kern w:val="0"/>
                <w:sz w:val="20"/>
                <w:szCs w:val="20"/>
                <w:highlight w:val="none"/>
              </w:rPr>
            </w:pPr>
            <w:r>
              <w:rPr>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pPr>
              <w:widowControl/>
              <w:jc w:val="left"/>
              <w:rPr>
                <w:color w:val="auto"/>
                <w:kern w:val="0"/>
                <w:sz w:val="20"/>
                <w:szCs w:val="20"/>
                <w:highlight w:val="none"/>
              </w:rPr>
            </w:pPr>
            <w:r>
              <w:rPr>
                <w:color w:val="auto"/>
                <w:kern w:val="0"/>
                <w:sz w:val="20"/>
                <w:szCs w:val="20"/>
                <w:highlight w:val="none"/>
              </w:rPr>
              <w:t>《淋浴器用水效率限定值及用水效率等级》（GB28378）</w:t>
            </w:r>
          </w:p>
        </w:tc>
      </w:tr>
    </w:tbl>
    <w:p>
      <w:pPr>
        <w:widowControl/>
        <w:rPr>
          <w:color w:val="auto"/>
          <w:sz w:val="20"/>
          <w:szCs w:val="20"/>
          <w:highlight w:val="none"/>
        </w:rPr>
      </w:pPr>
    </w:p>
    <w:p>
      <w:pPr>
        <w:pStyle w:val="6"/>
        <w:spacing w:line="360" w:lineRule="auto"/>
        <w:ind w:firstLine="408"/>
        <w:rPr>
          <w:color w:val="auto"/>
          <w:szCs w:val="21"/>
          <w:highlight w:val="none"/>
        </w:rPr>
      </w:pPr>
      <w:r>
        <w:rPr>
          <w:color w:val="auto"/>
          <w:spacing w:val="-3"/>
          <w:szCs w:val="21"/>
          <w:highlight w:val="none"/>
        </w:rPr>
        <w:t>注：1.节能产品认证应依据相关国家标准的最新版本，依据国家标准中二级能效（水效）</w:t>
      </w:r>
      <w:r>
        <w:rPr>
          <w:color w:val="auto"/>
          <w:szCs w:val="21"/>
          <w:highlight w:val="none"/>
        </w:rPr>
        <w:t>指标。</w:t>
      </w:r>
    </w:p>
    <w:p>
      <w:pPr>
        <w:pStyle w:val="6"/>
        <w:spacing w:line="360" w:lineRule="auto"/>
        <w:rPr>
          <w:b/>
          <w:bCs/>
          <w:color w:val="auto"/>
          <w:szCs w:val="21"/>
          <w:highlight w:val="none"/>
        </w:rPr>
      </w:pPr>
      <w:r>
        <w:rPr>
          <w:color w:val="auto"/>
          <w:szCs w:val="21"/>
          <w:highlight w:val="none"/>
        </w:rPr>
        <w:t xml:space="preserve">   </w:t>
      </w:r>
      <w:r>
        <w:rPr>
          <w:color w:val="auto"/>
          <w:szCs w:val="21"/>
          <w:highlight w:val="none"/>
          <w:lang w:val="en-US" w:eastAsia="zh-CN"/>
        </w:rPr>
        <w:t xml:space="preserve">    </w:t>
      </w:r>
      <w:r>
        <w:rPr>
          <w:color w:val="auto"/>
          <w:szCs w:val="21"/>
          <w:highlight w:val="none"/>
        </w:rPr>
        <w:t xml:space="preserve"> 2</w:t>
      </w:r>
      <w:r>
        <w:rPr>
          <w:b/>
          <w:bCs/>
          <w:color w:val="auto"/>
          <w:szCs w:val="21"/>
          <w:highlight w:val="none"/>
        </w:rPr>
        <w:t>.以</w:t>
      </w:r>
      <w:r>
        <w:rPr>
          <w:rFonts w:hint="eastAsia"/>
          <w:b/>
          <w:bCs/>
          <w:color w:val="auto"/>
          <w:szCs w:val="21"/>
          <w:highlight w:val="none"/>
          <w:lang w:eastAsia="zh-CN"/>
        </w:rPr>
        <w:t>“</w:t>
      </w:r>
      <w:r>
        <w:rPr>
          <w:b/>
          <w:bCs/>
          <w:color w:val="auto"/>
          <w:szCs w:val="21"/>
          <w:highlight w:val="none"/>
        </w:rPr>
        <w:t>★</w:t>
      </w:r>
      <w:r>
        <w:rPr>
          <w:rFonts w:hint="eastAsia"/>
          <w:b/>
          <w:bCs/>
          <w:color w:val="auto"/>
          <w:szCs w:val="21"/>
          <w:highlight w:val="none"/>
          <w:lang w:eastAsia="zh-CN"/>
        </w:rPr>
        <w:t>”</w:t>
      </w:r>
      <w:r>
        <w:rPr>
          <w:b/>
          <w:bCs/>
          <w:color w:val="auto"/>
          <w:szCs w:val="21"/>
          <w:highlight w:val="none"/>
        </w:rPr>
        <w:t>标注的为政府强制采购产品。</w:t>
      </w:r>
    </w:p>
    <w:p>
      <w:pPr>
        <w:pStyle w:val="6"/>
        <w:spacing w:line="360" w:lineRule="auto"/>
        <w:rPr>
          <w:color w:val="auto"/>
          <w:spacing w:val="-3"/>
          <w:szCs w:val="21"/>
          <w:highlight w:val="none"/>
        </w:rPr>
      </w:pPr>
    </w:p>
    <w:p>
      <w:pPr>
        <w:rPr>
          <w:color w:val="auto"/>
          <w:spacing w:val="-3"/>
          <w:szCs w:val="21"/>
          <w:highlight w:val="none"/>
        </w:rPr>
      </w:pPr>
    </w:p>
    <w:p>
      <w:pPr>
        <w:pStyle w:val="4"/>
        <w:ind w:left="0" w:leftChars="0" w:firstLine="0" w:firstLineChars="0"/>
        <w:rPr>
          <w:rFonts w:eastAsia="Arial Unicode MS"/>
          <w:color w:val="auto"/>
          <w:kern w:val="0"/>
          <w:sz w:val="32"/>
          <w:szCs w:val="32"/>
          <w:highlight w:val="none"/>
        </w:rPr>
      </w:pPr>
      <w:r>
        <w:rPr>
          <w:color w:val="auto"/>
          <w:highlight w:val="none"/>
        </w:rPr>
        <w:br w:type="page"/>
      </w:r>
      <w:r>
        <w:rPr>
          <w:rFonts w:eastAsia="Arial Unicode MS"/>
          <w:color w:val="auto"/>
          <w:kern w:val="0"/>
          <w:sz w:val="32"/>
          <w:szCs w:val="32"/>
          <w:highlight w:val="none"/>
        </w:rPr>
        <w:t>附件2：</w:t>
      </w:r>
    </w:p>
    <w:p>
      <w:pPr>
        <w:widowControl/>
        <w:spacing w:before="120" w:beforeLines="50" w:after="120" w:afterLines="50" w:line="280" w:lineRule="exact"/>
        <w:jc w:val="center"/>
        <w:rPr>
          <w:b/>
          <w:bCs/>
          <w:color w:val="auto"/>
          <w:kern w:val="0"/>
          <w:sz w:val="30"/>
          <w:szCs w:val="30"/>
          <w:highlight w:val="none"/>
        </w:rPr>
      </w:pPr>
      <w:bookmarkStart w:id="6" w:name="_Toc28361_WPSOffice_Level2"/>
      <w:r>
        <w:rPr>
          <w:b/>
          <w:bCs/>
          <w:color w:val="auto"/>
          <w:kern w:val="0"/>
          <w:sz w:val="30"/>
          <w:szCs w:val="30"/>
          <w:highlight w:val="none"/>
        </w:rPr>
        <w:t>统计上大中小微型企业划分标准</w:t>
      </w:r>
      <w:bookmarkEnd w:id="6"/>
    </w:p>
    <w:tbl>
      <w:tblPr>
        <w:tblStyle w:val="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b/>
                <w:bCs/>
                <w:color w:val="auto"/>
                <w:kern w:val="0"/>
                <w:sz w:val="18"/>
                <w:szCs w:val="21"/>
                <w:highlight w:val="none"/>
              </w:rPr>
            </w:pPr>
            <w:r>
              <w:rPr>
                <w:b/>
                <w:bCs/>
                <w:color w:val="auto"/>
                <w:kern w:val="0"/>
                <w:sz w:val="18"/>
                <w:szCs w:val="21"/>
                <w:highlight w:val="none"/>
              </w:rPr>
              <w:t>行业名称</w:t>
            </w:r>
          </w:p>
        </w:tc>
        <w:tc>
          <w:tcPr>
            <w:tcW w:w="1369" w:type="dxa"/>
            <w:shd w:val="clear" w:color="auto" w:fill="8DB3E2"/>
            <w:noWrap w:val="0"/>
            <w:vAlign w:val="center"/>
          </w:tcPr>
          <w:p>
            <w:pPr>
              <w:widowControl/>
              <w:spacing w:line="280" w:lineRule="exact"/>
              <w:jc w:val="center"/>
              <w:rPr>
                <w:b/>
                <w:bCs/>
                <w:color w:val="auto"/>
                <w:kern w:val="0"/>
                <w:sz w:val="18"/>
                <w:szCs w:val="18"/>
                <w:highlight w:val="none"/>
              </w:rPr>
            </w:pPr>
            <w:r>
              <w:rPr>
                <w:b/>
                <w:bCs/>
                <w:color w:val="auto"/>
                <w:kern w:val="0"/>
                <w:sz w:val="18"/>
                <w:szCs w:val="18"/>
                <w:highlight w:val="none"/>
              </w:rPr>
              <w:t>指标名称</w:t>
            </w:r>
          </w:p>
        </w:tc>
        <w:tc>
          <w:tcPr>
            <w:tcW w:w="709" w:type="dxa"/>
            <w:shd w:val="clear" w:color="auto" w:fill="8DB3E2"/>
            <w:noWrap w:val="0"/>
            <w:vAlign w:val="center"/>
          </w:tcPr>
          <w:p>
            <w:pPr>
              <w:widowControl/>
              <w:spacing w:line="280" w:lineRule="exact"/>
              <w:jc w:val="center"/>
              <w:rPr>
                <w:b/>
                <w:bCs/>
                <w:color w:val="auto"/>
                <w:kern w:val="0"/>
                <w:sz w:val="18"/>
                <w:szCs w:val="18"/>
                <w:highlight w:val="none"/>
              </w:rPr>
            </w:pPr>
            <w:r>
              <w:rPr>
                <w:b/>
                <w:bCs/>
                <w:color w:val="auto"/>
                <w:kern w:val="0"/>
                <w:sz w:val="18"/>
                <w:szCs w:val="18"/>
                <w:highlight w:val="none"/>
              </w:rPr>
              <w:t>计量</w:t>
            </w:r>
          </w:p>
          <w:p>
            <w:pPr>
              <w:widowControl/>
              <w:spacing w:line="280" w:lineRule="exact"/>
              <w:jc w:val="center"/>
              <w:rPr>
                <w:b/>
                <w:bCs/>
                <w:color w:val="auto"/>
                <w:kern w:val="0"/>
                <w:sz w:val="18"/>
                <w:szCs w:val="18"/>
                <w:highlight w:val="none"/>
              </w:rPr>
            </w:pPr>
            <w:r>
              <w:rPr>
                <w:b/>
                <w:bCs/>
                <w:color w:val="auto"/>
                <w:kern w:val="0"/>
                <w:sz w:val="18"/>
                <w:szCs w:val="18"/>
                <w:highlight w:val="none"/>
              </w:rPr>
              <w:t>单位</w:t>
            </w:r>
          </w:p>
        </w:tc>
        <w:tc>
          <w:tcPr>
            <w:tcW w:w="1125" w:type="dxa"/>
            <w:shd w:val="clear" w:color="auto" w:fill="8DB3E2"/>
            <w:noWrap w:val="0"/>
            <w:vAlign w:val="center"/>
          </w:tcPr>
          <w:p>
            <w:pPr>
              <w:widowControl/>
              <w:spacing w:line="280" w:lineRule="exact"/>
              <w:jc w:val="center"/>
              <w:rPr>
                <w:b/>
                <w:bCs/>
                <w:color w:val="auto"/>
                <w:kern w:val="0"/>
                <w:sz w:val="18"/>
                <w:szCs w:val="18"/>
                <w:highlight w:val="none"/>
              </w:rPr>
            </w:pPr>
            <w:r>
              <w:rPr>
                <w:b/>
                <w:bCs/>
                <w:color w:val="auto"/>
                <w:kern w:val="0"/>
                <w:sz w:val="18"/>
                <w:szCs w:val="18"/>
                <w:highlight w:val="none"/>
              </w:rPr>
              <w:t>大型</w:t>
            </w:r>
          </w:p>
        </w:tc>
        <w:tc>
          <w:tcPr>
            <w:tcW w:w="1701" w:type="dxa"/>
            <w:shd w:val="clear" w:color="auto" w:fill="8DB3E2"/>
            <w:noWrap w:val="0"/>
            <w:vAlign w:val="center"/>
          </w:tcPr>
          <w:p>
            <w:pPr>
              <w:widowControl/>
              <w:spacing w:line="280" w:lineRule="exact"/>
              <w:jc w:val="center"/>
              <w:rPr>
                <w:b/>
                <w:bCs/>
                <w:color w:val="auto"/>
                <w:kern w:val="0"/>
                <w:sz w:val="18"/>
                <w:szCs w:val="18"/>
                <w:highlight w:val="none"/>
              </w:rPr>
            </w:pPr>
            <w:r>
              <w:rPr>
                <w:b/>
                <w:bCs/>
                <w:color w:val="auto"/>
                <w:kern w:val="0"/>
                <w:sz w:val="18"/>
                <w:szCs w:val="18"/>
                <w:highlight w:val="none"/>
              </w:rPr>
              <w:t>中型</w:t>
            </w:r>
          </w:p>
        </w:tc>
        <w:tc>
          <w:tcPr>
            <w:tcW w:w="1426" w:type="dxa"/>
            <w:shd w:val="clear" w:color="auto" w:fill="8DB3E2"/>
            <w:noWrap w:val="0"/>
            <w:vAlign w:val="center"/>
          </w:tcPr>
          <w:p>
            <w:pPr>
              <w:widowControl/>
              <w:spacing w:line="280" w:lineRule="exact"/>
              <w:jc w:val="center"/>
              <w:rPr>
                <w:b/>
                <w:bCs/>
                <w:color w:val="auto"/>
                <w:kern w:val="0"/>
                <w:sz w:val="18"/>
                <w:szCs w:val="18"/>
                <w:highlight w:val="none"/>
              </w:rPr>
            </w:pPr>
            <w:r>
              <w:rPr>
                <w:b/>
                <w:bCs/>
                <w:color w:val="auto"/>
                <w:kern w:val="0"/>
                <w:sz w:val="18"/>
                <w:szCs w:val="18"/>
                <w:highlight w:val="none"/>
              </w:rPr>
              <w:t>小型</w:t>
            </w:r>
          </w:p>
        </w:tc>
        <w:tc>
          <w:tcPr>
            <w:tcW w:w="992" w:type="dxa"/>
            <w:shd w:val="clear" w:color="auto" w:fill="8DB3E2"/>
            <w:noWrap w:val="0"/>
            <w:vAlign w:val="center"/>
          </w:tcPr>
          <w:p>
            <w:pPr>
              <w:widowControl/>
              <w:spacing w:line="280" w:lineRule="exact"/>
              <w:jc w:val="center"/>
              <w:rPr>
                <w:b/>
                <w:bCs/>
                <w:color w:val="auto"/>
                <w:kern w:val="0"/>
                <w:sz w:val="18"/>
                <w:szCs w:val="18"/>
                <w:highlight w:val="none"/>
              </w:rPr>
            </w:pPr>
            <w:r>
              <w:rPr>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农、林、牧、渔业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Y≥20000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500≤Y＜20000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50≤Y＜500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工业 *</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20≤X＜300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Y≥40000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2000≤Y＜40000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300≤Y＜2000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建筑业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Y≥80000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6000≤Y＜80000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300≤Y＜6000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资产总额(Z)</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Z≥80000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5000≤Z＜80000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300≤Z＜5000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批发业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X≥200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20≤X＜200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5≤X＜20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Y≥40000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5000≤Y＜40000</w:t>
            </w:r>
          </w:p>
        </w:tc>
        <w:tc>
          <w:tcPr>
            <w:tcW w:w="1426" w:type="dxa"/>
            <w:noWrap w:val="0"/>
            <w:vAlign w:val="center"/>
          </w:tcPr>
          <w:p>
            <w:pPr>
              <w:widowControl/>
              <w:spacing w:line="280" w:lineRule="exact"/>
              <w:ind w:left="-1" w:leftChars="-1" w:hanging="1"/>
              <w:jc w:val="center"/>
              <w:rPr>
                <w:color w:val="auto"/>
                <w:kern w:val="0"/>
                <w:sz w:val="18"/>
                <w:szCs w:val="18"/>
                <w:highlight w:val="none"/>
              </w:rPr>
            </w:pPr>
            <w:r>
              <w:rPr>
                <w:color w:val="auto"/>
                <w:kern w:val="0"/>
                <w:sz w:val="18"/>
                <w:szCs w:val="18"/>
                <w:highlight w:val="none"/>
              </w:rPr>
              <w:t>1000≤Y＜5000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零售业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50≤X＜300</w:t>
            </w:r>
          </w:p>
        </w:tc>
        <w:tc>
          <w:tcPr>
            <w:tcW w:w="1426" w:type="dxa"/>
            <w:noWrap w:val="0"/>
            <w:vAlign w:val="center"/>
          </w:tcPr>
          <w:p>
            <w:pPr>
              <w:widowControl/>
              <w:spacing w:line="280" w:lineRule="exact"/>
              <w:ind w:left="-1" w:leftChars="-1" w:hanging="1"/>
              <w:jc w:val="center"/>
              <w:rPr>
                <w:color w:val="auto"/>
                <w:kern w:val="0"/>
                <w:sz w:val="18"/>
                <w:szCs w:val="18"/>
                <w:highlight w:val="none"/>
              </w:rPr>
            </w:pPr>
            <w:r>
              <w:rPr>
                <w:color w:val="auto"/>
                <w:kern w:val="0"/>
                <w:sz w:val="18"/>
                <w:szCs w:val="18"/>
                <w:highlight w:val="none"/>
              </w:rPr>
              <w:t xml:space="preserve">10≤X＜50 </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Y≥20000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500≤Y＜20000</w:t>
            </w:r>
          </w:p>
        </w:tc>
        <w:tc>
          <w:tcPr>
            <w:tcW w:w="1426" w:type="dxa"/>
            <w:noWrap w:val="0"/>
            <w:vAlign w:val="center"/>
          </w:tcPr>
          <w:p>
            <w:pPr>
              <w:widowControl/>
              <w:spacing w:line="280" w:lineRule="exact"/>
              <w:ind w:left="-1" w:leftChars="-1" w:hanging="1"/>
              <w:jc w:val="center"/>
              <w:rPr>
                <w:color w:val="auto"/>
                <w:kern w:val="0"/>
                <w:sz w:val="18"/>
                <w:szCs w:val="18"/>
                <w:highlight w:val="none"/>
              </w:rPr>
            </w:pPr>
            <w:r>
              <w:rPr>
                <w:color w:val="auto"/>
                <w:kern w:val="0"/>
                <w:sz w:val="18"/>
                <w:szCs w:val="18"/>
                <w:highlight w:val="none"/>
              </w:rPr>
              <w:t>100≤Y＜500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交通运输业 *</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20≤X＜300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Y≥30000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3000≤Y＜30000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200≤Y＜3000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仓储业*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X≥200</w:t>
            </w:r>
          </w:p>
        </w:tc>
        <w:tc>
          <w:tcPr>
            <w:tcW w:w="1701" w:type="dxa"/>
            <w:noWrap w:val="0"/>
            <w:vAlign w:val="center"/>
          </w:tcPr>
          <w:p>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100≤X＜200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20≤X＜100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Y≥30000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1000≤Y＜30000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100≤Y＜1000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邮政业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20≤X＜300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Y≥30000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2000≤Y＜30000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100≤Y＜2000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住宿业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2000≤Y＜10000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100≤Y＜2000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餐饮业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 xml:space="preserve">100≤X＜300 </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2000≤Y＜10000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100≤Y＜2000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信息传输业 *</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X≥2000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100≤X＜2000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1000≤Y＜100000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100≤Y＜1000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color w:val="auto"/>
                <w:spacing w:val="-12"/>
                <w:kern w:val="0"/>
                <w:sz w:val="18"/>
                <w:szCs w:val="18"/>
                <w:highlight w:val="none"/>
              </w:rPr>
            </w:pPr>
            <w:r>
              <w:rPr>
                <w:color w:val="auto"/>
                <w:spacing w:val="-12"/>
                <w:kern w:val="0"/>
                <w:sz w:val="18"/>
                <w:szCs w:val="18"/>
                <w:highlight w:val="none"/>
              </w:rPr>
              <w:t>软件和信息技术服</w:t>
            </w:r>
            <w:r>
              <w:rPr>
                <w:color w:val="auto"/>
                <w:kern w:val="0"/>
                <w:sz w:val="18"/>
                <w:szCs w:val="18"/>
                <w:highlight w:val="none"/>
              </w:rPr>
              <w:t>务业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 xml:space="preserve">100≤X＜300 </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color w:val="auto"/>
                <w:spacing w:val="-12"/>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1000≤Y＜10000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50≤Y＜1000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房地产开发经营</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Y≥200000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1000≤Y＜200000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100≤Y＜1000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资产总额(Z)</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Z≥10000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5000≤Z＜10000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2000≤Z＜5000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物业管理</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300≤X＜1000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100≤X＜300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营业收入(Y)</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Y≥5000</w:t>
            </w:r>
          </w:p>
        </w:tc>
        <w:tc>
          <w:tcPr>
            <w:tcW w:w="1701" w:type="dxa"/>
            <w:noWrap w:val="0"/>
            <w:vAlign w:val="center"/>
          </w:tcPr>
          <w:p>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1000≤Y＜5000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500≤Y＜1000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租赁和商务服务业</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color w:val="auto"/>
                <w:kern w:val="0"/>
                <w:sz w:val="18"/>
                <w:szCs w:val="18"/>
                <w:highlight w:val="none"/>
              </w:rPr>
            </w:pP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资产总额(Z)</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万元</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Z≥120000</w:t>
            </w:r>
          </w:p>
        </w:tc>
        <w:tc>
          <w:tcPr>
            <w:tcW w:w="1701"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8000≤Z＜120000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100≤Z＜8000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color w:val="auto"/>
                <w:kern w:val="0"/>
                <w:sz w:val="18"/>
                <w:szCs w:val="18"/>
                <w:highlight w:val="none"/>
              </w:rPr>
            </w:pPr>
            <w:r>
              <w:rPr>
                <w:color w:val="auto"/>
                <w:kern w:val="0"/>
                <w:sz w:val="18"/>
                <w:szCs w:val="18"/>
                <w:highlight w:val="none"/>
              </w:rPr>
              <w:t>其他未列明行业 *</w:t>
            </w:r>
          </w:p>
        </w:tc>
        <w:tc>
          <w:tcPr>
            <w:tcW w:w="136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从业人员(X)</w:t>
            </w:r>
          </w:p>
        </w:tc>
        <w:tc>
          <w:tcPr>
            <w:tcW w:w="709"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人</w:t>
            </w:r>
          </w:p>
        </w:tc>
        <w:tc>
          <w:tcPr>
            <w:tcW w:w="1125"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color w:val="auto"/>
                <w:kern w:val="0"/>
                <w:sz w:val="18"/>
                <w:szCs w:val="18"/>
                <w:highlight w:val="none"/>
              </w:rPr>
            </w:pPr>
            <w:r>
              <w:rPr>
                <w:color w:val="auto"/>
                <w:kern w:val="0"/>
                <w:sz w:val="18"/>
                <w:szCs w:val="18"/>
                <w:highlight w:val="none"/>
              </w:rPr>
              <w:t>100≤X＜300</w:t>
            </w:r>
          </w:p>
        </w:tc>
        <w:tc>
          <w:tcPr>
            <w:tcW w:w="1426"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10≤X＜100</w:t>
            </w:r>
          </w:p>
        </w:tc>
        <w:tc>
          <w:tcPr>
            <w:tcW w:w="992" w:type="dxa"/>
            <w:noWrap w:val="0"/>
            <w:vAlign w:val="center"/>
          </w:tcPr>
          <w:p>
            <w:pPr>
              <w:widowControl/>
              <w:spacing w:line="280" w:lineRule="exact"/>
              <w:jc w:val="center"/>
              <w:rPr>
                <w:color w:val="auto"/>
                <w:kern w:val="0"/>
                <w:sz w:val="18"/>
                <w:szCs w:val="18"/>
                <w:highlight w:val="none"/>
              </w:rPr>
            </w:pPr>
            <w:r>
              <w:rPr>
                <w:color w:val="auto"/>
                <w:kern w:val="0"/>
                <w:sz w:val="18"/>
                <w:szCs w:val="18"/>
                <w:highlight w:val="none"/>
              </w:rPr>
              <w:t>X＜10</w:t>
            </w:r>
          </w:p>
        </w:tc>
      </w:tr>
    </w:tbl>
    <w:p>
      <w:pPr>
        <w:widowControl/>
        <w:spacing w:line="280" w:lineRule="exact"/>
        <w:rPr>
          <w:color w:val="auto"/>
          <w:spacing w:val="8"/>
          <w:kern w:val="0"/>
          <w:sz w:val="24"/>
          <w:highlight w:val="none"/>
        </w:rPr>
      </w:pPr>
    </w:p>
    <w:p>
      <w:pPr>
        <w:widowControl/>
        <w:spacing w:line="480" w:lineRule="auto"/>
        <w:rPr>
          <w:color w:val="auto"/>
          <w:spacing w:val="8"/>
          <w:kern w:val="0"/>
          <w:szCs w:val="21"/>
          <w:highlight w:val="none"/>
        </w:rPr>
      </w:pPr>
      <w:r>
        <w:rPr>
          <w:color w:val="auto"/>
          <w:spacing w:val="8"/>
          <w:kern w:val="0"/>
          <w:szCs w:val="21"/>
          <w:highlight w:val="none"/>
        </w:rPr>
        <w:t>说明：</w:t>
      </w:r>
    </w:p>
    <w:p>
      <w:pPr>
        <w:pStyle w:val="7"/>
        <w:adjustRightInd w:val="0"/>
        <w:spacing w:line="480" w:lineRule="auto"/>
        <w:ind w:firstLine="432" w:firstLineChars="200"/>
        <w:contextualSpacing/>
        <w:rPr>
          <w:rFonts w:ascii="Times New Roman" w:hAnsi="Times New Roman"/>
          <w:color w:val="auto"/>
          <w:spacing w:val="8"/>
          <w:highlight w:val="none"/>
        </w:rPr>
      </w:pPr>
      <w:r>
        <w:rPr>
          <w:rFonts w:ascii="Times New Roman" w:hAnsi="Times New Roman"/>
          <w:color w:val="auto"/>
          <w:spacing w:val="8"/>
          <w:highlight w:val="none"/>
        </w:rPr>
        <w:t>1.大型、中型和小型企业须同时满足所列指标的下限，否则下划一档；微型企业只须满足所列指标中的一项即可。</w:t>
      </w:r>
    </w:p>
    <w:p>
      <w:pPr>
        <w:pStyle w:val="7"/>
        <w:adjustRightInd w:val="0"/>
        <w:spacing w:line="480" w:lineRule="auto"/>
        <w:ind w:firstLine="432" w:firstLineChars="200"/>
        <w:contextualSpacing/>
        <w:rPr>
          <w:rFonts w:ascii="Times New Roman" w:hAnsi="Times New Roman"/>
          <w:color w:val="auto"/>
          <w:spacing w:val="8"/>
          <w:highlight w:val="none"/>
        </w:rPr>
      </w:pPr>
      <w:r>
        <w:rPr>
          <w:rFonts w:ascii="Times New Roman" w:hAnsi="Times New Roman"/>
          <w:color w:val="auto"/>
          <w:spacing w:val="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Times New Roman" w:hAnsi="Times New Roman"/>
          <w:color w:val="auto"/>
          <w:spacing w:val="8"/>
          <w:highlight w:val="none"/>
          <w:lang w:eastAsia="zh-CN"/>
        </w:rPr>
        <w:t>；</w:t>
      </w:r>
      <w:r>
        <w:rPr>
          <w:rFonts w:ascii="Times New Roman" w:hAnsi="Times New Roman"/>
          <w:color w:val="auto"/>
          <w:spacing w:val="8"/>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7"/>
        <w:spacing w:line="480" w:lineRule="auto"/>
        <w:ind w:firstLine="432" w:firstLineChars="200"/>
        <w:rPr>
          <w:rFonts w:ascii="Times New Roman" w:hAnsi="Times New Roman" w:eastAsia="宋体" w:cs="Times New Roman"/>
          <w:color w:val="auto"/>
          <w:kern w:val="2"/>
          <w:sz w:val="21"/>
          <w:szCs w:val="21"/>
          <w:highlight w:val="none"/>
          <w:lang w:val="en-US" w:eastAsia="zh-CN" w:bidi="ar-SA"/>
        </w:rPr>
      </w:pPr>
      <w:r>
        <w:rPr>
          <w:rFonts w:ascii="Times New Roman" w:hAnsi="Times New Roman"/>
          <w:color w:val="auto"/>
          <w:spacing w:val="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w:t>
      </w:r>
      <w:r>
        <w:rPr>
          <w:rFonts w:ascii="Times New Roman" w:hAnsi="Times New Roman" w:eastAsia="宋体" w:cs="Times New Roman"/>
          <w:color w:val="auto"/>
          <w:kern w:val="2"/>
          <w:sz w:val="21"/>
          <w:szCs w:val="21"/>
          <w:highlight w:val="none"/>
          <w:lang w:val="en-US" w:eastAsia="zh-CN" w:bidi="ar-SA"/>
        </w:rPr>
        <w:t>收入代替；其他未设置主营业务收入的行业，采用营业收入指标。（3）资产总额，采用资产总计代替。</w:t>
      </w:r>
    </w:p>
    <w:p>
      <w:pPr>
        <w:pStyle w:val="4"/>
        <w:rPr>
          <w:rFonts w:eastAsia="Arial Unicode MS"/>
          <w:color w:val="auto"/>
          <w:kern w:val="0"/>
          <w:sz w:val="32"/>
          <w:szCs w:val="32"/>
          <w:highlight w:val="none"/>
        </w:rPr>
      </w:pPr>
    </w:p>
    <w:p>
      <w:pPr>
        <w:pStyle w:val="4"/>
        <w:rPr>
          <w:rFonts w:eastAsia="Arial Unicode MS"/>
          <w:color w:val="auto"/>
          <w:kern w:val="0"/>
          <w:sz w:val="32"/>
          <w:szCs w:val="32"/>
          <w:highlight w:val="none"/>
        </w:rPr>
      </w:pPr>
    </w:p>
    <w:p>
      <w:pPr>
        <w:pStyle w:val="4"/>
        <w:rPr>
          <w:rFonts w:eastAsia="Arial Unicode MS"/>
          <w:color w:val="auto"/>
          <w:kern w:val="0"/>
          <w:sz w:val="32"/>
          <w:szCs w:val="32"/>
          <w:highlight w:val="none"/>
        </w:rPr>
      </w:pPr>
    </w:p>
    <w:p>
      <w:pPr>
        <w:pStyle w:val="4"/>
        <w:rPr>
          <w:rFonts w:eastAsia="Arial Unicode MS"/>
          <w:color w:val="auto"/>
          <w:kern w:val="0"/>
          <w:sz w:val="32"/>
          <w:szCs w:val="32"/>
          <w:highlight w:val="none"/>
        </w:rPr>
      </w:pPr>
    </w:p>
    <w:p>
      <w:pPr>
        <w:pStyle w:val="4"/>
        <w:rPr>
          <w:rFonts w:eastAsia="Arial Unicode MS"/>
          <w:color w:val="auto"/>
          <w:kern w:val="0"/>
          <w:sz w:val="32"/>
          <w:szCs w:val="32"/>
          <w:highlight w:val="none"/>
        </w:rPr>
      </w:pPr>
    </w:p>
    <w:p>
      <w:pPr>
        <w:pStyle w:val="4"/>
        <w:ind w:left="0" w:leftChars="0" w:firstLine="0" w:firstLineChars="0"/>
        <w:rPr>
          <w:rFonts w:eastAsia="Arial Unicode MS"/>
          <w:color w:val="auto"/>
          <w:kern w:val="0"/>
          <w:sz w:val="32"/>
          <w:szCs w:val="32"/>
          <w:highlight w:val="none"/>
        </w:rPr>
      </w:pPr>
      <w:bookmarkStart w:id="7" w:name="_GoBack"/>
      <w:bookmarkEnd w:id="7"/>
      <w:r>
        <w:rPr>
          <w:rFonts w:eastAsia="Arial Unicode MS"/>
          <w:color w:val="auto"/>
          <w:kern w:val="0"/>
          <w:sz w:val="32"/>
          <w:szCs w:val="32"/>
          <w:highlight w:val="none"/>
        </w:rPr>
        <w:t>附件</w:t>
      </w:r>
      <w:r>
        <w:rPr>
          <w:rFonts w:hint="eastAsia" w:eastAsia="Arial Unicode MS"/>
          <w:color w:val="auto"/>
          <w:kern w:val="0"/>
          <w:sz w:val="32"/>
          <w:szCs w:val="32"/>
          <w:highlight w:val="none"/>
          <w:lang w:val="en-US" w:eastAsia="zh-CN"/>
        </w:rPr>
        <w:t>3</w:t>
      </w:r>
      <w:r>
        <w:rPr>
          <w:rFonts w:eastAsia="Arial Unicode MS"/>
          <w:color w:val="auto"/>
          <w:kern w:val="0"/>
          <w:sz w:val="32"/>
          <w:szCs w:val="32"/>
          <w:highlight w:val="none"/>
        </w:rPr>
        <w:t>：</w:t>
      </w:r>
    </w:p>
    <w:p>
      <w:pPr>
        <w:pStyle w:val="3"/>
        <w:jc w:val="center"/>
        <w:rPr>
          <w:lang w:val="en-US" w:eastAsia="zh-CN"/>
        </w:rPr>
      </w:pPr>
      <w:r>
        <w:rPr>
          <w:rFonts w:hint="eastAsia" w:ascii="Times New Roman" w:hAnsi="Times New Roman" w:eastAsia="宋体" w:cs="Times New Roman"/>
          <w:b/>
          <w:bCs/>
          <w:color w:val="auto"/>
          <w:kern w:val="0"/>
          <w:sz w:val="30"/>
          <w:szCs w:val="30"/>
          <w:highlight w:val="none"/>
          <w:lang w:eastAsia="zh-CN"/>
        </w:rPr>
        <w:t>项目各项技术</w:t>
      </w:r>
      <w:r>
        <w:rPr>
          <w:rFonts w:hint="eastAsia" w:ascii="Times New Roman" w:hAnsi="Times New Roman" w:eastAsia="宋体" w:cs="Times New Roman"/>
          <w:b/>
          <w:bCs/>
          <w:color w:val="auto"/>
          <w:kern w:val="0"/>
          <w:sz w:val="30"/>
          <w:szCs w:val="30"/>
          <w:highlight w:val="none"/>
          <w:lang w:val="en-US" w:eastAsia="zh-CN"/>
        </w:rPr>
        <w:t>主要指标要求</w:t>
      </w:r>
    </w:p>
    <w:tbl>
      <w:tblPr>
        <w:tblStyle w:val="9"/>
        <w:tblW w:w="9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
        <w:gridCol w:w="965"/>
        <w:gridCol w:w="861"/>
        <w:gridCol w:w="7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398" w:type="dxa"/>
            <w:vAlign w:val="center"/>
          </w:tcPr>
          <w:p>
            <w:pPr>
              <w:tabs>
                <w:tab w:val="left" w:pos="180"/>
                <w:tab w:val="left" w:pos="1620"/>
              </w:tabs>
              <w:spacing w:line="240" w:lineRule="exact"/>
              <w:jc w:val="center"/>
              <w:rPr>
                <w:rFonts w:hint="eastAsia" w:ascii="宋体" w:hAnsi="宋体" w:eastAsia="宋体" w:cs="宋体"/>
                <w:b/>
                <w:bCs/>
                <w:color w:val="auto"/>
                <w:kern w:val="0"/>
                <w:sz w:val="24"/>
                <w:shd w:val="clear" w:color="auto" w:fill="FFFFFF"/>
              </w:rPr>
            </w:pPr>
            <w:r>
              <w:rPr>
                <w:rFonts w:hint="eastAsia" w:ascii="宋体" w:hAnsi="宋体" w:eastAsia="宋体" w:cs="宋体"/>
                <w:b/>
                <w:bCs/>
                <w:color w:val="auto"/>
                <w:kern w:val="0"/>
                <w:sz w:val="24"/>
                <w:shd w:val="clear" w:color="auto" w:fill="FFFFFF"/>
              </w:rPr>
              <w:t>序号</w:t>
            </w:r>
          </w:p>
        </w:tc>
        <w:tc>
          <w:tcPr>
            <w:tcW w:w="965" w:type="dxa"/>
            <w:vAlign w:val="center"/>
          </w:tcPr>
          <w:p>
            <w:pPr>
              <w:tabs>
                <w:tab w:val="left" w:pos="180"/>
                <w:tab w:val="left" w:pos="1620"/>
              </w:tabs>
              <w:spacing w:line="360" w:lineRule="auto"/>
              <w:jc w:val="center"/>
              <w:rPr>
                <w:rFonts w:hint="eastAsia" w:ascii="宋体" w:hAnsi="宋体" w:eastAsia="宋体" w:cs="宋体"/>
                <w:b/>
                <w:bCs/>
                <w:color w:val="auto"/>
                <w:kern w:val="0"/>
                <w:sz w:val="24"/>
                <w:shd w:val="clear" w:color="auto" w:fill="FFFFFF"/>
                <w:lang w:val="en-US" w:eastAsia="zh-CN"/>
              </w:rPr>
            </w:pPr>
            <w:r>
              <w:rPr>
                <w:rFonts w:hint="eastAsia" w:ascii="宋体" w:hAnsi="宋体" w:eastAsia="宋体" w:cs="宋体"/>
                <w:b/>
                <w:szCs w:val="21"/>
              </w:rPr>
              <w:t>标的的名称</w:t>
            </w:r>
          </w:p>
        </w:tc>
        <w:tc>
          <w:tcPr>
            <w:tcW w:w="861" w:type="dxa"/>
            <w:vAlign w:val="center"/>
          </w:tcPr>
          <w:p>
            <w:pPr>
              <w:tabs>
                <w:tab w:val="left" w:pos="180"/>
                <w:tab w:val="left" w:pos="1620"/>
              </w:tabs>
              <w:spacing w:line="360" w:lineRule="auto"/>
              <w:jc w:val="center"/>
              <w:rPr>
                <w:rFonts w:hint="eastAsia" w:ascii="宋体" w:hAnsi="宋体" w:eastAsia="宋体" w:cs="宋体"/>
                <w:b/>
                <w:szCs w:val="21"/>
              </w:rPr>
            </w:pPr>
            <w:r>
              <w:rPr>
                <w:rFonts w:hint="eastAsia" w:ascii="宋体" w:hAnsi="宋体" w:eastAsia="宋体" w:cs="宋体"/>
                <w:b/>
                <w:szCs w:val="21"/>
              </w:rPr>
              <w:t>数量</w:t>
            </w:r>
          </w:p>
          <w:p>
            <w:pPr>
              <w:tabs>
                <w:tab w:val="left" w:pos="180"/>
                <w:tab w:val="left" w:pos="1620"/>
              </w:tabs>
              <w:spacing w:line="360" w:lineRule="auto"/>
              <w:jc w:val="center"/>
              <w:rPr>
                <w:rFonts w:hint="eastAsia" w:ascii="宋体" w:hAnsi="宋体" w:eastAsia="宋体" w:cs="宋体"/>
                <w:b/>
                <w:bCs/>
                <w:color w:val="auto"/>
                <w:kern w:val="0"/>
                <w:sz w:val="24"/>
                <w:shd w:val="clear" w:color="auto" w:fill="FFFFFF"/>
                <w:lang w:val="en-US"/>
              </w:rPr>
            </w:pPr>
            <w:r>
              <w:rPr>
                <w:rFonts w:hint="eastAsia" w:ascii="宋体" w:hAnsi="宋体" w:eastAsia="宋体" w:cs="宋体"/>
                <w:b/>
                <w:szCs w:val="21"/>
              </w:rPr>
              <w:t>及单位</w:t>
            </w:r>
          </w:p>
        </w:tc>
        <w:tc>
          <w:tcPr>
            <w:tcW w:w="7094" w:type="dxa"/>
            <w:vAlign w:val="center"/>
          </w:tcPr>
          <w:p>
            <w:pPr>
              <w:tabs>
                <w:tab w:val="left" w:pos="180"/>
                <w:tab w:val="left" w:pos="1620"/>
              </w:tabs>
              <w:spacing w:line="360" w:lineRule="auto"/>
              <w:jc w:val="center"/>
              <w:rPr>
                <w:rFonts w:hint="eastAsia" w:ascii="宋体" w:hAnsi="宋体" w:eastAsia="宋体" w:cs="宋体"/>
                <w:b/>
                <w:bCs/>
                <w:color w:val="auto"/>
                <w:kern w:val="0"/>
                <w:sz w:val="24"/>
                <w:shd w:val="clear" w:color="auto" w:fill="FFFFFF"/>
              </w:rPr>
            </w:pPr>
            <w:r>
              <w:rPr>
                <w:rFonts w:hint="eastAsia" w:ascii="宋体" w:hAnsi="宋体" w:eastAsia="宋体" w:cs="宋体"/>
                <w:b/>
                <w:szCs w:val="21"/>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398" w:type="dxa"/>
            <w:vAlign w:val="center"/>
          </w:tcPr>
          <w:p>
            <w:pPr>
              <w:widowControl/>
              <w:spacing w:line="240" w:lineRule="exact"/>
              <w:jc w:val="center"/>
              <w:rPr>
                <w:rFonts w:hint="eastAsia" w:ascii="宋体" w:hAnsi="宋体" w:eastAsia="宋体" w:cs="宋体"/>
                <w:color w:val="auto"/>
                <w:kern w:val="0"/>
                <w:sz w:val="20"/>
                <w:szCs w:val="20"/>
                <w:shd w:val="clear" w:color="auto" w:fill="FFFFFF"/>
                <w:lang w:eastAsia="zh-CN"/>
              </w:rPr>
            </w:pPr>
            <w:r>
              <w:rPr>
                <w:rFonts w:hint="eastAsia" w:ascii="宋体" w:hAnsi="宋体" w:eastAsia="宋体" w:cs="宋体"/>
                <w:color w:val="auto"/>
                <w:kern w:val="0"/>
                <w:sz w:val="20"/>
                <w:szCs w:val="20"/>
                <w:shd w:val="clear" w:color="auto" w:fill="FFFFFF"/>
                <w:lang w:val="en-US" w:eastAsia="zh-CN"/>
              </w:rPr>
              <w:t>1</w:t>
            </w:r>
          </w:p>
        </w:tc>
        <w:tc>
          <w:tcPr>
            <w:tcW w:w="965" w:type="dxa"/>
            <w:vAlign w:val="center"/>
          </w:tcPr>
          <w:p>
            <w:pPr>
              <w:widowControl/>
              <w:spacing w:line="240" w:lineRule="exact"/>
              <w:jc w:val="center"/>
              <w:rPr>
                <w:rFonts w:hint="eastAsia" w:ascii="宋体" w:hAnsi="宋体" w:eastAsia="宋体" w:cs="宋体"/>
                <w:color w:val="auto"/>
                <w:kern w:val="0"/>
                <w:sz w:val="20"/>
                <w:szCs w:val="20"/>
                <w:shd w:val="clear" w:color="auto" w:fill="FFFFFF"/>
                <w:lang w:val="en-US" w:eastAsia="zh-CN"/>
              </w:rPr>
            </w:pPr>
            <w:r>
              <w:rPr>
                <w:rFonts w:hint="eastAsia" w:ascii="Times New Roman" w:hAnsi="Times New Roman" w:eastAsia="宋体" w:cs="Times New Roman"/>
                <w:color w:val="auto"/>
                <w:spacing w:val="8"/>
                <w:kern w:val="0"/>
                <w:sz w:val="20"/>
                <w:szCs w:val="21"/>
                <w:highlight w:val="none"/>
                <w:lang w:val="en-US" w:eastAsia="zh-CN" w:bidi="ar-SA"/>
              </w:rPr>
              <w:t>广西体育高等专科学校配电扩容及单体电路改造项目</w:t>
            </w:r>
          </w:p>
        </w:tc>
        <w:tc>
          <w:tcPr>
            <w:tcW w:w="861" w:type="dxa"/>
            <w:vAlign w:val="center"/>
          </w:tcPr>
          <w:p>
            <w:pPr>
              <w:widowControl/>
              <w:spacing w:line="240" w:lineRule="exact"/>
              <w:jc w:val="center"/>
              <w:rPr>
                <w:rFonts w:hint="eastAsia" w:ascii="宋体" w:hAnsi="宋体" w:eastAsia="宋体" w:cs="宋体"/>
                <w:color w:val="auto"/>
                <w:kern w:val="0"/>
                <w:sz w:val="20"/>
                <w:szCs w:val="20"/>
                <w:shd w:val="clear" w:color="auto" w:fill="FFFFFF"/>
                <w:lang w:val="en-US" w:eastAsia="zh-CN"/>
              </w:rPr>
            </w:pPr>
            <w:r>
              <w:rPr>
                <w:rFonts w:hint="eastAsia" w:ascii="宋体" w:hAnsi="宋体" w:eastAsia="宋体" w:cs="宋体"/>
                <w:color w:val="auto"/>
                <w:kern w:val="0"/>
                <w:sz w:val="20"/>
                <w:szCs w:val="20"/>
                <w:shd w:val="clear" w:color="auto" w:fill="FFFFFF"/>
                <w:lang w:val="en-US" w:eastAsia="zh-CN"/>
              </w:rPr>
              <w:t>1项</w:t>
            </w:r>
          </w:p>
        </w:tc>
        <w:tc>
          <w:tcPr>
            <w:tcW w:w="7094" w:type="dxa"/>
            <w:vAlign w:val="center"/>
          </w:tcPr>
          <w:p>
            <w:pPr>
              <w:keepNext w:val="0"/>
              <w:keepLines w:val="0"/>
              <w:pageBreakBefore w:val="0"/>
              <w:widowControl w:val="0"/>
              <w:numPr>
                <w:ilvl w:val="-1"/>
                <w:numId w:val="0"/>
              </w:numPr>
              <w:kinsoku/>
              <w:wordWrap/>
              <w:overflowPunct/>
              <w:topLinePunct w:val="0"/>
              <w:autoSpaceDE/>
              <w:autoSpaceDN/>
              <w:bidi w:val="0"/>
              <w:adjustRightInd/>
              <w:spacing w:line="360" w:lineRule="auto"/>
              <w:jc w:val="left"/>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（1）干式变压器2台 SCB11-1600/10.5 U=6%  D/Yn11</w:t>
            </w: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432" w:firstLineChars="200"/>
              <w:jc w:val="left"/>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高压调节范围: 10.5±2X2.5%</w:t>
            </w: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432" w:firstLineChars="200"/>
              <w:jc w:val="left"/>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变压器需装设温控装置(通用智能接口),风冷,具备高温报警功能，采用铝合金外壳,防护等级IP20,带风机、温显温控系统，含铭牌、绝缘护罩、软连接、附件、底座、防雷接地，要求高低压绕组采用全铜材质等，品牌：参照广东广特、海南金盘、海南威特</w:t>
            </w:r>
          </w:p>
          <w:p>
            <w:pPr>
              <w:keepNext w:val="0"/>
              <w:keepLines w:val="0"/>
              <w:pageBreakBefore w:val="0"/>
              <w:widowControl w:val="0"/>
              <w:numPr>
                <w:ilvl w:val="-1"/>
                <w:numId w:val="0"/>
              </w:numPr>
              <w:kinsoku/>
              <w:wordWrap/>
              <w:overflowPunct/>
              <w:topLinePunct w:val="0"/>
              <w:autoSpaceDE/>
              <w:autoSpaceDN/>
              <w:bidi w:val="0"/>
              <w:adjustRightInd/>
              <w:spacing w:line="360" w:lineRule="auto"/>
              <w:jc w:val="left"/>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（2）高压出线柜、高压进线柜、具体配置详见施工设计图纸，含柜体配套铜排、转接铜排品牌：相当于或优于“中档”元器件品牌：参照或相当于上海人民、江苏常熟、德力西等。</w:t>
            </w:r>
          </w:p>
          <w:p>
            <w:pPr>
              <w:keepNext w:val="0"/>
              <w:keepLines w:val="0"/>
              <w:pageBreakBefore w:val="0"/>
              <w:widowControl w:val="0"/>
              <w:numPr>
                <w:ilvl w:val="-1"/>
                <w:numId w:val="0"/>
              </w:numPr>
              <w:kinsoku/>
              <w:wordWrap/>
              <w:overflowPunct/>
              <w:topLinePunct w:val="0"/>
              <w:autoSpaceDE/>
              <w:autoSpaceDN/>
              <w:bidi w:val="0"/>
              <w:adjustRightInd/>
              <w:spacing w:line="360" w:lineRule="auto"/>
              <w:jc w:val="left"/>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（3）低压进线柜、补偿柜、低压出线柜、中置柜具体配置详见施工设计图纸，含柜体配套铜排、转接铜排品牌：相当于或优于“中档”元器件品牌：参照或相当于上海人民、江苏常熟、德力西等。</w:t>
            </w:r>
          </w:p>
          <w:p>
            <w:pPr>
              <w:keepNext w:val="0"/>
              <w:keepLines w:val="0"/>
              <w:pageBreakBefore w:val="0"/>
              <w:widowControl w:val="0"/>
              <w:numPr>
                <w:ilvl w:val="-1"/>
                <w:numId w:val="0"/>
              </w:numPr>
              <w:kinsoku/>
              <w:wordWrap/>
              <w:overflowPunct/>
              <w:topLinePunct w:val="0"/>
              <w:autoSpaceDE/>
              <w:autoSpaceDN/>
              <w:bidi w:val="0"/>
              <w:adjustRightInd/>
              <w:spacing w:line="360" w:lineRule="auto"/>
              <w:jc w:val="left"/>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（4）铜芯电力电缆敷设 YJV22-8.7/15kV-3*70mm2，约55米，具体工程量详见施工设计图纸及清单，品牌：参照或相当于桂林国际、纵览，符合国标的电缆，线芯截面误差±3%以内。</w:t>
            </w:r>
          </w:p>
          <w:p>
            <w:pPr>
              <w:keepNext w:val="0"/>
              <w:keepLines w:val="0"/>
              <w:pageBreakBefore w:val="0"/>
              <w:widowControl w:val="0"/>
              <w:numPr>
                <w:ilvl w:val="-1"/>
                <w:numId w:val="0"/>
              </w:numPr>
              <w:kinsoku/>
              <w:wordWrap/>
              <w:overflowPunct/>
              <w:topLinePunct w:val="0"/>
              <w:autoSpaceDE/>
              <w:autoSpaceDN/>
              <w:bidi w:val="0"/>
              <w:adjustRightInd/>
              <w:spacing w:line="360" w:lineRule="auto"/>
              <w:jc w:val="left"/>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（5）铜芯电力电缆敷设 YJV22-8.7/15kV-3*150mm2，约25米，具体工程量详见施工设计图纸及清单，品牌：参照或相当于桂林国际、纵览，符合国标的电缆，线芯截面误差±3%以内。</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（6）铜芯电力电缆敷设 WDZ-YJV-1kV-4*70+1*35mm2，约278米，具体工程量详见施工设计图纸及清单，品牌：参照或相当于桂林国际、纵览，符合国标的电缆，线芯截面误差±3%以内。</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（7）铜芯电力电缆敷设 WDZ-YJV-4*120+1*70mm2，约415米，具体工程量详见施工设计图纸及清单，品牌：参照或相当于桂林国际、纵览，符合国标的电缆，线芯截面误差±3%以内。</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（8）铜芯电力电缆敷设 WDZ-YJV-1kV-4*185+1*95mm2，约301米，具体工程量详见施工设计图纸及清单，品牌：参照或相当于桂林国际、纵览，符合国标的电缆，线芯截面误差±3%以内。</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（9）铜芯电力电缆敷设 WDZ-YJV-1kV-4*240+1*120mm2，约814米，具体工程量详见施工设计图纸及清单，品牌：参照或相当于桂林国际、纵览，符合国标的电缆，线芯截面误差±3%以内。</w:t>
            </w:r>
          </w:p>
          <w:p>
            <w:pPr>
              <w:pStyle w:val="8"/>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（10）电缆保护管 C-PVC150*4.5mm约2490米，含管件、管枕、管堵等附件，具体工程量详见施工设计图纸及清单，品牌：参照或相当于雄塑、联塑等。</w:t>
            </w:r>
          </w:p>
          <w:p>
            <w:pPr>
              <w:pStyle w:val="8"/>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（11）电缆保护管 SC200*4.5mm，约156米，具体工程量详见施工设计图纸及清单，品牌：参照或相当于天津友发</w:t>
            </w:r>
          </w:p>
          <w:p>
            <w:pPr>
              <w:pStyle w:val="8"/>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（12）土方开挖约841M3</w:t>
            </w:r>
          </w:p>
          <w:p>
            <w:pPr>
              <w:pStyle w:val="8"/>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（13）土外运弃土490M3</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pacing w:val="8"/>
                <w:kern w:val="0"/>
                <w:sz w:val="20"/>
                <w:szCs w:val="21"/>
                <w:highlight w:val="none"/>
                <w:lang w:val="en-US" w:eastAsia="zh-CN" w:bidi="ar-SA"/>
              </w:rPr>
            </w:pPr>
            <w:r>
              <w:rPr>
                <w:rFonts w:hint="eastAsia" w:ascii="Times New Roman" w:hAnsi="Times New Roman" w:eastAsia="宋体" w:cs="Times New Roman"/>
                <w:color w:val="auto"/>
                <w:spacing w:val="8"/>
                <w:kern w:val="0"/>
                <w:sz w:val="20"/>
                <w:szCs w:val="21"/>
                <w:highlight w:val="none"/>
                <w:lang w:val="en-US" w:eastAsia="zh-CN" w:bidi="ar-SA"/>
              </w:rPr>
              <w:t>（14）新建配电房1间。</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1"/>
                <w:szCs w:val="21"/>
                <w:shd w:val="clear" w:color="auto" w:fill="FFFFFF"/>
                <w:lang w:val="en-US" w:eastAsia="zh-CN"/>
              </w:rPr>
            </w:pPr>
            <w:r>
              <w:rPr>
                <w:rFonts w:hint="eastAsia" w:ascii="宋体" w:hAnsi="宋体" w:eastAsia="宋体" w:cs="宋体"/>
                <w:b/>
                <w:bCs/>
                <w:color w:val="auto"/>
                <w:kern w:val="0"/>
                <w:sz w:val="21"/>
                <w:szCs w:val="21"/>
                <w:shd w:val="clear" w:color="auto" w:fill="FFFFFF"/>
                <w:lang w:val="en-US" w:eastAsia="zh-CN"/>
              </w:rPr>
              <w:t>注：具体详见图纸及清单。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811C"/>
    <w:multiLevelType w:val="singleLevel"/>
    <w:tmpl w:val="8600811C"/>
    <w:lvl w:ilvl="0" w:tentative="0">
      <w:start w:val="1"/>
      <w:numFmt w:val="decimal"/>
      <w:suff w:val="nothing"/>
      <w:lvlText w:val="%1）"/>
      <w:lvlJc w:val="left"/>
    </w:lvl>
  </w:abstractNum>
  <w:abstractNum w:abstractNumId="1">
    <w:nsid w:val="C92F9124"/>
    <w:multiLevelType w:val="singleLevel"/>
    <w:tmpl w:val="C92F9124"/>
    <w:lvl w:ilvl="0" w:tentative="0">
      <w:start w:val="1"/>
      <w:numFmt w:val="decimal"/>
      <w:suff w:val="nothing"/>
      <w:lvlText w:val="（%1）"/>
      <w:lvlJc w:val="left"/>
    </w:lvl>
  </w:abstractNum>
  <w:abstractNum w:abstractNumId="2">
    <w:nsid w:val="553B8298"/>
    <w:multiLevelType w:val="singleLevel"/>
    <w:tmpl w:val="553B8298"/>
    <w:lvl w:ilvl="0" w:tentative="0">
      <w:start w:val="1"/>
      <w:numFmt w:val="decimal"/>
      <w:suff w:val="nothing"/>
      <w:lvlText w:val="%1）"/>
      <w:lvlJc w:val="left"/>
    </w:lvl>
  </w:abstractNum>
  <w:abstractNum w:abstractNumId="3">
    <w:nsid w:val="6ED745F5"/>
    <w:multiLevelType w:val="singleLevel"/>
    <w:tmpl w:val="6ED745F5"/>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YWUyYzJiNzRkYzg5YTIyNjcwNjMzZGE2NTdhOGUifQ=="/>
  </w:docVars>
  <w:rsids>
    <w:rsidRoot w:val="020A48DB"/>
    <w:rsid w:val="020A4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unhideWhenUsed/>
    <w:qFormat/>
    <w:uiPriority w:val="0"/>
    <w:pPr>
      <w:spacing w:after="120"/>
    </w:pPr>
  </w:style>
  <w:style w:type="paragraph" w:styleId="7">
    <w:name w:val="Plain Text"/>
    <w:basedOn w:val="1"/>
    <w:next w:val="3"/>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character" w:styleId="11">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2025-06-05T09:16:00Z</dcterms:created>
  <dc:creator>梁尉</dc:creator>
  <cp:lastModifiedBy>梁尉</cp:lastModifiedBy>
  <dcterms:modified xsi:type="dcterms:W3CDTF">2025-06-05T09:17:12Z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0B395978A7BF4A549DFB9B3B83601B9A_11</vt:lpwstr>
  </property>
</Properties>
</file>