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CAE82">
      <w:pPr>
        <w:pStyle w:val="3"/>
        <w:jc w:val="both"/>
        <w:outlineLvl w:val="0"/>
        <w:rPr>
          <w:rFonts w:hint="eastAsia" w:ascii="Times New Roman" w:hAnsi="Times New Roman"/>
          <w:b/>
          <w:color w:val="auto"/>
          <w:sz w:val="28"/>
          <w:szCs w:val="16"/>
          <w:highlight w:val="none"/>
          <w:lang w:val="en-US" w:eastAsia="zh-CN"/>
        </w:rPr>
      </w:pPr>
      <w:bookmarkStart w:id="0" w:name="_Toc7337"/>
      <w:bookmarkStart w:id="1" w:name="_Toc17621"/>
      <w:bookmarkStart w:id="2" w:name="_Toc28689"/>
      <w:bookmarkStart w:id="3" w:name="_Toc32573"/>
      <w:bookmarkStart w:id="4" w:name="_Toc22408"/>
      <w:bookmarkStart w:id="5" w:name="_Toc8382"/>
      <w:bookmarkStart w:id="6" w:name="_Toc21081"/>
      <w:bookmarkStart w:id="7" w:name="_Toc13449"/>
      <w:bookmarkStart w:id="8" w:name="_Toc2299"/>
      <w:bookmarkStart w:id="9" w:name="_Toc4483"/>
      <w:bookmarkStart w:id="10" w:name="_Toc7686"/>
      <w:bookmarkStart w:id="11" w:name="_Toc937"/>
      <w:bookmarkStart w:id="12" w:name="_Toc24210"/>
      <w:r>
        <w:rPr>
          <w:rFonts w:hint="eastAsia" w:ascii="Times New Roman" w:hAnsi="Times New Roman"/>
          <w:b/>
          <w:color w:val="auto"/>
          <w:sz w:val="28"/>
          <w:szCs w:val="16"/>
          <w:highlight w:val="none"/>
          <w:lang w:val="en-US" w:eastAsia="zh-CN"/>
        </w:rPr>
        <w:t>附件：</w:t>
      </w:r>
    </w:p>
    <w:p w14:paraId="392DE511">
      <w:pPr>
        <w:pStyle w:val="3"/>
        <w:jc w:val="center"/>
        <w:outlineLvl w:val="0"/>
        <w:rPr>
          <w:rFonts w:ascii="Times New Roman" w:hAnsi="Times New Roman"/>
          <w:b/>
          <w:color w:val="auto"/>
          <w:sz w:val="36"/>
          <w:highlight w:val="none"/>
        </w:rPr>
      </w:pPr>
      <w:r>
        <w:rPr>
          <w:rFonts w:hint="eastAsia" w:ascii="Times New Roman" w:hAnsi="Times New Roman"/>
          <w:b/>
          <w:color w:val="auto"/>
          <w:sz w:val="36"/>
          <w:highlight w:val="none"/>
        </w:rPr>
        <w:t>采购需求</w:t>
      </w:r>
      <w:bookmarkEnd w:id="0"/>
      <w:bookmarkEnd w:id="1"/>
      <w:bookmarkEnd w:id="2"/>
      <w:bookmarkEnd w:id="3"/>
      <w:bookmarkEnd w:id="4"/>
      <w:bookmarkEnd w:id="5"/>
      <w:bookmarkEnd w:id="6"/>
      <w:bookmarkEnd w:id="7"/>
      <w:bookmarkEnd w:id="8"/>
      <w:bookmarkEnd w:id="9"/>
      <w:bookmarkEnd w:id="10"/>
      <w:bookmarkEnd w:id="11"/>
      <w:bookmarkEnd w:id="12"/>
    </w:p>
    <w:p w14:paraId="5587CB03">
      <w:pPr>
        <w:adjustRightInd w:val="0"/>
        <w:spacing w:line="340" w:lineRule="exact"/>
        <w:rPr>
          <w:rFonts w:hint="eastAsia" w:hAnsi="宋体"/>
          <w:b/>
          <w:color w:val="auto"/>
          <w:szCs w:val="21"/>
          <w:highlight w:val="none"/>
        </w:rPr>
      </w:pPr>
      <w:bookmarkStart w:id="16" w:name="_GoBack"/>
      <w:bookmarkEnd w:id="16"/>
    </w:p>
    <w:p w14:paraId="2ACABB80">
      <w:pPr>
        <w:adjustRightInd w:val="0"/>
        <w:spacing w:line="360" w:lineRule="auto"/>
        <w:rPr>
          <w:rFonts w:hint="eastAsia" w:hAnsi="宋体"/>
          <w:b/>
          <w:color w:val="auto"/>
          <w:szCs w:val="21"/>
          <w:highlight w:val="none"/>
        </w:rPr>
      </w:pPr>
      <w:r>
        <w:rPr>
          <w:rFonts w:hint="eastAsia" w:hAnsi="宋体"/>
          <w:b/>
          <w:color w:val="auto"/>
          <w:szCs w:val="21"/>
          <w:highlight w:val="none"/>
        </w:rPr>
        <w:t>说明：</w:t>
      </w:r>
    </w:p>
    <w:p w14:paraId="116A359B">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1.为落实政府采购政策需满足的要求：</w:t>
      </w:r>
    </w:p>
    <w:p w14:paraId="64EA7B88">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本招标文件所称中小企业必须符合《政府采购促进中小企业发展管理办法》（财库〔2020〕46号）的规定。</w:t>
      </w:r>
    </w:p>
    <w:p w14:paraId="130DD15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b/>
          <w:bCs/>
          <w:color w:val="auto"/>
          <w:szCs w:val="21"/>
          <w:highlight w:val="none"/>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cs="宋体"/>
          <w:color w:val="auto"/>
          <w:szCs w:val="21"/>
          <w:highlight w:val="none"/>
        </w:rPr>
        <w:t>。如本项目包含的货物属于品目清单内非标注“★”的产品时，应优先采购，具体详见“第四章 评标方法和评标标准”。</w:t>
      </w:r>
    </w:p>
    <w:p w14:paraId="6C8BC0D1">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cs="宋体"/>
          <w:color w:val="auto"/>
          <w:highlight w:val="none"/>
        </w:rPr>
        <w:t>2.“实质性要求”是指招标文件中已经指明不满足则投标无效的条款，或者不能负偏离的条款，或者采购需求中带“▲”的条款。服务要求中标“●”的条款为评分标准中“2.1服务配备设备性能”评分内容对应的条款。</w:t>
      </w:r>
    </w:p>
    <w:p w14:paraId="2B399C4E">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3.本服务项目中伴随货物的，采购需求中出现的品牌、型号或者生产厂家仅起参考作用，不属于指定品牌、型号或者生产厂家的情形。投标人</w:t>
      </w:r>
      <w:r>
        <w:rPr>
          <w:rFonts w:hint="eastAsia" w:ascii="宋体" w:hAnsi="宋体" w:cs="宋体"/>
          <w:color w:val="auto"/>
          <w:szCs w:val="21"/>
          <w:highlight w:val="none"/>
          <w:lang w:eastAsia="zh-CN"/>
        </w:rPr>
        <w:t>可以</w:t>
      </w:r>
      <w:r>
        <w:rPr>
          <w:rFonts w:hint="eastAsia" w:ascii="宋体" w:hAnsi="宋体" w:cs="宋体"/>
          <w:color w:val="auto"/>
          <w:szCs w:val="21"/>
          <w:highlight w:val="none"/>
        </w:rPr>
        <w:t>参照或者选用其他相当的品牌、</w:t>
      </w:r>
      <w:r>
        <w:rPr>
          <w:rFonts w:hint="eastAsia" w:ascii="宋体" w:hAnsi="宋体" w:cs="宋体"/>
          <w:color w:val="auto"/>
          <w:szCs w:val="21"/>
          <w:highlight w:val="none"/>
          <w:lang w:eastAsia="zh-CN"/>
        </w:rPr>
        <w:t>型号</w:t>
      </w:r>
      <w:r>
        <w:rPr>
          <w:rFonts w:hint="eastAsia" w:ascii="宋体" w:hAnsi="宋体" w:cs="宋体"/>
          <w:color w:val="auto"/>
          <w:szCs w:val="21"/>
          <w:highlight w:val="none"/>
        </w:rPr>
        <w:t>生产厂家替代，但选用的投标产品技术参数及配置必须满足采购要求。</w:t>
      </w:r>
    </w:p>
    <w:p w14:paraId="49DBB2E7">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4.投标人必须对投标文件中提供的证明材料和资质文件真实性负责，如出现虚假应标情况，投标人</w:t>
      </w:r>
      <w:r>
        <w:rPr>
          <w:rFonts w:hint="eastAsia" w:ascii="宋体" w:hAnsi="宋体" w:cs="宋体"/>
          <w:color w:val="auto"/>
          <w:szCs w:val="21"/>
          <w:highlight w:val="none"/>
          <w:lang w:eastAsia="zh-CN"/>
        </w:rPr>
        <w:t>除</w:t>
      </w:r>
      <w:r>
        <w:rPr>
          <w:rFonts w:hint="eastAsia" w:ascii="宋体" w:hAnsi="宋体" w:cs="宋体"/>
          <w:color w:val="auto"/>
          <w:szCs w:val="21"/>
          <w:highlight w:val="none"/>
        </w:rPr>
        <w:t>应接受有关部门的处罚外，还应依据《中华人民共和国民法典》的相关条款来进行赔偿。</w:t>
      </w:r>
    </w:p>
    <w:p w14:paraId="65C5F0B3">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highlight w:val="none"/>
        </w:rPr>
        <w:t>5.投标人应对投标内容所涉及的专利承担法律责任，并负责保护采购人的利益不受任何损害。一切由于文字、商标、技术和软件专利授权引起的法律裁决、诉讼和赔偿费用均由中标人负责。</w:t>
      </w:r>
    </w:p>
    <w:p w14:paraId="2A033F5F">
      <w:pPr>
        <w:tabs>
          <w:tab w:val="left" w:pos="180"/>
          <w:tab w:val="left" w:pos="1620"/>
        </w:tabs>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6.采购标的对应的中小企业划分标准所属行业名称：</w:t>
      </w:r>
      <w:r>
        <w:rPr>
          <w:rFonts w:hint="eastAsia" w:ascii="宋体" w:hAnsi="宋体" w:cs="宋体"/>
          <w:color w:val="auto"/>
          <w:highlight w:val="none"/>
          <w:u w:val="single"/>
        </w:rPr>
        <w:t>租赁和商务服务业。</w:t>
      </w:r>
    </w:p>
    <w:p w14:paraId="06A00A03">
      <w:pPr>
        <w:rPr>
          <w:color w:val="auto"/>
          <w:highlight w:val="none"/>
        </w:rPr>
      </w:pPr>
      <w:r>
        <w:rPr>
          <w:color w:val="auto"/>
          <w:highlight w:val="none"/>
        </w:rPr>
        <w:br w:type="page"/>
      </w:r>
    </w:p>
    <w:tbl>
      <w:tblPr>
        <w:tblStyle w:val="5"/>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1166"/>
        <w:gridCol w:w="765"/>
        <w:gridCol w:w="7035"/>
      </w:tblGrid>
      <w:tr w14:paraId="6633C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vMerge w:val="restart"/>
            <w:tcBorders>
              <w:top w:val="single" w:color="auto" w:sz="4" w:space="0"/>
              <w:left w:val="single" w:color="auto" w:sz="4" w:space="0"/>
              <w:right w:val="single" w:color="auto" w:sz="4" w:space="0"/>
            </w:tcBorders>
          </w:tcPr>
          <w:p w14:paraId="5F845A0E">
            <w:pPr>
              <w:jc w:val="center"/>
              <w:rPr>
                <w:rFonts w:hint="eastAsia" w:ascii="宋体" w:hAnsi="宋体" w:cs="宋体"/>
                <w:b/>
                <w:color w:val="auto"/>
                <w:szCs w:val="21"/>
                <w:highlight w:val="none"/>
                <w:u w:val="none"/>
              </w:rPr>
            </w:pPr>
          </w:p>
          <w:p w14:paraId="7D7506A8">
            <w:pPr>
              <w:jc w:val="center"/>
              <w:rPr>
                <w:rFonts w:hint="eastAsia" w:ascii="宋体" w:hAnsi="宋体" w:cs="宋体"/>
                <w:color w:val="auto"/>
                <w:szCs w:val="21"/>
                <w:highlight w:val="none"/>
                <w:u w:val="none"/>
              </w:rPr>
            </w:pPr>
            <w:r>
              <w:rPr>
                <w:rFonts w:hint="eastAsia" w:ascii="宋体" w:hAnsi="宋体" w:cs="宋体"/>
                <w:b/>
                <w:color w:val="auto"/>
                <w:szCs w:val="21"/>
                <w:highlight w:val="none"/>
                <w:u w:val="none"/>
              </w:rPr>
              <w:t>服务要求</w:t>
            </w:r>
          </w:p>
        </w:tc>
        <w:tc>
          <w:tcPr>
            <w:tcW w:w="6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E77BD6B">
            <w:pPr>
              <w:jc w:val="center"/>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序号</w:t>
            </w:r>
          </w:p>
        </w:tc>
        <w:tc>
          <w:tcPr>
            <w:tcW w:w="1166" w:type="dxa"/>
            <w:tcBorders>
              <w:top w:val="single" w:color="auto" w:sz="4" w:space="0"/>
              <w:left w:val="single" w:color="auto" w:sz="4" w:space="0"/>
              <w:bottom w:val="single" w:color="auto" w:sz="4" w:space="0"/>
              <w:right w:val="single" w:color="auto" w:sz="4" w:space="0"/>
            </w:tcBorders>
            <w:vAlign w:val="center"/>
          </w:tcPr>
          <w:p w14:paraId="7B505F41">
            <w:pPr>
              <w:jc w:val="center"/>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标的名称</w:t>
            </w:r>
          </w:p>
        </w:tc>
        <w:tc>
          <w:tcPr>
            <w:tcW w:w="765" w:type="dxa"/>
            <w:tcBorders>
              <w:top w:val="single" w:color="auto" w:sz="4" w:space="0"/>
              <w:left w:val="single" w:color="auto" w:sz="4" w:space="0"/>
              <w:bottom w:val="single" w:color="auto" w:sz="4" w:space="0"/>
              <w:right w:val="single" w:color="auto" w:sz="4" w:space="0"/>
            </w:tcBorders>
            <w:vAlign w:val="center"/>
          </w:tcPr>
          <w:p w14:paraId="00E94CE9">
            <w:pPr>
              <w:jc w:val="center"/>
              <w:rPr>
                <w:rFonts w:hint="eastAsia" w:ascii="宋体" w:hAnsi="宋体" w:cs="宋体"/>
                <w:b/>
                <w:bCs/>
                <w:color w:val="auto"/>
                <w:szCs w:val="21"/>
                <w:highlight w:val="none"/>
                <w:u w:val="none"/>
              </w:rPr>
            </w:pPr>
          </w:p>
          <w:p w14:paraId="6FAC6E0F">
            <w:pPr>
              <w:jc w:val="center"/>
              <w:rPr>
                <w:rFonts w:hint="eastAsia" w:ascii="宋体" w:hAnsi="宋体" w:cs="宋体"/>
                <w:b/>
                <w:bCs/>
                <w:color w:val="auto"/>
                <w:szCs w:val="21"/>
                <w:highlight w:val="none"/>
                <w:u w:val="none"/>
              </w:rPr>
            </w:pPr>
            <w:r>
              <w:rPr>
                <w:rFonts w:hint="eastAsia" w:ascii="宋体" w:hAnsi="宋体" w:cs="宋体"/>
                <w:b/>
                <w:bCs/>
                <w:color w:val="auto"/>
                <w:szCs w:val="21"/>
                <w:highlight w:val="none"/>
                <w:u w:val="none"/>
              </w:rPr>
              <w:t>数量及单位</w:t>
            </w:r>
          </w:p>
          <w:p w14:paraId="18D7878F">
            <w:pPr>
              <w:jc w:val="center"/>
              <w:rPr>
                <w:rFonts w:hint="eastAsia" w:ascii="宋体" w:hAnsi="宋体" w:cs="宋体"/>
                <w:b/>
                <w:bCs/>
                <w:color w:val="auto"/>
                <w:szCs w:val="21"/>
                <w:highlight w:val="none"/>
                <w:u w:val="none"/>
              </w:rPr>
            </w:pPr>
          </w:p>
        </w:tc>
        <w:tc>
          <w:tcPr>
            <w:tcW w:w="7035" w:type="dxa"/>
            <w:tcBorders>
              <w:top w:val="single" w:color="auto" w:sz="4" w:space="0"/>
              <w:left w:val="single" w:color="auto" w:sz="4" w:space="0"/>
              <w:bottom w:val="single" w:color="auto" w:sz="4" w:space="0"/>
              <w:right w:val="single" w:color="auto" w:sz="4" w:space="0"/>
            </w:tcBorders>
            <w:vAlign w:val="center"/>
          </w:tcPr>
          <w:p w14:paraId="3930CB43">
            <w:pPr>
              <w:spacing w:line="240" w:lineRule="exact"/>
              <w:jc w:val="center"/>
              <w:rPr>
                <w:rFonts w:hint="eastAsia" w:ascii="宋体" w:hAnsi="宋体" w:cs="宋体"/>
                <w:b/>
                <w:bCs/>
                <w:color w:val="auto"/>
                <w:sz w:val="16"/>
                <w:szCs w:val="16"/>
                <w:highlight w:val="none"/>
                <w:u w:val="none"/>
              </w:rPr>
            </w:pPr>
            <w:r>
              <w:rPr>
                <w:rFonts w:hint="eastAsia" w:ascii="宋体" w:hAnsi="宋体" w:cs="宋体"/>
                <w:b/>
                <w:bCs/>
                <w:color w:val="auto"/>
                <w:szCs w:val="21"/>
                <w:highlight w:val="none"/>
                <w:u w:val="none"/>
              </w:rPr>
              <w:t>服务内容</w:t>
            </w:r>
          </w:p>
        </w:tc>
      </w:tr>
      <w:tr w14:paraId="748A7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vMerge w:val="continue"/>
            <w:tcBorders>
              <w:left w:val="single" w:color="auto" w:sz="4" w:space="0"/>
              <w:right w:val="single" w:color="auto" w:sz="4" w:space="0"/>
            </w:tcBorders>
          </w:tcPr>
          <w:p w14:paraId="509CD7B0">
            <w:pPr>
              <w:spacing w:line="240" w:lineRule="exact"/>
              <w:jc w:val="center"/>
              <w:rPr>
                <w:rFonts w:hint="eastAsia" w:ascii="宋体" w:hAnsi="宋体" w:cs="宋体"/>
                <w:b/>
                <w:bCs/>
                <w:color w:val="auto"/>
                <w:szCs w:val="21"/>
                <w:highlight w:val="none"/>
                <w:u w:val="none"/>
              </w:rPr>
            </w:pPr>
          </w:p>
        </w:tc>
        <w:tc>
          <w:tcPr>
            <w:tcW w:w="610" w:type="dxa"/>
            <w:tcBorders>
              <w:top w:val="single" w:color="auto" w:sz="4" w:space="0"/>
              <w:left w:val="single" w:color="auto" w:sz="4" w:space="0"/>
              <w:bottom w:val="single" w:color="auto" w:sz="4" w:space="0"/>
              <w:right w:val="single" w:color="auto" w:sz="4" w:space="0"/>
            </w:tcBorders>
            <w:vAlign w:val="center"/>
          </w:tcPr>
          <w:p w14:paraId="55C43B21">
            <w:pPr>
              <w:spacing w:line="300" w:lineRule="auto"/>
              <w:jc w:val="center"/>
              <w:rPr>
                <w:rFonts w:hint="eastAsia" w:ascii="宋体" w:hAnsi="宋体" w:cs="宋体"/>
                <w:color w:val="auto"/>
                <w:szCs w:val="21"/>
                <w:highlight w:val="none"/>
                <w:u w:val="none"/>
              </w:rPr>
            </w:pPr>
            <w:r>
              <w:rPr>
                <w:rFonts w:hint="eastAsia" w:ascii="宋体" w:hAnsi="宋体" w:cs="宋体"/>
                <w:color w:val="auto"/>
                <w:szCs w:val="21"/>
                <w:highlight w:val="none"/>
                <w:u w:val="none"/>
              </w:rPr>
              <w:t>1</w:t>
            </w:r>
          </w:p>
        </w:tc>
        <w:tc>
          <w:tcPr>
            <w:tcW w:w="1166" w:type="dxa"/>
            <w:tcBorders>
              <w:top w:val="single" w:color="auto" w:sz="4" w:space="0"/>
              <w:left w:val="single" w:color="auto" w:sz="4" w:space="0"/>
              <w:bottom w:val="single" w:color="auto" w:sz="4" w:space="0"/>
              <w:right w:val="single" w:color="auto" w:sz="4" w:space="0"/>
            </w:tcBorders>
            <w:vAlign w:val="center"/>
          </w:tcPr>
          <w:p w14:paraId="6E7C0045">
            <w:pPr>
              <w:spacing w:before="120" w:after="120" w:line="400" w:lineRule="exact"/>
              <w:jc w:val="center"/>
              <w:rPr>
                <w:rFonts w:ascii="宋体" w:hAnsi="Courier New"/>
                <w:bCs/>
                <w:caps/>
                <w:color w:val="auto"/>
                <w:sz w:val="20"/>
                <w:szCs w:val="20"/>
                <w:highlight w:val="none"/>
                <w:u w:val="none"/>
              </w:rPr>
            </w:pPr>
            <w:r>
              <w:rPr>
                <w:rFonts w:hint="eastAsia" w:ascii="宋体" w:hAnsi="Courier New"/>
                <w:bCs/>
                <w:caps/>
                <w:color w:val="auto"/>
                <w:sz w:val="20"/>
                <w:szCs w:val="20"/>
                <w:highlight w:val="none"/>
                <w:u w:val="none"/>
              </w:rPr>
              <w:t>铁路沿线视频监控服务</w:t>
            </w:r>
          </w:p>
        </w:tc>
        <w:tc>
          <w:tcPr>
            <w:tcW w:w="765" w:type="dxa"/>
            <w:tcBorders>
              <w:top w:val="single" w:color="auto" w:sz="4" w:space="0"/>
              <w:left w:val="single" w:color="auto" w:sz="4" w:space="0"/>
              <w:bottom w:val="single" w:color="auto" w:sz="4" w:space="0"/>
              <w:right w:val="single" w:color="auto" w:sz="4" w:space="0"/>
            </w:tcBorders>
            <w:vAlign w:val="center"/>
          </w:tcPr>
          <w:p w14:paraId="29706E53">
            <w:pPr>
              <w:spacing w:line="260" w:lineRule="exact"/>
              <w:jc w:val="center"/>
              <w:rPr>
                <w:rFonts w:hint="eastAsia" w:ascii="宋体" w:hAnsi="宋体" w:cs="宋体"/>
                <w:color w:val="auto"/>
                <w:szCs w:val="21"/>
                <w:highlight w:val="none"/>
                <w:u w:val="none"/>
              </w:rPr>
            </w:pPr>
            <w:r>
              <w:rPr>
                <w:rFonts w:hint="eastAsia" w:ascii="宋体" w:hAnsi="宋体" w:cs="宋体"/>
                <w:color w:val="auto"/>
                <w:szCs w:val="21"/>
                <w:highlight w:val="none"/>
                <w:u w:val="none"/>
              </w:rPr>
              <w:t>1项</w:t>
            </w:r>
          </w:p>
        </w:tc>
        <w:tc>
          <w:tcPr>
            <w:tcW w:w="7035" w:type="dxa"/>
            <w:tcBorders>
              <w:top w:val="single" w:color="auto" w:sz="4" w:space="0"/>
              <w:left w:val="single" w:color="auto" w:sz="4" w:space="0"/>
              <w:bottom w:val="single" w:color="auto" w:sz="4" w:space="0"/>
              <w:right w:val="single" w:color="auto" w:sz="4" w:space="0"/>
            </w:tcBorders>
            <w:vAlign w:val="center"/>
          </w:tcPr>
          <w:p w14:paraId="7E2536C9">
            <w:pPr>
              <w:spacing w:line="360" w:lineRule="auto"/>
              <w:ind w:firstLine="480"/>
              <w:rPr>
                <w:rFonts w:hint="eastAsia" w:ascii="宋体" w:hAnsi="宋体" w:cs="仿宋_GB2312"/>
                <w:b/>
                <w:bCs/>
                <w:color w:val="auto"/>
                <w:szCs w:val="21"/>
                <w:highlight w:val="none"/>
                <w:u w:val="none"/>
              </w:rPr>
            </w:pPr>
            <w:r>
              <w:rPr>
                <w:rFonts w:hint="eastAsia" w:ascii="宋体" w:hAnsi="宋体" w:cs="仿宋_GB2312"/>
                <w:color w:val="auto"/>
                <w:szCs w:val="21"/>
                <w:highlight w:val="none"/>
                <w:u w:val="none"/>
              </w:rPr>
              <w:t>本项目由铁路沿线视频监控一期升级改造及四期新建租赁项目（以下简称“一升四建租赁项目”）、铁路沿线视频监控第二期和第三期租赁项目（以下简称“二、三期租赁项目”）、五期新建南昆线铁路沿线视频监控租赁项目（以下简称“五期新建租赁项目”）三个部分组成，旨在广西壮族自治区铁路沿线重点路段租赁视频监控服务，提升安全防护能力。项目覆盖南宁、柳州、桂林、贵港、百色、贺州、北海、钦州、梧州、玉林等10个地市，各期建设点位及配套需求详见附件。通过热成像技术、智能分析系统及国产化升级，解决铁路沿线人防力量不足，补强巡防空档期，减少治安管控盲区，提升响应效率等，加强智能监控手段的运用，提高防治效果。</w:t>
            </w:r>
          </w:p>
          <w:p w14:paraId="310A2ECE">
            <w:pPr>
              <w:spacing w:line="360" w:lineRule="auto"/>
              <w:ind w:firstLine="420"/>
              <w:rPr>
                <w:rFonts w:hint="eastAsia" w:ascii="宋体" w:hAnsi="宋体" w:cs="仿宋_GB2312"/>
                <w:b/>
                <w:bCs/>
                <w:color w:val="auto"/>
                <w:szCs w:val="21"/>
                <w:highlight w:val="none"/>
                <w:u w:val="none"/>
              </w:rPr>
            </w:pPr>
            <w:r>
              <w:rPr>
                <w:rFonts w:hint="eastAsia" w:ascii="宋体" w:hAnsi="宋体" w:cs="黑体"/>
                <w:b/>
                <w:bCs/>
                <w:iCs/>
                <w:color w:val="auto"/>
                <w:szCs w:val="21"/>
                <w:highlight w:val="none"/>
                <w:u w:val="none"/>
              </w:rPr>
              <w:t>第一部分：</w:t>
            </w:r>
            <w:r>
              <w:rPr>
                <w:rFonts w:hint="eastAsia" w:ascii="宋体" w:hAnsi="宋体" w:cs="黑体"/>
                <w:b/>
                <w:bCs/>
                <w:color w:val="auto"/>
                <w:szCs w:val="21"/>
                <w:highlight w:val="none"/>
                <w:u w:val="none"/>
              </w:rPr>
              <w:t>一升四建租赁项目服务</w:t>
            </w:r>
          </w:p>
          <w:p w14:paraId="19C794F2">
            <w:pPr>
              <w:adjustRightInd w:val="0"/>
              <w:snapToGrid w:val="0"/>
              <w:spacing w:line="360" w:lineRule="auto"/>
              <w:ind w:firstLine="420"/>
              <w:rPr>
                <w:rFonts w:hint="eastAsia" w:ascii="宋体" w:hAnsi="宋体"/>
                <w:color w:val="auto"/>
                <w:kern w:val="0"/>
                <w:szCs w:val="21"/>
                <w:highlight w:val="none"/>
                <w:u w:val="none"/>
              </w:rPr>
            </w:pPr>
            <w:r>
              <w:rPr>
                <w:rFonts w:hint="eastAsia" w:ascii="宋体" w:hAnsi="宋体"/>
                <w:color w:val="auto"/>
                <w:kern w:val="0"/>
                <w:szCs w:val="21"/>
                <w:highlight w:val="none"/>
                <w:u w:val="none"/>
              </w:rPr>
              <w:t>要求中标人对南宁、柳州、贵港市辖区邕北线、衡柳线、南广线沿线治安防控重点部位22个视频监控点位可见光视频监控设备升级替换为双目热成像设备（原一期25个点位中的南昆客专线K207+500、南昆客专线K220+500、贵广客专线K598+257等3个点位已在三期建设中已升级），利旧原有挂载杆件、喇叭、点对点专线等设备设施，对原视频存储及网络线路进行扩容升级，对原监控平台设备进行国产化升级。对湘桂线、邕北线共23处铁路沿线重点防护路段进行建设，共计新增33个监控点位、27个音柱；涉及柳州、北海、钦州三个地市主要建设内容包含前端监测点位建设、预警监测系统综合管理平台、网络传输、存储系统等。</w:t>
            </w:r>
          </w:p>
          <w:p w14:paraId="4195AE9E">
            <w:pPr>
              <w:adjustRightInd w:val="0"/>
              <w:snapToGrid w:val="0"/>
              <w:spacing w:line="360" w:lineRule="auto"/>
              <w:ind w:firstLine="420"/>
              <w:rPr>
                <w:rFonts w:hint="eastAsia" w:ascii="宋体" w:hAnsi="宋体"/>
                <w:color w:val="auto"/>
                <w:kern w:val="0"/>
                <w:szCs w:val="21"/>
                <w:highlight w:val="none"/>
                <w:u w:val="none"/>
              </w:rPr>
            </w:pPr>
            <w:r>
              <w:rPr>
                <w:rFonts w:hint="eastAsia" w:ascii="宋体" w:hAnsi="宋体"/>
                <w:color w:val="auto"/>
                <w:kern w:val="0"/>
                <w:szCs w:val="21"/>
                <w:highlight w:val="none"/>
                <w:u w:val="none"/>
              </w:rPr>
              <w:t>服务内容包括：在服务期间提供维保包干服务，提供视频监控数据和设备运维服务，开展现场维护和定期巡检、排查安全隐患及保障设备正常运行，该服务需满足以下技术要求</w:t>
            </w:r>
            <w:r>
              <w:rPr>
                <w:rFonts w:hint="eastAsia" w:ascii="宋体" w:hAnsi="宋体"/>
                <w:color w:val="auto"/>
                <w:kern w:val="0"/>
                <w:szCs w:val="21"/>
                <w:highlight w:val="none"/>
                <w:u w:val="none"/>
                <w:lang w:eastAsia="zh-CN"/>
              </w:rPr>
              <w:t>（投标人可以选择一家或多家生产厂家的产品提供服务，也可以按照服务要求定制产品）</w:t>
            </w:r>
            <w:r>
              <w:rPr>
                <w:rFonts w:hint="eastAsia" w:ascii="宋体" w:hAnsi="宋体"/>
                <w:color w:val="auto"/>
                <w:kern w:val="0"/>
                <w:szCs w:val="21"/>
                <w:highlight w:val="none"/>
                <w:u w:val="none"/>
              </w:rPr>
              <w:t>：</w:t>
            </w:r>
          </w:p>
          <w:p w14:paraId="7B46AD96">
            <w:pPr>
              <w:adjustRightInd w:val="0"/>
              <w:snapToGrid w:val="0"/>
              <w:spacing w:line="360" w:lineRule="auto"/>
              <w:ind w:firstLine="420"/>
              <w:rPr>
                <w:rFonts w:hint="eastAsia" w:ascii="宋体" w:hAnsi="宋体"/>
                <w:color w:val="auto"/>
                <w:kern w:val="0"/>
                <w:szCs w:val="21"/>
                <w:highlight w:val="none"/>
                <w:u w:val="none"/>
              </w:rPr>
            </w:pPr>
            <w:r>
              <w:rPr>
                <w:rFonts w:hint="eastAsia" w:ascii="宋体" w:hAnsi="宋体"/>
                <w:color w:val="auto"/>
                <w:kern w:val="0"/>
                <w:szCs w:val="21"/>
                <w:highlight w:val="none"/>
                <w:u w:val="none"/>
              </w:rPr>
              <w:t>（一）关键设备性能要求</w:t>
            </w:r>
          </w:p>
          <w:p w14:paraId="7933C5C9">
            <w:pPr>
              <w:numPr>
                <w:ilvl w:val="-1"/>
                <w:numId w:val="0"/>
              </w:numPr>
              <w:spacing w:line="360" w:lineRule="auto"/>
              <w:ind w:left="420" w:leftChars="200" w:firstLine="0" w:firstLineChars="0"/>
              <w:jc w:val="left"/>
              <w:rPr>
                <w:rFonts w:hint="eastAsia" w:ascii="宋体" w:hAnsi="宋体" w:cs="仿宋_GB2312"/>
                <w:b/>
                <w:bCs/>
                <w:color w:val="auto"/>
                <w:kern w:val="0"/>
                <w:szCs w:val="21"/>
                <w:highlight w:val="none"/>
                <w:u w:val="none"/>
              </w:rPr>
            </w:pPr>
            <w:r>
              <w:rPr>
                <w:rFonts w:hint="eastAsia" w:ascii="宋体" w:hAnsi="宋体" w:cs="仿宋_GB2312"/>
                <w:b/>
                <w:bCs/>
                <w:color w:val="auto"/>
                <w:szCs w:val="21"/>
                <w:highlight w:val="none"/>
                <w:u w:val="none"/>
              </w:rPr>
              <w:t>双目热成像摄像头</w:t>
            </w:r>
          </w:p>
          <w:p w14:paraId="2BE0838B">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1.采用可见光和热成像双通道一体化设计的双目9英寸球型摄像机，具备可见光、热成像双镜头，整机净重应≤13kg；</w:t>
            </w:r>
          </w:p>
          <w:p w14:paraId="3675B745">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olor w:val="auto"/>
                <w:szCs w:val="21"/>
                <w:highlight w:val="none"/>
                <w:u w:val="none"/>
              </w:rPr>
              <w:t>▲</w:t>
            </w:r>
            <w:r>
              <w:rPr>
                <w:rFonts w:hint="eastAsia" w:ascii="宋体" w:hAnsi="宋体" w:cs="仿宋_GB2312"/>
                <w:color w:val="auto"/>
                <w:kern w:val="0"/>
                <w:szCs w:val="21"/>
                <w:highlight w:val="none"/>
                <w:u w:val="none"/>
              </w:rPr>
              <w:t>2.热成像探测器采用非制冷氧化钒焦平面探测器，分辨率不低于384×288；</w:t>
            </w:r>
          </w:p>
          <w:p w14:paraId="5ACC5697">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olor w:val="auto"/>
                <w:szCs w:val="21"/>
                <w:highlight w:val="none"/>
                <w:u w:val="none"/>
              </w:rPr>
              <w:t>●</w:t>
            </w:r>
            <w:r>
              <w:rPr>
                <w:rFonts w:hint="eastAsia" w:ascii="宋体" w:hAnsi="宋体" w:cs="仿宋_GB2312"/>
                <w:color w:val="auto"/>
                <w:kern w:val="0"/>
                <w:szCs w:val="21"/>
                <w:highlight w:val="none"/>
                <w:u w:val="none"/>
              </w:rPr>
              <w:t>3.噪声等效温差（NETD）≤8mK，最小可分辨温差(MRTD)≤150mK；</w:t>
            </w:r>
          </w:p>
          <w:p w14:paraId="1A6D8450">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4.支持春、夏、秋、冬、金秋、午日、夕阳、彩虹、黑热、白热、冰火、聚变等不少于18种伪彩可调；</w:t>
            </w:r>
          </w:p>
          <w:p w14:paraId="4426FB23">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5.可见光采用≥400万像素1/1.8英寸CMOS传感器，最低照度：彩色≤0.0002lx；黑白≤0.0001lx；</w:t>
            </w:r>
          </w:p>
          <w:p w14:paraId="0E5F0CCE">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6.热成像视场角不低于：水平：5.5°；垂直：4.1°；可见光视场角不低于：水平：64.4°～1.28°；垂直：38.37°～0.72°；</w:t>
            </w:r>
          </w:p>
          <w:p w14:paraId="1FBE1196">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7.支持红外补光，最大有效距离150 m，亮度、角度根据场景智能调整；</w:t>
            </w:r>
          </w:p>
          <w:p w14:paraId="2068FB7C">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8.旋转范围不低于：水平0°～360°连续旋转，垂直-27°～90°；</w:t>
            </w:r>
          </w:p>
          <w:p w14:paraId="74E5F2DD">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9.可见光支持自动聚焦、自动白平衡、背光补偿、宽动态、强光抑制，支持日夜转换、光学透雾、光学防抖功能；</w:t>
            </w:r>
          </w:p>
          <w:p w14:paraId="457630A1">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olor w:val="auto"/>
                <w:szCs w:val="21"/>
                <w:highlight w:val="none"/>
                <w:u w:val="none"/>
              </w:rPr>
              <w:t>▲10.可见光镜头焦距不低于6mm～240mm范围，≥40倍光学变倍，热成像焦距不低于50mm</w:t>
            </w:r>
            <w:r>
              <w:rPr>
                <w:rFonts w:hint="eastAsia" w:ascii="宋体" w:hAnsi="宋体" w:cs="仿宋_GB2312"/>
                <w:color w:val="auto"/>
                <w:kern w:val="0"/>
                <w:szCs w:val="21"/>
                <w:highlight w:val="none"/>
                <w:u w:val="none"/>
              </w:rPr>
              <w:t>；</w:t>
            </w:r>
          </w:p>
          <w:p w14:paraId="53DF5C36">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olor w:val="auto"/>
                <w:szCs w:val="21"/>
                <w:highlight w:val="none"/>
                <w:u w:val="none"/>
              </w:rPr>
              <w:t>▲11.巡航线≥1000条，每条可设置≥256个预置点；支持按照所设置的预置位完成巡航路径设置功能、一键快捷巡航控制功能等,对已设定的S型扫描路径、预置位进行自动巡航</w:t>
            </w:r>
            <w:r>
              <w:rPr>
                <w:rFonts w:hint="eastAsia" w:ascii="宋体" w:hAnsi="宋体" w:cs="仿宋_GB2312"/>
                <w:color w:val="auto"/>
                <w:kern w:val="0"/>
                <w:szCs w:val="21"/>
                <w:highlight w:val="none"/>
                <w:u w:val="none"/>
              </w:rPr>
              <w:t>；</w:t>
            </w:r>
          </w:p>
          <w:p w14:paraId="582475B4">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olor w:val="auto"/>
                <w:szCs w:val="21"/>
                <w:highlight w:val="none"/>
                <w:u w:val="none"/>
              </w:rPr>
              <w:t>●</w:t>
            </w:r>
            <w:r>
              <w:rPr>
                <w:rFonts w:hint="eastAsia" w:ascii="宋体" w:hAnsi="宋体" w:cs="仿宋_GB2312"/>
                <w:color w:val="auto"/>
                <w:kern w:val="0"/>
                <w:szCs w:val="21"/>
                <w:highlight w:val="none"/>
                <w:u w:val="none"/>
              </w:rPr>
              <w:t>12．支持3D定位、支持雨刷功能，支持自动、手动、定时等模式，当为自动雨刷时，雨量监测器监测到雨水时会自动开启雨刷，监测不到雨水后自动停止；</w:t>
            </w:r>
          </w:p>
          <w:p w14:paraId="361A1533">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●13.支持工程车检测，当监控画面中出现工程车时，可给出报警提示；</w:t>
            </w:r>
          </w:p>
          <w:p w14:paraId="394B7B71">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●14.支持偏移自动校正，运动结束静止在某个位置，当设备预置位受到外力作用发生偏移后，再次调用该预置位时可恢复至偏移前的预置位；</w:t>
            </w:r>
          </w:p>
          <w:p w14:paraId="5C5D8ED4">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●15.支持通过电子地图定位设备的经纬度后，以此坐标为圆心，半径≤1000米范围内，对同一经纬度的有明火的位置，实时视频画面内经纬度坐标与电子地图指示的位置在地图上相差不超过20米；</w:t>
            </w:r>
          </w:p>
          <w:p w14:paraId="5189B361">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16.支持通过一个IP地址连接设备，设备同时输出可见光和热成像两路视频图像；</w:t>
            </w:r>
          </w:p>
          <w:p w14:paraId="3F20DA9C">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17.具备专业智能功能，支持火点检测、全画面中最热点和最冷点自动跟踪、烟雾检测、绊线检测、区域入侵、船只检测、人车区分等多种AI智能、多种触发规则联动动作、目标过滤等多种智能功能；</w:t>
            </w:r>
          </w:p>
          <w:p w14:paraId="738B0BCC">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18.支持火点侦测距离≥3KM（目标大小</w:t>
            </w:r>
            <w:r>
              <w:rPr>
                <w:rFonts w:hint="eastAsia" w:ascii="宋体" w:hAnsi="宋体" w:cs="仿宋_GB2312"/>
                <w:color w:val="auto"/>
                <w:szCs w:val="21"/>
                <w:highlight w:val="none"/>
                <w:u w:val="none"/>
              </w:rPr>
              <w:t>长×宽：</w:t>
            </w:r>
            <w:r>
              <w:rPr>
                <w:rFonts w:hint="eastAsia" w:ascii="宋体" w:hAnsi="宋体" w:cs="仿宋_GB2312"/>
                <w:color w:val="auto"/>
                <w:kern w:val="0"/>
                <w:szCs w:val="21"/>
                <w:highlight w:val="none"/>
                <w:u w:val="none"/>
              </w:rPr>
              <w:t>2m×2m）；周界防范距离（车）≥1.5KM（目标大小</w:t>
            </w:r>
            <w:r>
              <w:rPr>
                <w:rFonts w:hint="eastAsia" w:ascii="宋体" w:hAnsi="宋体" w:cs="仿宋_GB2312"/>
                <w:color w:val="auto"/>
                <w:szCs w:val="21"/>
                <w:highlight w:val="none"/>
                <w:u w:val="none"/>
              </w:rPr>
              <w:t>长</w:t>
            </w:r>
            <w:r>
              <w:rPr>
                <w:rFonts w:hint="eastAsia" w:ascii="宋体" w:hAnsi="宋体" w:cs="仿宋_GB2312"/>
                <w:color w:val="auto"/>
                <w:kern w:val="0"/>
                <w:szCs w:val="21"/>
                <w:highlight w:val="none"/>
                <w:u w:val="none"/>
              </w:rPr>
              <w:t>×</w:t>
            </w:r>
            <w:r>
              <w:rPr>
                <w:rFonts w:hint="eastAsia" w:ascii="宋体" w:hAnsi="宋体" w:cs="仿宋_GB2312"/>
                <w:color w:val="auto"/>
                <w:szCs w:val="21"/>
                <w:highlight w:val="none"/>
                <w:u w:val="none"/>
              </w:rPr>
              <w:t>宽：</w:t>
            </w:r>
            <w:r>
              <w:rPr>
                <w:rFonts w:hint="eastAsia" w:ascii="宋体" w:hAnsi="宋体" w:cs="仿宋_GB2312"/>
                <w:color w:val="auto"/>
                <w:kern w:val="0"/>
                <w:szCs w:val="21"/>
                <w:highlight w:val="none"/>
                <w:u w:val="none"/>
              </w:rPr>
              <w:t>4m×1.4m）；烟雾检测距离≥6KM（目标大小</w:t>
            </w:r>
            <w:r>
              <w:rPr>
                <w:rFonts w:hint="eastAsia" w:ascii="宋体" w:hAnsi="宋体" w:cs="仿宋_GB2312"/>
                <w:color w:val="auto"/>
                <w:szCs w:val="21"/>
                <w:highlight w:val="none"/>
                <w:u w:val="none"/>
              </w:rPr>
              <w:t>长</w:t>
            </w:r>
            <w:r>
              <w:rPr>
                <w:rFonts w:hint="eastAsia" w:ascii="宋体" w:hAnsi="宋体" w:cs="仿宋_GB2312"/>
                <w:color w:val="auto"/>
                <w:kern w:val="0"/>
                <w:szCs w:val="21"/>
                <w:highlight w:val="none"/>
                <w:u w:val="none"/>
              </w:rPr>
              <w:t>×</w:t>
            </w:r>
            <w:r>
              <w:rPr>
                <w:rFonts w:hint="eastAsia" w:ascii="宋体" w:hAnsi="宋体" w:cs="仿宋_GB2312"/>
                <w:color w:val="auto"/>
                <w:szCs w:val="21"/>
                <w:highlight w:val="none"/>
                <w:u w:val="none"/>
              </w:rPr>
              <w:t>宽：</w:t>
            </w:r>
            <w:r>
              <w:rPr>
                <w:rFonts w:hint="eastAsia" w:ascii="宋体" w:hAnsi="宋体" w:cs="仿宋_GB2312"/>
                <w:color w:val="auto"/>
                <w:kern w:val="0"/>
                <w:szCs w:val="21"/>
                <w:highlight w:val="none"/>
                <w:u w:val="none"/>
              </w:rPr>
              <w:t>5m×5m）；周界防范距离（人）≥500m；</w:t>
            </w:r>
          </w:p>
          <w:p w14:paraId="76FA9EDD">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19.支持人，机动车分类；热成像支持人车分类过滤报警，支持单场景、多场景、全景、手动、报警联动跟踪，支持吸烟检测、打电话检测、人/车/船只报警、人/车/船只跟踪；</w:t>
            </w:r>
          </w:p>
          <w:p w14:paraId="4BBE4203">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20.支持环境自适应，可在WEB端对风扇、加热器进行控制，可</w:t>
            </w:r>
            <w:r>
              <w:rPr>
                <w:rFonts w:hint="eastAsia" w:ascii="宋体" w:hAnsi="宋体" w:cs="仿宋_GB2312"/>
                <w:color w:val="auto"/>
                <w:kern w:val="0"/>
                <w:szCs w:val="21"/>
                <w:highlight w:val="none"/>
                <w:u w:val="none"/>
                <w:lang w:eastAsia="zh-CN"/>
              </w:rPr>
              <w:t>选择</w:t>
            </w:r>
            <w:r>
              <w:rPr>
                <w:rFonts w:hint="eastAsia" w:ascii="宋体" w:hAnsi="宋体" w:cs="仿宋_GB2312"/>
                <w:color w:val="auto"/>
                <w:kern w:val="0"/>
                <w:szCs w:val="21"/>
                <w:highlight w:val="none"/>
                <w:u w:val="none"/>
              </w:rPr>
              <w:t>自动和手动模式；</w:t>
            </w:r>
          </w:p>
          <w:p w14:paraId="32874719">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21.支持显示设备的方位指向信息、角度和光学变倍信息，支持客户端软件对方向和角度进行显示，具有自动和手动指北设置选项；</w:t>
            </w:r>
          </w:p>
          <w:p w14:paraId="6CCC5FC7">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22.支持线性扫描，可设置左右边界，在左右边界之间进行扫描，扫描速度从1～8可调节；</w:t>
            </w:r>
          </w:p>
          <w:p w14:paraId="233D8731">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23.支持定时启动，可设置定时调用自动巡航、预置位、自动扫描、模式路径、水平旋转等功能；</w:t>
            </w:r>
          </w:p>
          <w:p w14:paraId="79EFE068">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24.热成像及可见光通道应支持感兴趣区域设置，支持热成像视频叠加到可见光视频上，叠加大小和坐标可设；</w:t>
            </w:r>
          </w:p>
          <w:p w14:paraId="057712F0">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25.支持火点定位功能，可通过客户端软件对监控画面中有明火的位置进行定位并显示该位置的经纬度坐标；</w:t>
            </w:r>
          </w:p>
          <w:p w14:paraId="0B517CF2">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26.支持智能事件触发时跟踪目标，跟踪时长可设置；支持手动跟踪目标，点击浏览器上的按钮，选择指定区域，可对该区域内的物体进行跟踪，跟踪策略可单独使用可见光跟踪、单独使用热成像跟踪、按时间段切换，可按照单场景、多场景、全景、手动、自动、冷热点等模式进行跟踪，可对人/车/船只进行跟踪；</w:t>
            </w:r>
          </w:p>
          <w:p w14:paraId="3C5265A7">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27.支持在线升级功能，支持远程升级、远程控制、参数恢复功能，远程重启，远程算法升级；</w:t>
            </w:r>
          </w:p>
          <w:p w14:paraId="41D208A2">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28.支持云台状态异常报警功能，当检测到云台异常停止转动时，可通过WEB界面给出报警提示并上传平台；云台故障信息可通过OSD进行显示；</w:t>
            </w:r>
          </w:p>
          <w:p w14:paraId="1C666C37">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29.支持上传当前位置的水平角、俯仰角，并可使用命令回传当前焦距值和变倍倍数；</w:t>
            </w:r>
          </w:p>
          <w:p w14:paraId="7E37B645">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30.支持动态域名解析功能，以实现在广域网环境下联网到联网系统，在广域网环境下使用，支持主动发包动作以实现NAT穿越；</w:t>
            </w:r>
          </w:p>
          <w:p w14:paraId="4F59EE35">
            <w:pPr>
              <w:spacing w:line="360" w:lineRule="auto"/>
              <w:ind w:firstLine="420" w:firstLineChars="200"/>
              <w:jc w:val="left"/>
              <w:rPr>
                <w:rFonts w:hint="eastAsia" w:ascii="宋体" w:hAnsi="宋体" w:cs="仿宋_GB2312"/>
                <w:color w:val="auto"/>
                <w:kern w:val="0"/>
                <w:szCs w:val="21"/>
                <w:highlight w:val="none"/>
                <w:u w:val="none"/>
              </w:rPr>
            </w:pPr>
            <w:bookmarkStart w:id="13" w:name="OLE_LINK3"/>
            <w:r>
              <w:rPr>
                <w:rFonts w:hint="eastAsia" w:ascii="宋体" w:hAnsi="宋体" w:cs="仿宋_GB2312"/>
                <w:color w:val="auto"/>
                <w:kern w:val="0"/>
                <w:szCs w:val="21"/>
                <w:highlight w:val="none"/>
                <w:u w:val="none"/>
              </w:rPr>
              <w:t>31.支持查询设备总运行时间、设备高温运行总时间、设备低温运行总时间、常温运行时间、ICR切换次数、云台转动圈数、用户平均接入时间、当前登录用户名类型、IP地址、登录</w:t>
            </w:r>
            <w:r>
              <w:rPr>
                <w:rFonts w:hint="eastAsia" w:ascii="宋体" w:hAnsi="宋体" w:cs="仿宋_GB2312"/>
                <w:color w:val="auto"/>
                <w:kern w:val="0"/>
                <w:szCs w:val="21"/>
                <w:highlight w:val="none"/>
                <w:u w:val="none"/>
                <w:lang w:val="en-US" w:eastAsia="zh-CN"/>
              </w:rPr>
              <w:t>时间、</w:t>
            </w:r>
            <w:r>
              <w:rPr>
                <w:rFonts w:hint="eastAsia" w:ascii="宋体" w:hAnsi="宋体" w:cs="仿宋_GB2312"/>
                <w:color w:val="auto"/>
                <w:kern w:val="0"/>
                <w:szCs w:val="21"/>
                <w:highlight w:val="none"/>
                <w:u w:val="none"/>
              </w:rPr>
              <w:t>周围环境温度和湿度值、升级次数、最后一次升级时间、供电电压异常持续时间等运维数据；</w:t>
            </w:r>
          </w:p>
          <w:bookmarkEnd w:id="13"/>
          <w:p w14:paraId="52A4B546">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32.支持人/车进行报警跟踪；支持识别水面上的船只，并触发报警；并且能够统计船只的信息，包括船只的长度、宽度、速度等；可对监控画面中通过指定区域的人/车/船只等标识物进行统计和显示；</w:t>
            </w:r>
          </w:p>
          <w:p w14:paraId="5321E40E">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33.具备接口：≥1个RJ45网口、≥1个RS485接口、≥7个报警输入、≥2个报警输出、≥1个音频输入/输出、≥1个BNC模拟视频输出接口，≥1个SD卡槽（最大支持512GB）；</w:t>
            </w:r>
          </w:p>
          <w:p w14:paraId="68FA393A">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34.支持防尘防水，不低于IP66防护要求。</w:t>
            </w:r>
          </w:p>
          <w:p w14:paraId="60F3BB2E">
            <w:pPr>
              <w:numPr>
                <w:ilvl w:val="-1"/>
                <w:numId w:val="0"/>
              </w:numPr>
              <w:spacing w:line="360" w:lineRule="auto"/>
              <w:ind w:left="420" w:firstLine="0"/>
              <w:jc w:val="left"/>
              <w:rPr>
                <w:rFonts w:hint="eastAsia" w:ascii="宋体" w:hAnsi="宋体" w:cs="仿宋_GB2312"/>
                <w:b/>
                <w:bCs/>
                <w:color w:val="auto"/>
                <w:szCs w:val="21"/>
                <w:highlight w:val="none"/>
                <w:u w:val="none"/>
              </w:rPr>
            </w:pPr>
            <w:r>
              <w:rPr>
                <w:rFonts w:hint="eastAsia" w:ascii="宋体" w:hAnsi="宋体" w:cs="仿宋_GB2312"/>
                <w:b/>
                <w:bCs/>
                <w:color w:val="auto"/>
                <w:szCs w:val="21"/>
                <w:highlight w:val="none"/>
                <w:u w:val="none"/>
              </w:rPr>
              <w:t>网络硬盘录像机</w:t>
            </w:r>
          </w:p>
          <w:p w14:paraId="54C6D3EC">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1.支持嵌入式Linux系统，工业级嵌入式微控制器；</w:t>
            </w:r>
          </w:p>
          <w:p w14:paraId="36B284F0">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2.支持WEB、本地GUI界面操作；</w:t>
            </w:r>
          </w:p>
          <w:p w14:paraId="24761C12">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3.支持ONVIF、RTSP协议的第三方摄像机和海康、大华、宇视等品牌摄像机；</w:t>
            </w:r>
          </w:p>
          <w:p w14:paraId="33E3BFB7">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4.支持不少于32MP、24MP、16MP、12MP、8MP、6MP、5MP、4MP、3MP、1080p、960p、720p、D1、CIF、QCIF等IPC分辨率接入；</w:t>
            </w:r>
          </w:p>
          <w:p w14:paraId="09017414">
            <w:pPr>
              <w:spacing w:line="36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▲5.支持≥16路网络视频接入，网络性能接入≥384Mbps，储存≥384Mbps，转发≥384Mbps；</w:t>
            </w:r>
          </w:p>
          <w:p w14:paraId="64AB958F">
            <w:pPr>
              <w:wordWrap w:val="0"/>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olor w:val="auto"/>
                <w:szCs w:val="21"/>
                <w:highlight w:val="none"/>
                <w:u w:val="none"/>
              </w:rPr>
              <w:t>6.解码能力不低于以下要求：2路32M@25fps、2路24M@25fps、4路16MP@30fps、5路12MP@30fps、8路8MP@30fps、12路5MP@30fps、16路4MP@30fps，16路回放；</w:t>
            </w:r>
          </w:p>
          <w:p w14:paraId="712274B4">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olor w:val="auto"/>
                <w:szCs w:val="21"/>
                <w:highlight w:val="none"/>
                <w:u w:val="none"/>
              </w:rPr>
              <w:t>●</w:t>
            </w:r>
            <w:r>
              <w:rPr>
                <w:rFonts w:hint="eastAsia" w:ascii="宋体" w:hAnsi="宋体" w:cs="仿宋_GB2312"/>
                <w:color w:val="auto"/>
                <w:kern w:val="0"/>
                <w:szCs w:val="21"/>
                <w:highlight w:val="none"/>
                <w:u w:val="none"/>
              </w:rPr>
              <w:t>7.</w:t>
            </w:r>
            <w:r>
              <w:rPr>
                <w:rFonts w:ascii="宋体" w:hAnsi="宋体"/>
                <w:color w:val="auto"/>
                <w:kern w:val="0"/>
                <w:szCs w:val="21"/>
                <w:highlight w:val="none"/>
                <w:u w:val="none"/>
              </w:rPr>
              <w:t>同时正放或倒放16路H.265或H.264编码1920X1080P分辨率的视频图像；或者16路H.265或H.264编码、2560×1440分辨率的视频图像；或8路H.265或H.264编码、4096×2160分辨率的视频图像；或2路H.265或H.264编码、8192×3840分辨率的视频图像；</w:t>
            </w:r>
          </w:p>
          <w:p w14:paraId="3311A0CE">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olor w:val="auto"/>
                <w:szCs w:val="21"/>
                <w:highlight w:val="none"/>
                <w:u w:val="none"/>
              </w:rPr>
              <w:t>●8.自适应接入H.265、H.264、MPEG4、MJPE、SVAC编码格式的网络视频并解码支持2路分辨率为8192×3840、帧率为25fps或5路分辨率为4000×3000、帧率为25fps或8路分辨率为4096×2160、帧率为25fps或16路分辨率为2560×1440、帧率为30fps或32路分辨率为1920×1080、帧率为30fps的视频</w:t>
            </w:r>
            <w:r>
              <w:rPr>
                <w:rFonts w:hint="eastAsia" w:ascii="宋体" w:hAnsi="宋体" w:cs="仿宋_GB2312"/>
                <w:color w:val="auto"/>
                <w:kern w:val="0"/>
                <w:szCs w:val="21"/>
                <w:highlight w:val="none"/>
                <w:u w:val="none"/>
              </w:rPr>
              <w:t>；</w:t>
            </w:r>
          </w:p>
          <w:p w14:paraId="602E7803">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9.支持2路H.265编码、25fps、8192×3840分辨率的拼接摄像机视频实时预览功能；</w:t>
            </w:r>
          </w:p>
          <w:p w14:paraId="05C46C40">
            <w:pPr>
              <w:spacing w:line="360" w:lineRule="auto"/>
              <w:ind w:firstLine="420" w:firstLineChars="200"/>
              <w:jc w:val="left"/>
              <w:rPr>
                <w:rFonts w:hint="eastAsia" w:ascii="宋体" w:hAnsi="宋体" w:eastAsia="宋体" w:cs="仿宋_GB2312"/>
                <w:color w:val="auto"/>
                <w:kern w:val="0"/>
                <w:szCs w:val="21"/>
                <w:highlight w:val="none"/>
                <w:u w:val="none"/>
                <w:lang w:val="en-US" w:eastAsia="zh-CN"/>
              </w:rPr>
            </w:pPr>
            <w:r>
              <w:rPr>
                <w:rFonts w:hint="eastAsia" w:ascii="宋体" w:hAnsi="宋体" w:cs="仿宋_GB2312"/>
                <w:color w:val="auto"/>
                <w:kern w:val="0"/>
                <w:szCs w:val="21"/>
                <w:highlight w:val="none"/>
                <w:u w:val="none"/>
              </w:rPr>
              <w:t>10.支持前端设备前智能分析：包括但不限于前智能人脸检测抓拍、人脸比对识别、异物侵限、视频结构化（针对人、车、非机动车属性提取）、SMD（指英文Smart Motion Detection的简称，泛指智能动检技术）、行为分析、人群分布、人数统计、车牌识别、热度图、车辆密度；后端智能分析包括但不限于后智能人脸检测抓拍、人脸对比识别、异物侵限、SMD</w:t>
            </w:r>
            <w:r>
              <w:rPr>
                <w:rFonts w:hint="eastAsia" w:ascii="宋体" w:hAnsi="宋体" w:cs="仿宋_GB2312"/>
                <w:color w:val="auto"/>
                <w:kern w:val="0"/>
                <w:szCs w:val="21"/>
                <w:highlight w:val="none"/>
                <w:u w:val="none"/>
                <w:lang w:val="en-US" w:eastAsia="zh-CN"/>
              </w:rPr>
              <w:t>；</w:t>
            </w:r>
          </w:p>
          <w:p w14:paraId="5E78E3BB">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11.支持IPv4、IPv6、HTTP、UPnP、NTP、 RTSP、SNMP、DNS网络协议；</w:t>
            </w:r>
          </w:p>
          <w:p w14:paraId="3D7265DF">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12.支持≥2路VGA输出，≥2路HDMI输出。同源模式：VGA1和VGA2最大支持1080P显示，HDMI1和HDMI2最大支持4K显示；异源模式：VGA1和HDMI1同源输出，VGA2和HDMI2同源输出，VGA1和VGA2最大支持1080P显示，HDMI1、HDMI2最大支持4K显示；</w:t>
            </w:r>
          </w:p>
          <w:p w14:paraId="013518C7">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olor w:val="auto"/>
                <w:szCs w:val="21"/>
                <w:highlight w:val="none"/>
                <w:u w:val="none"/>
              </w:rPr>
              <w:t>●</w:t>
            </w:r>
            <w:r>
              <w:rPr>
                <w:rFonts w:hint="eastAsia" w:ascii="宋体" w:hAnsi="宋体" w:cs="仿宋_GB2312"/>
                <w:color w:val="auto"/>
                <w:kern w:val="0"/>
                <w:szCs w:val="21"/>
                <w:highlight w:val="none"/>
                <w:u w:val="none"/>
              </w:rPr>
              <w:t>13.</w:t>
            </w:r>
            <w:r>
              <w:rPr>
                <w:rFonts w:ascii="宋体" w:hAnsi="宋体"/>
                <w:color w:val="auto"/>
                <w:kern w:val="0"/>
                <w:szCs w:val="21"/>
                <w:highlight w:val="none"/>
                <w:u w:val="none"/>
              </w:rPr>
              <w:t xml:space="preserve"> 最大可接入16块接口为SATA的硬盘，每个SATA口可接入1T、2T、3T、4T、6T、8T、10T、12T、14T、16T、20T容量的SATA接口硬盘；可通过</w:t>
            </w:r>
            <w:r>
              <w:rPr>
                <w:rFonts w:hint="eastAsia" w:ascii="宋体" w:hAnsi="宋体" w:cs="仿宋_GB2312"/>
                <w:color w:val="auto"/>
                <w:kern w:val="0"/>
                <w:szCs w:val="21"/>
                <w:highlight w:val="none"/>
                <w:u w:val="none"/>
              </w:rPr>
              <w:t>eSATA</w:t>
            </w:r>
            <w:r>
              <w:rPr>
                <w:rFonts w:ascii="宋体" w:hAnsi="宋体"/>
                <w:color w:val="auto"/>
                <w:kern w:val="0"/>
                <w:szCs w:val="21"/>
                <w:highlight w:val="none"/>
                <w:u w:val="none"/>
              </w:rPr>
              <w:t>接口接入外置硬盘或磁盘柜，可支持SSD固体硬盘，可配置IPSAN网盘</w:t>
            </w:r>
            <w:r>
              <w:rPr>
                <w:rFonts w:hint="eastAsia" w:ascii="宋体" w:hAnsi="宋体"/>
                <w:color w:val="auto"/>
                <w:kern w:val="0"/>
                <w:szCs w:val="21"/>
                <w:highlight w:val="none"/>
                <w:u w:val="none"/>
              </w:rPr>
              <w:t>，</w:t>
            </w:r>
            <w:r>
              <w:rPr>
                <w:rFonts w:ascii="宋体" w:hAnsi="宋体"/>
                <w:color w:val="auto"/>
                <w:kern w:val="0"/>
                <w:szCs w:val="21"/>
                <w:highlight w:val="none"/>
                <w:u w:val="none"/>
              </w:rPr>
              <w:t>支持对加密硬盘的适应接入</w:t>
            </w:r>
            <w:r>
              <w:rPr>
                <w:rFonts w:hint="eastAsia" w:ascii="宋体" w:hAnsi="宋体"/>
                <w:color w:val="auto"/>
                <w:kern w:val="0"/>
                <w:szCs w:val="21"/>
                <w:highlight w:val="none"/>
                <w:u w:val="none"/>
              </w:rPr>
              <w:t>；</w:t>
            </w:r>
            <w:r>
              <w:rPr>
                <w:rFonts w:ascii="宋体" w:hAnsi="宋体"/>
                <w:color w:val="auto"/>
                <w:kern w:val="0"/>
                <w:szCs w:val="21"/>
                <w:highlight w:val="none"/>
                <w:u w:val="none"/>
              </w:rPr>
              <w:t>可支持硬盘热插拔和休眠</w:t>
            </w:r>
            <w:r>
              <w:rPr>
                <w:rFonts w:hint="eastAsia" w:ascii="宋体" w:hAnsi="宋体" w:cs="仿宋_GB2312"/>
                <w:color w:val="auto"/>
                <w:kern w:val="0"/>
                <w:szCs w:val="21"/>
                <w:highlight w:val="none"/>
                <w:u w:val="none"/>
              </w:rPr>
              <w:t>；</w:t>
            </w:r>
          </w:p>
          <w:p w14:paraId="299756CA">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olor w:val="auto"/>
                <w:szCs w:val="21"/>
                <w:highlight w:val="none"/>
                <w:u w:val="none"/>
              </w:rPr>
              <w:t>●</w:t>
            </w:r>
            <w:r>
              <w:rPr>
                <w:rFonts w:hint="eastAsia" w:ascii="宋体" w:hAnsi="宋体" w:cs="仿宋_GB2312"/>
                <w:color w:val="auto"/>
                <w:kern w:val="0"/>
                <w:szCs w:val="21"/>
                <w:highlight w:val="none"/>
                <w:u w:val="none"/>
              </w:rPr>
              <w:t>14.自动记录与设备信息安全相关的日志信息，作为独立的安全日志，内容包括用户登录/登出、重要和敏感操作、安全事件等，并划分独立的记录空间存储安全日志，</w:t>
            </w:r>
            <w:r>
              <w:rPr>
                <w:rFonts w:hint="eastAsia" w:ascii="宋体" w:hAnsi="宋体" w:cs="仿宋_GB2312"/>
                <w:color w:val="auto"/>
                <w:kern w:val="0"/>
                <w:szCs w:val="21"/>
                <w:highlight w:val="none"/>
                <w:u w:val="none"/>
                <w:lang w:eastAsia="zh-CN"/>
              </w:rPr>
              <w:t>其他</w:t>
            </w:r>
            <w:r>
              <w:rPr>
                <w:rFonts w:hint="eastAsia" w:ascii="宋体" w:hAnsi="宋体" w:cs="仿宋_GB2312"/>
                <w:color w:val="auto"/>
                <w:kern w:val="0"/>
                <w:szCs w:val="21"/>
                <w:highlight w:val="none"/>
                <w:u w:val="none"/>
              </w:rPr>
              <w:t>日志信息不能覆盖安全日志；</w:t>
            </w:r>
          </w:p>
          <w:p w14:paraId="39C11775">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15.支持主动注册客户端功能，设备可以以主动注册方式添加到平台；支持提供主动注册服务，前端相机支持以主动注册方式添加到设备上；</w:t>
            </w:r>
          </w:p>
          <w:p w14:paraId="52E8AAAD">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16.支持将全景画面中多个感兴趣区域提取成单独细节画面，当区域内有人、车目标经过时对应细节画面随目标跟踪展示；支持iSCSI扩展存储功能，支持iSCSI方式对接IP SAN设备，实现扩容存储；</w:t>
            </w:r>
          </w:p>
          <w:p w14:paraId="407E8647">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17.支持接入带有火情检测、冷点检测、热点检测、温度/温差检测、打电话检测、吸烟检测、烟雾检测报警功能的网络摄像机，当触发报警时，可联动录像、抓拍并保存图片、弹出报警画面、声音警告、上传中心、发送邮件、触发报警输出，并按通道、时间、类型检索报警图片，录像搜索结果支持图片和列表2种展现形式；</w:t>
            </w:r>
          </w:p>
          <w:p w14:paraId="50E89A4A">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18.支持语音对讲，客户端、WEB与NVR之间以及通过NVR与网络摄像机之间进行语音对讲；NVR与网络摄像机之间进行语音对讲；</w:t>
            </w:r>
          </w:p>
          <w:p w14:paraId="65C7B1CA">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19.支持检测视频中异常音频，当出现声音变化幅度过大和干扰信号时，可进行报警提示；</w:t>
            </w:r>
          </w:p>
          <w:p w14:paraId="485BA942">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20.支持按时间、按事件等多种方式进行录像的检索、回放、备份，支持图片本地回放与查询，支持本机硬盘、网络等存储方式，支持硬盘、外接USB存储设备备份方式，支持设备操作日志、报警日志、系统日志的记录与查询功能；</w:t>
            </w:r>
          </w:p>
          <w:p w14:paraId="46264AF9">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21.支持远程零通道预览功能，可将接入的多路视频图像多画面显示在一路视频图像上，支持盘组管理功能，实现视频录像的定向存储，支持配额管理功能，实现按通道分配不同的录像天数进行存储；</w:t>
            </w:r>
          </w:p>
          <w:p w14:paraId="4C4462A7">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22.支持最大20个人脸库，不少于20万张人脸图片；支持前智能分析包括支持≥16路人脸检测前智能，≥16路人脸识别前智能，≥8路视频结构化前智能，≥16路周界前智能性能；</w:t>
            </w:r>
          </w:p>
          <w:p w14:paraId="6B47C5D0">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23.支持设置一个可自定义名称网络报警信号，设备收到该报警信号后可联动录像、抓拍并保存图片、弹出报警画面、声音警告、上传中心、触发报警输出，发送邮件、联动云台轮巡、联动云台预置点、记录日志等等；</w:t>
            </w:r>
          </w:p>
          <w:p w14:paraId="73F04B02">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24.支持≥2个千兆以太网口，支持2个不同段IP地址的IPC设备接入，支持将双网口设置为同一个IP地址，实现数据链路冗余；</w:t>
            </w:r>
          </w:p>
          <w:p w14:paraId="254FB72D">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●25.支持配置导出功能，且支持配置数据加密导出；支持不少于2路H.265编码、25fps、32MP分辨率的拼接摄像机视频实时预览功能；</w:t>
            </w:r>
          </w:p>
          <w:p w14:paraId="28A88E4D">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26.支持SmartIPC接入、绊线入侵、区域入侵、场景变化、移动侦测、人脸检测、物品遗留和物品搬移时，可给出报警/联动/上传，同时支持智能动检、人群分布、热度图、人数统计、车牌检测、智能跟踪球；</w:t>
            </w:r>
          </w:p>
          <w:p w14:paraId="6F88F3C4">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●27.支持单独对算法模型文件进行升级，支持同时选择搜索列表中的多个设备，对IP地址进行批量递增修改；</w:t>
            </w:r>
          </w:p>
          <w:p w14:paraId="1B23DAB6">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28.支持走廊模式功能，支持IPC画面旋转90°或270°，成9:16走廊模式，支持鱼眼矫正功能，本地和web端在预览和回放模式下，支持对接入鱼眼视频以拼接的方式进行矫正功能；</w:t>
            </w:r>
          </w:p>
          <w:p w14:paraId="2A18AD3D">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●29.支持用户操作过程中，涉及敏感数据的信令交互，采用数字信封等加密技术或同等效果加密技术后在网络中传输；支持码流采用TLS通道加密技术、AES256加密技术或同等效果加密技术后在网络中传输；</w:t>
            </w:r>
          </w:p>
          <w:p w14:paraId="2C1CDCAA">
            <w:pPr>
              <w:spacing w:line="360" w:lineRule="auto"/>
              <w:ind w:firstLine="420" w:firstLineChars="200"/>
              <w:jc w:val="left"/>
              <w:rPr>
                <w:rFonts w:hint="eastAsia" w:ascii="宋体" w:hAnsi="宋体" w:cs="仿宋_GB2312"/>
                <w:color w:val="auto"/>
                <w:kern w:val="0"/>
                <w:szCs w:val="21"/>
                <w:highlight w:val="none"/>
                <w:u w:val="none"/>
              </w:rPr>
            </w:pPr>
            <w:r>
              <w:rPr>
                <w:rFonts w:hint="eastAsia" w:ascii="宋体" w:hAnsi="宋体" w:cs="仿宋_GB2312"/>
                <w:color w:val="auto"/>
                <w:kern w:val="0"/>
                <w:szCs w:val="21"/>
                <w:highlight w:val="none"/>
                <w:u w:val="none"/>
              </w:rPr>
              <w:t>30.具有接口不少于2个HDMI接口、2个VGA接口、2个RJ45网络接口、2个USB2.0接口、2个USB3.0接口、1个RS232接口、2个RS485接口、1个eSata接口；具有1路音频输入接口、2路音频输出接口，16个报警输入接口、8个报警输出接口；</w:t>
            </w:r>
          </w:p>
          <w:p w14:paraId="1FA62880">
            <w:pPr>
              <w:spacing w:line="360" w:lineRule="auto"/>
              <w:ind w:firstLine="420" w:firstLineChars="200"/>
              <w:jc w:val="left"/>
              <w:rPr>
                <w:rFonts w:hint="eastAsia" w:ascii="宋体" w:hAnsi="宋体"/>
                <w:color w:val="auto"/>
                <w:szCs w:val="21"/>
                <w:highlight w:val="none"/>
                <w:u w:val="none"/>
              </w:rPr>
            </w:pPr>
            <w:r>
              <w:rPr>
                <w:rFonts w:hint="eastAsia" w:ascii="宋体" w:hAnsi="宋体" w:cs="仿宋_GB2312"/>
                <w:color w:val="auto"/>
                <w:kern w:val="0"/>
                <w:szCs w:val="21"/>
                <w:highlight w:val="none"/>
                <w:u w:val="none"/>
              </w:rPr>
              <w:t>31.为保证系统兼容性，要求与双目9英寸热成像摄像机同一品牌</w:t>
            </w:r>
            <w:r>
              <w:rPr>
                <w:rFonts w:hint="eastAsia" w:ascii="宋体" w:hAnsi="宋体" w:cs="仿宋_GB2312"/>
                <w:color w:val="auto"/>
                <w:szCs w:val="21"/>
                <w:highlight w:val="none"/>
                <w:u w:val="none"/>
                <w:lang w:val="en-US" w:eastAsia="zh-CN"/>
              </w:rPr>
              <w:t>或</w:t>
            </w:r>
            <w:r>
              <w:rPr>
                <w:rFonts w:hint="eastAsia"/>
                <w:color w:val="auto"/>
                <w:highlight w:val="none"/>
                <w:u w:val="none"/>
                <w:lang w:val="en-US" w:eastAsia="zh-CN"/>
              </w:rPr>
              <w:t>在投标文件中提供保证其能完全有效兼容的技术解决方案或其他有效证明材料</w:t>
            </w:r>
            <w:r>
              <w:rPr>
                <w:rFonts w:hint="eastAsia" w:ascii="宋体" w:hAnsi="宋体" w:cs="仿宋_GB2312"/>
                <w:color w:val="auto"/>
                <w:kern w:val="0"/>
                <w:szCs w:val="21"/>
                <w:highlight w:val="none"/>
                <w:u w:val="none"/>
              </w:rPr>
              <w:t>。</w:t>
            </w:r>
          </w:p>
          <w:p w14:paraId="732A4042">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（二）预警监测系统综合管理平台</w:t>
            </w:r>
          </w:p>
          <w:p w14:paraId="66993E1A">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1.实现可视监控范围覆盖半径200m铁路沿线内实现24小时入侵检测服务，对越界入侵的行人侦测、分析、后台告警，以防止闲杂人员进入铁路线路，进一步提升铁路沿线治安管控能力，提供弹窗告警功能；</w:t>
            </w:r>
          </w:p>
          <w:p w14:paraId="2012276C">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2.实现异常事件通过现场音柱进行讲话、播报等服务；</w:t>
            </w:r>
          </w:p>
          <w:p w14:paraId="0DEECD68">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3.实现可视监控范围覆盖半径200m铁路沿线内实现24小时入侵检测服务，对越界入侵的行人侦测、分析、后台告警，以防止闲杂人员进入铁路线路，进一步提升铁路沿线治安管控能力，提供弹窗告警功能；</w:t>
            </w:r>
          </w:p>
          <w:p w14:paraId="1A095F0F">
            <w:pPr>
              <w:spacing w:line="360" w:lineRule="auto"/>
              <w:ind w:firstLine="420" w:firstLineChars="200"/>
              <w:rPr>
                <w:rFonts w:hint="eastAsia" w:ascii="宋体" w:hAnsi="宋体" w:cs="仿宋_GB2312"/>
                <w:color w:val="auto"/>
                <w:szCs w:val="21"/>
                <w:highlight w:val="none"/>
                <w:u w:val="none"/>
              </w:rPr>
            </w:pPr>
            <w:r>
              <w:rPr>
                <w:rFonts w:hint="eastAsia" w:ascii="宋体" w:hAnsi="宋体"/>
                <w:color w:val="auto"/>
                <w:kern w:val="0"/>
                <w:szCs w:val="21"/>
                <w:highlight w:val="none"/>
                <w:u w:val="none"/>
              </w:rPr>
              <w:t>4.实现异常事件通过现场音柱进行讲话、播报等；</w:t>
            </w:r>
          </w:p>
          <w:p w14:paraId="48B7BD4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5.可基于《公共安全视频监控联网系统信息传输、交换、控制技术要求》（GB/T 28181-2022）等联网标准实现视频监控平台间的级联、互联功能，支持多平台多层次级联，实现平台之间的跨域互联互通与资源共享；</w:t>
            </w:r>
          </w:p>
          <w:p w14:paraId="7F403061">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6.角色权限管理配置</w:t>
            </w:r>
          </w:p>
          <w:p w14:paraId="59263C61">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6.1角色增、删、改、查：支持角色的添加、删除、修改和查询功能；</w:t>
            </w:r>
          </w:p>
          <w:p w14:paraId="65CA9C35">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6.2角色有效期管理：支持角色有效期的设置，支持永久生效和按日期设置，到期的角色不可登录；</w:t>
            </w:r>
          </w:p>
          <w:p w14:paraId="7997652E">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6.3角色配置功能：支持配置角色的设备权限、菜单权限和角色的基本信息；</w:t>
            </w:r>
          </w:p>
          <w:p w14:paraId="0B7DE842">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7.业务端角色管理</w:t>
            </w:r>
          </w:p>
          <w:p w14:paraId="5738864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7.1支持业务端菜单级的权限控制；</w:t>
            </w:r>
          </w:p>
          <w:p w14:paraId="6F04FB6A">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7.2用户增、删、改、查功能：支持创建用户、删除用户、修改用户信息、查看用户信息和用户列表，支持批量删除用户；</w:t>
            </w:r>
          </w:p>
          <w:p w14:paraId="49DF3CD4">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7.3用户配置功能：支持对用户配置对应的角色，并可查看角色所对应的设备权限和菜单权限</w:t>
            </w:r>
          </w:p>
          <w:p w14:paraId="656B63F5">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7.4用户锁定功能：支持冻结和解锁用户，冻结的用户不可登录；</w:t>
            </w:r>
          </w:p>
          <w:p w14:paraId="48072BA3">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7.5用户复用功能：支持用户复用，同个用户可以同时被不同客户端复用登录，操作平台；</w:t>
            </w:r>
          </w:p>
          <w:p w14:paraId="66CF2157">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8.接入管理</w:t>
            </w:r>
          </w:p>
          <w:p w14:paraId="43F4564C">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8.1国标接入：支持国标设备接入：编码器，实时预览、回放、云台控制；</w:t>
            </w:r>
          </w:p>
          <w:p w14:paraId="666EC34D">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8.2海康SDK接入：支持海康设备私有接入，含海康主动注册：编码器，实时预览、回放、云台控制；</w:t>
            </w:r>
          </w:p>
          <w:p w14:paraId="4633BCA8">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8.3大华协议接入：支持大华设备以私有接入方式接入，含大华卡口：编码器、解码器、卡口设备等，实时预览、回放、云台控制、语音；</w:t>
            </w:r>
          </w:p>
          <w:p w14:paraId="0B59337B">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8.4 onvif接入：支持onvif设备接入：编码器，实时预览、回放、云台控制；</w:t>
            </w:r>
          </w:p>
          <w:p w14:paraId="05FE19E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8.5，支持设备录像回放转rtmp码流输出；国际协议级联上来的设备，支持提供HLS码流；内部级联上来的设备，支持提供HLS码流；</w:t>
            </w:r>
          </w:p>
          <w:p w14:paraId="3A4A05AD">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8.6实时预览转HLS码流输出：支持设备（海康、大华、乐橙、宇视等）接入码流类型转换；国际协议级联上来的设备，支持提供HLS码流；内部级联上来的设备，支持提供HLS码流；</w:t>
            </w:r>
          </w:p>
          <w:p w14:paraId="32C73E79">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8.7录像回放转HLS码流输出：支持中心存储和设备存储（乐橙、海康、大华等）时，设备接入码流类型转换。</w:t>
            </w:r>
          </w:p>
          <w:p w14:paraId="00443FDA">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9.其他功能</w:t>
            </w:r>
          </w:p>
          <w:p w14:paraId="10F9CC62">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9.1查询功能：支持按照时间、用户名和关键字过滤查询功能并导出；</w:t>
            </w:r>
          </w:p>
          <w:p w14:paraId="19DADA2B">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9.2业务端：bc融合业务端迁移客户端重点业务功能全部上B端，包括：实时视频、录像回放、下载中心、事件中心、视频上墙、电子地图、视频联动。</w:t>
            </w:r>
          </w:p>
          <w:p w14:paraId="1460D21E">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9.3设备数排序：支持按照通道名升序/降序/默认排序，默认排序按设备添加先后顺序显示；</w:t>
            </w:r>
          </w:p>
          <w:p w14:paraId="0CFF8312">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9.4设备在线过滤：支持通过右键根节点仅显示在线设备，或仅显示离线设备；</w:t>
            </w:r>
          </w:p>
          <w:p w14:paraId="394CBD5C">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9.5地图定位：支持从设备树的通道快速定位到地图；</w:t>
            </w:r>
          </w:p>
          <w:p w14:paraId="2085CFFD">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9.6模糊检索功能：支持对平台的设备数上的组织节点、设备、通道进行模糊搜索支持空格和逗号组合检索；</w:t>
            </w:r>
          </w:p>
          <w:p w14:paraId="0E059E05">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9.7收藏夹增删改查：支持增加、删除收藏夹和收藏夹重命名；</w:t>
            </w:r>
          </w:p>
          <w:p w14:paraId="13048800">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9.8轮巡任务配置：支持轮巡任务的添加、修改及删除；支持按照轮巡任务、轮巡组名称检索（支持模糊）轮巡任务；支持批量删除轮巡任务；</w:t>
            </w:r>
          </w:p>
          <w:p w14:paraId="290A3507">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9.9即时回放：支持直播切换成即时回放，通过时间轴拖动定位，回放任意时间的录像文件；</w:t>
            </w:r>
          </w:p>
          <w:p w14:paraId="7B4A4E8B">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9.10画面调节：支持调节色调、饱和度、对比度、亮度；</w:t>
            </w:r>
          </w:p>
          <w:p w14:paraId="323F93B2">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9.11主辅流切换：支持主辅流切换播放；</w:t>
            </w:r>
          </w:p>
          <w:p w14:paraId="0741D1BB">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9.12录像倍速播放：支持倍速快放及倍速慢放；</w:t>
            </w:r>
          </w:p>
          <w:p w14:paraId="39134F36">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9.13上墙支持开窗：开窗控制；</w:t>
            </w:r>
          </w:p>
          <w:p w14:paraId="60215F14">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9.14上墙单屏放大功能：支持单屏放大、还原；</w:t>
            </w:r>
          </w:p>
          <w:p w14:paraId="6D57BFFD">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9.15实时报警详细信息：支持报警详情查看：报警子类、报警等级、报警图片、报警时间、报警地点在平台展示；</w:t>
            </w:r>
          </w:p>
          <w:p w14:paraId="29F28CA5">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（三）监控平台设备国产化设备性能要求</w:t>
            </w:r>
          </w:p>
          <w:p w14:paraId="34C9B000">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在南宁五象南站派出所、柳州站派出所、融安站派出所、百色车站、根竹车站、贵港车站、贺州车站7个值班室（以采购人指定位置为准）各提供1套国产化监控平台设备，性能不低于如下要求：</w:t>
            </w:r>
          </w:p>
          <w:p w14:paraId="7777569F">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1.CPU：参照或相当于飞腾D2000 8核2.3GHZ；</w:t>
            </w:r>
          </w:p>
          <w:p w14:paraId="6B01E4EF">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2.内存：16GB DDR4；</w:t>
            </w:r>
          </w:p>
          <w:p w14:paraId="658BA2FA">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3.存储：256GB NVME M.2 SSD；</w:t>
            </w:r>
          </w:p>
          <w:p w14:paraId="2E6A47DB">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4.独立显卡：AMD R7 340 1GB缓存；</w:t>
            </w:r>
          </w:p>
          <w:p w14:paraId="41C5F34D">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5.操作系统：预装试用版银河麒麟V10 SP1；</w:t>
            </w:r>
          </w:p>
          <w:p w14:paraId="14E6AB7D">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6.显示器：</w:t>
            </w:r>
            <w:r>
              <w:rPr>
                <w:rFonts w:hint="eastAsia" w:ascii="宋体" w:hAnsi="宋体"/>
                <w:color w:val="auto"/>
                <w:kern w:val="0"/>
                <w:szCs w:val="21"/>
                <w:highlight w:val="none"/>
                <w:u w:val="none"/>
                <w:lang w:val="en-US" w:eastAsia="zh-CN"/>
              </w:rPr>
              <w:t>不小于</w:t>
            </w:r>
            <w:r>
              <w:rPr>
                <w:rFonts w:hint="eastAsia" w:ascii="宋体" w:hAnsi="宋体"/>
                <w:color w:val="auto"/>
                <w:kern w:val="0"/>
                <w:szCs w:val="21"/>
                <w:highlight w:val="none"/>
                <w:u w:val="none"/>
              </w:rPr>
              <w:t>23.8英寸。</w:t>
            </w:r>
          </w:p>
          <w:p w14:paraId="75037AA6">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▲（四）视频数据接入存储服务及平台使用服务要求</w:t>
            </w:r>
          </w:p>
          <w:p w14:paraId="2890D3B7">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1.提供通过NVR接入前端视频的服务；</w:t>
            </w:r>
          </w:p>
          <w:p w14:paraId="62DCCE42">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2.提供监控平台使用服务；</w:t>
            </w:r>
          </w:p>
          <w:p w14:paraId="5276ED2C">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3.提供不少于30天视频数据存储服务；</w:t>
            </w:r>
          </w:p>
          <w:p w14:paraId="7FAD43A7">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4.提供视频管理平台历史视频录像调用服务。</w:t>
            </w:r>
          </w:p>
          <w:p w14:paraId="257FC550">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（五）配套施工服务</w:t>
            </w:r>
          </w:p>
          <w:p w14:paraId="26DFA2B4">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配套服务包含设备拆卸及安装调试服务、设计及监理服务等，包括但不限于：</w:t>
            </w:r>
          </w:p>
          <w:p w14:paraId="036B9189">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1.提供杆塔基础设施改造服务；</w:t>
            </w:r>
          </w:p>
          <w:p w14:paraId="082DEBF6">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2.提供施工质量保障服务，含设计、监理等服务；</w:t>
            </w:r>
          </w:p>
          <w:p w14:paraId="5D0AB685">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olor w:val="auto"/>
                <w:kern w:val="0"/>
                <w:szCs w:val="21"/>
                <w:highlight w:val="none"/>
                <w:u w:val="none"/>
              </w:rPr>
              <w:t>3.提供设备拆除及安装服务，含设备运输、施工、安装辅材、安装调试服务；</w:t>
            </w:r>
          </w:p>
          <w:p w14:paraId="44162B4D">
            <w:pPr>
              <w:spacing w:line="360" w:lineRule="auto"/>
              <w:ind w:firstLine="420"/>
              <w:rPr>
                <w:rFonts w:hint="eastAsia" w:ascii="宋体" w:hAnsi="宋体" w:cs="黑体"/>
                <w:b/>
                <w:bCs/>
                <w:color w:val="auto"/>
                <w:szCs w:val="21"/>
                <w:highlight w:val="none"/>
                <w:u w:val="none"/>
              </w:rPr>
            </w:pPr>
            <w:r>
              <w:rPr>
                <w:rFonts w:hint="eastAsia" w:ascii="宋体" w:hAnsi="宋体" w:cs="黑体"/>
                <w:b/>
                <w:bCs/>
                <w:iCs/>
                <w:color w:val="auto"/>
                <w:szCs w:val="21"/>
                <w:highlight w:val="none"/>
                <w:u w:val="none"/>
              </w:rPr>
              <w:t>第二部分：</w:t>
            </w:r>
            <w:r>
              <w:rPr>
                <w:rFonts w:ascii="宋体" w:hAnsi="宋体" w:cs="黑体"/>
                <w:b/>
                <w:bCs/>
                <w:color w:val="auto"/>
                <w:szCs w:val="21"/>
                <w:highlight w:val="none"/>
                <w:u w:val="none"/>
              </w:rPr>
              <w:t>二</w:t>
            </w:r>
            <w:r>
              <w:rPr>
                <w:rFonts w:hint="eastAsia" w:ascii="宋体" w:hAnsi="宋体" w:cs="黑体"/>
                <w:b/>
                <w:bCs/>
                <w:color w:val="auto"/>
                <w:szCs w:val="21"/>
                <w:highlight w:val="none"/>
                <w:u w:val="none"/>
              </w:rPr>
              <w:t>、</w:t>
            </w:r>
            <w:r>
              <w:rPr>
                <w:rFonts w:ascii="宋体" w:hAnsi="宋体" w:cs="黑体"/>
                <w:b/>
                <w:bCs/>
                <w:color w:val="auto"/>
                <w:szCs w:val="21"/>
                <w:highlight w:val="none"/>
                <w:u w:val="none"/>
              </w:rPr>
              <w:t>三期租赁项目</w:t>
            </w:r>
            <w:r>
              <w:rPr>
                <w:rFonts w:hint="eastAsia" w:ascii="宋体" w:hAnsi="宋体" w:cs="黑体"/>
                <w:b/>
                <w:bCs/>
                <w:color w:val="auto"/>
                <w:szCs w:val="21"/>
                <w:highlight w:val="none"/>
                <w:u w:val="none"/>
              </w:rPr>
              <w:t>服务</w:t>
            </w:r>
          </w:p>
          <w:p w14:paraId="00CE6B1C">
            <w:pPr>
              <w:adjustRightInd w:val="0"/>
              <w:snapToGrid w:val="0"/>
              <w:spacing w:line="360" w:lineRule="auto"/>
              <w:ind w:firstLine="420"/>
              <w:rPr>
                <w:rFonts w:hint="eastAsia" w:ascii="宋体" w:hAnsi="宋体"/>
                <w:color w:val="auto"/>
                <w:kern w:val="0"/>
                <w:szCs w:val="21"/>
                <w:highlight w:val="none"/>
                <w:u w:val="none"/>
              </w:rPr>
            </w:pPr>
            <w:r>
              <w:rPr>
                <w:rFonts w:hint="eastAsia" w:ascii="宋体" w:hAnsi="宋体"/>
                <w:color w:val="auto"/>
                <w:kern w:val="0"/>
                <w:szCs w:val="21"/>
                <w:highlight w:val="none"/>
                <w:u w:val="none"/>
              </w:rPr>
              <w:t>为二期项目中桂林、玉林、柳州、百色、贵港、贺州等6个地市辖区铁路沿线16处点位及三期项目中南宁、柳州、桂林、梧州、贵港、百色、贺州等7个地市辖区铁路沿线35处点位，提供视频监控服务。主要服务内容包括：在服务期间提供维保包干服务，提供视频监控数据和设备运维服务，开展现场维护和定期巡检、排查安全隐患及保障设备正常运行。提供该服务需满足以下技术要求：</w:t>
            </w:r>
          </w:p>
          <w:p w14:paraId="10E63430">
            <w:pPr>
              <w:adjustRightInd w:val="0"/>
              <w:snapToGrid w:val="0"/>
              <w:spacing w:line="360" w:lineRule="auto"/>
              <w:ind w:firstLine="420"/>
              <w:rPr>
                <w:rFonts w:hint="eastAsia" w:ascii="宋体" w:hAnsi="宋体"/>
                <w:color w:val="auto"/>
                <w:kern w:val="0"/>
                <w:szCs w:val="21"/>
                <w:highlight w:val="none"/>
                <w:u w:val="none"/>
              </w:rPr>
            </w:pPr>
            <w:r>
              <w:rPr>
                <w:rFonts w:hint="eastAsia" w:ascii="宋体" w:hAnsi="宋体"/>
                <w:color w:val="auto"/>
                <w:kern w:val="0"/>
                <w:szCs w:val="21"/>
                <w:highlight w:val="none"/>
                <w:u w:val="none"/>
              </w:rPr>
              <w:t>（一）关键设备性能要求</w:t>
            </w:r>
          </w:p>
          <w:p w14:paraId="7EAB3B1C">
            <w:pPr>
              <w:numPr>
                <w:ilvl w:val="-1"/>
                <w:numId w:val="0"/>
              </w:numPr>
              <w:spacing w:line="360" w:lineRule="auto"/>
              <w:ind w:left="420" w:firstLine="0"/>
              <w:jc w:val="left"/>
              <w:rPr>
                <w:rFonts w:hint="eastAsia" w:ascii="宋体" w:hAnsi="宋体" w:cs="仿宋_GB2312"/>
                <w:b/>
                <w:bCs/>
                <w:color w:val="auto"/>
                <w:szCs w:val="21"/>
                <w:highlight w:val="none"/>
                <w:u w:val="none"/>
              </w:rPr>
            </w:pPr>
            <w:r>
              <w:rPr>
                <w:rFonts w:hint="eastAsia" w:ascii="宋体" w:hAnsi="宋体" w:cs="仿宋_GB2312"/>
                <w:b/>
                <w:bCs/>
                <w:color w:val="auto"/>
                <w:szCs w:val="21"/>
                <w:highlight w:val="none"/>
                <w:u w:val="none"/>
              </w:rPr>
              <w:t>视频监控设备</w:t>
            </w:r>
          </w:p>
          <w:p w14:paraId="1E8CD7EE">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1.最大图像尺寸：384×288；</w:t>
            </w:r>
          </w:p>
          <w:p w14:paraId="41AD6768">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2.测温范围-20℃～+150℃；</w:t>
            </w:r>
          </w:p>
          <w:p w14:paraId="0C26704E">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3.温度异常报警功能，测温精度：±8℃或量程的±8% ℃ （取最大值）；</w:t>
            </w:r>
          </w:p>
          <w:p w14:paraId="7CEA262D">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4.人员周界最远报警距离（以1.8米×0.5米为准）：500m；</w:t>
            </w:r>
          </w:p>
          <w:p w14:paraId="157EBFCB">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车辆周界为最远报警距离（以4米×1.4米为准）：1500m；</w:t>
            </w:r>
          </w:p>
          <w:p w14:paraId="24055352">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5.视场角：7.5°x5.6°；</w:t>
            </w:r>
          </w:p>
          <w:p w14:paraId="6AD6A600">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6.热成像焦距（镜头）：50mm；</w:t>
            </w:r>
          </w:p>
          <w:p w14:paraId="556A525F">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7.可见光最大分辨率：400万像素；</w:t>
            </w:r>
          </w:p>
          <w:p w14:paraId="4E32C541">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8.水平方向360°连续旋转，垂直方向-20°～+90°，无监视盲区；</w:t>
            </w:r>
          </w:p>
          <w:p w14:paraId="2F362A47">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9.红外照射距离：大于等于100米；</w:t>
            </w:r>
          </w:p>
          <w:p w14:paraId="34ECEDEA">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10.帧率：50Hz:25fps(1920×1080)（可见光）50Hz:25fps(384×288)(热成像)；</w:t>
            </w:r>
          </w:p>
          <w:p w14:paraId="3C8D2FC1">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11.电源：AC24V，60W；</w:t>
            </w:r>
          </w:p>
          <w:p w14:paraId="4209B1E3">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12.工作温度和湿度：-40℃～60℃，湿度小于90%RH；</w:t>
            </w:r>
          </w:p>
          <w:p w14:paraId="1AB8D13F">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13.防护等级：不低于IP66。</w:t>
            </w:r>
          </w:p>
          <w:p w14:paraId="306B9272">
            <w:pPr>
              <w:numPr>
                <w:ilvl w:val="-1"/>
                <w:numId w:val="0"/>
              </w:numPr>
              <w:spacing w:line="360" w:lineRule="auto"/>
              <w:ind w:left="420" w:firstLine="0" w:firstLineChars="0"/>
              <w:jc w:val="left"/>
              <w:rPr>
                <w:rFonts w:hint="eastAsia" w:ascii="宋体" w:hAnsi="宋体" w:cs="仿宋_GB2312"/>
                <w:b/>
                <w:bCs/>
                <w:color w:val="auto"/>
                <w:szCs w:val="21"/>
                <w:highlight w:val="none"/>
                <w:u w:val="none"/>
              </w:rPr>
            </w:pPr>
            <w:r>
              <w:rPr>
                <w:rFonts w:hint="eastAsia" w:ascii="宋体" w:hAnsi="宋体" w:cs="仿宋_GB2312"/>
                <w:b/>
                <w:bCs/>
                <w:color w:val="auto"/>
                <w:szCs w:val="21"/>
                <w:highlight w:val="none"/>
                <w:u w:val="none"/>
              </w:rPr>
              <w:t>硬盘录像机设备</w:t>
            </w:r>
          </w:p>
          <w:p w14:paraId="305663F2">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1.支持8路视频路数，输入带宽80M，实现对采集到的视频数据进行检索、分析及存储；</w:t>
            </w:r>
          </w:p>
          <w:p w14:paraId="79CABB98">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2.支持16路报警输入，4路报警输出；</w:t>
            </w:r>
          </w:p>
          <w:p w14:paraId="1043A69C">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3.支持缩略图回放功能，录像回放中，当鼠标在进度条上移动时，可自动显示该时间点附近的视频缩略图，支持设置存储条数，达到存储条数上限支持循环覆盖，日志存储数量可设置为30万、50万或100万条；</w:t>
            </w:r>
          </w:p>
          <w:p w14:paraId="123530A3">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4.支持录像打包时间1～280分钟可设置，WEB界面远程登录设备，30分钟无操作，设备自动退出登录，可设置远程访问IP地址和MAC地址黑白名单，WEB端可设置开启HTTPS安全链接、SSH；</w:t>
            </w:r>
          </w:p>
          <w:p w14:paraId="479E7DB3">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5.支持秒级检索查看硬盘中录像文件，秒级检索录像文件中的人员、车辆、人体等活动目标，并以弹窗形式来展示活动目标关联的录像片段；</w:t>
            </w:r>
          </w:p>
          <w:p w14:paraId="153E5E50">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6.支持1/8、1/4、1/2、1、2、4、8、16等倍速回放录像，支持录像回放的剪辑和回放截图功能；</w:t>
            </w:r>
          </w:p>
          <w:p w14:paraId="19529825">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7.支持即时回放功能，预览状态下可即时回放任一通道5～100分钟内的录像文件，支持自动维护功能，可根据设置时间点启用系统自动维护流程，包括自检、重启、取流、录像、恢复系统运行；</w:t>
            </w:r>
          </w:p>
          <w:p w14:paraId="7B42B55A">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8.用户可以点击报警图标，查看报警详情列表，可在列表中快速查看报警关联的录像，当有新事件发生时计数自动累加，当用户查看后计数自动清零，支持在视频图像上叠加10行文字，每行可输入20个汉字；</w:t>
            </w:r>
          </w:p>
          <w:p w14:paraId="1A5A7C98">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9.可设置主码流、子码流进行录像，支持日志回放功能，可对报警日志关联的录像进行回放；</w:t>
            </w:r>
          </w:p>
          <w:p w14:paraId="65755E19">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10.录像回放时，支持截图、剪辑、打标签、电子放大、调节音量、锁定等操作，并支持多路电子放大；</w:t>
            </w:r>
          </w:p>
          <w:p w14:paraId="0FA53AC9">
            <w:pPr>
              <w:adjustRightInd w:val="0"/>
              <w:snapToGrid w:val="0"/>
              <w:spacing w:line="360" w:lineRule="auto"/>
              <w:ind w:firstLine="420"/>
              <w:rPr>
                <w:rFonts w:hint="eastAsia" w:ascii="宋体" w:hAnsi="宋体"/>
                <w:color w:val="auto"/>
                <w:kern w:val="0"/>
                <w:szCs w:val="21"/>
                <w:highlight w:val="none"/>
                <w:u w:val="none"/>
              </w:rPr>
            </w:pPr>
            <w:r>
              <w:rPr>
                <w:rFonts w:hint="eastAsia" w:ascii="宋体" w:hAnsi="宋体"/>
                <w:color w:val="auto"/>
                <w:kern w:val="0"/>
                <w:szCs w:val="21"/>
                <w:highlight w:val="none"/>
                <w:u w:val="none"/>
              </w:rPr>
              <w:t>（二）预警监测系统综合管理平台</w:t>
            </w:r>
          </w:p>
          <w:p w14:paraId="0ADB81F7">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挂载的摄像头至可视监控范围覆盖半径200m铁路沿线内实现24小时入侵弹窗告警。</w:t>
            </w:r>
          </w:p>
          <w:p w14:paraId="2C010352">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▲（三）视频数据接入存储服务及平台使用服务要求</w:t>
            </w:r>
          </w:p>
          <w:p w14:paraId="1F5B08C6">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1.提供通过NVR接入前端视频的服务；</w:t>
            </w:r>
          </w:p>
          <w:p w14:paraId="3B288EA4">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2.提供监控平台使用服务；</w:t>
            </w:r>
          </w:p>
          <w:p w14:paraId="030EDFDF">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3.提供不少于30天视频数据存储服务；</w:t>
            </w:r>
          </w:p>
          <w:p w14:paraId="3451929E">
            <w:pPr>
              <w:spacing w:line="360" w:lineRule="auto"/>
              <w:ind w:firstLine="420" w:firstLineChars="200"/>
              <w:rPr>
                <w:rFonts w:hint="eastAsia" w:ascii="宋体" w:hAnsi="宋体" w:cs="仿宋_GB2312"/>
                <w:color w:val="auto"/>
                <w:kern w:val="0"/>
                <w:szCs w:val="21"/>
                <w:highlight w:val="none"/>
                <w:u w:val="none"/>
                <w:lang w:bidi="ar"/>
              </w:rPr>
            </w:pPr>
            <w:r>
              <w:rPr>
                <w:rFonts w:hint="eastAsia" w:ascii="宋体" w:hAnsi="宋体"/>
                <w:color w:val="auto"/>
                <w:szCs w:val="21"/>
                <w:highlight w:val="none"/>
                <w:u w:val="none"/>
              </w:rPr>
              <w:t>4.提供视频管理平台历史视频录像调用服务。</w:t>
            </w:r>
          </w:p>
          <w:p w14:paraId="4ACE7953">
            <w:pPr>
              <w:spacing w:line="360" w:lineRule="auto"/>
              <w:ind w:firstLine="420"/>
              <w:rPr>
                <w:rFonts w:hint="eastAsia" w:ascii="宋体" w:hAnsi="宋体" w:cs="黑体"/>
                <w:b/>
                <w:bCs/>
                <w:color w:val="auto"/>
                <w:szCs w:val="21"/>
                <w:highlight w:val="none"/>
                <w:u w:val="none"/>
              </w:rPr>
            </w:pPr>
            <w:r>
              <w:rPr>
                <w:rFonts w:hint="eastAsia" w:ascii="宋体" w:hAnsi="宋体" w:cs="黑体"/>
                <w:b/>
                <w:bCs/>
                <w:iCs/>
                <w:color w:val="auto"/>
                <w:szCs w:val="21"/>
                <w:highlight w:val="none"/>
                <w:u w:val="none"/>
              </w:rPr>
              <w:t>第三部分：</w:t>
            </w:r>
            <w:r>
              <w:rPr>
                <w:rFonts w:ascii="宋体" w:hAnsi="宋体" w:cs="黑体"/>
                <w:b/>
                <w:bCs/>
                <w:color w:val="auto"/>
                <w:szCs w:val="21"/>
                <w:highlight w:val="none"/>
                <w:u w:val="none"/>
              </w:rPr>
              <w:t>五期新建租赁项目</w:t>
            </w:r>
            <w:r>
              <w:rPr>
                <w:rFonts w:hint="eastAsia" w:ascii="宋体" w:hAnsi="宋体" w:cs="黑体"/>
                <w:b/>
                <w:bCs/>
                <w:color w:val="auto"/>
                <w:szCs w:val="21"/>
                <w:highlight w:val="none"/>
                <w:u w:val="none"/>
              </w:rPr>
              <w:t>服务</w:t>
            </w:r>
          </w:p>
          <w:p w14:paraId="249D7223">
            <w:pPr>
              <w:adjustRightInd w:val="0"/>
              <w:snapToGrid w:val="0"/>
              <w:spacing w:line="360" w:lineRule="auto"/>
              <w:ind w:firstLine="42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铁路沿线视频监控五期新建项目的建设范围主要针对百色市辖区南昆线沿线21处铁路沿线重点防护路段进行建设，共计新增31套监控设备、19个音柱，主要建设内容包含前端监测点位建设、预警监测系统综合管理平台、网络传输、存储系统等。</w:t>
            </w:r>
          </w:p>
          <w:p w14:paraId="12F248A2">
            <w:pPr>
              <w:adjustRightInd w:val="0"/>
              <w:snapToGrid w:val="0"/>
              <w:spacing w:line="360" w:lineRule="auto"/>
              <w:ind w:firstLine="420"/>
              <w:rPr>
                <w:rFonts w:hint="eastAsia" w:ascii="宋体" w:hAnsi="宋体" w:cs="仿宋_GB2312"/>
                <w:color w:val="auto"/>
                <w:kern w:val="0"/>
                <w:szCs w:val="21"/>
                <w:highlight w:val="none"/>
                <w:u w:val="none"/>
                <w:lang w:bidi="ar"/>
              </w:rPr>
            </w:pPr>
            <w:r>
              <w:rPr>
                <w:rFonts w:hint="eastAsia" w:ascii="宋体" w:hAnsi="宋体" w:cs="仿宋_GB2312"/>
                <w:color w:val="auto"/>
                <w:kern w:val="0"/>
                <w:szCs w:val="21"/>
                <w:highlight w:val="none"/>
                <w:u w:val="none"/>
                <w:lang w:bidi="ar"/>
              </w:rPr>
              <w:t>服务内容包括：在服务期间提供维保包干服务，提供视频监控数据和设备运维服务，开展现场维护和定期巡检、排查安全隐患及保障设备正常运行，提供该服务需满足以下技术要求：</w:t>
            </w:r>
          </w:p>
          <w:p w14:paraId="536DA419">
            <w:pPr>
              <w:adjustRightInd w:val="0"/>
              <w:snapToGrid w:val="0"/>
              <w:spacing w:line="360" w:lineRule="auto"/>
              <w:ind w:firstLine="420"/>
              <w:rPr>
                <w:rFonts w:hint="eastAsia" w:ascii="宋体" w:hAnsi="宋体"/>
                <w:color w:val="auto"/>
                <w:kern w:val="0"/>
                <w:szCs w:val="21"/>
                <w:highlight w:val="none"/>
                <w:u w:val="none"/>
              </w:rPr>
            </w:pPr>
            <w:r>
              <w:rPr>
                <w:rFonts w:hint="eastAsia" w:ascii="宋体" w:hAnsi="宋体" w:cs="仿宋_GB2312"/>
                <w:color w:val="auto"/>
                <w:kern w:val="0"/>
                <w:szCs w:val="21"/>
                <w:highlight w:val="none"/>
                <w:u w:val="none"/>
                <w:lang w:bidi="ar"/>
              </w:rPr>
              <w:t>（一）关键设备性能要求</w:t>
            </w:r>
          </w:p>
          <w:p w14:paraId="2DE5581C">
            <w:pPr>
              <w:numPr>
                <w:ilvl w:val="-1"/>
                <w:numId w:val="0"/>
              </w:numPr>
              <w:spacing w:line="360" w:lineRule="auto"/>
              <w:ind w:left="420" w:firstLine="0" w:firstLineChars="0"/>
              <w:jc w:val="left"/>
              <w:rPr>
                <w:rFonts w:hint="eastAsia" w:ascii="宋体" w:hAnsi="宋体" w:cs="仿宋_GB2312"/>
                <w:b/>
                <w:bCs/>
                <w:color w:val="auto"/>
                <w:szCs w:val="21"/>
                <w:highlight w:val="none"/>
                <w:u w:val="none"/>
              </w:rPr>
            </w:pPr>
            <w:r>
              <w:rPr>
                <w:rFonts w:hint="eastAsia" w:ascii="宋体" w:hAnsi="宋体" w:cs="仿宋_GB2312"/>
                <w:b/>
                <w:bCs/>
                <w:color w:val="auto"/>
                <w:szCs w:val="21"/>
                <w:highlight w:val="none"/>
                <w:u w:val="none"/>
              </w:rPr>
              <w:t>双目热成像摄像头（球）</w:t>
            </w:r>
          </w:p>
          <w:p w14:paraId="2DF921AD">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1.采用可见光和热成像双通道一体化设计的双目9英寸球型摄像机，具备可见光、热成像双镜头，整机净重应≤13kg；</w:t>
            </w:r>
          </w:p>
          <w:p w14:paraId="33268386">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▲2.热成像探测器采用非制冷氧化钒焦平面探测器，分辨率不低于384×288；</w:t>
            </w:r>
          </w:p>
          <w:p w14:paraId="4392550D">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●3.噪声等效温差（NETD）≤8mK，最小可分辨温差(MRTD)≤150mK；</w:t>
            </w:r>
          </w:p>
          <w:p w14:paraId="23A76193">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4.支持春、夏、秋、冬、金秋、午日、夕阳、彩虹、黑热、白热、冰火、聚变等不少于18种伪彩可调；</w:t>
            </w:r>
          </w:p>
          <w:p w14:paraId="09A3983D">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5.可见光采用≥400万像素1/1.8英寸CMOS传感器，最低照度：彩色≤0.0002lx；黑白≤0.0001lx；</w:t>
            </w:r>
          </w:p>
          <w:p w14:paraId="5562EF26">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6.热成像视场角不低于：水平：5.5°；垂直：4.1°；可见光视场角不低于：水平：64.4°～1.28°；垂直：38.37°～0.72°；</w:t>
            </w:r>
          </w:p>
          <w:p w14:paraId="2DE40225">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7.支持红外补光，最大有效距离150 m，亮度、角度根据场景智能调整；</w:t>
            </w:r>
          </w:p>
          <w:p w14:paraId="6C79E90B">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8.旋转范围不低于：水平0°～360°连续旋转，垂直-27°～90°；</w:t>
            </w:r>
          </w:p>
          <w:p w14:paraId="28F9148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9.可见光支持自动聚焦、自动白平衡、背光补偿、宽动态、强光抑制，支持日夜转换、光学透雾、光学防抖功能；</w:t>
            </w:r>
          </w:p>
          <w:p w14:paraId="1D34FCF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▲10.可见光镜头焦距不低于6mm～240mm范围，≥40倍光学变倍，热成像焦距不低于50mm；</w:t>
            </w:r>
          </w:p>
          <w:p w14:paraId="38AB8D4C">
            <w:pPr>
              <w:spacing w:line="360" w:lineRule="auto"/>
              <w:ind w:firstLine="420" w:firstLineChars="200"/>
              <w:rPr>
                <w:rFonts w:hint="eastAsia" w:ascii="宋体" w:hAnsi="宋体" w:cs="仿宋_GB2312"/>
                <w:color w:val="auto"/>
                <w:szCs w:val="21"/>
                <w:highlight w:val="none"/>
                <w:u w:val="none"/>
              </w:rPr>
            </w:pPr>
            <w:r>
              <w:rPr>
                <w:rFonts w:hint="eastAsia" w:ascii="宋体" w:hAnsi="宋体"/>
                <w:color w:val="auto"/>
                <w:szCs w:val="21"/>
                <w:highlight w:val="none"/>
                <w:u w:val="none"/>
              </w:rPr>
              <w:t>▲11.巡航线≥1000条，每条可设置≥256个预置点；支持按照所设置的预置位完成巡航路径设置功能、一键快捷巡航控制功能等,对已设定的S型扫描路径、预置位进行自动巡航</w:t>
            </w:r>
            <w:r>
              <w:rPr>
                <w:rFonts w:hint="eastAsia" w:ascii="宋体" w:hAnsi="宋体" w:cs="仿宋_GB2312"/>
                <w:color w:val="auto"/>
                <w:szCs w:val="21"/>
                <w:highlight w:val="none"/>
                <w:u w:val="none"/>
              </w:rPr>
              <w:t>；</w:t>
            </w:r>
          </w:p>
          <w:p w14:paraId="755FD16E">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●12．支持3D定位、支持雨刷功能，支持自动、手动、定时等模式，当为自动雨刷时，雨量监测器监测到雨水时会自动开启雨刷，监测不到雨水后自动停止；</w:t>
            </w:r>
          </w:p>
          <w:p w14:paraId="686542C4">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●13.支持工程车检测，当监控画面中出现工程车时，可给出报警提示；</w:t>
            </w:r>
          </w:p>
          <w:p w14:paraId="2C6F9C67">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●14.支持偏移自动校正，运动结束静止在某个位置，当设备预置位受到外力作用发生偏移后，再次调用该预置位时可恢复至偏移前的预置位；</w:t>
            </w:r>
          </w:p>
          <w:p w14:paraId="48D6226A">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●15.支持通过电子地图定位设备的经纬度后，以此坐标为圆心，半径≤1000米范围内，对同一经纬度的有明火的位置，实时视频画面内经纬度坐标与电子地图指示的位置在地图上相差不超过20米；</w:t>
            </w:r>
          </w:p>
          <w:p w14:paraId="024CBB25">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16.支持通过一个IP地址连接设备，设备同时输出可见光和热成像两路视频图像；</w:t>
            </w:r>
          </w:p>
          <w:p w14:paraId="64DF11C1">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17.具备专业智能功能，支持火点检测、全画面中最热点和最冷点自动跟踪、烟雾检测、绊线检测、区域入侵、船只检测、人车区分等多种AI智能、多种触发规则联动动作、目标过滤等多种智能功能；</w:t>
            </w:r>
          </w:p>
          <w:p w14:paraId="4BE1BC8E">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18.支持火点侦测距离≥3KM（目标大小</w:t>
            </w:r>
            <w:r>
              <w:rPr>
                <w:rFonts w:hint="eastAsia" w:ascii="宋体" w:hAnsi="宋体" w:cs="仿宋_GB2312"/>
                <w:color w:val="auto"/>
                <w:szCs w:val="21"/>
                <w:highlight w:val="none"/>
                <w:u w:val="none"/>
              </w:rPr>
              <w:t>长</w:t>
            </w:r>
            <w:r>
              <w:rPr>
                <w:rFonts w:hint="eastAsia" w:ascii="宋体" w:hAnsi="宋体"/>
                <w:color w:val="auto"/>
                <w:szCs w:val="21"/>
                <w:highlight w:val="none"/>
                <w:u w:val="none"/>
              </w:rPr>
              <w:t>×</w:t>
            </w:r>
            <w:r>
              <w:rPr>
                <w:rFonts w:hint="eastAsia" w:ascii="宋体" w:hAnsi="宋体" w:cs="仿宋_GB2312"/>
                <w:color w:val="auto"/>
                <w:szCs w:val="21"/>
                <w:highlight w:val="none"/>
                <w:u w:val="none"/>
              </w:rPr>
              <w:t>宽：</w:t>
            </w:r>
            <w:r>
              <w:rPr>
                <w:rFonts w:hint="eastAsia" w:ascii="宋体" w:hAnsi="宋体"/>
                <w:color w:val="auto"/>
                <w:szCs w:val="21"/>
                <w:highlight w:val="none"/>
                <w:u w:val="none"/>
              </w:rPr>
              <w:t>2m×2m）；周界防范距离（车）≥1.5KM（目标大小</w:t>
            </w:r>
            <w:r>
              <w:rPr>
                <w:rFonts w:hint="eastAsia" w:ascii="宋体" w:hAnsi="宋体" w:cs="仿宋_GB2312"/>
                <w:color w:val="auto"/>
                <w:szCs w:val="21"/>
                <w:highlight w:val="none"/>
                <w:u w:val="none"/>
              </w:rPr>
              <w:t>长</w:t>
            </w:r>
            <w:r>
              <w:rPr>
                <w:rFonts w:hint="eastAsia" w:ascii="宋体" w:hAnsi="宋体"/>
                <w:color w:val="auto"/>
                <w:szCs w:val="21"/>
                <w:highlight w:val="none"/>
                <w:u w:val="none"/>
              </w:rPr>
              <w:t>×</w:t>
            </w:r>
            <w:r>
              <w:rPr>
                <w:rFonts w:hint="eastAsia" w:ascii="宋体" w:hAnsi="宋体" w:cs="仿宋_GB2312"/>
                <w:color w:val="auto"/>
                <w:szCs w:val="21"/>
                <w:highlight w:val="none"/>
                <w:u w:val="none"/>
              </w:rPr>
              <w:t>宽：</w:t>
            </w:r>
            <w:r>
              <w:rPr>
                <w:rFonts w:hint="eastAsia" w:ascii="宋体" w:hAnsi="宋体"/>
                <w:color w:val="auto"/>
                <w:szCs w:val="21"/>
                <w:highlight w:val="none"/>
                <w:u w:val="none"/>
              </w:rPr>
              <w:t>4m×1.4m）；烟雾检测距离≥6KM（目标大小</w:t>
            </w:r>
            <w:r>
              <w:rPr>
                <w:rFonts w:hint="eastAsia" w:ascii="宋体" w:hAnsi="宋体" w:cs="仿宋_GB2312"/>
                <w:color w:val="auto"/>
                <w:szCs w:val="21"/>
                <w:highlight w:val="none"/>
                <w:u w:val="none"/>
              </w:rPr>
              <w:t>长</w:t>
            </w:r>
            <w:r>
              <w:rPr>
                <w:rFonts w:hint="eastAsia" w:ascii="宋体" w:hAnsi="宋体"/>
                <w:color w:val="auto"/>
                <w:szCs w:val="21"/>
                <w:highlight w:val="none"/>
                <w:u w:val="none"/>
              </w:rPr>
              <w:t>×</w:t>
            </w:r>
            <w:r>
              <w:rPr>
                <w:rFonts w:hint="eastAsia" w:ascii="宋体" w:hAnsi="宋体" w:cs="仿宋_GB2312"/>
                <w:color w:val="auto"/>
                <w:szCs w:val="21"/>
                <w:highlight w:val="none"/>
                <w:u w:val="none"/>
              </w:rPr>
              <w:t>宽：</w:t>
            </w:r>
            <w:r>
              <w:rPr>
                <w:rFonts w:hint="eastAsia" w:ascii="宋体" w:hAnsi="宋体"/>
                <w:color w:val="auto"/>
                <w:szCs w:val="21"/>
                <w:highlight w:val="none"/>
                <w:u w:val="none"/>
              </w:rPr>
              <w:t>5m×5m）；周界防范距离（人）≥500m；</w:t>
            </w:r>
          </w:p>
          <w:p w14:paraId="34656C91">
            <w:pPr>
              <w:spacing w:line="360" w:lineRule="auto"/>
              <w:ind w:firstLine="420" w:firstLineChars="200"/>
              <w:rPr>
                <w:rFonts w:hint="eastAsia" w:ascii="宋体" w:hAnsi="宋体" w:cs="仿宋_GB2312"/>
                <w:color w:val="auto"/>
                <w:szCs w:val="21"/>
                <w:highlight w:val="none"/>
                <w:u w:val="none"/>
              </w:rPr>
            </w:pPr>
            <w:r>
              <w:rPr>
                <w:rFonts w:hint="eastAsia" w:ascii="宋体" w:hAnsi="宋体"/>
                <w:color w:val="auto"/>
                <w:szCs w:val="21"/>
                <w:highlight w:val="none"/>
                <w:u w:val="none"/>
              </w:rPr>
              <w:t>19.支持人，机动车分类；热成像支持人车分类过滤报警，支持单场景、多场景、全景、手动、报警联动跟踪，支持吸烟检测、打电话检测、人/车/船只报警、人/车/船只跟踪；</w:t>
            </w:r>
          </w:p>
          <w:p w14:paraId="142E4D3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20.支持环境自适应，可在WEB端对风扇、加热器进行控制，可</w:t>
            </w:r>
            <w:r>
              <w:rPr>
                <w:rFonts w:hint="eastAsia" w:ascii="宋体" w:hAnsi="宋体" w:cs="仿宋_GB2312"/>
                <w:color w:val="auto"/>
                <w:szCs w:val="21"/>
                <w:highlight w:val="none"/>
                <w:u w:val="none"/>
                <w:lang w:eastAsia="zh-CN"/>
              </w:rPr>
              <w:t>选择</w:t>
            </w:r>
            <w:r>
              <w:rPr>
                <w:rFonts w:hint="eastAsia" w:ascii="宋体" w:hAnsi="宋体" w:cs="仿宋_GB2312"/>
                <w:color w:val="auto"/>
                <w:szCs w:val="21"/>
                <w:highlight w:val="none"/>
                <w:u w:val="none"/>
              </w:rPr>
              <w:t>自动和手动模式；</w:t>
            </w:r>
          </w:p>
          <w:p w14:paraId="7882AC9B">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21.支持显示设备的方位指向信息、角度和光学变倍信息，支持客户端软件对方向和角度进行显示，具有自动和手动指北设置选项；</w:t>
            </w:r>
          </w:p>
          <w:p w14:paraId="6FB3A24E">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22.支持线性扫描，可设置左右边界，在左右边界之间进行扫描，扫描速度从1～8可调节；</w:t>
            </w:r>
          </w:p>
          <w:p w14:paraId="7B9A2CF5">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23.支持定时启动，可设置定时调用自动巡航、预置位、自动扫描、模式路径、水平旋转等功能；</w:t>
            </w:r>
          </w:p>
          <w:p w14:paraId="471D32F1">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24.热成像及可见光通道应支持感兴趣区域设置，支持热成像视频叠加到可见光视频上，叠加大小和坐标可设；</w:t>
            </w:r>
          </w:p>
          <w:p w14:paraId="0C933C66">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25.支持火点定位功能，可通过客户端软件对监控画面中有明火的位置进行定位并显示该位置的经纬度坐标；</w:t>
            </w:r>
          </w:p>
          <w:p w14:paraId="01E4F789">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26.支持智能事件触发时跟踪目标，跟踪时长可设置；支持手动跟踪目标，点击浏览器上的按钮，选择指定区域，可对该区域内的物体进行跟踪，跟踪策略可单独使用可见光跟踪、单独使用热成像跟踪、按时间段切换，可按照单场景、多场景、全景、手动、自动、冷热点等模式进行跟踪，可对人/车/船只进行跟踪；</w:t>
            </w:r>
          </w:p>
          <w:p w14:paraId="1B6483FC">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27.支持在线升级功能，支持远程升级、远程控制、参数恢复功能，远程重启，远程算法升级；</w:t>
            </w:r>
          </w:p>
          <w:p w14:paraId="0BA34CAC">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28.支持云台状态异常报警功能，当检测到云台异常停止转动时，可通过WEB界面给出报警提示并上传平台；云台故障信息可通过OSD进行显示；</w:t>
            </w:r>
          </w:p>
          <w:p w14:paraId="1A0A4C08">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29.支持上传当前位置的水平角、俯仰角，并可使用命令回传当前焦距值和变倍倍数；</w:t>
            </w:r>
          </w:p>
          <w:p w14:paraId="46C7C667">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30.支持动态域名解析功能，以实现在广域网环境下联网到联网系统，在广域网环境下使用，支持主动发包动作以实现NAT穿越；</w:t>
            </w:r>
          </w:p>
          <w:p w14:paraId="39BE0953">
            <w:pPr>
              <w:spacing w:line="360" w:lineRule="auto"/>
              <w:ind w:firstLine="420" w:firstLineChars="200"/>
              <w:rPr>
                <w:rFonts w:hint="eastAsia" w:ascii="宋体" w:hAnsi="宋体" w:cs="仿宋_GB2312"/>
                <w:color w:val="auto"/>
                <w:szCs w:val="21"/>
                <w:highlight w:val="none"/>
                <w:u w:val="none"/>
              </w:rPr>
            </w:pPr>
            <w:bookmarkStart w:id="14" w:name="OLE_LINK1"/>
            <w:r>
              <w:rPr>
                <w:rFonts w:hint="eastAsia" w:ascii="宋体" w:hAnsi="宋体" w:cs="仿宋_GB2312"/>
                <w:color w:val="auto"/>
                <w:szCs w:val="21"/>
                <w:highlight w:val="none"/>
                <w:u w:val="none"/>
              </w:rPr>
              <w:t>31.支持查询设备总运行时间、设备高温运行总时间、设备低温运行总时间、常温运行时间、ICR切换次数、云台转动圈数、用户平均接入时间、当前登录用户名类型、IP地址、登录时间、周围环境温度和湿度值、升级次数、最后一次升级时间、供电电压异常持续时间等运维数据；</w:t>
            </w:r>
          </w:p>
          <w:bookmarkEnd w:id="14"/>
          <w:p w14:paraId="52FBD9A2">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32.支持人/车进行报警跟踪；支持识别水面上的船只，并触发报警；并且能够统计船只的信息，包括船只的长度、宽度、速度等；可对监控画面中通过指定区域的人/车/船只等标识物进行统计和显示；</w:t>
            </w:r>
          </w:p>
          <w:p w14:paraId="57AA44D3">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33.具备接口：≥1个RJ45网口、≥1个RS485接口、≥7个报警输入、≥2个报警输出、≥1个音频输入/输出、≥1个BNC模拟视频输出接口，≥1个SD卡槽（最大支持512GB）；</w:t>
            </w:r>
          </w:p>
          <w:p w14:paraId="0D757D8E">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34.支持防尘防水，不低于IP66防护要求。</w:t>
            </w:r>
          </w:p>
          <w:p w14:paraId="1449D7B4">
            <w:pPr>
              <w:numPr>
                <w:ilvl w:val="-1"/>
                <w:numId w:val="0"/>
              </w:numPr>
              <w:spacing w:line="360" w:lineRule="auto"/>
              <w:ind w:left="420" w:firstLine="0"/>
              <w:jc w:val="left"/>
              <w:rPr>
                <w:rFonts w:hint="eastAsia" w:ascii="宋体" w:hAnsi="宋体" w:cs="仿宋_GB2312"/>
                <w:color w:val="auto"/>
                <w:szCs w:val="21"/>
                <w:highlight w:val="none"/>
                <w:u w:val="none"/>
              </w:rPr>
            </w:pPr>
            <w:r>
              <w:rPr>
                <w:rFonts w:hint="eastAsia" w:ascii="宋体" w:hAnsi="宋体" w:cs="仿宋_GB2312"/>
                <w:b/>
                <w:bCs/>
                <w:color w:val="auto"/>
                <w:szCs w:val="21"/>
                <w:highlight w:val="none"/>
                <w:u w:val="none"/>
              </w:rPr>
              <w:t>双目热成像摄像头（枪）</w:t>
            </w:r>
          </w:p>
          <w:p w14:paraId="486BEEF8">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1.采用可见光和热成像双通道一体化设计的双目枪型摄像机，具备可见光、热成像双镜头，整机净重应≤1kg；</w:t>
            </w:r>
          </w:p>
          <w:p w14:paraId="3EE25314">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▲2.热成像探测器采用非制冷氧化钒焦平面探测器，分辨率不低于256×192；</w:t>
            </w:r>
          </w:p>
          <w:p w14:paraId="17C55E99">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●3.噪声等效温差（NETD）≤8mK，最小可分辨温差(MRTD)≤150mK；</w:t>
            </w:r>
          </w:p>
          <w:p w14:paraId="253E9D01">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4.支持春、夏、秋、冬、金秋、午日、夕阳、彩虹、黑热、白热、冰火、聚变等不少于18种伪彩可调；</w:t>
            </w:r>
          </w:p>
          <w:p w14:paraId="70C036FA">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5.可见光采用≥400万像素1/2.7英寸CMOS传感器，最低照度：彩色≤0.0002lx；黑白≤0.0001lx；</w:t>
            </w:r>
          </w:p>
          <w:p w14:paraId="20B99D13">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6.热成像视场角不低于：H：17.3°，V：13.1°；可见光视场角不低于：H:22°，V:16.6°；</w:t>
            </w:r>
          </w:p>
          <w:p w14:paraId="3F793C17">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7.支持红外补光，最大距离30m；可见光支持自动白平衡、背光补偿、宽动态、强光抑制，支持日夜转换、电子透雾功能；</w:t>
            </w:r>
          </w:p>
          <w:p w14:paraId="14C0BAE6">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8.支持ONVIF；《公共安全视频监控联网系统信息传输、交换、控制技术要求》（GB/T 28181-2022）；CGI接入标准，支持HTTPS；HTTP；TCP；ARP；RTSP；RTP；UDP；RTCP；SMTP；FTP；DHCP；DNS；DDNS；PPPOE；IPv4/v6；SNMP；QoS；UPnP；NTP协议；</w:t>
            </w:r>
          </w:p>
          <w:p w14:paraId="4CFAB8B5">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9.可见光镜头焦距不低于12mm，热成像焦距不低于10mm；</w:t>
            </w:r>
          </w:p>
          <w:p w14:paraId="1B6D3C94">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●10.支持在监视画面上设置不少于80个不规则四边形遮盖区域，区域大小、位置可设置、每块区域可设置不同的颜色和马赛克；</w:t>
            </w:r>
          </w:p>
          <w:p w14:paraId="0F8FAD5F">
            <w:pPr>
              <w:spacing w:line="360" w:lineRule="auto"/>
              <w:ind w:firstLine="420" w:firstLineChars="200"/>
              <w:rPr>
                <w:rFonts w:hint="eastAsia" w:ascii="宋体" w:hAnsi="宋体" w:cs="仿宋_GB2312"/>
                <w:color w:val="auto"/>
                <w:szCs w:val="21"/>
                <w:highlight w:val="none"/>
                <w:u w:val="none"/>
              </w:rPr>
            </w:pPr>
            <w:r>
              <w:rPr>
                <w:rFonts w:hint="eastAsia" w:ascii="宋体" w:hAnsi="宋体"/>
                <w:color w:val="auto"/>
                <w:szCs w:val="21"/>
                <w:highlight w:val="none"/>
                <w:u w:val="none"/>
              </w:rPr>
              <w:t>●</w:t>
            </w:r>
            <w:r>
              <w:rPr>
                <w:rFonts w:ascii="宋体" w:hAnsi="宋体"/>
                <w:color w:val="auto"/>
                <w:szCs w:val="21"/>
                <w:highlight w:val="none"/>
                <w:u w:val="none"/>
              </w:rPr>
              <w:t>11.支持在可见光和热成像视频图像上叠加字符，可叠加不小于8行字符，字符大小可设置为16×16像素、32×32像素、48×48像素、64×64像素、自适应等，字符颜色、位置可设置；可在可见光视频图像和热成像视频图像监视画面上叠加128×128像素8位的BMP格式图片，叠加位置可调；</w:t>
            </w:r>
            <w:r>
              <w:rPr>
                <w:rFonts w:hint="eastAsia" w:ascii="宋体" w:hAnsi="宋体" w:cs="仿宋_GB2312"/>
                <w:color w:val="auto"/>
                <w:szCs w:val="21"/>
                <w:highlight w:val="none"/>
                <w:u w:val="none"/>
              </w:rPr>
              <w:t xml:space="preserve"> </w:t>
            </w:r>
          </w:p>
          <w:p w14:paraId="245B4B66">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12.支持将视频图像存储至SD卡或客户端，支持SD卡热插拔，最大支持256GB SD卡；可通过IE浏览器显示当前存储卡损坏程度及剩余存储时间；</w:t>
            </w:r>
          </w:p>
          <w:p w14:paraId="399FFF61">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13.支持可见光视频图像和热成像视频图像在区域入侵、越界入侵、进入区域、离开区域等智能分析行为达到设定的阈值时，可通过IE浏览器给出报警提示；</w:t>
            </w:r>
          </w:p>
          <w:p w14:paraId="0391AA0B">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●14.支持可见光视频通道：可通过IE浏览器开启/关闭畸变矫正功能，开启功能后视场角变小，样机几何失真率≤2.0%；</w:t>
            </w:r>
          </w:p>
          <w:p w14:paraId="5EA18B10">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15.支持双目融合，通过一个IP地址连接设备，设备同时输出可见光和热成像两路视频图像；</w:t>
            </w:r>
          </w:p>
          <w:p w14:paraId="07C1AE47">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●16.支持热成像视频图像矫正方式具有关闭、定时、手动和温差设置选项；具有自动增益功能，使视频信号随区域温度变化自动调整视频输出；</w:t>
            </w:r>
          </w:p>
          <w:p w14:paraId="04CC4E54">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●17.支持防太阳灼伤功能，支持太阳光直射5分钟后，设备在30分钟内可恢复正常视频图像输出；当开启挡片功能后，检测到太阳直射时，可自动挡片遮挡；</w:t>
            </w:r>
          </w:p>
          <w:p w14:paraId="7351FEE8">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18.支持断网续传功能，当网络断开后，样机可将录像文件存储至内置SD卡中，当网络恢复后，再将这些录像文件上传至NAS服务器或指定的FTP服务器中；</w:t>
            </w:r>
          </w:p>
          <w:p w14:paraId="4EF0651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19.支持智能分析功能，可见光通道应具有区域入侵、进入区域、离开区域、物品遗留、徘徊检测等功能；</w:t>
            </w:r>
          </w:p>
          <w:p w14:paraId="1C46121E">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20.支持火点检测功能，在IE浏览器下，可对监视画面中的火点进行识别、检验并框选，可给出报警提示，联动语音提示，警戒灯闪烁报警；</w:t>
            </w:r>
          </w:p>
          <w:p w14:paraId="1750F5F3">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21.支持声光报警功能，当智能事件触发时，可通过内置的扬声器，补光灯报警装置给出提示；支持口罩检测，当人员未戴口罩时，可进行识别并联动声光报警；</w:t>
            </w:r>
          </w:p>
          <w:p w14:paraId="2407524A">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22.具备专业智能功能，支持火点探测报警、绊线入侵、区域入侵、多种触发规则联动动作、目标过滤、吸烟、打电话等多种智能功能；</w:t>
            </w:r>
          </w:p>
          <w:p w14:paraId="42C2D5D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23.支持周界防范距离（车）≥300米（目标大小长</w:t>
            </w:r>
            <w:r>
              <w:rPr>
                <w:rFonts w:hint="eastAsia" w:ascii="宋体" w:hAnsi="宋体"/>
                <w:color w:val="auto"/>
                <w:szCs w:val="21"/>
                <w:highlight w:val="none"/>
                <w:u w:val="none"/>
              </w:rPr>
              <w:t>×</w:t>
            </w:r>
            <w:r>
              <w:rPr>
                <w:rFonts w:hint="eastAsia" w:ascii="宋体" w:hAnsi="宋体" w:cs="仿宋_GB2312"/>
                <w:color w:val="auto"/>
                <w:szCs w:val="21"/>
                <w:highlight w:val="none"/>
                <w:u w:val="none"/>
              </w:rPr>
              <w:t>宽：4m</w:t>
            </w:r>
            <w:r>
              <w:rPr>
                <w:rFonts w:hint="eastAsia" w:ascii="宋体" w:hAnsi="宋体"/>
                <w:color w:val="auto"/>
                <w:szCs w:val="21"/>
                <w:highlight w:val="none"/>
                <w:u w:val="none"/>
              </w:rPr>
              <w:t>×</w:t>
            </w:r>
            <w:r>
              <w:rPr>
                <w:rFonts w:hint="eastAsia" w:ascii="宋体" w:hAnsi="宋体" w:cs="仿宋_GB2312"/>
                <w:color w:val="auto"/>
                <w:szCs w:val="21"/>
                <w:highlight w:val="none"/>
                <w:u w:val="none"/>
              </w:rPr>
              <w:t>1.4m）；周界防范距离（人）≥100m（目标大小长</w:t>
            </w:r>
            <w:r>
              <w:rPr>
                <w:rFonts w:hint="eastAsia" w:ascii="宋体" w:hAnsi="宋体"/>
                <w:color w:val="auto"/>
                <w:szCs w:val="21"/>
                <w:highlight w:val="none"/>
                <w:u w:val="none"/>
              </w:rPr>
              <w:t>×</w:t>
            </w:r>
            <w:r>
              <w:rPr>
                <w:rFonts w:hint="eastAsia" w:ascii="宋体" w:hAnsi="宋体" w:cs="仿宋_GB2312"/>
                <w:color w:val="auto"/>
                <w:szCs w:val="21"/>
                <w:highlight w:val="none"/>
                <w:u w:val="none"/>
              </w:rPr>
              <w:t>宽：1.8m×0.5m）；</w:t>
            </w:r>
          </w:p>
          <w:p w14:paraId="198A4F03">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24.支持人车过滤，可对人、车等目标进行过滤，并对符合要求的目标进行报警；人车区分，并以不同颜色标识；</w:t>
            </w:r>
          </w:p>
          <w:p w14:paraId="5AE1E4F6">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25.支持热成像及可见光通道应支持感兴趣区域设置，支持热成像视频叠加到可见光视频上，叠加大小和坐标可设；</w:t>
            </w:r>
          </w:p>
          <w:p w14:paraId="0E865668">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26.具备接口：≥1个RJ45网口、≥1个RS485接口、≥2个报警输入、≥2个报警输出、≥1个音频输入、≥1个音频输出、≥1个SD卡槽（最大支持256GB），支持WIFI；</w:t>
            </w:r>
          </w:p>
          <w:p w14:paraId="2B65781E">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27.支持防尘防水，DC12V±20%宽压供电，PoE供电，不低于IP67防护要求；</w:t>
            </w:r>
          </w:p>
          <w:p w14:paraId="45749B89">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28.包含柱状安装支架电源等配件。</w:t>
            </w:r>
          </w:p>
          <w:p w14:paraId="0723860C">
            <w:pPr>
              <w:numPr>
                <w:ilvl w:val="-1"/>
                <w:numId w:val="0"/>
              </w:numPr>
              <w:spacing w:line="360" w:lineRule="auto"/>
              <w:ind w:left="420" w:firstLine="0"/>
              <w:jc w:val="left"/>
              <w:rPr>
                <w:rFonts w:hint="eastAsia" w:ascii="宋体" w:hAnsi="宋体" w:cs="仿宋_GB2312"/>
                <w:b/>
                <w:bCs/>
                <w:color w:val="auto"/>
                <w:szCs w:val="21"/>
                <w:highlight w:val="none"/>
                <w:u w:val="none"/>
              </w:rPr>
            </w:pPr>
            <w:r>
              <w:rPr>
                <w:rFonts w:hint="eastAsia" w:ascii="宋体" w:hAnsi="宋体" w:cs="仿宋_GB2312"/>
                <w:b/>
                <w:bCs/>
                <w:color w:val="auto"/>
                <w:szCs w:val="21"/>
                <w:highlight w:val="none"/>
                <w:u w:val="none"/>
              </w:rPr>
              <w:t>网络硬盘录像机</w:t>
            </w:r>
          </w:p>
          <w:p w14:paraId="121B7CDD">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1.支持嵌入式Linux系统，工业级嵌入式微控制器；</w:t>
            </w:r>
          </w:p>
          <w:p w14:paraId="4F9EFD32">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2.支持WEB、本地GUI界面操作；</w:t>
            </w:r>
          </w:p>
          <w:p w14:paraId="201788F6">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3.支持ONVIF、RTSP协议的第三方摄像机和海康、大华、宇视等品牌摄像机；</w:t>
            </w:r>
          </w:p>
          <w:p w14:paraId="366D24C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4.支持不少于32MP、24MP、16MP、12MP、8MP、6MP、5MP、4MP、3MP、1080p、960p、720p、D1、CIF、QCIF等IPC分辨率接入；</w:t>
            </w:r>
          </w:p>
          <w:p w14:paraId="6237194E">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▲5.支持≥16路网络视频接入，网络性能接入≥384Mbps，储存≥384Mbps，转发≥384Mbps；</w:t>
            </w:r>
          </w:p>
          <w:p w14:paraId="5AD1ACB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6.解码能力不低于以下要求：2路32M@25fps、2路24M@25fps、4路16MP@30fps、5路12MP@30fps、8路8MP@30fps、12路5MP@30fps、16路4MP@30fps，16路回放；</w:t>
            </w:r>
          </w:p>
          <w:p w14:paraId="6A61C6AC">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同时正放或倒放16路H.265或H.264编码1920X1080P分辨率的视频图像；或者16路H.265或H.264编码、2560×1440分辨率的视频图像；或8路H.265或H.264编码、4096×2160分辨率的视频图像；或2路H.265或H.264编码、8192×3840分辨率的视频图像；</w:t>
            </w:r>
          </w:p>
          <w:p w14:paraId="6B9C2BD0">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自适应接入H.265、H.264、MPEG4、MJPE、SVAC编码格式的网络视频并解码支持2路分辨率为8192×3840、帧率为25fps或5路分辨率为4000×3000、帧率为25fps或8路分辨率为4096×2160、帧率为25fps或16路分辨率为2560×1440、帧率为30fps或32路分辨率为1920×1080、帧率为30fps的视频；</w:t>
            </w:r>
          </w:p>
          <w:p w14:paraId="4289AA5B">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9.支持2路H.265编码、25fps、8192×3840分辨率的拼接摄像机视频实时预览功能；</w:t>
            </w:r>
          </w:p>
          <w:p w14:paraId="66D194AB">
            <w:pPr>
              <w:spacing w:line="360" w:lineRule="auto"/>
              <w:ind w:firstLine="420" w:firstLineChars="200"/>
              <w:rPr>
                <w:rFonts w:hint="eastAsia" w:ascii="宋体" w:hAnsi="宋体" w:cs="仿宋_GB2312"/>
                <w:color w:val="auto"/>
                <w:szCs w:val="21"/>
                <w:highlight w:val="none"/>
                <w:u w:val="none"/>
                <w:lang w:val="en-US" w:eastAsia="zh-CN"/>
              </w:rPr>
            </w:pPr>
            <w:r>
              <w:rPr>
                <w:rFonts w:hint="eastAsia" w:ascii="宋体" w:hAnsi="宋体" w:cs="仿宋_GB2312"/>
                <w:color w:val="auto"/>
                <w:szCs w:val="21"/>
                <w:highlight w:val="none"/>
                <w:u w:val="none"/>
              </w:rPr>
              <w:t>10.支持前端设备前智能分析：包括但不限于前智能人脸检测抓拍、人脸比对识别、异物侵限、视频结构化（针对人、车、非机动车属性提取）、SMD（指英文Smart Motion Detection的简称，泛指智能动检技术）、行为分析、人群分布、人数统计、车牌识别、热度图、车辆密度；后端智能分析包括但不限于后智能人脸检测抓拍、人脸对比识别、异物侵限、SMD</w:t>
            </w:r>
            <w:r>
              <w:rPr>
                <w:rFonts w:hint="eastAsia" w:ascii="宋体" w:hAnsi="宋体" w:cs="仿宋_GB2312"/>
                <w:color w:val="auto"/>
                <w:szCs w:val="21"/>
                <w:highlight w:val="none"/>
                <w:u w:val="none"/>
                <w:lang w:eastAsia="zh-CN"/>
              </w:rPr>
              <w:t>；</w:t>
            </w:r>
            <w:r>
              <w:rPr>
                <w:rFonts w:hint="eastAsia" w:ascii="宋体" w:hAnsi="宋体" w:cs="仿宋_GB2312"/>
                <w:color w:val="auto"/>
                <w:szCs w:val="21"/>
                <w:highlight w:val="none"/>
                <w:u w:val="none"/>
                <w:lang w:val="en-US" w:eastAsia="zh-CN"/>
              </w:rPr>
              <w:t xml:space="preserve">       </w:t>
            </w:r>
          </w:p>
          <w:p w14:paraId="023E8BF1">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11.支持IPv4、IPv6、HTTP、UPnP、NTP、RTSP、SNMP、DNS网络协议；</w:t>
            </w:r>
          </w:p>
          <w:p w14:paraId="7034589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12.支持≥2路VGA输出，≥2路HDMI输出。同源模式：VGA1和VGA2最大支持1080P显示，HDMI1和HDMI2最大支持4K显示；异源模式：VGA1和HDMI1同源输出，VGA2和HDMI2 同源输出，VGA1和VGA2最大支持1080P显示，HDMI1、HDMI2最大支持4K显示；</w:t>
            </w:r>
          </w:p>
          <w:p w14:paraId="31347E9F">
            <w:pPr>
              <w:spacing w:line="360" w:lineRule="auto"/>
              <w:ind w:firstLine="420" w:firstLineChars="200"/>
              <w:rPr>
                <w:rFonts w:hint="eastAsia" w:ascii="宋体" w:hAnsi="宋体" w:cs="仿宋_GB2312"/>
                <w:color w:val="auto"/>
                <w:szCs w:val="21"/>
                <w:highlight w:val="none"/>
                <w:u w:val="none"/>
              </w:rPr>
            </w:pPr>
            <w:r>
              <w:rPr>
                <w:rFonts w:hint="eastAsia" w:ascii="宋体" w:hAnsi="宋体"/>
                <w:color w:val="auto"/>
                <w:szCs w:val="21"/>
                <w:highlight w:val="none"/>
                <w:u w:val="none"/>
              </w:rPr>
              <w:t>●</w:t>
            </w:r>
            <w:r>
              <w:rPr>
                <w:rFonts w:hint="eastAsia" w:ascii="宋体" w:hAnsi="宋体" w:cs="仿宋_GB2312"/>
                <w:color w:val="auto"/>
                <w:szCs w:val="21"/>
                <w:highlight w:val="none"/>
                <w:u w:val="none"/>
              </w:rPr>
              <w:t>13.</w:t>
            </w:r>
            <w:r>
              <w:rPr>
                <w:rFonts w:ascii="宋体" w:hAnsi="宋体"/>
                <w:color w:val="auto"/>
                <w:szCs w:val="21"/>
                <w:highlight w:val="none"/>
                <w:u w:val="none"/>
              </w:rPr>
              <w:t>可接入16块接口为SATA的硬盘，每个SATA口可接入1T、2T、3T、4T、6T、8T、10T、12T、14T、16T、20T容量的SATA接口硬盘；可通过</w:t>
            </w:r>
            <w:r>
              <w:rPr>
                <w:rFonts w:hint="eastAsia" w:ascii="宋体" w:hAnsi="宋体" w:cs="仿宋_GB2312"/>
                <w:color w:val="auto"/>
                <w:szCs w:val="21"/>
                <w:highlight w:val="none"/>
                <w:u w:val="none"/>
              </w:rPr>
              <w:t>eSATA接口接入外置硬盘或磁盘柜，可支持SSD</w:t>
            </w:r>
            <w:r>
              <w:rPr>
                <w:rFonts w:hint="eastAsia" w:ascii="宋体" w:hAnsi="宋体" w:cs="仿宋_GB2312"/>
                <w:color w:val="auto"/>
                <w:szCs w:val="21"/>
                <w:highlight w:val="none"/>
                <w:u w:val="none"/>
                <w:lang w:eastAsia="zh-CN"/>
              </w:rPr>
              <w:t>固态</w:t>
            </w:r>
            <w:r>
              <w:rPr>
                <w:rFonts w:hint="eastAsia" w:ascii="宋体" w:hAnsi="宋体" w:cs="仿宋_GB2312"/>
                <w:color w:val="auto"/>
                <w:szCs w:val="21"/>
                <w:highlight w:val="none"/>
                <w:u w:val="none"/>
              </w:rPr>
              <w:t>硬盘，可配置IPSAN网盘、支持对加密硬盘的适应接入；可支持硬盘热插拔和休眠；</w:t>
            </w:r>
          </w:p>
          <w:p w14:paraId="295DBFE2">
            <w:pPr>
              <w:spacing w:line="360" w:lineRule="auto"/>
              <w:ind w:firstLine="420" w:firstLineChars="200"/>
              <w:rPr>
                <w:rFonts w:hint="eastAsia" w:ascii="宋体" w:hAnsi="宋体" w:cs="仿宋_GB2312"/>
                <w:color w:val="auto"/>
                <w:szCs w:val="21"/>
                <w:highlight w:val="none"/>
                <w:u w:val="none"/>
              </w:rPr>
            </w:pPr>
            <w:r>
              <w:rPr>
                <w:rFonts w:hint="eastAsia" w:ascii="宋体" w:hAnsi="宋体"/>
                <w:color w:val="auto"/>
                <w:szCs w:val="21"/>
                <w:highlight w:val="none"/>
                <w:u w:val="none"/>
              </w:rPr>
              <w:t>●</w:t>
            </w:r>
            <w:r>
              <w:rPr>
                <w:rFonts w:hint="eastAsia" w:ascii="宋体" w:hAnsi="宋体" w:cs="仿宋_GB2312"/>
                <w:color w:val="auto"/>
                <w:szCs w:val="21"/>
                <w:highlight w:val="none"/>
                <w:u w:val="none"/>
              </w:rPr>
              <w:t>14.应自动记录与设备信息安全相关的日志信息，作为独立的安全日志，内容包括用户登录/登出、重要和敏感操作、安全事件等，并划分独立的记录空间存储安全日志，</w:t>
            </w:r>
            <w:r>
              <w:rPr>
                <w:rFonts w:hint="eastAsia" w:ascii="宋体" w:hAnsi="宋体" w:cs="仿宋_GB2312"/>
                <w:color w:val="auto"/>
                <w:szCs w:val="21"/>
                <w:highlight w:val="none"/>
                <w:u w:val="none"/>
                <w:lang w:eastAsia="zh-CN"/>
              </w:rPr>
              <w:t>其他</w:t>
            </w:r>
            <w:r>
              <w:rPr>
                <w:rFonts w:hint="eastAsia" w:ascii="宋体" w:hAnsi="宋体" w:cs="仿宋_GB2312"/>
                <w:color w:val="auto"/>
                <w:szCs w:val="21"/>
                <w:highlight w:val="none"/>
                <w:u w:val="none"/>
              </w:rPr>
              <w:t>日志信息不能覆盖安全日志；</w:t>
            </w:r>
          </w:p>
          <w:p w14:paraId="2A730361">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15.支持主动注册客户端功能，设备可以以主动注册方式添加到平台；支持提供主动注册服务，前端相机支持以主动注册方式添加到设备上；</w:t>
            </w:r>
          </w:p>
          <w:p w14:paraId="136B55F4">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16.支持将全景画面中多个感兴趣区域提取成单独细节画面，当区域内有人、车目标经过时对应细节画面随目标跟踪展示；支持iSCSI扩展存储功能，支持iSCSI方式对接IP SAN设备，实现扩容存储；</w:t>
            </w:r>
          </w:p>
          <w:p w14:paraId="2453AEC5">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17.支持接入带有火情检测、冷点检测、热点检测、温度/温差检测、打电话检测、吸烟检测、烟雾检测报警功能的网络摄像机，当触发报警时，可联动录像、抓拍并保存图片、弹出报警画面、声音警告、上传中心、发送邮件、触发报警输出，并按通道、时间、类型检索报警图片，录像搜索结果支持图片和列表2种展现形式；</w:t>
            </w:r>
          </w:p>
          <w:p w14:paraId="05BA77E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18.支持语音对讲，客户端、WEB与NVR之间以及通过NVR与网络摄像机之间进行语音对讲；NVR与网络摄像机之间进行语音对讲；</w:t>
            </w:r>
          </w:p>
          <w:p w14:paraId="2C10E9FE">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19.支持检测视频中异常音频，当出现声音变化幅度过大和干扰信号时，可进行报警提示；</w:t>
            </w:r>
          </w:p>
          <w:p w14:paraId="1A60E146">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20.支持按时间、按事件等多种方式进行录像的检索、回放、备份，支持图片本地回放与查询，支持本机硬盘、网络等存储方式，支持硬盘、外接USB存储设备备份方式，支持设备操作日志、报警日志、系统日志的记录与查询功能；</w:t>
            </w:r>
          </w:p>
          <w:p w14:paraId="59A18F23">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21.支持远程零通道预览功能，可将接入的多路视频图像多画面显示在一路视频图像上，支持盘组管理功能，实现视频录像的定向存储，支持配额管理功能，实现按通道分配不同的录像天数进行存储；</w:t>
            </w:r>
          </w:p>
          <w:p w14:paraId="775A1A32">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22.支持</w:t>
            </w:r>
            <w:r>
              <w:rPr>
                <w:rFonts w:hint="eastAsia" w:ascii="宋体" w:hAnsi="宋体" w:cs="仿宋_GB2312"/>
                <w:color w:val="auto"/>
                <w:szCs w:val="21"/>
                <w:highlight w:val="none"/>
                <w:u w:val="none"/>
                <w:lang w:val="en-US" w:eastAsia="zh-CN"/>
              </w:rPr>
              <w:t>不少于</w:t>
            </w:r>
            <w:r>
              <w:rPr>
                <w:rFonts w:hint="eastAsia" w:ascii="宋体" w:hAnsi="宋体" w:cs="仿宋_GB2312"/>
                <w:color w:val="auto"/>
                <w:szCs w:val="21"/>
                <w:highlight w:val="none"/>
                <w:u w:val="none"/>
              </w:rPr>
              <w:t>20个人脸库，不少于20万张人脸图片；支持前智能分析包括支持≥16路人脸检测前智能，≥16路人脸识别前智能，≥8路视频结构化前智能，≥16路周界前智能性能；</w:t>
            </w:r>
          </w:p>
          <w:p w14:paraId="7ABFE06A">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23.支持设置一个可自定义名称网络报警信号，设备收到该报警信号后可联动录像、抓拍并保持图片、弹出报警画面、声音警告、上传中心、触发报警输出，发送邮件、联动云台轮巡、联动云台预置点、记录日志等等；</w:t>
            </w:r>
          </w:p>
          <w:p w14:paraId="37640CE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24.支持≥2个千兆以太网口，支持2个不同段IP地址的IPC设备接入，支持将双网口设置为同一个IP地址，实现数据链路冗余；</w:t>
            </w:r>
          </w:p>
          <w:p w14:paraId="541F6568">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●25.支持配置导出功能，且支持配置数据加密导出；支持不少于2路H.265编码、25fps、32MP分辨率的拼接摄像机视频实时预览功能；</w:t>
            </w:r>
          </w:p>
          <w:p w14:paraId="0F1EC3C6">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26.支持SmartIPC接入、绊线入侵、区域入侵、场景变化、移动侦测、人脸检测、物品遗留和物品搬移时，可给出报警/联动/上传，同时支持智能动检、人群分布、热度图、人数统计、车牌检测、智能跟踪球；</w:t>
            </w:r>
          </w:p>
          <w:p w14:paraId="073FA33C">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●27.支持单独对算法模型文件进行升级，支持同时选择搜索列表中的多个设备，对IP地址进行批量递增修改；</w:t>
            </w:r>
          </w:p>
          <w:p w14:paraId="6C39F0A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28.支持走廊模式功能，支持IPC画面旋转90°或270°，成9:16走廊模式，支持鱼眼矫正功能，本地和web端在预览和回放模式下，支持对接入鱼眼视频以拼接的方式进行矫正功能</w:t>
            </w:r>
          </w:p>
          <w:p w14:paraId="4621F6FF">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●29.支持用户操作过程中，涉及敏感数据的信令交互，采用数字信封等加密技术或同等效果加密技术后在网络中传输；支持码流采用TLS通道加密技术、AES256加密技术或同等效果加密技术后在网络中传输；</w:t>
            </w:r>
          </w:p>
          <w:p w14:paraId="61012D02">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30.具有接口不少于2个HDMI接口、2个VGA接口、2个RJ45网络接口、2个USB2.0接口、2个USB3.0接口、1个RS232接口、2个RS485接口、1个eSata接口；具有1路音频输入接口、2路音频输出接口，16个报警输入接口、8个报警输出接口；</w:t>
            </w:r>
          </w:p>
          <w:p w14:paraId="0D0186E8">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31.为保证系统兼容性，要求与双目9英寸热成像摄像机同一品牌</w:t>
            </w:r>
            <w:r>
              <w:rPr>
                <w:rFonts w:hint="eastAsia" w:ascii="宋体" w:hAnsi="宋体" w:cs="仿宋_GB2312"/>
                <w:color w:val="auto"/>
                <w:szCs w:val="21"/>
                <w:highlight w:val="none"/>
                <w:u w:val="none"/>
                <w:lang w:val="en-US" w:eastAsia="zh-CN"/>
              </w:rPr>
              <w:t>或在投标文件中提供保证其能完全有效兼容的技术解决方案或其他有效证明材料</w:t>
            </w:r>
            <w:r>
              <w:rPr>
                <w:rFonts w:hint="eastAsia" w:ascii="宋体" w:hAnsi="宋体" w:cs="仿宋_GB2312"/>
                <w:color w:val="auto"/>
                <w:szCs w:val="21"/>
                <w:highlight w:val="none"/>
                <w:u w:val="none"/>
              </w:rPr>
              <w:t>。</w:t>
            </w:r>
          </w:p>
          <w:p w14:paraId="70475D22">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（二）预警监测系统综合管理平台</w:t>
            </w:r>
          </w:p>
          <w:p w14:paraId="076734A2">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1.实现可视监控范围覆盖半径200m铁路沿线内实现24小时入侵检测服务，对越界入侵的行人侦测、分析、后台告警，以防止闲杂人员进入铁路线路，进一步提升铁路沿线治安管控能力，提供弹窗告警功能；</w:t>
            </w:r>
          </w:p>
          <w:p w14:paraId="07AD7B1A">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2.实现异常事件通过现场音柱进行讲话、播报等服务。</w:t>
            </w:r>
          </w:p>
          <w:p w14:paraId="1DEE28BA">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3.实现可视监控范围覆盖半径200m铁路沿线内实现24小时入侵检测服务，对越界入侵的行人侦测、分析、后台告警，以防止闲杂人员进入铁路线路，进一步提升铁路沿线治安管控能力，提供弹窗告警功能。</w:t>
            </w:r>
          </w:p>
          <w:p w14:paraId="0BFC1633">
            <w:pPr>
              <w:spacing w:line="360" w:lineRule="auto"/>
              <w:ind w:firstLine="420" w:firstLineChars="200"/>
              <w:rPr>
                <w:rFonts w:hint="eastAsia" w:ascii="宋体" w:hAnsi="宋体" w:cs="仿宋_GB2312"/>
                <w:color w:val="auto"/>
                <w:szCs w:val="21"/>
                <w:highlight w:val="none"/>
                <w:u w:val="none"/>
              </w:rPr>
            </w:pPr>
            <w:r>
              <w:rPr>
                <w:rFonts w:hint="eastAsia" w:ascii="宋体" w:hAnsi="宋体"/>
                <w:color w:val="auto"/>
                <w:kern w:val="0"/>
                <w:szCs w:val="21"/>
                <w:highlight w:val="none"/>
                <w:u w:val="none"/>
              </w:rPr>
              <w:t>4.实现异常事件通过现场音柱进行讲话、播报等</w:t>
            </w:r>
            <w:r>
              <w:rPr>
                <w:rFonts w:hint="eastAsia" w:ascii="宋体" w:hAnsi="宋体" w:cs="仿宋_GB2312"/>
                <w:color w:val="auto"/>
                <w:szCs w:val="21"/>
                <w:highlight w:val="none"/>
                <w:u w:val="none"/>
              </w:rPr>
              <w:t>。</w:t>
            </w:r>
          </w:p>
          <w:p w14:paraId="648EDFF0">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5.可</w:t>
            </w:r>
            <w:r>
              <w:rPr>
                <w:rFonts w:hint="eastAsia" w:ascii="宋体" w:hAnsi="宋体" w:cs="Times New Roman"/>
                <w:color w:val="auto"/>
                <w:kern w:val="0"/>
                <w:szCs w:val="21"/>
                <w:highlight w:val="none"/>
                <w:u w:val="none"/>
              </w:rPr>
              <w:t>基于《</w:t>
            </w:r>
            <w:r>
              <w:rPr>
                <w:rFonts w:hint="eastAsia" w:ascii="宋体" w:hAnsi="宋体" w:eastAsia="宋体" w:cs="Times New Roman"/>
                <w:b w:val="0"/>
                <w:bCs w:val="0"/>
                <w:color w:val="auto"/>
                <w:kern w:val="0"/>
                <w:szCs w:val="21"/>
                <w:highlight w:val="none"/>
                <w:u w:val="none"/>
                <w:shd w:val="clear"/>
              </w:rPr>
              <w:fldChar w:fldCharType="begin"/>
            </w:r>
            <w:r>
              <w:rPr>
                <w:rFonts w:hint="eastAsia" w:ascii="宋体" w:hAnsi="宋体" w:eastAsia="宋体" w:cs="Times New Roman"/>
                <w:b w:val="0"/>
                <w:bCs w:val="0"/>
                <w:color w:val="auto"/>
                <w:kern w:val="0"/>
                <w:szCs w:val="21"/>
                <w:highlight w:val="none"/>
                <w:u w:val="none"/>
                <w:shd w:val="clear"/>
              </w:rPr>
              <w:instrText xml:space="preserve"> HYPERLINK "javascript:void(0)" </w:instrText>
            </w:r>
            <w:r>
              <w:rPr>
                <w:rFonts w:hint="eastAsia" w:ascii="宋体" w:hAnsi="宋体" w:eastAsia="宋体" w:cs="Times New Roman"/>
                <w:b w:val="0"/>
                <w:bCs w:val="0"/>
                <w:color w:val="auto"/>
                <w:kern w:val="0"/>
                <w:szCs w:val="21"/>
                <w:highlight w:val="none"/>
                <w:u w:val="none"/>
                <w:shd w:val="clear"/>
              </w:rPr>
              <w:fldChar w:fldCharType="separate"/>
            </w:r>
            <w:r>
              <w:rPr>
                <w:rFonts w:hint="eastAsia" w:ascii="宋体" w:hAnsi="宋体" w:eastAsia="宋体" w:cs="Times New Roman"/>
                <w:b w:val="0"/>
                <w:bCs w:val="0"/>
                <w:color w:val="auto"/>
                <w:kern w:val="0"/>
                <w:szCs w:val="21"/>
                <w:highlight w:val="none"/>
                <w:u w:val="none"/>
                <w:shd w:val="clear"/>
              </w:rPr>
              <w:t>公共安全视频监控联网系统信息传输、交换、控制技术要求</w:t>
            </w:r>
            <w:r>
              <w:rPr>
                <w:rFonts w:hint="eastAsia" w:ascii="宋体" w:hAnsi="宋体" w:eastAsia="宋体" w:cs="Times New Roman"/>
                <w:b w:val="0"/>
                <w:bCs w:val="0"/>
                <w:color w:val="auto"/>
                <w:kern w:val="0"/>
                <w:szCs w:val="21"/>
                <w:highlight w:val="none"/>
                <w:u w:val="none"/>
                <w:shd w:val="clear"/>
              </w:rPr>
              <w:fldChar w:fldCharType="end"/>
            </w:r>
            <w:r>
              <w:rPr>
                <w:rFonts w:hint="eastAsia" w:ascii="宋体" w:hAnsi="宋体" w:cs="Times New Roman"/>
                <w:b w:val="0"/>
                <w:bCs w:val="0"/>
                <w:color w:val="auto"/>
                <w:kern w:val="0"/>
                <w:szCs w:val="21"/>
                <w:highlight w:val="none"/>
                <w:u w:val="none"/>
                <w:shd w:val="clear"/>
              </w:rPr>
              <w:t>》（</w:t>
            </w:r>
            <w:r>
              <w:rPr>
                <w:rFonts w:hint="eastAsia" w:ascii="宋体" w:hAnsi="宋体" w:cs="Times New Roman"/>
                <w:color w:val="auto"/>
                <w:kern w:val="0"/>
                <w:szCs w:val="21"/>
                <w:highlight w:val="none"/>
                <w:u w:val="none"/>
              </w:rPr>
              <w:t>GB/T 28181-2022</w:t>
            </w:r>
            <w:r>
              <w:rPr>
                <w:rFonts w:hint="eastAsia" w:ascii="宋体" w:hAnsi="宋体" w:cs="Times New Roman"/>
                <w:b w:val="0"/>
                <w:bCs w:val="0"/>
                <w:color w:val="auto"/>
                <w:kern w:val="0"/>
                <w:szCs w:val="21"/>
                <w:highlight w:val="none"/>
                <w:u w:val="none"/>
                <w:shd w:val="clear"/>
              </w:rPr>
              <w:t>）</w:t>
            </w:r>
            <w:r>
              <w:rPr>
                <w:rFonts w:hint="eastAsia" w:ascii="宋体" w:hAnsi="宋体" w:cs="Times New Roman"/>
                <w:color w:val="auto"/>
                <w:kern w:val="0"/>
                <w:szCs w:val="21"/>
                <w:highlight w:val="none"/>
                <w:u w:val="none"/>
              </w:rPr>
              <w:t>等</w:t>
            </w:r>
            <w:r>
              <w:rPr>
                <w:rFonts w:hint="eastAsia" w:ascii="宋体" w:hAnsi="宋体" w:cs="仿宋_GB2312"/>
                <w:color w:val="auto"/>
                <w:szCs w:val="21"/>
                <w:highlight w:val="none"/>
                <w:u w:val="none"/>
              </w:rPr>
              <w:t>联网标准实现视频监控平台间的级联、互联功能，支持多平台多层次级联，实现平台之间的跨域互联互通与资源共享。</w:t>
            </w:r>
          </w:p>
          <w:p w14:paraId="3427D337">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6.角色权限管理配置</w:t>
            </w:r>
          </w:p>
          <w:p w14:paraId="1231A862">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6.1角色增、删、改、查：支持角色的添加、删除、修改和查询功能；</w:t>
            </w:r>
          </w:p>
          <w:p w14:paraId="109F3382">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6.2角色有效期管理：支持角色有效期的设置，支持永久生效和按日期设置，到期的角色不可登录；</w:t>
            </w:r>
          </w:p>
          <w:p w14:paraId="7C54C289">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6.3角色配置功能：支持配置角色的设备权限、菜单权限、角色的基本信息；</w:t>
            </w:r>
          </w:p>
          <w:p w14:paraId="40E7F362">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7.业务端角色管理</w:t>
            </w:r>
          </w:p>
          <w:p w14:paraId="0DC27DAA">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7.1支持业务端菜单级的权限控制；</w:t>
            </w:r>
          </w:p>
          <w:p w14:paraId="02389A84">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7.2用户增、删、改、查功能：支持创建用户、删除用户、修改用户信息、查看用户信息和用户列表，支持批量删除用户；</w:t>
            </w:r>
          </w:p>
          <w:p w14:paraId="574DBF64">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7.3用户配置功能：支持对用户配置对应的角色，并可查看角色所对应的设备权限和菜单权限</w:t>
            </w:r>
          </w:p>
          <w:p w14:paraId="2DCB71B6">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7.4用户锁定功能：支持冻结和解锁用户，冻结的用户不可登录；</w:t>
            </w:r>
          </w:p>
          <w:p w14:paraId="4CEA29B3">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7.5用户复用功能：支持用户复用，同个用户可以同时被不同客户端复用登录，操作平台。</w:t>
            </w:r>
          </w:p>
          <w:p w14:paraId="6C9F3143">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w:t>
            </w:r>
            <w:r>
              <w:rPr>
                <w:rFonts w:hint="eastAsia" w:ascii="宋体" w:hAnsi="宋体" w:cs="仿宋_GB2312"/>
                <w:color w:val="auto"/>
                <w:szCs w:val="21"/>
                <w:highlight w:val="none"/>
                <w:u w:val="none"/>
                <w:lang w:val="en-US" w:eastAsia="zh-CN"/>
              </w:rPr>
              <w:t>.</w:t>
            </w:r>
            <w:r>
              <w:rPr>
                <w:rFonts w:hint="eastAsia" w:ascii="宋体" w:hAnsi="宋体" w:cs="仿宋_GB2312"/>
                <w:color w:val="auto"/>
                <w:szCs w:val="21"/>
                <w:highlight w:val="none"/>
                <w:u w:val="none"/>
              </w:rPr>
              <w:t>接入管理</w:t>
            </w:r>
          </w:p>
          <w:p w14:paraId="1575CF0B">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8.1国标接入：支持国标设备接入：编码器，实时预览、回放、云台控制；</w:t>
            </w:r>
          </w:p>
          <w:p w14:paraId="296A9964">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8.2海康SDK接入：支持海康设备私有接入，含海康主动注册：编码器，实时预览、回放、云台控制；</w:t>
            </w:r>
          </w:p>
          <w:p w14:paraId="3CE945B2">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8.3大华协议接入：支持大华设备以私有接入方式接入，含大华卡口：编码器、解码器、卡口设备等，实时预览、回放、云台控制、语音；</w:t>
            </w:r>
          </w:p>
          <w:p w14:paraId="0048F7D8">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8.4 onvif接入：支持onvif设备接入：编码器，实时预览、回放、云台控制；</w:t>
            </w:r>
          </w:p>
          <w:p w14:paraId="442DB4D5">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8.5，支持设备录像回放转rtmp码流输出；国际协议级联上来的设备，支持提供HLS码流；内部级联上来的设备，支持提供HLS码流；</w:t>
            </w:r>
          </w:p>
          <w:p w14:paraId="0F2A768D">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8.6实时预览转HLS码流输出：支持设备（海康、大华、乐橙、宇视等）接入码流类型转换；国际协议级联上来的设备，支持提供HLS码流；内部级联上来的设备，支持提供HLS码流；</w:t>
            </w:r>
          </w:p>
          <w:p w14:paraId="59E237CE">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8.7录像回放转HLS码流输出：支持中心存储和设备存储（乐橙、海康、大华等）时，设备接入码流类型转换。</w:t>
            </w:r>
          </w:p>
          <w:p w14:paraId="4259FB9D">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9.其他功能</w:t>
            </w:r>
          </w:p>
          <w:p w14:paraId="5C8F8775">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9.1查询功能：支持按照时间、用户名和关键字过滤查询功能并导出；</w:t>
            </w:r>
          </w:p>
          <w:p w14:paraId="4CDA712A">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9.2业务端：bc融合业务端迁移客户端重点业务功能全部上B端，包括：实时视频、录像回放、下载中心、事件中心、视频上墙、电子地图、视频联动。</w:t>
            </w:r>
          </w:p>
          <w:p w14:paraId="2C483916">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9.3设备数排序：支持按照通道名升序</w:t>
            </w:r>
            <w:r>
              <w:rPr>
                <w:rFonts w:hint="eastAsia" w:ascii="宋体" w:hAnsi="宋体" w:cs="仿宋_GB2312"/>
                <w:color w:val="auto"/>
                <w:szCs w:val="21"/>
                <w:highlight w:val="none"/>
                <w:u w:val="none"/>
                <w:lang w:eastAsia="zh-CN"/>
              </w:rPr>
              <w:t>、</w:t>
            </w:r>
            <w:r>
              <w:rPr>
                <w:rFonts w:hint="eastAsia" w:ascii="宋体" w:hAnsi="宋体" w:cs="仿宋_GB2312"/>
                <w:color w:val="auto"/>
                <w:szCs w:val="21"/>
                <w:highlight w:val="none"/>
                <w:u w:val="none"/>
              </w:rPr>
              <w:t>降序</w:t>
            </w:r>
            <w:r>
              <w:rPr>
                <w:rFonts w:hint="eastAsia" w:ascii="宋体" w:hAnsi="宋体" w:cs="仿宋_GB2312"/>
                <w:color w:val="auto"/>
                <w:szCs w:val="21"/>
                <w:highlight w:val="none"/>
                <w:u w:val="none"/>
                <w:lang w:eastAsia="zh-CN"/>
              </w:rPr>
              <w:t>、</w:t>
            </w:r>
            <w:r>
              <w:rPr>
                <w:rFonts w:hint="eastAsia" w:ascii="宋体" w:hAnsi="宋体" w:cs="仿宋_GB2312"/>
                <w:color w:val="auto"/>
                <w:szCs w:val="21"/>
                <w:highlight w:val="none"/>
                <w:u w:val="none"/>
              </w:rPr>
              <w:t>默认排序，默认排序按设备添加先后顺序显示；</w:t>
            </w:r>
          </w:p>
          <w:p w14:paraId="54A7C8AB">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9.4设备在线过滤：支持通过右键根节点仅显示在线设备，或仅显示离线设备；</w:t>
            </w:r>
          </w:p>
          <w:p w14:paraId="7E68EF36">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9.5地图定位：支持从设备树的通道快速定位到地图；</w:t>
            </w:r>
          </w:p>
          <w:p w14:paraId="1881139C">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9.6模糊检索功能：支持对平台的设备数上的组织节点、设备、通道进行模糊搜索支持空格和逗号组合检索；</w:t>
            </w:r>
          </w:p>
          <w:p w14:paraId="5CD15318">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9.7收藏夹增删改查：支持增加、删除收藏夹和收藏夹重命名；</w:t>
            </w:r>
          </w:p>
          <w:p w14:paraId="063CADD1">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9.8轮巡任务配置：支持轮巡任务的添加、修改及删除；支持按照轮巡任务、轮巡组名称检索（支持模糊）轮巡任务；支持批量删除轮巡任务</w:t>
            </w:r>
          </w:p>
          <w:p w14:paraId="189AA486">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9.9即时回放：支持直播切换成即时回放，通过时间轴拖动定位，回放任意时间的录像文件；</w:t>
            </w:r>
          </w:p>
          <w:p w14:paraId="1FF1BC38">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9.10画面调节：支持调节色调、饱和度、对比度、亮度；</w:t>
            </w:r>
          </w:p>
          <w:p w14:paraId="35FBCDC5">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9.11主辅流切换：支持主辅流切换播放；</w:t>
            </w:r>
          </w:p>
          <w:p w14:paraId="38B06149">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9.12录像倍速播放：支持倍速快放及倍速慢放；</w:t>
            </w:r>
          </w:p>
          <w:p w14:paraId="7DC75DAA">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9.13上墙支持开窗：开窗控制；</w:t>
            </w:r>
          </w:p>
          <w:p w14:paraId="6CB4D047">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9.14上墙单屏放大功能：支持单屏放大、还原；</w:t>
            </w:r>
          </w:p>
          <w:p w14:paraId="2B45E791">
            <w:pPr>
              <w:spacing w:line="360" w:lineRule="auto"/>
              <w:ind w:firstLine="420" w:firstLineChars="200"/>
              <w:rPr>
                <w:rFonts w:hint="eastAsia" w:ascii="宋体" w:hAnsi="宋体" w:cs="仿宋_GB2312"/>
                <w:color w:val="auto"/>
                <w:szCs w:val="21"/>
                <w:highlight w:val="none"/>
                <w:u w:val="none"/>
              </w:rPr>
            </w:pPr>
            <w:r>
              <w:rPr>
                <w:rFonts w:hint="eastAsia" w:ascii="宋体" w:hAnsi="宋体" w:cs="仿宋_GB2312"/>
                <w:color w:val="auto"/>
                <w:szCs w:val="21"/>
                <w:highlight w:val="none"/>
                <w:u w:val="none"/>
              </w:rPr>
              <w:t>9.15实时报警详细信息：支持报警详情查看：报警子类、报警等级、报警图片、报警时间、报警地点在平台展示；</w:t>
            </w:r>
          </w:p>
          <w:p w14:paraId="0D307942">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（三）监控平台设备国产化设备性能要求</w:t>
            </w:r>
          </w:p>
          <w:p w14:paraId="14921069">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在百色工务段提供2套国产化监控平台设备，性能不低于如下要求：</w:t>
            </w:r>
          </w:p>
          <w:p w14:paraId="3CA0230B">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1.CPU：参照或相当于飞腾D2000 8核2.3GHZ；</w:t>
            </w:r>
          </w:p>
          <w:p w14:paraId="59EEE4AE">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2.内存：16GB DDR4；</w:t>
            </w:r>
          </w:p>
          <w:p w14:paraId="3F81CC29">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3.存储：256GB NVME M.2 SSD；</w:t>
            </w:r>
          </w:p>
          <w:p w14:paraId="0D14C2B6">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4.独立显卡：AMD R7 340 1GB缓存；</w:t>
            </w:r>
          </w:p>
          <w:p w14:paraId="5CBD1814">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5.操作系统：预装试用版银河麒麟V10 SP1；</w:t>
            </w:r>
          </w:p>
          <w:p w14:paraId="6067E014">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6.显示器：不小于23.8英寸。</w:t>
            </w:r>
          </w:p>
          <w:p w14:paraId="4EB15607">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▲（四）视频数据接入存储服务及平台使用服务要求</w:t>
            </w:r>
          </w:p>
          <w:p w14:paraId="5A71C037">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1.提供通过NVR接入前端视频的服务；</w:t>
            </w:r>
          </w:p>
          <w:p w14:paraId="5EC01BA9">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2.提供监控平台使用服务；</w:t>
            </w:r>
          </w:p>
          <w:p w14:paraId="50317C7B">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3.提供不少于30天视频数据存储服务；</w:t>
            </w:r>
          </w:p>
          <w:p w14:paraId="63DE40A5">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4.提供视频管理平台历史视频录像调用服务。</w:t>
            </w:r>
          </w:p>
          <w:p w14:paraId="43688257">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（五）配套施工服务</w:t>
            </w:r>
          </w:p>
          <w:p w14:paraId="7F0BC5BB">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配套服务包含设备安装调试服务、设计及监理等，包括但不限于：</w:t>
            </w:r>
          </w:p>
          <w:p w14:paraId="77EFE2BA">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1.提供杆塔基础设施改造服务；</w:t>
            </w:r>
          </w:p>
          <w:p w14:paraId="3251A1ED">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2.提供施工质量保障服务，含设计、监理等服务；</w:t>
            </w:r>
          </w:p>
          <w:p w14:paraId="3A26A4C3">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3.提供设备安装服务，含设备运输、施工、安装辅材、安装调试服务。</w:t>
            </w:r>
          </w:p>
          <w:p w14:paraId="47AC29C2">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▲四、运行保障服务及运维技术服务</w:t>
            </w:r>
          </w:p>
          <w:p w14:paraId="05FFCB4B">
            <w:pPr>
              <w:adjustRightInd w:val="0"/>
              <w:snapToGrid w:val="0"/>
              <w:spacing w:line="360" w:lineRule="auto"/>
              <w:ind w:firstLine="420" w:firstLineChars="200"/>
              <w:rPr>
                <w:rFonts w:hint="eastAsia" w:ascii="宋体" w:hAnsi="宋体"/>
                <w:color w:val="auto"/>
                <w:kern w:val="0"/>
                <w:szCs w:val="21"/>
                <w:highlight w:val="none"/>
                <w:u w:val="none"/>
                <w:lang w:val="en-US" w:eastAsia="zh-CN"/>
              </w:rPr>
            </w:pPr>
            <w:r>
              <w:rPr>
                <w:rFonts w:hint="eastAsia" w:ascii="宋体" w:hAnsi="宋体"/>
                <w:color w:val="auto"/>
                <w:kern w:val="0"/>
                <w:szCs w:val="21"/>
                <w:highlight w:val="none"/>
                <w:u w:val="none"/>
              </w:rPr>
              <w:t>（一）提供设备挂载、电力、网络服务及运维服务</w:t>
            </w:r>
            <w:r>
              <w:rPr>
                <w:rFonts w:hint="eastAsia" w:ascii="宋体" w:hAnsi="宋体"/>
                <w:color w:val="auto"/>
                <w:kern w:val="0"/>
                <w:szCs w:val="21"/>
                <w:highlight w:val="none"/>
                <w:u w:val="none"/>
                <w:lang w:eastAsia="zh-CN"/>
              </w:rPr>
              <w:t>，</w:t>
            </w:r>
            <w:r>
              <w:rPr>
                <w:rFonts w:hint="eastAsia" w:ascii="宋体" w:hAnsi="宋体"/>
                <w:color w:val="auto"/>
                <w:kern w:val="0"/>
                <w:szCs w:val="21"/>
                <w:highlight w:val="none"/>
                <w:u w:val="none"/>
                <w:lang w:val="en-US" w:eastAsia="zh-CN"/>
              </w:rPr>
              <w:t>服务期如下：</w:t>
            </w:r>
          </w:p>
          <w:p w14:paraId="7B904F04">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lang w:val="en-US" w:eastAsia="zh-CN"/>
              </w:rPr>
              <w:t>1.</w:t>
            </w:r>
            <w:r>
              <w:rPr>
                <w:rFonts w:hint="eastAsia" w:ascii="宋体" w:hAnsi="宋体"/>
                <w:color w:val="auto"/>
                <w:kern w:val="0"/>
                <w:szCs w:val="21"/>
                <w:highlight w:val="none"/>
                <w:u w:val="none"/>
              </w:rPr>
              <w:t>“一升四建租赁项目”和“五期新建租赁项目”服务期为36个月</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自验收合格之日起计</w:t>
            </w:r>
            <w:r>
              <w:rPr>
                <w:rFonts w:hint="eastAsia" w:ascii="宋体" w:hAnsi="宋体"/>
                <w:color w:val="auto"/>
                <w:szCs w:val="21"/>
                <w:highlight w:val="none"/>
                <w:u w:val="none"/>
                <w:lang w:eastAsia="zh-CN"/>
              </w:rPr>
              <w:t>）</w:t>
            </w:r>
            <w:r>
              <w:rPr>
                <w:rFonts w:hint="eastAsia" w:ascii="宋体" w:hAnsi="宋体"/>
                <w:color w:val="auto"/>
                <w:kern w:val="0"/>
                <w:szCs w:val="21"/>
                <w:highlight w:val="none"/>
                <w:u w:val="none"/>
              </w:rPr>
              <w:t>，即3年；</w:t>
            </w:r>
            <w:r>
              <w:rPr>
                <w:rFonts w:hint="eastAsia" w:ascii="宋体" w:hAnsi="宋体"/>
                <w:color w:val="auto"/>
                <w:kern w:val="0"/>
                <w:szCs w:val="21"/>
                <w:highlight w:val="none"/>
                <w:u w:val="none"/>
              </w:rPr>
              <w:br w:type="textWrapping"/>
            </w:r>
            <w:r>
              <w:rPr>
                <w:rFonts w:hint="eastAsia" w:ascii="宋体" w:hAnsi="宋体"/>
                <w:color w:val="auto"/>
                <w:kern w:val="0"/>
                <w:szCs w:val="21"/>
                <w:highlight w:val="none"/>
                <w:u w:val="none"/>
                <w:lang w:val="en-US" w:eastAsia="zh-CN"/>
              </w:rPr>
              <w:t xml:space="preserve">    2.</w:t>
            </w:r>
            <w:r>
              <w:rPr>
                <w:rFonts w:hint="eastAsia" w:ascii="宋体" w:hAnsi="宋体"/>
                <w:color w:val="auto"/>
                <w:kern w:val="0"/>
                <w:szCs w:val="21"/>
                <w:highlight w:val="none"/>
                <w:u w:val="none"/>
              </w:rPr>
              <w:t>“二、三期租赁项目”中，二期项目服务期24个月</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自验收合格之日起计</w:t>
            </w:r>
            <w:r>
              <w:rPr>
                <w:rFonts w:hint="eastAsia" w:ascii="宋体" w:hAnsi="宋体"/>
                <w:color w:val="auto"/>
                <w:szCs w:val="21"/>
                <w:highlight w:val="none"/>
                <w:u w:val="none"/>
                <w:lang w:eastAsia="zh-CN"/>
              </w:rPr>
              <w:t>）</w:t>
            </w:r>
            <w:r>
              <w:rPr>
                <w:rFonts w:hint="eastAsia" w:ascii="宋体" w:hAnsi="宋体"/>
                <w:color w:val="auto"/>
                <w:kern w:val="0"/>
                <w:szCs w:val="21"/>
                <w:highlight w:val="none"/>
                <w:u w:val="none"/>
                <w:lang w:eastAsia="zh-CN"/>
              </w:rPr>
              <w:t>；</w:t>
            </w:r>
            <w:r>
              <w:rPr>
                <w:rFonts w:hint="eastAsia" w:ascii="宋体" w:hAnsi="宋体"/>
                <w:color w:val="auto"/>
                <w:kern w:val="0"/>
                <w:szCs w:val="21"/>
                <w:highlight w:val="none"/>
                <w:u w:val="none"/>
              </w:rPr>
              <w:t>三期项目服务期19个月</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自验收合格之日起计</w:t>
            </w:r>
            <w:r>
              <w:rPr>
                <w:rFonts w:hint="eastAsia" w:ascii="宋体" w:hAnsi="宋体"/>
                <w:color w:val="auto"/>
                <w:szCs w:val="21"/>
                <w:highlight w:val="none"/>
                <w:u w:val="none"/>
                <w:lang w:eastAsia="zh-CN"/>
              </w:rPr>
              <w:t>）</w:t>
            </w:r>
            <w:r>
              <w:rPr>
                <w:rFonts w:hint="eastAsia" w:ascii="宋体" w:hAnsi="宋体"/>
                <w:color w:val="auto"/>
                <w:kern w:val="0"/>
                <w:szCs w:val="21"/>
                <w:highlight w:val="none"/>
                <w:u w:val="none"/>
              </w:rPr>
              <w:t>。</w:t>
            </w:r>
          </w:p>
          <w:p w14:paraId="29F217D6">
            <w:pPr>
              <w:adjustRightInd w:val="0"/>
              <w:snapToGrid w:val="0"/>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（二）交钥匙模式的专业技术服务。</w:t>
            </w:r>
          </w:p>
          <w:p w14:paraId="1E362821">
            <w:pPr>
              <w:spacing w:line="360" w:lineRule="auto"/>
              <w:ind w:firstLine="420" w:firstLineChars="200"/>
              <w:rPr>
                <w:rFonts w:hint="eastAsia" w:ascii="宋体" w:hAnsi="宋体"/>
                <w:color w:val="auto"/>
                <w:kern w:val="0"/>
                <w:szCs w:val="21"/>
                <w:highlight w:val="none"/>
                <w:u w:val="none"/>
              </w:rPr>
            </w:pPr>
            <w:r>
              <w:rPr>
                <w:rFonts w:hint="eastAsia" w:ascii="宋体" w:hAnsi="宋体"/>
                <w:color w:val="auto"/>
                <w:kern w:val="0"/>
                <w:szCs w:val="21"/>
                <w:highlight w:val="none"/>
                <w:u w:val="none"/>
              </w:rPr>
              <w:t>（三）拓扑更新、实施维护文档交付服务。</w:t>
            </w:r>
          </w:p>
        </w:tc>
      </w:tr>
      <w:tr w14:paraId="4E061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tcBorders>
              <w:top w:val="single" w:color="auto" w:sz="4" w:space="0"/>
              <w:left w:val="single" w:color="auto" w:sz="4" w:space="0"/>
              <w:bottom w:val="single" w:color="auto" w:sz="4" w:space="0"/>
              <w:right w:val="single" w:color="auto" w:sz="4" w:space="0"/>
            </w:tcBorders>
            <w:vAlign w:val="center"/>
          </w:tcPr>
          <w:p w14:paraId="0DFB4562">
            <w:pPr>
              <w:tabs>
                <w:tab w:val="left" w:pos="840"/>
              </w:tabs>
              <w:spacing w:line="360" w:lineRule="auto"/>
              <w:jc w:val="center"/>
              <w:rPr>
                <w:rFonts w:hint="eastAsia" w:ascii="宋体" w:hAnsi="宋体" w:cs="宋体"/>
                <w:color w:val="auto"/>
                <w:szCs w:val="21"/>
                <w:highlight w:val="none"/>
                <w:u w:val="none"/>
              </w:rPr>
            </w:pPr>
            <w:r>
              <w:rPr>
                <w:rFonts w:hint="eastAsia" w:ascii="宋体" w:hAnsi="宋体"/>
                <w:color w:val="auto"/>
                <w:kern w:val="0"/>
                <w:szCs w:val="21"/>
                <w:highlight w:val="none"/>
                <w:u w:val="none"/>
              </w:rPr>
              <w:t>▲</w:t>
            </w:r>
            <w:r>
              <w:rPr>
                <w:rFonts w:hint="eastAsia" w:ascii="宋体" w:hAnsi="宋体" w:cs="宋体"/>
                <w:b/>
                <w:bCs/>
                <w:color w:val="auto"/>
                <w:szCs w:val="21"/>
                <w:highlight w:val="none"/>
                <w:u w:val="none"/>
              </w:rPr>
              <w:t>商务条款</w:t>
            </w:r>
          </w:p>
        </w:tc>
        <w:tc>
          <w:tcPr>
            <w:tcW w:w="9576" w:type="dxa"/>
            <w:gridSpan w:val="4"/>
            <w:tcBorders>
              <w:top w:val="single" w:color="auto" w:sz="4" w:space="0"/>
              <w:left w:val="single" w:color="auto" w:sz="4" w:space="0"/>
              <w:bottom w:val="single" w:color="auto" w:sz="4" w:space="0"/>
              <w:right w:val="single" w:color="auto" w:sz="4" w:space="0"/>
            </w:tcBorders>
            <w:vAlign w:val="center"/>
          </w:tcPr>
          <w:p w14:paraId="6FA57A6E">
            <w:pPr>
              <w:numPr>
                <w:ilvl w:val="0"/>
                <w:numId w:val="0"/>
              </w:numPr>
              <w:spacing w:line="360" w:lineRule="auto"/>
              <w:rPr>
                <w:rFonts w:hint="eastAsia" w:ascii="宋体" w:hAnsi="宋体" w:cs="宋体"/>
                <w:color w:val="auto"/>
                <w:highlight w:val="none"/>
                <w:u w:val="none"/>
              </w:rPr>
            </w:pPr>
            <w:r>
              <w:rPr>
                <w:rFonts w:hint="eastAsia" w:ascii="宋体" w:hAnsi="宋体" w:cs="宋体"/>
                <w:b/>
                <w:bCs/>
                <w:color w:val="auto"/>
                <w:highlight w:val="none"/>
                <w:u w:val="none"/>
                <w:lang w:val="en-US" w:eastAsia="zh-CN"/>
              </w:rPr>
              <w:t>一、</w:t>
            </w:r>
            <w:r>
              <w:rPr>
                <w:rFonts w:hint="eastAsia" w:ascii="宋体" w:hAnsi="宋体" w:cs="宋体"/>
                <w:b/>
                <w:bCs/>
                <w:color w:val="auto"/>
                <w:highlight w:val="none"/>
                <w:u w:val="none"/>
              </w:rPr>
              <w:t>合同签订期</w:t>
            </w:r>
          </w:p>
          <w:p w14:paraId="21A4ACF7">
            <w:pPr>
              <w:spacing w:line="360" w:lineRule="auto"/>
              <w:ind w:firstLine="420" w:firstLineChars="200"/>
              <w:rPr>
                <w:rFonts w:hint="eastAsia" w:ascii="宋体" w:hAnsi="宋体" w:cs="宋体"/>
                <w:color w:val="auto"/>
                <w:highlight w:val="none"/>
                <w:u w:val="none"/>
              </w:rPr>
            </w:pPr>
            <w:r>
              <w:rPr>
                <w:rFonts w:hint="eastAsia" w:ascii="宋体" w:hAnsi="宋体" w:cs="宋体"/>
                <w:color w:val="auto"/>
                <w:szCs w:val="21"/>
                <w:highlight w:val="none"/>
                <w:u w:val="none"/>
              </w:rPr>
              <w:t>自中标通知书发出之日起 25 日内</w:t>
            </w:r>
            <w:r>
              <w:rPr>
                <w:rFonts w:hint="eastAsia" w:ascii="宋体" w:hAnsi="宋体" w:cs="宋体"/>
                <w:color w:val="auto"/>
                <w:highlight w:val="none"/>
                <w:u w:val="none"/>
              </w:rPr>
              <w:t>。</w:t>
            </w:r>
          </w:p>
          <w:p w14:paraId="47D51688">
            <w:pPr>
              <w:spacing w:line="360" w:lineRule="auto"/>
              <w:rPr>
                <w:rFonts w:hint="eastAsia" w:ascii="宋体" w:hAnsi="宋体" w:cs="宋体"/>
                <w:color w:val="auto"/>
                <w:highlight w:val="none"/>
                <w:u w:val="none"/>
              </w:rPr>
            </w:pPr>
          </w:p>
          <w:p w14:paraId="14686FA6">
            <w:pPr>
              <w:spacing w:line="360" w:lineRule="auto"/>
              <w:ind w:left="422" w:hanging="422" w:hangingChars="200"/>
              <w:rPr>
                <w:rFonts w:hint="eastAsia" w:ascii="宋体" w:hAnsi="宋体" w:cs="宋体"/>
                <w:color w:val="auto"/>
                <w:highlight w:val="none"/>
                <w:u w:val="none"/>
              </w:rPr>
            </w:pPr>
            <w:r>
              <w:rPr>
                <w:rFonts w:hint="eastAsia" w:ascii="宋体" w:hAnsi="宋体" w:cs="宋体"/>
                <w:b/>
                <w:bCs/>
                <w:color w:val="auto"/>
                <w:highlight w:val="none"/>
                <w:u w:val="none"/>
              </w:rPr>
              <w:t>二、</w:t>
            </w:r>
            <w:r>
              <w:rPr>
                <w:rFonts w:ascii="宋体" w:hAnsi="宋体"/>
                <w:b/>
                <w:bCs/>
                <w:color w:val="auto"/>
                <w:szCs w:val="21"/>
                <w:highlight w:val="none"/>
                <w:u w:val="none"/>
              </w:rPr>
              <w:t>起租交付、服务期及服务地点</w:t>
            </w:r>
            <w:r>
              <w:rPr>
                <w:rFonts w:hint="eastAsia" w:ascii="宋体" w:hAnsi="宋体" w:cs="宋体"/>
                <w:color w:val="auto"/>
                <w:highlight w:val="none"/>
                <w:u w:val="none"/>
              </w:rPr>
              <w:br w:type="textWrapping"/>
            </w:r>
            <w:r>
              <w:rPr>
                <w:rFonts w:hint="eastAsia" w:ascii="宋体" w:hAnsi="宋体" w:cs="宋体"/>
                <w:color w:val="auto"/>
                <w:highlight w:val="none"/>
                <w:u w:val="none"/>
              </w:rPr>
              <w:t>1.起租交付时间：项目在合同生效后60天内安装完毕，达到验收及交付起租标准。</w:t>
            </w:r>
          </w:p>
          <w:p w14:paraId="5BD2F826">
            <w:pPr>
              <w:spacing w:line="360" w:lineRule="auto"/>
              <w:ind w:firstLine="420" w:firstLineChars="200"/>
              <w:rPr>
                <w:rFonts w:hint="eastAsia" w:ascii="宋体" w:hAnsi="宋体" w:cs="宋体"/>
                <w:color w:val="auto"/>
                <w:highlight w:val="none"/>
                <w:u w:val="none"/>
              </w:rPr>
            </w:pPr>
            <w:r>
              <w:rPr>
                <w:rFonts w:hint="eastAsia" w:ascii="宋体" w:hAnsi="宋体" w:cs="宋体"/>
                <w:color w:val="auto"/>
                <w:highlight w:val="none"/>
                <w:u w:val="none"/>
              </w:rPr>
              <w:t>2.服务期：</w:t>
            </w:r>
          </w:p>
          <w:p w14:paraId="457ADB0C">
            <w:pPr>
              <w:spacing w:line="360" w:lineRule="auto"/>
              <w:ind w:firstLine="420" w:firstLineChars="200"/>
              <w:rPr>
                <w:rFonts w:hint="eastAsia" w:ascii="宋体" w:hAnsi="宋体" w:cs="宋体"/>
                <w:color w:val="auto"/>
                <w:highlight w:val="none"/>
                <w:u w:val="none"/>
              </w:rPr>
            </w:pPr>
            <w:r>
              <w:rPr>
                <w:rFonts w:hint="eastAsia" w:ascii="宋体" w:hAnsi="宋体" w:cs="宋体"/>
                <w:color w:val="auto"/>
                <w:highlight w:val="none"/>
                <w:u w:val="none"/>
              </w:rPr>
              <w:t>（1）“一升四建租赁项目”及“五期新建租赁项目”服务期为36个月</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自验收合格之日起计</w:t>
            </w:r>
            <w:r>
              <w:rPr>
                <w:rFonts w:hint="eastAsia" w:ascii="宋体" w:hAnsi="宋体"/>
                <w:color w:val="auto"/>
                <w:szCs w:val="21"/>
                <w:highlight w:val="none"/>
                <w:u w:val="none"/>
                <w:lang w:eastAsia="zh-CN"/>
              </w:rPr>
              <w:t>）</w:t>
            </w:r>
            <w:r>
              <w:rPr>
                <w:rFonts w:hint="eastAsia" w:ascii="宋体" w:hAnsi="宋体" w:cs="宋体"/>
                <w:color w:val="auto"/>
                <w:highlight w:val="none"/>
                <w:u w:val="none"/>
              </w:rPr>
              <w:t>，即3年；</w:t>
            </w:r>
          </w:p>
          <w:p w14:paraId="6FB42E07">
            <w:pPr>
              <w:spacing w:line="360" w:lineRule="auto"/>
              <w:ind w:firstLine="420" w:firstLineChars="200"/>
              <w:rPr>
                <w:rFonts w:hint="eastAsia" w:ascii="宋体" w:hAnsi="宋体" w:cs="宋体"/>
                <w:color w:val="auto"/>
                <w:highlight w:val="none"/>
                <w:u w:val="none"/>
              </w:rPr>
            </w:pPr>
            <w:r>
              <w:rPr>
                <w:rFonts w:hint="eastAsia" w:ascii="宋体" w:hAnsi="宋体" w:cs="宋体"/>
                <w:color w:val="auto"/>
                <w:highlight w:val="none"/>
                <w:u w:val="none"/>
              </w:rPr>
              <w:t>（2）二期租赁项目服务期为24个月</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自验收合格之日起计</w:t>
            </w:r>
            <w:r>
              <w:rPr>
                <w:rFonts w:hint="eastAsia" w:ascii="宋体" w:hAnsi="宋体"/>
                <w:color w:val="auto"/>
                <w:szCs w:val="21"/>
                <w:highlight w:val="none"/>
                <w:u w:val="none"/>
                <w:lang w:eastAsia="zh-CN"/>
              </w:rPr>
              <w:t>）</w:t>
            </w:r>
            <w:r>
              <w:rPr>
                <w:rFonts w:hint="eastAsia" w:ascii="宋体" w:hAnsi="宋体" w:cs="宋体"/>
                <w:color w:val="auto"/>
                <w:highlight w:val="none"/>
                <w:u w:val="none"/>
              </w:rPr>
              <w:t>；</w:t>
            </w:r>
          </w:p>
          <w:p w14:paraId="390B575F">
            <w:pPr>
              <w:spacing w:line="360" w:lineRule="auto"/>
              <w:ind w:firstLine="420" w:firstLineChars="200"/>
              <w:rPr>
                <w:rFonts w:hint="eastAsia" w:ascii="宋体" w:hAnsi="宋体" w:cs="宋体"/>
                <w:color w:val="auto"/>
                <w:highlight w:val="none"/>
                <w:u w:val="none"/>
              </w:rPr>
            </w:pPr>
            <w:r>
              <w:rPr>
                <w:rFonts w:hint="eastAsia" w:ascii="宋体" w:hAnsi="宋体" w:cs="宋体"/>
                <w:color w:val="auto"/>
                <w:highlight w:val="none"/>
                <w:u w:val="none"/>
              </w:rPr>
              <w:t>（3）三期租赁项目服务期为19个月</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自验收合格之日起计</w:t>
            </w:r>
            <w:r>
              <w:rPr>
                <w:rFonts w:hint="eastAsia" w:ascii="宋体" w:hAnsi="宋体"/>
                <w:color w:val="auto"/>
                <w:szCs w:val="21"/>
                <w:highlight w:val="none"/>
                <w:u w:val="none"/>
                <w:lang w:eastAsia="zh-CN"/>
              </w:rPr>
              <w:t>）</w:t>
            </w:r>
            <w:r>
              <w:rPr>
                <w:rFonts w:hint="eastAsia" w:ascii="宋体" w:hAnsi="宋体" w:cs="宋体"/>
                <w:color w:val="auto"/>
                <w:highlight w:val="none"/>
                <w:u w:val="none"/>
              </w:rPr>
              <w:t>。</w:t>
            </w:r>
          </w:p>
          <w:p w14:paraId="4796ABBD">
            <w:pPr>
              <w:spacing w:line="360" w:lineRule="auto"/>
              <w:ind w:firstLine="420" w:firstLineChars="200"/>
              <w:rPr>
                <w:rFonts w:hint="eastAsia" w:ascii="宋体" w:hAnsi="宋体" w:cs="宋体"/>
                <w:color w:val="auto"/>
                <w:highlight w:val="none"/>
                <w:u w:val="none"/>
              </w:rPr>
            </w:pPr>
            <w:r>
              <w:rPr>
                <w:rFonts w:hint="eastAsia" w:ascii="宋体" w:hAnsi="宋体" w:cs="宋体"/>
                <w:color w:val="auto"/>
                <w:highlight w:val="none"/>
                <w:u w:val="none"/>
              </w:rPr>
              <w:t>3.交付地点：广西区内采购人指定地点。</w:t>
            </w:r>
          </w:p>
          <w:p w14:paraId="59335C30">
            <w:pPr>
              <w:spacing w:line="360" w:lineRule="auto"/>
              <w:rPr>
                <w:rFonts w:hint="eastAsia" w:ascii="宋体" w:hAnsi="宋体" w:cs="宋体"/>
                <w:color w:val="auto"/>
                <w:highlight w:val="none"/>
                <w:u w:val="none"/>
              </w:rPr>
            </w:pPr>
          </w:p>
          <w:p w14:paraId="092A9C42">
            <w:pPr>
              <w:spacing w:line="360" w:lineRule="auto"/>
              <w:rPr>
                <w:rFonts w:hint="eastAsia" w:ascii="宋体" w:hAnsi="宋体" w:cs="宋体"/>
                <w:b/>
                <w:bCs/>
                <w:color w:val="auto"/>
                <w:highlight w:val="none"/>
                <w:u w:val="none"/>
              </w:rPr>
            </w:pPr>
            <w:r>
              <w:rPr>
                <w:rFonts w:hint="eastAsia" w:ascii="宋体" w:hAnsi="宋体" w:cs="宋体"/>
                <w:b/>
                <w:bCs/>
                <w:color w:val="auto"/>
                <w:highlight w:val="none"/>
                <w:u w:val="none"/>
              </w:rPr>
              <w:t>三、付款方式</w:t>
            </w:r>
          </w:p>
          <w:p w14:paraId="31C1B8D6">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项目的付款进度将严格按照下表所载明的比例及方式进行，具体支付安排如下：</w:t>
            </w:r>
          </w:p>
          <w:p w14:paraId="5E58114F">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1.预付款：合同签订后，采购人将在收到中标人提交的对应金额的增值税普通发票及付款申请后10工作日内，支付合同总价的30%。</w:t>
            </w:r>
          </w:p>
          <w:p w14:paraId="07473DF5">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2.验收款：项目工程经验收合格后达到服务起租标准，采购人将在收到中标人提交的起租证明、对应金额的增值税普通发票及付款申请后10个工作日内支付合同总价的20%。</w:t>
            </w:r>
          </w:p>
          <w:p w14:paraId="3D8B2C76">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3.季度运维款：后续运维服务费分12期等额支付</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每期为合同总价的4.17%</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采购人将在收到中标人提交的季度运维报告、对应金额的增值税普通发票及付款申请后10个工作日内支付合同总价的4.17%。</w:t>
            </w:r>
          </w:p>
          <w:p w14:paraId="2BB3D5A5">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第1期：验收交付后3个月；第2期：验收交付后6个月；</w:t>
            </w:r>
          </w:p>
          <w:p w14:paraId="4297E021">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第3期：验收交付后9个月；第4期：验收交付后12个月；</w:t>
            </w:r>
          </w:p>
          <w:p w14:paraId="0419B28F">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第5期：验收交付后15个月；第6期：验收交付后18个月；</w:t>
            </w:r>
          </w:p>
          <w:p w14:paraId="73730965">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第7期：验收交付后21个月；第8期：验收交付后24个月；</w:t>
            </w:r>
          </w:p>
          <w:p w14:paraId="320A1EEC">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第9期：验收交付后27个月；第10期：验收交付后30个月；</w:t>
            </w:r>
          </w:p>
          <w:p w14:paraId="373D6D66">
            <w:pPr>
              <w:spacing w:line="360" w:lineRule="auto"/>
              <w:ind w:firstLine="420" w:firstLineChars="200"/>
              <w:rPr>
                <w:color w:val="auto"/>
                <w:highlight w:val="none"/>
                <w:u w:val="none"/>
              </w:rPr>
            </w:pPr>
            <w:r>
              <w:rPr>
                <w:rFonts w:hint="eastAsia" w:ascii="宋体" w:hAnsi="宋体"/>
                <w:color w:val="auto"/>
                <w:szCs w:val="21"/>
                <w:highlight w:val="none"/>
                <w:u w:val="none"/>
              </w:rPr>
              <w:t>第11期：验收交付后33个月；第12期：验收交付后36个月。</w:t>
            </w:r>
          </w:p>
          <w:p w14:paraId="365C95BE">
            <w:pPr>
              <w:spacing w:line="360" w:lineRule="auto"/>
              <w:ind w:firstLine="420" w:firstLineChars="200"/>
              <w:rPr>
                <w:rFonts w:hint="default" w:eastAsia="宋体"/>
                <w:color w:val="auto"/>
                <w:highlight w:val="none"/>
                <w:u w:val="none"/>
                <w:lang w:val="en-US" w:eastAsia="zh-CN"/>
              </w:rPr>
            </w:pPr>
            <w:r>
              <w:rPr>
                <w:rFonts w:hint="eastAsia"/>
                <w:color w:val="auto"/>
                <w:highlight w:val="none"/>
                <w:u w:val="none"/>
                <w:lang w:val="en-US" w:eastAsia="zh-CN"/>
              </w:rPr>
              <w:t>中标人每半年提供1次设备巡检报告，每季度提供1次设备运维报告。</w:t>
            </w:r>
          </w:p>
          <w:p w14:paraId="1F441CBB">
            <w:pPr>
              <w:pStyle w:val="2"/>
              <w:spacing w:line="360" w:lineRule="auto"/>
              <w:rPr>
                <w:color w:val="auto"/>
                <w:highlight w:val="none"/>
                <w:u w:val="none"/>
              </w:rPr>
            </w:pPr>
          </w:p>
          <w:p w14:paraId="652810D6">
            <w:pPr>
              <w:numPr>
                <w:ilvl w:val="0"/>
                <w:numId w:val="1"/>
              </w:numPr>
              <w:spacing w:line="360" w:lineRule="auto"/>
              <w:rPr>
                <w:rFonts w:hint="eastAsia" w:ascii="宋体" w:hAnsi="宋体"/>
                <w:b/>
                <w:bCs/>
                <w:color w:val="auto"/>
                <w:szCs w:val="21"/>
                <w:highlight w:val="none"/>
                <w:u w:val="none"/>
              </w:rPr>
            </w:pPr>
            <w:r>
              <w:rPr>
                <w:rFonts w:hint="eastAsia" w:ascii="宋体" w:hAnsi="宋体"/>
                <w:b/>
                <w:bCs/>
                <w:color w:val="auto"/>
                <w:szCs w:val="21"/>
                <w:highlight w:val="none"/>
                <w:u w:val="none"/>
              </w:rPr>
              <w:t>投标报价要求</w:t>
            </w:r>
          </w:p>
          <w:p w14:paraId="4B91FAB5">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本项目实行总承包报价，投标人以人民币进行报价，合同计价方式为总价包干。投标总报价必须包含但不限于服务的价格、配套货物、运输（含保险）、调试、检验、验收、</w:t>
            </w:r>
            <w:r>
              <w:rPr>
                <w:rFonts w:hint="eastAsia" w:ascii="宋体" w:hAnsi="宋体" w:cs="宋体"/>
                <w:color w:val="auto"/>
                <w:highlight w:val="none"/>
                <w:u w:val="none"/>
              </w:rPr>
              <w:t>技术支持、售后服务、</w:t>
            </w:r>
            <w:r>
              <w:rPr>
                <w:rFonts w:hint="eastAsia" w:ascii="宋体" w:hAnsi="宋体"/>
                <w:color w:val="auto"/>
                <w:szCs w:val="21"/>
                <w:highlight w:val="none"/>
                <w:u w:val="none"/>
              </w:rPr>
              <w:t>专家及专业人员聘请、住宿、会务、利润、保险、税费、税金、招标代理服务费及项目整体实施过程中其他有可能发生的一切费用，采购人不再支付合同款以外的任何费用。</w:t>
            </w:r>
          </w:p>
          <w:p w14:paraId="59827409">
            <w:pPr>
              <w:spacing w:line="360" w:lineRule="auto"/>
              <w:rPr>
                <w:rFonts w:hint="eastAsia" w:ascii="宋体" w:hAnsi="宋体"/>
                <w:color w:val="auto"/>
                <w:szCs w:val="21"/>
                <w:highlight w:val="none"/>
                <w:u w:val="none"/>
              </w:rPr>
            </w:pPr>
          </w:p>
          <w:p w14:paraId="60102C08">
            <w:pPr>
              <w:spacing w:line="360" w:lineRule="auto"/>
              <w:rPr>
                <w:rFonts w:hint="eastAsia" w:ascii="宋体" w:hAnsi="宋体" w:cs="宋体"/>
                <w:b/>
                <w:bCs/>
                <w:color w:val="auto"/>
                <w:highlight w:val="none"/>
                <w:u w:val="none"/>
              </w:rPr>
            </w:pPr>
            <w:r>
              <w:rPr>
                <w:rFonts w:hint="eastAsia" w:ascii="宋体" w:hAnsi="宋体" w:cs="宋体"/>
                <w:b/>
                <w:bCs/>
                <w:color w:val="auto"/>
                <w:highlight w:val="none"/>
                <w:u w:val="none"/>
              </w:rPr>
              <w:t>五、服务期内的服务要求</w:t>
            </w:r>
          </w:p>
          <w:p w14:paraId="3CEEC121">
            <w:pPr>
              <w:tabs>
                <w:tab w:val="left" w:pos="180"/>
                <w:tab w:val="left" w:pos="1620"/>
              </w:tabs>
              <w:spacing w:line="36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1.处理问题响应时间：接到采购人处理问题通知后30分钟内响应采购人问题。</w:t>
            </w:r>
          </w:p>
          <w:p w14:paraId="467D565E">
            <w:pPr>
              <w:tabs>
                <w:tab w:val="left" w:pos="180"/>
                <w:tab w:val="left" w:pos="1620"/>
              </w:tabs>
              <w:spacing w:line="36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2.服务承诺要求：免费提供服务支持，服务形式包括电话、邮件、QQ在线问答等。</w:t>
            </w:r>
          </w:p>
          <w:p w14:paraId="0EEFDCCB">
            <w:pPr>
              <w:tabs>
                <w:tab w:val="left" w:pos="180"/>
                <w:tab w:val="left" w:pos="1620"/>
              </w:tabs>
              <w:spacing w:line="36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3.故障修复时间：</w:t>
            </w:r>
          </w:p>
          <w:p w14:paraId="06BFD774">
            <w:pPr>
              <w:tabs>
                <w:tab w:val="left" w:pos="180"/>
                <w:tab w:val="left" w:pos="1620"/>
              </w:tabs>
              <w:spacing w:line="36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（1）常规故障：电话响应≤30分钟，现场支持≤2小时，修复时间≤24小时；</w:t>
            </w:r>
          </w:p>
          <w:p w14:paraId="309EAD95">
            <w:pPr>
              <w:tabs>
                <w:tab w:val="left" w:pos="180"/>
                <w:tab w:val="left" w:pos="1620"/>
              </w:tabs>
              <w:spacing w:line="360" w:lineRule="auto"/>
              <w:ind w:firstLine="420" w:firstLineChars="200"/>
              <w:jc w:val="left"/>
              <w:rPr>
                <w:rFonts w:hint="eastAsia" w:ascii="宋体" w:hAnsi="宋体"/>
                <w:color w:val="auto"/>
                <w:szCs w:val="21"/>
                <w:highlight w:val="none"/>
                <w:u w:val="none"/>
              </w:rPr>
            </w:pPr>
            <w:r>
              <w:rPr>
                <w:rFonts w:hint="eastAsia" w:ascii="宋体" w:hAnsi="宋体"/>
                <w:color w:val="auto"/>
                <w:szCs w:val="21"/>
                <w:highlight w:val="none"/>
                <w:u w:val="none"/>
              </w:rPr>
              <w:t>（2）重大故障：响应≤30分钟，现场支持≤1小时，修复时间≤48小时（特殊区域/极端天气除外）；</w:t>
            </w:r>
          </w:p>
          <w:p w14:paraId="09E29684">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（3）备用设备机制：48小时未修复时，提供同档次或优于该档次的备用设备保障使用。</w:t>
            </w:r>
          </w:p>
          <w:p w14:paraId="4EFAE3D3">
            <w:pPr>
              <w:spacing w:line="360" w:lineRule="auto"/>
              <w:rPr>
                <w:rFonts w:hint="eastAsia" w:ascii="宋体" w:hAnsi="宋体"/>
                <w:color w:val="auto"/>
                <w:szCs w:val="21"/>
                <w:highlight w:val="none"/>
                <w:u w:val="none"/>
              </w:rPr>
            </w:pPr>
          </w:p>
          <w:p w14:paraId="2C6BA955">
            <w:pPr>
              <w:spacing w:line="360" w:lineRule="auto"/>
              <w:rPr>
                <w:rFonts w:hint="eastAsia" w:ascii="宋体" w:hAnsi="宋体" w:cs="宋体"/>
                <w:b/>
                <w:bCs/>
                <w:color w:val="auto"/>
                <w:highlight w:val="none"/>
                <w:u w:val="none"/>
              </w:rPr>
            </w:pPr>
            <w:r>
              <w:rPr>
                <w:rFonts w:hint="eastAsia" w:ascii="宋体" w:hAnsi="宋体" w:cs="宋体"/>
                <w:b/>
                <w:bCs/>
                <w:color w:val="auto"/>
                <w:highlight w:val="none"/>
                <w:u w:val="none"/>
              </w:rPr>
              <w:t>六、验收要求</w:t>
            </w:r>
          </w:p>
          <w:p w14:paraId="7461521D">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1.交付验收时，采购人根据《广西壮族自治区政府采购项目履约验收管理办法》及国家有关强制性标准的规定，由采购人及中标人等共同进行验收。如不符合采购文件的服务需求以及提供虚假承诺的，按相关规定作违约处理，中标人承担所有责任和费用，采购人保留进一步追究责任的权利。</w:t>
            </w:r>
          </w:p>
          <w:p w14:paraId="6CCF0632">
            <w:pPr>
              <w:spacing w:line="360" w:lineRule="auto"/>
              <w:ind w:firstLine="420" w:firstLineChars="200"/>
              <w:rPr>
                <w:rFonts w:hint="eastAsia" w:ascii="宋体" w:hAnsi="宋体" w:cs="宋体"/>
                <w:color w:val="auto"/>
                <w:szCs w:val="21"/>
                <w:highlight w:val="none"/>
                <w:u w:val="none"/>
              </w:rPr>
            </w:pPr>
            <w:r>
              <w:rPr>
                <w:rFonts w:hint="eastAsia" w:ascii="宋体" w:hAnsi="宋体"/>
                <w:color w:val="auto"/>
                <w:szCs w:val="21"/>
                <w:highlight w:val="none"/>
                <w:u w:val="none"/>
              </w:rPr>
              <w:t>2.针对投标人在投标文件中提供的关于评分标准中的“2.1服务配备设备性能”检测报告，如中标则在交付验收时</w:t>
            </w:r>
            <w:r>
              <w:rPr>
                <w:rFonts w:hint="eastAsia" w:ascii="宋体" w:hAnsi="宋体" w:cs="宋体"/>
                <w:color w:val="auto"/>
                <w:szCs w:val="21"/>
                <w:highlight w:val="none"/>
                <w:u w:val="none"/>
              </w:rPr>
              <w:t>需提供其检测报告原件供采购人查验，检验不合格的不予验收。</w:t>
            </w:r>
          </w:p>
          <w:p w14:paraId="61BDA761">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3.验收不通过的，根据采购人意见进行整改，直到验收通过为止，期间产生的相关费用由供应商承担。</w:t>
            </w:r>
          </w:p>
          <w:p w14:paraId="29A89E83">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4.验收过程中所产生的一切费用均由中标人承担，供应商报价时应考虑相关费用。</w:t>
            </w:r>
          </w:p>
          <w:p w14:paraId="1ED81115">
            <w:pPr>
              <w:spacing w:line="360" w:lineRule="auto"/>
              <w:rPr>
                <w:rFonts w:hint="eastAsia" w:ascii="宋体" w:hAnsi="宋体" w:cs="宋体"/>
                <w:color w:val="auto"/>
                <w:szCs w:val="21"/>
                <w:highlight w:val="none"/>
                <w:u w:val="none"/>
              </w:rPr>
            </w:pPr>
          </w:p>
          <w:p w14:paraId="042D53B5">
            <w:pPr>
              <w:numPr>
                <w:ilvl w:val="0"/>
                <w:numId w:val="2"/>
              </w:numPr>
              <w:spacing w:line="360" w:lineRule="auto"/>
              <w:rPr>
                <w:rFonts w:hint="eastAsia" w:ascii="宋体" w:hAnsi="宋体" w:cs="宋体"/>
                <w:b/>
                <w:bCs/>
                <w:color w:val="auto"/>
                <w:highlight w:val="none"/>
                <w:u w:val="none"/>
              </w:rPr>
            </w:pPr>
            <w:r>
              <w:rPr>
                <w:rFonts w:hint="eastAsia" w:ascii="宋体" w:hAnsi="宋体" w:cs="宋体"/>
                <w:b/>
                <w:bCs/>
                <w:color w:val="auto"/>
                <w:highlight w:val="none"/>
                <w:u w:val="none"/>
              </w:rPr>
              <w:t>履约保证金</w:t>
            </w:r>
          </w:p>
          <w:p w14:paraId="77D13C1A">
            <w:pPr>
              <w:spacing w:line="360" w:lineRule="auto"/>
              <w:ind w:firstLine="420" w:firstLineChars="200"/>
              <w:rPr>
                <w:rFonts w:hint="eastAsia" w:ascii="宋体" w:hAnsi="宋体"/>
                <w:bCs/>
                <w:color w:val="auto"/>
                <w:szCs w:val="21"/>
                <w:highlight w:val="none"/>
                <w:u w:val="none"/>
              </w:rPr>
            </w:pPr>
            <w:r>
              <w:rPr>
                <w:rFonts w:hint="eastAsia" w:ascii="宋体" w:hAnsi="宋体"/>
                <w:bCs/>
                <w:color w:val="auto"/>
                <w:szCs w:val="21"/>
                <w:highlight w:val="none"/>
                <w:u w:val="none"/>
              </w:rPr>
              <w:t>1.履约保证金金额：按中标金额的 5 %（如供应商为中小企业的按中标金额的2%收取）。</w:t>
            </w:r>
          </w:p>
          <w:p w14:paraId="04611228">
            <w:pPr>
              <w:spacing w:line="360" w:lineRule="auto"/>
              <w:ind w:firstLine="420" w:firstLineChars="200"/>
              <w:rPr>
                <w:rFonts w:hint="eastAsia" w:ascii="宋体" w:hAnsi="宋体"/>
                <w:bCs/>
                <w:color w:val="auto"/>
                <w:szCs w:val="21"/>
                <w:highlight w:val="none"/>
                <w:u w:val="none"/>
              </w:rPr>
            </w:pPr>
            <w:r>
              <w:rPr>
                <w:rFonts w:hint="eastAsia" w:ascii="宋体" w:hAnsi="宋体"/>
                <w:bCs/>
                <w:color w:val="auto"/>
                <w:szCs w:val="21"/>
                <w:highlight w:val="none"/>
                <w:u w:val="none"/>
              </w:rPr>
              <w:t>2.履约保证金递交方式：银行转账、支票、汇票、本票或者银行、保险机构出具的保函等非现金方式（参照投标保证金）。</w:t>
            </w:r>
          </w:p>
          <w:p w14:paraId="67180458">
            <w:pPr>
              <w:spacing w:line="360" w:lineRule="auto"/>
              <w:ind w:firstLine="420" w:firstLineChars="200"/>
              <w:rPr>
                <w:rFonts w:hint="eastAsia" w:ascii="宋体" w:hAnsi="宋体"/>
                <w:bCs/>
                <w:color w:val="auto"/>
                <w:szCs w:val="21"/>
                <w:highlight w:val="none"/>
                <w:u w:val="none"/>
              </w:rPr>
            </w:pPr>
            <w:r>
              <w:rPr>
                <w:rFonts w:hint="eastAsia" w:ascii="宋体" w:hAnsi="宋体"/>
                <w:bCs/>
                <w:color w:val="auto"/>
                <w:szCs w:val="21"/>
                <w:highlight w:val="none"/>
                <w:u w:val="none"/>
              </w:rPr>
              <w:t>3.履约保证金缴纳期限：自中标通知书发出之日起 15 日内。</w:t>
            </w:r>
          </w:p>
          <w:p w14:paraId="1CEB51A0">
            <w:pPr>
              <w:spacing w:line="360" w:lineRule="auto"/>
              <w:ind w:firstLine="420" w:firstLineChars="200"/>
              <w:rPr>
                <w:rFonts w:hint="eastAsia" w:ascii="宋体" w:hAnsi="宋体"/>
                <w:bCs/>
                <w:color w:val="auto"/>
                <w:szCs w:val="21"/>
                <w:highlight w:val="none"/>
                <w:u w:val="none"/>
              </w:rPr>
            </w:pPr>
            <w:r>
              <w:rPr>
                <w:rFonts w:hint="eastAsia" w:ascii="宋体" w:hAnsi="宋体"/>
                <w:bCs/>
                <w:color w:val="auto"/>
                <w:szCs w:val="21"/>
                <w:highlight w:val="none"/>
                <w:u w:val="none"/>
              </w:rPr>
              <w:t>4.履约保证金退付方式、时间及条件：合同服务期终止后</w:t>
            </w:r>
            <w:r>
              <w:rPr>
                <w:rFonts w:ascii="宋体" w:hAnsi="宋体"/>
                <w:bCs/>
                <w:color w:val="auto"/>
                <w:szCs w:val="21"/>
                <w:highlight w:val="none"/>
                <w:u w:val="none"/>
              </w:rPr>
              <w:t>30</w:t>
            </w:r>
            <w:r>
              <w:rPr>
                <w:rFonts w:hint="eastAsia" w:ascii="宋体" w:hAnsi="宋体"/>
                <w:bCs/>
                <w:color w:val="auto"/>
                <w:szCs w:val="21"/>
                <w:highlight w:val="none"/>
                <w:u w:val="none"/>
              </w:rPr>
              <w:t>日内，中标人根据采购人在合同服务期内开具的处罚通知单（如有）进行清算，并提交履约保证金请款函与处罚通知单（如有）等清算资料，采购人对清算资料进行审核无误后，在5个工作日内不计利息退还中标人剩余履约保证金。</w:t>
            </w:r>
          </w:p>
          <w:p w14:paraId="7E103C41">
            <w:pPr>
              <w:spacing w:line="360" w:lineRule="auto"/>
              <w:ind w:firstLine="420" w:firstLineChars="200"/>
              <w:rPr>
                <w:rFonts w:hint="eastAsia" w:ascii="宋体" w:hAnsi="宋体"/>
                <w:bCs/>
                <w:color w:val="auto"/>
                <w:szCs w:val="21"/>
                <w:highlight w:val="none"/>
                <w:u w:val="none"/>
              </w:rPr>
            </w:pPr>
            <w:r>
              <w:rPr>
                <w:rFonts w:hint="eastAsia" w:ascii="宋体" w:hAnsi="宋体"/>
                <w:bCs/>
                <w:color w:val="auto"/>
                <w:szCs w:val="21"/>
                <w:highlight w:val="none"/>
                <w:u w:val="none"/>
              </w:rPr>
              <w:t>5.履约保证金指定账户：</w:t>
            </w:r>
          </w:p>
          <w:p w14:paraId="3053CC7B">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开户名称：中国共产党广西壮族自治区委员会政法委员会</w:t>
            </w:r>
          </w:p>
          <w:p w14:paraId="1CAD3774">
            <w:pPr>
              <w:snapToGrid w:val="0"/>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开户银行：中国建设银行股份有限公司南宁南湖桥支行</w:t>
            </w:r>
          </w:p>
          <w:p w14:paraId="30D1D578">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银行账号：45001604569050500361</w:t>
            </w:r>
          </w:p>
          <w:p w14:paraId="07EF8F74">
            <w:pPr>
              <w:spacing w:line="360" w:lineRule="auto"/>
              <w:rPr>
                <w:rFonts w:hint="eastAsia" w:ascii="宋体" w:hAnsi="宋体" w:cs="宋体"/>
                <w:b/>
                <w:bCs/>
                <w:color w:val="auto"/>
                <w:highlight w:val="none"/>
                <w:u w:val="none"/>
              </w:rPr>
            </w:pPr>
          </w:p>
          <w:p w14:paraId="2924E00D">
            <w:pPr>
              <w:spacing w:line="360" w:lineRule="auto"/>
              <w:rPr>
                <w:rFonts w:hint="eastAsia" w:ascii="宋体" w:hAnsi="宋体" w:cs="宋体"/>
                <w:b/>
                <w:bCs/>
                <w:color w:val="auto"/>
                <w:highlight w:val="none"/>
                <w:u w:val="none"/>
              </w:rPr>
            </w:pPr>
            <w:r>
              <w:rPr>
                <w:rFonts w:hint="eastAsia" w:ascii="宋体" w:hAnsi="宋体" w:cs="宋体"/>
                <w:b/>
                <w:bCs/>
                <w:color w:val="auto"/>
                <w:highlight w:val="none"/>
                <w:u w:val="none"/>
              </w:rPr>
              <w:t>八、其他要求</w:t>
            </w:r>
          </w:p>
          <w:p w14:paraId="3B9BC8E0">
            <w:pPr>
              <w:spacing w:line="360" w:lineRule="auto"/>
              <w:ind w:firstLine="420" w:firstLineChars="200"/>
              <w:rPr>
                <w:rFonts w:hint="eastAsia" w:ascii="宋体" w:hAnsi="宋体"/>
                <w:bCs/>
                <w:color w:val="auto"/>
                <w:szCs w:val="21"/>
                <w:highlight w:val="none"/>
                <w:u w:val="none"/>
              </w:rPr>
            </w:pPr>
            <w:r>
              <w:rPr>
                <w:rFonts w:hint="eastAsia" w:ascii="宋体" w:hAnsi="宋体"/>
                <w:bCs/>
                <w:color w:val="auto"/>
                <w:szCs w:val="21"/>
                <w:highlight w:val="none"/>
                <w:u w:val="none"/>
              </w:rPr>
              <w:t>1.为保证平台系统升级效果,签署合同后5个工作日内必须提供原厂商出具的售后服务承诺函及供货证明原件,如无法提供，业主视为虚假应标，并按规定对中标人予以处罚和进行网上通报处理。</w:t>
            </w:r>
          </w:p>
          <w:p w14:paraId="166DED9A">
            <w:pPr>
              <w:spacing w:line="360" w:lineRule="auto"/>
              <w:ind w:firstLine="420" w:firstLineChars="200"/>
              <w:rPr>
                <w:rFonts w:hint="eastAsia" w:ascii="宋体" w:hAnsi="宋体"/>
                <w:bCs/>
                <w:color w:val="auto"/>
                <w:szCs w:val="21"/>
                <w:highlight w:val="none"/>
                <w:u w:val="none"/>
              </w:rPr>
            </w:pPr>
            <w:r>
              <w:rPr>
                <w:rFonts w:hint="eastAsia" w:ascii="宋体" w:hAnsi="宋体"/>
                <w:bCs/>
                <w:color w:val="auto"/>
                <w:szCs w:val="21"/>
                <w:highlight w:val="none"/>
                <w:u w:val="none"/>
              </w:rPr>
              <w:t>2.为保证采购需求表中的技术指标和性能达到采购文件的要求，采购单位有权要求中标人于签订合同后，提供平台软件到采购单位现场进行对接测试，如未提供对接测试或中标人所提供的平台软件经测试后不能满足对接要求，采购人有权追究相关法律责任，对造成的损失采购人保留索赔的权利。</w:t>
            </w:r>
          </w:p>
          <w:p w14:paraId="72D8044A">
            <w:pPr>
              <w:spacing w:line="360" w:lineRule="auto"/>
              <w:ind w:firstLine="420" w:firstLineChars="200"/>
              <w:rPr>
                <w:rStyle w:val="7"/>
                <w:color w:val="auto"/>
                <w:highlight w:val="none"/>
                <w:u w:val="none"/>
              </w:rPr>
            </w:pPr>
            <w:r>
              <w:rPr>
                <w:rFonts w:hint="eastAsia" w:ascii="宋体" w:hAnsi="宋体"/>
                <w:bCs/>
                <w:color w:val="auto"/>
                <w:szCs w:val="21"/>
                <w:highlight w:val="none"/>
                <w:u w:val="none"/>
              </w:rPr>
              <w:t>3.</w:t>
            </w:r>
            <w:r>
              <w:rPr>
                <w:rStyle w:val="7"/>
                <w:rFonts w:hint="eastAsia"/>
                <w:color w:val="auto"/>
                <w:highlight w:val="none"/>
                <w:u w:val="none"/>
              </w:rPr>
              <w:t>针对监控覆盖区域，除核心监控任务外，需承担该监控范围内的杂草清除等辅助性环境管理工作。</w:t>
            </w:r>
          </w:p>
          <w:p w14:paraId="175F5430">
            <w:pPr>
              <w:pStyle w:val="2"/>
              <w:spacing w:line="360" w:lineRule="auto"/>
              <w:ind w:firstLine="404" w:firstLineChars="200"/>
              <w:rPr>
                <w:color w:val="auto"/>
                <w:highlight w:val="none"/>
                <w:u w:val="none"/>
              </w:rPr>
            </w:pPr>
            <w:r>
              <w:rPr>
                <w:rFonts w:hint="eastAsia"/>
                <w:color w:val="auto"/>
                <w:sz w:val="21"/>
                <w:szCs w:val="21"/>
                <w:highlight w:val="none"/>
                <w:u w:val="none"/>
              </w:rPr>
              <w:t>4.投标人需为本项目服务投入的设备清单详见本章附件1。</w:t>
            </w:r>
          </w:p>
        </w:tc>
      </w:tr>
      <w:tr w14:paraId="4531D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2"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14:paraId="3753901B">
            <w:pPr>
              <w:tabs>
                <w:tab w:val="left" w:pos="840"/>
              </w:tabs>
              <w:spacing w:line="240" w:lineRule="auto"/>
              <w:jc w:val="center"/>
              <w:rPr>
                <w:rFonts w:hint="eastAsia" w:ascii="宋体" w:hAnsi="宋体"/>
                <w:color w:val="auto"/>
                <w:kern w:val="0"/>
                <w:szCs w:val="21"/>
                <w:highlight w:val="none"/>
                <w:u w:val="none"/>
              </w:rPr>
            </w:pPr>
            <w:r>
              <w:rPr>
                <w:rFonts w:hint="eastAsia" w:ascii="宋体" w:hAnsi="宋体"/>
                <w:b w:val="0"/>
                <w:bCs w:val="0"/>
                <w:color w:val="auto"/>
                <w:sz w:val="21"/>
                <w:szCs w:val="21"/>
                <w:highlight w:val="none"/>
                <w:u w:val="none"/>
              </w:rPr>
              <w:t>投标人的履约能力要求</w:t>
            </w:r>
          </w:p>
        </w:tc>
        <w:tc>
          <w:tcPr>
            <w:tcW w:w="9576" w:type="dxa"/>
            <w:gridSpan w:val="4"/>
            <w:tcBorders>
              <w:top w:val="single" w:color="auto" w:sz="4" w:space="0"/>
              <w:left w:val="single" w:color="auto" w:sz="4" w:space="0"/>
              <w:bottom w:val="single" w:color="auto" w:sz="4" w:space="0"/>
              <w:right w:val="single" w:color="auto" w:sz="4" w:space="0"/>
            </w:tcBorders>
            <w:vAlign w:val="center"/>
          </w:tcPr>
          <w:p w14:paraId="666560B4">
            <w:pPr>
              <w:spacing w:line="360" w:lineRule="auto"/>
              <w:ind w:leftChars="200"/>
              <w:jc w:val="left"/>
              <w:rPr>
                <w:rFonts w:hint="eastAsia" w:ascii="宋体" w:hAnsi="宋体"/>
                <w:bCs/>
                <w:color w:val="auto"/>
                <w:szCs w:val="21"/>
                <w:highlight w:val="none"/>
                <w:u w:val="none"/>
              </w:rPr>
            </w:pPr>
            <w:r>
              <w:rPr>
                <w:rFonts w:hint="eastAsia" w:ascii="宋体" w:hAnsi="宋体"/>
                <w:bCs/>
                <w:color w:val="auto"/>
                <w:szCs w:val="21"/>
                <w:highlight w:val="none"/>
                <w:u w:val="none"/>
              </w:rPr>
              <w:t>1.</w:t>
            </w:r>
            <w:r>
              <w:rPr>
                <w:rFonts w:hint="eastAsia" w:ascii="宋体" w:hAnsi="宋体"/>
                <w:bCs/>
                <w:color w:val="auto"/>
                <w:szCs w:val="21"/>
                <w:highlight w:val="none"/>
                <w:u w:val="none"/>
                <w:lang w:val="en-US" w:eastAsia="zh-CN"/>
              </w:rPr>
              <w:t>企业认证</w:t>
            </w:r>
            <w:r>
              <w:rPr>
                <w:rFonts w:hint="eastAsia" w:ascii="宋体" w:hAnsi="宋体"/>
                <w:bCs/>
                <w:color w:val="auto"/>
                <w:szCs w:val="21"/>
                <w:highlight w:val="none"/>
                <w:u w:val="none"/>
              </w:rPr>
              <w:t>要求：见本招标文件 “评标办法及评分标准”。</w:t>
            </w:r>
          </w:p>
          <w:p w14:paraId="38B98AF7">
            <w:pPr>
              <w:spacing w:line="360" w:lineRule="auto"/>
              <w:ind w:leftChars="200"/>
              <w:jc w:val="left"/>
              <w:rPr>
                <w:rFonts w:hint="eastAsia" w:ascii="宋体" w:hAnsi="宋体"/>
                <w:bCs/>
                <w:color w:val="auto"/>
                <w:szCs w:val="21"/>
                <w:highlight w:val="none"/>
                <w:u w:val="none"/>
              </w:rPr>
            </w:pPr>
            <w:r>
              <w:rPr>
                <w:rFonts w:hint="eastAsia" w:ascii="宋体" w:hAnsi="宋体"/>
                <w:bCs/>
                <w:color w:val="auto"/>
                <w:szCs w:val="21"/>
                <w:highlight w:val="none"/>
                <w:u w:val="none"/>
              </w:rPr>
              <w:t>2.</w:t>
            </w:r>
            <w:r>
              <w:rPr>
                <w:rFonts w:hint="eastAsia" w:ascii="宋体" w:hAnsi="宋体"/>
                <w:bCs/>
                <w:color w:val="auto"/>
                <w:szCs w:val="21"/>
                <w:highlight w:val="none"/>
                <w:u w:val="none"/>
                <w:lang w:val="en-US" w:eastAsia="zh-CN"/>
              </w:rPr>
              <w:t>企业</w:t>
            </w:r>
            <w:r>
              <w:rPr>
                <w:rFonts w:hint="eastAsia" w:ascii="宋体" w:hAnsi="宋体"/>
                <w:bCs/>
                <w:color w:val="auto"/>
                <w:szCs w:val="21"/>
                <w:highlight w:val="none"/>
                <w:u w:val="none"/>
              </w:rPr>
              <w:t>业绩要求：见本招标文件 “评标办法及评分标准”。</w:t>
            </w:r>
          </w:p>
          <w:p w14:paraId="74A25CCF">
            <w:pPr>
              <w:spacing w:line="360" w:lineRule="auto"/>
              <w:ind w:leftChars="200"/>
              <w:jc w:val="left"/>
              <w:rPr>
                <w:rFonts w:hint="eastAsia" w:ascii="宋体" w:hAnsi="宋体"/>
                <w:bCs/>
                <w:color w:val="auto"/>
                <w:szCs w:val="21"/>
                <w:highlight w:val="none"/>
                <w:u w:val="none"/>
              </w:rPr>
            </w:pPr>
            <w:r>
              <w:rPr>
                <w:rFonts w:hint="eastAsia" w:ascii="宋体" w:hAnsi="宋体"/>
                <w:bCs/>
                <w:color w:val="auto"/>
                <w:szCs w:val="21"/>
                <w:highlight w:val="none"/>
                <w:u w:val="none"/>
              </w:rPr>
              <w:t>3.项目覆盖南宁、柳州、桂林、贵港、百色、贺州、北海、钦州、梧州、玉林等10个地市，各期</w:t>
            </w:r>
          </w:p>
          <w:p w14:paraId="17526358">
            <w:pPr>
              <w:spacing w:line="360" w:lineRule="auto"/>
              <w:jc w:val="left"/>
              <w:rPr>
                <w:rFonts w:hint="eastAsia"/>
                <w:color w:val="auto"/>
                <w:sz w:val="21"/>
                <w:szCs w:val="21"/>
                <w:highlight w:val="none"/>
                <w:u w:val="none"/>
              </w:rPr>
            </w:pPr>
            <w:r>
              <w:rPr>
                <w:rFonts w:hint="eastAsia" w:ascii="宋体" w:hAnsi="宋体"/>
                <w:bCs/>
                <w:color w:val="auto"/>
                <w:szCs w:val="21"/>
                <w:highlight w:val="none"/>
                <w:u w:val="none"/>
              </w:rPr>
              <w:t>建设点位及配套需求详见附件。为解决铁路沿线人防力量不足，补强巡防空档期，减少治安管控盲区，提升响应效率等，加强智能监控手段的运用，提高防治效果，需要投标人为本项目覆盖的南宁、柳州、桂林、贵港、百色、贺州、北海、钦州、梧州、玉林等10个地市均配备有服务车辆，同时配备具有通信类或信息工程类或计算机类专业能力的相关人员提供设备运维和定期巡检服务。拟投入的项目团队人员、项目服务车辆</w:t>
            </w:r>
            <w:r>
              <w:rPr>
                <w:rFonts w:hint="eastAsia" w:ascii="宋体" w:hAnsi="宋体"/>
                <w:bCs/>
                <w:color w:val="auto"/>
                <w:szCs w:val="21"/>
                <w:highlight w:val="none"/>
                <w:u w:val="none"/>
                <w:lang w:val="en-US" w:eastAsia="zh-CN"/>
              </w:rPr>
              <w:t>要求</w:t>
            </w:r>
            <w:r>
              <w:rPr>
                <w:rFonts w:hint="eastAsia" w:ascii="宋体" w:hAnsi="宋体"/>
                <w:bCs/>
                <w:color w:val="auto"/>
                <w:szCs w:val="21"/>
                <w:highlight w:val="none"/>
                <w:u w:val="none"/>
                <w:lang w:eastAsia="zh-CN"/>
              </w:rPr>
              <w:t>：</w:t>
            </w:r>
            <w:r>
              <w:rPr>
                <w:rFonts w:hint="eastAsia" w:ascii="宋体" w:hAnsi="宋体"/>
                <w:bCs/>
                <w:color w:val="auto"/>
                <w:szCs w:val="21"/>
                <w:highlight w:val="none"/>
                <w:u w:val="none"/>
              </w:rPr>
              <w:t>见本招标文件 “评标办法及评分标准”。</w:t>
            </w:r>
          </w:p>
        </w:tc>
      </w:tr>
      <w:tr w14:paraId="66D76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tcBorders>
              <w:top w:val="single" w:color="auto" w:sz="4" w:space="0"/>
              <w:left w:val="single" w:color="auto" w:sz="4" w:space="0"/>
              <w:bottom w:val="single" w:color="auto" w:sz="4" w:space="0"/>
              <w:right w:val="single" w:color="auto" w:sz="4" w:space="0"/>
            </w:tcBorders>
            <w:vAlign w:val="center"/>
          </w:tcPr>
          <w:p w14:paraId="38F55C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kern w:val="0"/>
                <w:szCs w:val="21"/>
                <w:highlight w:val="none"/>
                <w:u w:val="none"/>
              </w:rPr>
            </w:pPr>
            <w:r>
              <w:rPr>
                <w:rFonts w:hint="eastAsia" w:ascii="宋体" w:hAnsi="宋体"/>
                <w:b w:val="0"/>
                <w:bCs w:val="0"/>
                <w:color w:val="auto"/>
                <w:sz w:val="21"/>
                <w:szCs w:val="21"/>
                <w:highlight w:val="none"/>
                <w:u w:val="none"/>
              </w:rPr>
              <w:t>与实现项目目标相关的其他要求</w:t>
            </w:r>
          </w:p>
        </w:tc>
        <w:tc>
          <w:tcPr>
            <w:tcW w:w="9576" w:type="dxa"/>
            <w:gridSpan w:val="4"/>
            <w:tcBorders>
              <w:top w:val="single" w:color="auto" w:sz="4" w:space="0"/>
              <w:left w:val="single" w:color="auto" w:sz="4" w:space="0"/>
              <w:bottom w:val="single" w:color="auto" w:sz="4" w:space="0"/>
              <w:right w:val="single" w:color="auto" w:sz="4" w:space="0"/>
            </w:tcBorders>
            <w:vAlign w:val="center"/>
          </w:tcPr>
          <w:p w14:paraId="6A393BDA">
            <w:pPr>
              <w:spacing w:line="360" w:lineRule="auto"/>
              <w:ind w:firstLine="420" w:firstLineChars="200"/>
              <w:rPr>
                <w:color w:val="auto"/>
                <w:highlight w:val="none"/>
                <w:u w:val="none"/>
              </w:rPr>
            </w:pPr>
            <w:r>
              <w:rPr>
                <w:rFonts w:hint="eastAsia" w:ascii="宋体" w:hAnsi="宋体"/>
                <w:bCs/>
                <w:color w:val="auto"/>
                <w:szCs w:val="21"/>
                <w:highlight w:val="none"/>
                <w:u w:val="none"/>
              </w:rPr>
              <w:t>投标人可自行根据项目要求，在投标文件中提供针对本项目的服务配备设备性能证明材料、技术服务方案、运行保障服务及运维技术服务方案、建设组织实施方案、认证证书、业绩等相关材料。</w:t>
            </w:r>
          </w:p>
        </w:tc>
      </w:tr>
    </w:tbl>
    <w:p w14:paraId="565E4D66">
      <w:pPr>
        <w:spacing w:line="320" w:lineRule="exact"/>
        <w:rPr>
          <w:rFonts w:hint="eastAsia" w:ascii="宋体" w:hAnsi="宋体"/>
          <w:color w:val="auto"/>
          <w:highlight w:val="none"/>
        </w:rPr>
      </w:pPr>
    </w:p>
    <w:p w14:paraId="06E8C737">
      <w:pPr>
        <w:rPr>
          <w:color w:val="auto"/>
          <w:highlight w:val="none"/>
        </w:rPr>
      </w:pPr>
      <w:r>
        <w:rPr>
          <w:rFonts w:hint="eastAsia"/>
          <w:color w:val="auto"/>
          <w:highlight w:val="none"/>
        </w:rPr>
        <w:br w:type="page"/>
      </w:r>
    </w:p>
    <w:p w14:paraId="7457B616">
      <w:pPr>
        <w:rPr>
          <w:b/>
          <w:bCs/>
          <w:color w:val="auto"/>
          <w:sz w:val="24"/>
          <w:szCs w:val="32"/>
          <w:highlight w:val="none"/>
        </w:rPr>
      </w:pPr>
      <w:r>
        <w:rPr>
          <w:rFonts w:hint="eastAsia"/>
          <w:b/>
          <w:bCs/>
          <w:color w:val="auto"/>
          <w:sz w:val="24"/>
          <w:szCs w:val="32"/>
          <w:highlight w:val="none"/>
        </w:rPr>
        <w:t>附件1：</w:t>
      </w:r>
    </w:p>
    <w:p w14:paraId="0CDC342B">
      <w:pPr>
        <w:rPr>
          <w:b/>
          <w:bCs/>
          <w:color w:val="auto"/>
          <w:highlight w:val="none"/>
        </w:rPr>
      </w:pPr>
    </w:p>
    <w:p w14:paraId="5B9F5667">
      <w:pPr>
        <w:rPr>
          <w:b/>
          <w:bCs/>
          <w:color w:val="auto"/>
          <w:highlight w:val="none"/>
        </w:rPr>
      </w:pPr>
      <w:r>
        <w:rPr>
          <w:rFonts w:hint="eastAsia"/>
          <w:b/>
          <w:bCs/>
          <w:color w:val="auto"/>
          <w:highlight w:val="none"/>
        </w:rPr>
        <w:t>一期升级改造租赁项目点位需求清单：</w:t>
      </w:r>
    </w:p>
    <w:tbl>
      <w:tblPr>
        <w:tblStyle w:val="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1768"/>
        <w:gridCol w:w="2638"/>
        <w:gridCol w:w="2371"/>
        <w:gridCol w:w="2156"/>
      </w:tblGrid>
      <w:tr w14:paraId="25BB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61" w:type="pct"/>
            <w:vMerge w:val="restart"/>
            <w:shd w:val="clear" w:color="000000" w:fill="FFFFFF"/>
            <w:vAlign w:val="center"/>
          </w:tcPr>
          <w:p w14:paraId="0ABAD359">
            <w:pPr>
              <w:spacing w:line="360" w:lineRule="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序号</w:t>
            </w:r>
          </w:p>
        </w:tc>
        <w:tc>
          <w:tcPr>
            <w:tcW w:w="898" w:type="pct"/>
            <w:vMerge w:val="restart"/>
            <w:shd w:val="clear" w:color="000000" w:fill="FFFFFF"/>
            <w:vAlign w:val="center"/>
          </w:tcPr>
          <w:p w14:paraId="0B333C0F">
            <w:pPr>
              <w:spacing w:line="360" w:lineRule="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地市</w:t>
            </w:r>
          </w:p>
        </w:tc>
        <w:tc>
          <w:tcPr>
            <w:tcW w:w="1340" w:type="pct"/>
            <w:vMerge w:val="restart"/>
            <w:shd w:val="clear" w:color="000000" w:fill="FFFFFF"/>
            <w:vAlign w:val="center"/>
          </w:tcPr>
          <w:p w14:paraId="76C02FD3">
            <w:pPr>
              <w:spacing w:line="360" w:lineRule="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线路名称</w:t>
            </w:r>
          </w:p>
        </w:tc>
        <w:tc>
          <w:tcPr>
            <w:tcW w:w="1204" w:type="pct"/>
            <w:vMerge w:val="restart"/>
            <w:shd w:val="clear" w:color="000000" w:fill="FFFFFF"/>
            <w:vAlign w:val="center"/>
          </w:tcPr>
          <w:p w14:paraId="7A09C908">
            <w:pPr>
              <w:spacing w:line="360" w:lineRule="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线路里程</w:t>
            </w:r>
          </w:p>
        </w:tc>
        <w:tc>
          <w:tcPr>
            <w:tcW w:w="1095" w:type="pct"/>
            <w:shd w:val="clear" w:color="000000" w:fill="FFFFFF"/>
            <w:vAlign w:val="center"/>
          </w:tcPr>
          <w:p w14:paraId="46159528">
            <w:pPr>
              <w:spacing w:line="360" w:lineRule="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设备类型</w:t>
            </w:r>
          </w:p>
        </w:tc>
      </w:tr>
      <w:tr w14:paraId="7A5A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461" w:type="pct"/>
            <w:vMerge w:val="continue"/>
            <w:shd w:val="clear" w:color="000000" w:fill="FFFFFF"/>
            <w:vAlign w:val="center"/>
          </w:tcPr>
          <w:p w14:paraId="4FB388A9">
            <w:pPr>
              <w:spacing w:line="360" w:lineRule="auto"/>
              <w:jc w:val="center"/>
              <w:rPr>
                <w:rFonts w:hint="eastAsia" w:asciiTheme="minorEastAsia" w:hAnsiTheme="minorEastAsia" w:eastAsiaTheme="minorEastAsia" w:cstheme="minorEastAsia"/>
                <w:b/>
                <w:bCs/>
                <w:color w:val="auto"/>
                <w:kern w:val="0"/>
                <w:szCs w:val="21"/>
                <w:highlight w:val="none"/>
              </w:rPr>
            </w:pPr>
          </w:p>
        </w:tc>
        <w:tc>
          <w:tcPr>
            <w:tcW w:w="898" w:type="pct"/>
            <w:vMerge w:val="continue"/>
            <w:shd w:val="clear" w:color="000000" w:fill="FFFFFF"/>
            <w:vAlign w:val="center"/>
          </w:tcPr>
          <w:p w14:paraId="75C71A28">
            <w:pPr>
              <w:spacing w:line="360" w:lineRule="auto"/>
              <w:jc w:val="center"/>
              <w:rPr>
                <w:rFonts w:hint="eastAsia" w:asciiTheme="minorEastAsia" w:hAnsiTheme="minorEastAsia" w:eastAsiaTheme="minorEastAsia" w:cstheme="minorEastAsia"/>
                <w:b/>
                <w:bCs/>
                <w:color w:val="auto"/>
                <w:kern w:val="0"/>
                <w:szCs w:val="21"/>
                <w:highlight w:val="none"/>
              </w:rPr>
            </w:pPr>
          </w:p>
        </w:tc>
        <w:tc>
          <w:tcPr>
            <w:tcW w:w="1340" w:type="pct"/>
            <w:vMerge w:val="continue"/>
            <w:shd w:val="clear" w:color="000000" w:fill="FFFFFF"/>
            <w:vAlign w:val="center"/>
          </w:tcPr>
          <w:p w14:paraId="64232264">
            <w:pPr>
              <w:spacing w:line="360" w:lineRule="auto"/>
              <w:jc w:val="center"/>
              <w:rPr>
                <w:rFonts w:hint="eastAsia" w:asciiTheme="minorEastAsia" w:hAnsiTheme="minorEastAsia" w:eastAsiaTheme="minorEastAsia" w:cstheme="minorEastAsia"/>
                <w:b/>
                <w:bCs/>
                <w:color w:val="auto"/>
                <w:kern w:val="0"/>
                <w:szCs w:val="21"/>
                <w:highlight w:val="none"/>
              </w:rPr>
            </w:pPr>
          </w:p>
        </w:tc>
        <w:tc>
          <w:tcPr>
            <w:tcW w:w="1204" w:type="pct"/>
            <w:vMerge w:val="continue"/>
            <w:shd w:val="clear" w:color="000000" w:fill="FFFFFF"/>
            <w:vAlign w:val="center"/>
          </w:tcPr>
          <w:p w14:paraId="5A33EB9E">
            <w:pPr>
              <w:spacing w:line="360" w:lineRule="auto"/>
              <w:jc w:val="center"/>
              <w:rPr>
                <w:rFonts w:hint="eastAsia" w:asciiTheme="minorEastAsia" w:hAnsiTheme="minorEastAsia" w:eastAsiaTheme="minorEastAsia" w:cstheme="minorEastAsia"/>
                <w:b/>
                <w:bCs/>
                <w:color w:val="auto"/>
                <w:kern w:val="0"/>
                <w:szCs w:val="21"/>
                <w:highlight w:val="none"/>
              </w:rPr>
            </w:pPr>
          </w:p>
        </w:tc>
        <w:tc>
          <w:tcPr>
            <w:tcW w:w="1095" w:type="pct"/>
            <w:shd w:val="clear" w:color="000000" w:fill="FFFFFF"/>
            <w:vAlign w:val="center"/>
          </w:tcPr>
          <w:p w14:paraId="0D88C3B3">
            <w:pPr>
              <w:spacing w:line="360" w:lineRule="auto"/>
              <w:jc w:val="center"/>
              <w:rPr>
                <w:color w:val="auto"/>
                <w:highlight w:val="none"/>
              </w:rPr>
            </w:pPr>
            <w:r>
              <w:rPr>
                <w:rFonts w:hint="eastAsia" w:asciiTheme="minorEastAsia" w:hAnsiTheme="minorEastAsia" w:eastAsiaTheme="minorEastAsia" w:cstheme="minorEastAsia"/>
                <w:b/>
                <w:bCs/>
                <w:color w:val="auto"/>
                <w:kern w:val="0"/>
                <w:szCs w:val="21"/>
                <w:highlight w:val="none"/>
              </w:rPr>
              <w:t>热成像球机数量</w:t>
            </w:r>
          </w:p>
          <w:p w14:paraId="020C3EBE">
            <w:pPr>
              <w:spacing w:line="360" w:lineRule="auto"/>
              <w:jc w:val="center"/>
              <w:rPr>
                <w:color w:val="auto"/>
                <w:highlight w:val="none"/>
              </w:rPr>
            </w:pPr>
            <w:r>
              <w:rPr>
                <w:rFonts w:hint="eastAsia"/>
                <w:color w:val="auto"/>
                <w:highlight w:val="none"/>
              </w:rPr>
              <w:t>（台）</w:t>
            </w:r>
          </w:p>
        </w:tc>
      </w:tr>
      <w:tr w14:paraId="6ACC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40D85E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98" w:type="pct"/>
            <w:vAlign w:val="center"/>
          </w:tcPr>
          <w:p w14:paraId="0A14F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南宁</w:t>
            </w:r>
          </w:p>
        </w:tc>
        <w:tc>
          <w:tcPr>
            <w:tcW w:w="1340" w:type="pct"/>
            <w:vAlign w:val="center"/>
          </w:tcPr>
          <w:p w14:paraId="236BC5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南钦联络线</w:t>
            </w:r>
          </w:p>
        </w:tc>
        <w:tc>
          <w:tcPr>
            <w:tcW w:w="1204" w:type="pct"/>
            <w:vAlign w:val="center"/>
          </w:tcPr>
          <w:p w14:paraId="5BFDA7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K1+950</w:t>
            </w:r>
          </w:p>
        </w:tc>
        <w:tc>
          <w:tcPr>
            <w:tcW w:w="1095" w:type="pct"/>
            <w:vAlign w:val="center"/>
          </w:tcPr>
          <w:p w14:paraId="64DF66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2937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185B4D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898" w:type="pct"/>
            <w:vAlign w:val="center"/>
          </w:tcPr>
          <w:p w14:paraId="657EEA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南宁</w:t>
            </w:r>
          </w:p>
        </w:tc>
        <w:tc>
          <w:tcPr>
            <w:tcW w:w="1340" w:type="pct"/>
            <w:vAlign w:val="center"/>
          </w:tcPr>
          <w:p w14:paraId="267B7B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204" w:type="pct"/>
            <w:vAlign w:val="center"/>
          </w:tcPr>
          <w:p w14:paraId="442AE2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K9+660</w:t>
            </w:r>
          </w:p>
        </w:tc>
        <w:tc>
          <w:tcPr>
            <w:tcW w:w="1095" w:type="pct"/>
            <w:vAlign w:val="center"/>
          </w:tcPr>
          <w:p w14:paraId="7A367B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58D7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119213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p>
        </w:tc>
        <w:tc>
          <w:tcPr>
            <w:tcW w:w="898" w:type="pct"/>
            <w:vAlign w:val="center"/>
          </w:tcPr>
          <w:p w14:paraId="4D6029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南宁</w:t>
            </w:r>
          </w:p>
        </w:tc>
        <w:tc>
          <w:tcPr>
            <w:tcW w:w="1340" w:type="pct"/>
            <w:vAlign w:val="center"/>
          </w:tcPr>
          <w:p w14:paraId="68B22C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204" w:type="pct"/>
            <w:vAlign w:val="center"/>
          </w:tcPr>
          <w:p w14:paraId="6277AD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K11+100</w:t>
            </w:r>
          </w:p>
        </w:tc>
        <w:tc>
          <w:tcPr>
            <w:tcW w:w="1095" w:type="pct"/>
            <w:vAlign w:val="center"/>
          </w:tcPr>
          <w:p w14:paraId="5D2993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1A29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504146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p>
        </w:tc>
        <w:tc>
          <w:tcPr>
            <w:tcW w:w="898" w:type="pct"/>
            <w:vAlign w:val="center"/>
          </w:tcPr>
          <w:p w14:paraId="321365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南宁</w:t>
            </w:r>
          </w:p>
        </w:tc>
        <w:tc>
          <w:tcPr>
            <w:tcW w:w="1340" w:type="pct"/>
            <w:vAlign w:val="center"/>
          </w:tcPr>
          <w:p w14:paraId="04DC35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204" w:type="pct"/>
            <w:vAlign w:val="center"/>
          </w:tcPr>
          <w:p w14:paraId="4C28F2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K20+100</w:t>
            </w:r>
          </w:p>
        </w:tc>
        <w:tc>
          <w:tcPr>
            <w:tcW w:w="1095" w:type="pct"/>
            <w:vAlign w:val="center"/>
          </w:tcPr>
          <w:p w14:paraId="52BC71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0B0A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2848E6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c>
          <w:tcPr>
            <w:tcW w:w="898" w:type="pct"/>
            <w:vAlign w:val="center"/>
          </w:tcPr>
          <w:p w14:paraId="653AE8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南宁</w:t>
            </w:r>
          </w:p>
        </w:tc>
        <w:tc>
          <w:tcPr>
            <w:tcW w:w="1340" w:type="pct"/>
            <w:shd w:val="clear" w:color="000000" w:fill="FFFFFF"/>
            <w:vAlign w:val="center"/>
          </w:tcPr>
          <w:p w14:paraId="296A87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南防线</w:t>
            </w:r>
          </w:p>
        </w:tc>
        <w:tc>
          <w:tcPr>
            <w:tcW w:w="1204" w:type="pct"/>
            <w:shd w:val="clear" w:color="000000" w:fill="FFFFFF"/>
            <w:vAlign w:val="center"/>
          </w:tcPr>
          <w:p w14:paraId="4417BD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K6+800</w:t>
            </w:r>
          </w:p>
        </w:tc>
        <w:tc>
          <w:tcPr>
            <w:tcW w:w="1095" w:type="pct"/>
            <w:shd w:val="clear" w:color="000000" w:fill="FFFFFF"/>
            <w:vAlign w:val="center"/>
          </w:tcPr>
          <w:p w14:paraId="729E34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0EE65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5D08F3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p>
        </w:tc>
        <w:tc>
          <w:tcPr>
            <w:tcW w:w="898" w:type="pct"/>
            <w:vAlign w:val="center"/>
          </w:tcPr>
          <w:p w14:paraId="2271B1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南宁</w:t>
            </w:r>
          </w:p>
        </w:tc>
        <w:tc>
          <w:tcPr>
            <w:tcW w:w="1340" w:type="pct"/>
            <w:vAlign w:val="center"/>
          </w:tcPr>
          <w:p w14:paraId="5237A6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204" w:type="pct"/>
            <w:vAlign w:val="center"/>
          </w:tcPr>
          <w:p w14:paraId="4A5357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K23+400</w:t>
            </w:r>
          </w:p>
        </w:tc>
        <w:tc>
          <w:tcPr>
            <w:tcW w:w="1095" w:type="pct"/>
            <w:vAlign w:val="center"/>
          </w:tcPr>
          <w:p w14:paraId="750D0F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2DCB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550061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w:t>
            </w:r>
          </w:p>
        </w:tc>
        <w:tc>
          <w:tcPr>
            <w:tcW w:w="898" w:type="pct"/>
            <w:vAlign w:val="center"/>
          </w:tcPr>
          <w:p w14:paraId="3B44FC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南宁</w:t>
            </w:r>
          </w:p>
        </w:tc>
        <w:tc>
          <w:tcPr>
            <w:tcW w:w="1340" w:type="pct"/>
            <w:vAlign w:val="center"/>
          </w:tcPr>
          <w:p w14:paraId="0CAFA4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204" w:type="pct"/>
            <w:vAlign w:val="center"/>
          </w:tcPr>
          <w:p w14:paraId="297B18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K24+300</w:t>
            </w:r>
          </w:p>
        </w:tc>
        <w:tc>
          <w:tcPr>
            <w:tcW w:w="1095" w:type="pct"/>
            <w:vAlign w:val="center"/>
          </w:tcPr>
          <w:p w14:paraId="35E3D9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0BB92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081E33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w:t>
            </w:r>
          </w:p>
        </w:tc>
        <w:tc>
          <w:tcPr>
            <w:tcW w:w="898" w:type="pct"/>
            <w:vAlign w:val="center"/>
          </w:tcPr>
          <w:p w14:paraId="336232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南宁</w:t>
            </w:r>
          </w:p>
        </w:tc>
        <w:tc>
          <w:tcPr>
            <w:tcW w:w="1340" w:type="pct"/>
            <w:vAlign w:val="center"/>
          </w:tcPr>
          <w:p w14:paraId="23051D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204" w:type="pct"/>
            <w:vAlign w:val="center"/>
          </w:tcPr>
          <w:p w14:paraId="0E42DF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K25+850</w:t>
            </w:r>
          </w:p>
        </w:tc>
        <w:tc>
          <w:tcPr>
            <w:tcW w:w="1095" w:type="pct"/>
            <w:vAlign w:val="center"/>
          </w:tcPr>
          <w:p w14:paraId="2503F6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17D5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2E4CCA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w:t>
            </w:r>
          </w:p>
        </w:tc>
        <w:tc>
          <w:tcPr>
            <w:tcW w:w="898" w:type="pct"/>
            <w:vAlign w:val="center"/>
          </w:tcPr>
          <w:p w14:paraId="01DD15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南宁</w:t>
            </w:r>
          </w:p>
        </w:tc>
        <w:tc>
          <w:tcPr>
            <w:tcW w:w="1340" w:type="pct"/>
            <w:vAlign w:val="center"/>
          </w:tcPr>
          <w:p w14:paraId="0355C8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204" w:type="pct"/>
            <w:vAlign w:val="center"/>
          </w:tcPr>
          <w:p w14:paraId="4A38C0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K38+450</w:t>
            </w:r>
          </w:p>
        </w:tc>
        <w:tc>
          <w:tcPr>
            <w:tcW w:w="1095" w:type="pct"/>
            <w:vAlign w:val="center"/>
          </w:tcPr>
          <w:p w14:paraId="29F3E7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44D5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461" w:type="pct"/>
            <w:vAlign w:val="center"/>
          </w:tcPr>
          <w:p w14:paraId="486B8D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p>
        </w:tc>
        <w:tc>
          <w:tcPr>
            <w:tcW w:w="898" w:type="pct"/>
            <w:vAlign w:val="center"/>
          </w:tcPr>
          <w:p w14:paraId="4D5C68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南宁</w:t>
            </w:r>
          </w:p>
        </w:tc>
        <w:tc>
          <w:tcPr>
            <w:tcW w:w="1340" w:type="pct"/>
            <w:vAlign w:val="center"/>
          </w:tcPr>
          <w:p w14:paraId="694C1A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屯东联络线</w:t>
            </w:r>
          </w:p>
        </w:tc>
        <w:tc>
          <w:tcPr>
            <w:tcW w:w="1204" w:type="pct"/>
            <w:vAlign w:val="center"/>
          </w:tcPr>
          <w:p w14:paraId="0794DA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K1+238</w:t>
            </w:r>
          </w:p>
        </w:tc>
        <w:tc>
          <w:tcPr>
            <w:tcW w:w="1095" w:type="pct"/>
            <w:vAlign w:val="center"/>
          </w:tcPr>
          <w:p w14:paraId="25860D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45BC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461" w:type="pct"/>
            <w:vAlign w:val="center"/>
          </w:tcPr>
          <w:p w14:paraId="444397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w:t>
            </w:r>
          </w:p>
        </w:tc>
        <w:tc>
          <w:tcPr>
            <w:tcW w:w="898" w:type="pct"/>
            <w:vAlign w:val="center"/>
          </w:tcPr>
          <w:p w14:paraId="068A60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1340" w:type="pct"/>
            <w:vAlign w:val="center"/>
          </w:tcPr>
          <w:p w14:paraId="499BC2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衡柳线</w:t>
            </w:r>
          </w:p>
        </w:tc>
        <w:tc>
          <w:tcPr>
            <w:tcW w:w="1204" w:type="pct"/>
            <w:vAlign w:val="center"/>
          </w:tcPr>
          <w:p w14:paraId="49EB12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K488+780</w:t>
            </w:r>
          </w:p>
        </w:tc>
        <w:tc>
          <w:tcPr>
            <w:tcW w:w="1095" w:type="pct"/>
            <w:vAlign w:val="center"/>
          </w:tcPr>
          <w:p w14:paraId="7F1F4B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7291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39CD49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w:t>
            </w:r>
          </w:p>
        </w:tc>
        <w:tc>
          <w:tcPr>
            <w:tcW w:w="898" w:type="pct"/>
            <w:vAlign w:val="center"/>
          </w:tcPr>
          <w:p w14:paraId="0AAD11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1340" w:type="pct"/>
            <w:vAlign w:val="center"/>
          </w:tcPr>
          <w:p w14:paraId="3D5339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衡柳线</w:t>
            </w:r>
          </w:p>
        </w:tc>
        <w:tc>
          <w:tcPr>
            <w:tcW w:w="1204" w:type="pct"/>
            <w:vAlign w:val="center"/>
          </w:tcPr>
          <w:p w14:paraId="5B8AC5A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K497+300</w:t>
            </w:r>
          </w:p>
        </w:tc>
        <w:tc>
          <w:tcPr>
            <w:tcW w:w="1095" w:type="pct"/>
            <w:vAlign w:val="center"/>
          </w:tcPr>
          <w:p w14:paraId="7C0F9E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6644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41B519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w:t>
            </w:r>
          </w:p>
        </w:tc>
        <w:tc>
          <w:tcPr>
            <w:tcW w:w="898" w:type="pct"/>
            <w:vAlign w:val="center"/>
          </w:tcPr>
          <w:p w14:paraId="24FC3F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1340" w:type="pct"/>
            <w:vAlign w:val="center"/>
          </w:tcPr>
          <w:p w14:paraId="39BB69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衡柳线</w:t>
            </w:r>
          </w:p>
        </w:tc>
        <w:tc>
          <w:tcPr>
            <w:tcW w:w="1204" w:type="pct"/>
            <w:vAlign w:val="center"/>
          </w:tcPr>
          <w:p w14:paraId="3FF2A3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K491+900</w:t>
            </w:r>
          </w:p>
        </w:tc>
        <w:tc>
          <w:tcPr>
            <w:tcW w:w="1095" w:type="pct"/>
            <w:vAlign w:val="center"/>
          </w:tcPr>
          <w:p w14:paraId="20C108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3D7F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046904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w:t>
            </w:r>
          </w:p>
        </w:tc>
        <w:tc>
          <w:tcPr>
            <w:tcW w:w="898" w:type="pct"/>
            <w:vAlign w:val="center"/>
          </w:tcPr>
          <w:p w14:paraId="017286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1340" w:type="pct"/>
            <w:vAlign w:val="center"/>
          </w:tcPr>
          <w:p w14:paraId="469129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衡柳线</w:t>
            </w:r>
          </w:p>
        </w:tc>
        <w:tc>
          <w:tcPr>
            <w:tcW w:w="1204" w:type="pct"/>
            <w:vAlign w:val="center"/>
          </w:tcPr>
          <w:p w14:paraId="029408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K490+500</w:t>
            </w:r>
          </w:p>
        </w:tc>
        <w:tc>
          <w:tcPr>
            <w:tcW w:w="1095" w:type="pct"/>
            <w:vAlign w:val="center"/>
          </w:tcPr>
          <w:p w14:paraId="38AA67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15B7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697BA2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w:t>
            </w:r>
          </w:p>
        </w:tc>
        <w:tc>
          <w:tcPr>
            <w:tcW w:w="898" w:type="pct"/>
            <w:vAlign w:val="center"/>
          </w:tcPr>
          <w:p w14:paraId="602051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1340" w:type="pct"/>
            <w:vAlign w:val="center"/>
          </w:tcPr>
          <w:p w14:paraId="672241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衡柳线</w:t>
            </w:r>
          </w:p>
        </w:tc>
        <w:tc>
          <w:tcPr>
            <w:tcW w:w="1204" w:type="pct"/>
            <w:vAlign w:val="center"/>
          </w:tcPr>
          <w:p w14:paraId="070F51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K493+600</w:t>
            </w:r>
          </w:p>
        </w:tc>
        <w:tc>
          <w:tcPr>
            <w:tcW w:w="1095" w:type="pct"/>
            <w:vAlign w:val="center"/>
          </w:tcPr>
          <w:p w14:paraId="61C62B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26BC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65A970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w:t>
            </w:r>
          </w:p>
        </w:tc>
        <w:tc>
          <w:tcPr>
            <w:tcW w:w="898" w:type="pct"/>
            <w:vAlign w:val="center"/>
          </w:tcPr>
          <w:p w14:paraId="57DD85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1340" w:type="pct"/>
            <w:vAlign w:val="center"/>
          </w:tcPr>
          <w:p w14:paraId="38D986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焦柳线</w:t>
            </w:r>
          </w:p>
        </w:tc>
        <w:tc>
          <w:tcPr>
            <w:tcW w:w="1204" w:type="pct"/>
            <w:vAlign w:val="center"/>
          </w:tcPr>
          <w:p w14:paraId="789663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K1407+250</w:t>
            </w:r>
          </w:p>
        </w:tc>
        <w:tc>
          <w:tcPr>
            <w:tcW w:w="1095" w:type="pct"/>
            <w:vAlign w:val="center"/>
          </w:tcPr>
          <w:p w14:paraId="083F07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4D2D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306ADC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w:t>
            </w:r>
          </w:p>
        </w:tc>
        <w:tc>
          <w:tcPr>
            <w:tcW w:w="898" w:type="pct"/>
            <w:vAlign w:val="center"/>
          </w:tcPr>
          <w:p w14:paraId="747085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1340" w:type="pct"/>
            <w:vAlign w:val="center"/>
          </w:tcPr>
          <w:p w14:paraId="3AE9C3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焦柳线</w:t>
            </w:r>
          </w:p>
        </w:tc>
        <w:tc>
          <w:tcPr>
            <w:tcW w:w="1204" w:type="pct"/>
            <w:vAlign w:val="center"/>
          </w:tcPr>
          <w:p w14:paraId="1663A2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K1414+170</w:t>
            </w:r>
          </w:p>
        </w:tc>
        <w:tc>
          <w:tcPr>
            <w:tcW w:w="1095" w:type="pct"/>
            <w:vAlign w:val="center"/>
          </w:tcPr>
          <w:p w14:paraId="52B281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61AC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0CC8A4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w:t>
            </w:r>
          </w:p>
        </w:tc>
        <w:tc>
          <w:tcPr>
            <w:tcW w:w="898" w:type="pct"/>
            <w:vAlign w:val="center"/>
          </w:tcPr>
          <w:p w14:paraId="5DA2C9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1340" w:type="pct"/>
            <w:vAlign w:val="center"/>
          </w:tcPr>
          <w:p w14:paraId="3D39B4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焦柳线</w:t>
            </w:r>
          </w:p>
        </w:tc>
        <w:tc>
          <w:tcPr>
            <w:tcW w:w="1204" w:type="pct"/>
            <w:vAlign w:val="center"/>
          </w:tcPr>
          <w:p w14:paraId="012B08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K1419+510</w:t>
            </w:r>
          </w:p>
        </w:tc>
        <w:tc>
          <w:tcPr>
            <w:tcW w:w="1095" w:type="pct"/>
            <w:vAlign w:val="center"/>
          </w:tcPr>
          <w:p w14:paraId="0E1584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3FE1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3B9751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w:t>
            </w:r>
          </w:p>
        </w:tc>
        <w:tc>
          <w:tcPr>
            <w:tcW w:w="898" w:type="pct"/>
            <w:vAlign w:val="center"/>
          </w:tcPr>
          <w:p w14:paraId="47622B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1340" w:type="pct"/>
            <w:vAlign w:val="center"/>
          </w:tcPr>
          <w:p w14:paraId="42E03A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焦柳线</w:t>
            </w:r>
          </w:p>
        </w:tc>
        <w:tc>
          <w:tcPr>
            <w:tcW w:w="1204" w:type="pct"/>
            <w:vAlign w:val="center"/>
          </w:tcPr>
          <w:p w14:paraId="062517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K1422+550</w:t>
            </w:r>
          </w:p>
        </w:tc>
        <w:tc>
          <w:tcPr>
            <w:tcW w:w="1095" w:type="pct"/>
            <w:vAlign w:val="center"/>
          </w:tcPr>
          <w:p w14:paraId="1F4041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2AC8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6D171C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w:t>
            </w:r>
          </w:p>
        </w:tc>
        <w:tc>
          <w:tcPr>
            <w:tcW w:w="898" w:type="pct"/>
            <w:vAlign w:val="center"/>
          </w:tcPr>
          <w:p w14:paraId="6C6EF9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1340" w:type="pct"/>
            <w:vAlign w:val="center"/>
          </w:tcPr>
          <w:p w14:paraId="760423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焦柳线</w:t>
            </w:r>
          </w:p>
        </w:tc>
        <w:tc>
          <w:tcPr>
            <w:tcW w:w="1204" w:type="pct"/>
            <w:vAlign w:val="center"/>
          </w:tcPr>
          <w:p w14:paraId="2D8AF9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K1431+420</w:t>
            </w:r>
          </w:p>
        </w:tc>
        <w:tc>
          <w:tcPr>
            <w:tcW w:w="1095" w:type="pct"/>
            <w:vAlign w:val="center"/>
          </w:tcPr>
          <w:p w14:paraId="6E0024C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136B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33CED8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w:t>
            </w:r>
          </w:p>
        </w:tc>
        <w:tc>
          <w:tcPr>
            <w:tcW w:w="898" w:type="pct"/>
            <w:vAlign w:val="center"/>
          </w:tcPr>
          <w:p w14:paraId="4835B0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1340" w:type="pct"/>
            <w:vAlign w:val="center"/>
          </w:tcPr>
          <w:p w14:paraId="509374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1204" w:type="pct"/>
            <w:vAlign w:val="center"/>
          </w:tcPr>
          <w:p w14:paraId="2AC274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K145+920</w:t>
            </w:r>
          </w:p>
        </w:tc>
        <w:tc>
          <w:tcPr>
            <w:tcW w:w="1095" w:type="pct"/>
            <w:vAlign w:val="center"/>
          </w:tcPr>
          <w:p w14:paraId="5F0C58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5A0F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461" w:type="pct"/>
            <w:vAlign w:val="center"/>
          </w:tcPr>
          <w:p w14:paraId="2BD410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w:t>
            </w:r>
          </w:p>
        </w:tc>
        <w:tc>
          <w:tcPr>
            <w:tcW w:w="898" w:type="pct"/>
            <w:vAlign w:val="center"/>
          </w:tcPr>
          <w:p w14:paraId="2610C4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1340" w:type="pct"/>
            <w:vAlign w:val="center"/>
          </w:tcPr>
          <w:p w14:paraId="15977C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1204" w:type="pct"/>
            <w:vAlign w:val="center"/>
          </w:tcPr>
          <w:p w14:paraId="4D450E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K152+200</w:t>
            </w:r>
          </w:p>
        </w:tc>
        <w:tc>
          <w:tcPr>
            <w:tcW w:w="1095" w:type="pct"/>
            <w:vAlign w:val="center"/>
          </w:tcPr>
          <w:p w14:paraId="66ED43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2A0E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685" w:type="dxa"/>
            <w:gridSpan w:val="4"/>
            <w:vAlign w:val="center"/>
          </w:tcPr>
          <w:p w14:paraId="112A88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合计</w:t>
            </w:r>
          </w:p>
        </w:tc>
        <w:tc>
          <w:tcPr>
            <w:tcW w:w="2156" w:type="dxa"/>
            <w:vAlign w:val="center"/>
          </w:tcPr>
          <w:p w14:paraId="0D3684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22</w:t>
            </w:r>
          </w:p>
        </w:tc>
      </w:tr>
    </w:tbl>
    <w:p w14:paraId="3CCF35F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highlight w:val="none"/>
        </w:rPr>
      </w:pPr>
    </w:p>
    <w:p w14:paraId="19807EF2">
      <w:pPr>
        <w:pStyle w:val="8"/>
        <w:ind w:firstLine="0" w:firstLineChars="0"/>
        <w:rPr>
          <w:color w:val="auto"/>
          <w:highlight w:val="none"/>
          <w:lang w:val="en-US"/>
        </w:rPr>
        <w:sectPr>
          <w:footerReference r:id="rId3" w:type="default"/>
          <w:pgSz w:w="11905" w:h="16838"/>
          <w:pgMar w:top="1134" w:right="1134" w:bottom="1134" w:left="1134" w:header="850" w:footer="992" w:gutter="0"/>
          <w:paperSrc/>
          <w:cols w:space="0" w:num="1"/>
          <w:rtlGutter w:val="0"/>
          <w:docGrid w:type="lines" w:linePitch="317" w:charSpace="0"/>
        </w:sectPr>
      </w:pPr>
    </w:p>
    <w:p w14:paraId="2DF26F82">
      <w:pPr>
        <w:pStyle w:val="8"/>
        <w:ind w:firstLine="0" w:firstLineChars="0"/>
        <w:rPr>
          <w:color w:val="auto"/>
          <w:sz w:val="21"/>
          <w:szCs w:val="21"/>
          <w:highlight w:val="none"/>
          <w:lang w:val="en-US"/>
        </w:rPr>
      </w:pPr>
      <w:r>
        <w:rPr>
          <w:rFonts w:hint="eastAsia"/>
          <w:color w:val="auto"/>
          <w:sz w:val="21"/>
          <w:szCs w:val="21"/>
          <w:highlight w:val="none"/>
          <w:lang w:val="en-US"/>
        </w:rPr>
        <w:t>二期租赁项目点位需求清单</w:t>
      </w:r>
    </w:p>
    <w:tbl>
      <w:tblPr>
        <w:tblStyle w:val="5"/>
        <w:tblW w:w="4988" w:type="pct"/>
        <w:jc w:val="center"/>
        <w:tblLayout w:type="autofit"/>
        <w:tblCellMar>
          <w:top w:w="0" w:type="dxa"/>
          <w:left w:w="108" w:type="dxa"/>
          <w:bottom w:w="0" w:type="dxa"/>
          <w:right w:w="108" w:type="dxa"/>
        </w:tblCellMar>
      </w:tblPr>
      <w:tblGrid>
        <w:gridCol w:w="810"/>
        <w:gridCol w:w="1123"/>
        <w:gridCol w:w="1560"/>
        <w:gridCol w:w="1798"/>
        <w:gridCol w:w="1859"/>
        <w:gridCol w:w="1538"/>
        <w:gridCol w:w="1141"/>
      </w:tblGrid>
      <w:tr w14:paraId="14BCCDF6">
        <w:tblPrEx>
          <w:tblCellMar>
            <w:top w:w="0" w:type="dxa"/>
            <w:left w:w="108" w:type="dxa"/>
            <w:bottom w:w="0" w:type="dxa"/>
            <w:right w:w="108" w:type="dxa"/>
          </w:tblCellMar>
        </w:tblPrEx>
        <w:trPr>
          <w:trHeight w:val="250" w:hRule="atLeast"/>
          <w:jc w:val="center"/>
        </w:trPr>
        <w:tc>
          <w:tcPr>
            <w:tcW w:w="412" w:type="pct"/>
            <w:vMerge w:val="restart"/>
            <w:tcBorders>
              <w:top w:val="single" w:color="000000" w:sz="4" w:space="0"/>
              <w:left w:val="single" w:color="000000" w:sz="4" w:space="0"/>
              <w:right w:val="single" w:color="000000" w:sz="4" w:space="0"/>
            </w:tcBorders>
            <w:vAlign w:val="center"/>
          </w:tcPr>
          <w:p w14:paraId="1BB3B65A">
            <w:pPr>
              <w:spacing w:line="360" w:lineRule="auto"/>
              <w:jc w:val="center"/>
              <w:rPr>
                <w:rFonts w:hint="eastAsia" w:asciiTheme="minorEastAsia" w:hAnsiTheme="minorEastAsia" w:eastAsiaTheme="minorEastAsia" w:cstheme="minorEastAsia"/>
                <w:b/>
                <w:bCs/>
                <w:color w:val="auto"/>
                <w:kern w:val="0"/>
                <w:szCs w:val="21"/>
                <w:highlight w:val="none"/>
                <w:lang w:eastAsia="en-US"/>
              </w:rPr>
            </w:pPr>
            <w:r>
              <w:rPr>
                <w:rFonts w:hint="eastAsia" w:asciiTheme="minorEastAsia" w:hAnsiTheme="minorEastAsia" w:eastAsiaTheme="minorEastAsia" w:cstheme="minorEastAsia"/>
                <w:b/>
                <w:bCs/>
                <w:color w:val="auto"/>
                <w:kern w:val="0"/>
                <w:szCs w:val="21"/>
                <w:highlight w:val="none"/>
                <w:lang w:eastAsia="en-US"/>
              </w:rPr>
              <w:t>序号</w:t>
            </w:r>
          </w:p>
        </w:tc>
        <w:tc>
          <w:tcPr>
            <w:tcW w:w="571" w:type="pct"/>
            <w:vMerge w:val="restart"/>
            <w:tcBorders>
              <w:top w:val="single" w:color="000000" w:sz="4" w:space="0"/>
              <w:left w:val="nil"/>
              <w:right w:val="nil"/>
            </w:tcBorders>
            <w:vAlign w:val="center"/>
          </w:tcPr>
          <w:p w14:paraId="2AF76B9F">
            <w:pPr>
              <w:spacing w:line="360" w:lineRule="auto"/>
              <w:jc w:val="center"/>
              <w:rPr>
                <w:rFonts w:hint="eastAsia" w:asciiTheme="minorEastAsia" w:hAnsiTheme="minorEastAsia" w:eastAsiaTheme="minorEastAsia" w:cstheme="minorEastAsia"/>
                <w:b/>
                <w:bCs/>
                <w:color w:val="auto"/>
                <w:kern w:val="0"/>
                <w:szCs w:val="21"/>
                <w:highlight w:val="none"/>
                <w:lang w:eastAsia="en-US"/>
              </w:rPr>
            </w:pPr>
            <w:r>
              <w:rPr>
                <w:rFonts w:hint="eastAsia" w:asciiTheme="minorEastAsia" w:hAnsiTheme="minorEastAsia" w:eastAsiaTheme="minorEastAsia" w:cstheme="minorEastAsia"/>
                <w:b/>
                <w:bCs/>
                <w:color w:val="auto"/>
                <w:kern w:val="0"/>
                <w:szCs w:val="21"/>
                <w:highlight w:val="none"/>
                <w:lang w:eastAsia="en-US"/>
              </w:rPr>
              <w:t>地市</w:t>
            </w:r>
          </w:p>
        </w:tc>
        <w:tc>
          <w:tcPr>
            <w:tcW w:w="793" w:type="pct"/>
            <w:vMerge w:val="restart"/>
            <w:tcBorders>
              <w:top w:val="single" w:color="000000" w:sz="4" w:space="0"/>
              <w:left w:val="single" w:color="000000" w:sz="4" w:space="0"/>
              <w:right w:val="nil"/>
            </w:tcBorders>
            <w:vAlign w:val="center"/>
          </w:tcPr>
          <w:p w14:paraId="58EE4EDB">
            <w:pPr>
              <w:spacing w:line="360" w:lineRule="auto"/>
              <w:jc w:val="center"/>
              <w:rPr>
                <w:rFonts w:hint="eastAsia" w:asciiTheme="minorEastAsia" w:hAnsiTheme="minorEastAsia" w:eastAsiaTheme="minorEastAsia" w:cstheme="minorEastAsia"/>
                <w:b/>
                <w:bCs/>
                <w:color w:val="auto"/>
                <w:kern w:val="0"/>
                <w:szCs w:val="21"/>
                <w:highlight w:val="none"/>
                <w:lang w:eastAsia="en-US"/>
              </w:rPr>
            </w:pPr>
            <w:r>
              <w:rPr>
                <w:rFonts w:hint="eastAsia" w:asciiTheme="minorEastAsia" w:hAnsiTheme="minorEastAsia" w:eastAsiaTheme="minorEastAsia" w:cstheme="minorEastAsia"/>
                <w:b/>
                <w:bCs/>
                <w:color w:val="auto"/>
                <w:kern w:val="0"/>
                <w:szCs w:val="21"/>
                <w:highlight w:val="none"/>
                <w:lang w:eastAsia="en-US"/>
              </w:rPr>
              <w:t>线路名称</w:t>
            </w:r>
          </w:p>
        </w:tc>
        <w:tc>
          <w:tcPr>
            <w:tcW w:w="914" w:type="pct"/>
            <w:vMerge w:val="restart"/>
            <w:tcBorders>
              <w:top w:val="single" w:color="000000" w:sz="4" w:space="0"/>
              <w:left w:val="single" w:color="000000" w:sz="4" w:space="0"/>
              <w:right w:val="single" w:color="000000" w:sz="4" w:space="0"/>
            </w:tcBorders>
            <w:vAlign w:val="center"/>
          </w:tcPr>
          <w:p w14:paraId="33DF35D6">
            <w:pPr>
              <w:spacing w:line="360" w:lineRule="auto"/>
              <w:jc w:val="center"/>
              <w:rPr>
                <w:rFonts w:hint="eastAsia" w:asciiTheme="minorEastAsia" w:hAnsiTheme="minorEastAsia" w:eastAsiaTheme="minorEastAsia" w:cstheme="minorEastAsia"/>
                <w:b/>
                <w:bCs/>
                <w:color w:val="auto"/>
                <w:kern w:val="0"/>
                <w:szCs w:val="21"/>
                <w:highlight w:val="none"/>
                <w:lang w:eastAsia="en-US"/>
              </w:rPr>
            </w:pPr>
            <w:r>
              <w:rPr>
                <w:rFonts w:hint="eastAsia" w:asciiTheme="minorEastAsia" w:hAnsiTheme="minorEastAsia" w:eastAsiaTheme="minorEastAsia" w:cstheme="minorEastAsia"/>
                <w:b/>
                <w:bCs/>
                <w:color w:val="auto"/>
                <w:kern w:val="0"/>
                <w:szCs w:val="21"/>
                <w:highlight w:val="none"/>
                <w:lang w:eastAsia="en-US"/>
              </w:rPr>
              <w:t>线路里程</w:t>
            </w:r>
          </w:p>
        </w:tc>
        <w:tc>
          <w:tcPr>
            <w:tcW w:w="2307" w:type="pct"/>
            <w:gridSpan w:val="3"/>
            <w:tcBorders>
              <w:top w:val="single" w:color="000000" w:sz="4" w:space="0"/>
              <w:left w:val="nil"/>
              <w:bottom w:val="single" w:color="000000" w:sz="4" w:space="0"/>
              <w:right w:val="single" w:color="000000" w:sz="4" w:space="0"/>
            </w:tcBorders>
            <w:vAlign w:val="center"/>
          </w:tcPr>
          <w:p w14:paraId="769038ED">
            <w:pPr>
              <w:spacing w:line="360" w:lineRule="auto"/>
              <w:jc w:val="center"/>
              <w:rPr>
                <w:rFonts w:hint="eastAsia" w:asciiTheme="minorEastAsia" w:hAnsiTheme="minorEastAsia" w:eastAsiaTheme="minorEastAsia" w:cstheme="minorEastAsia"/>
                <w:b/>
                <w:bCs/>
                <w:color w:val="auto"/>
                <w:kern w:val="0"/>
                <w:szCs w:val="21"/>
                <w:highlight w:val="none"/>
                <w:lang w:eastAsia="en-US"/>
              </w:rPr>
            </w:pPr>
            <w:r>
              <w:rPr>
                <w:rFonts w:hint="eastAsia" w:asciiTheme="minorEastAsia" w:hAnsiTheme="minorEastAsia" w:eastAsiaTheme="minorEastAsia" w:cstheme="minorEastAsia"/>
                <w:b/>
                <w:bCs/>
                <w:color w:val="auto"/>
                <w:kern w:val="0"/>
                <w:szCs w:val="21"/>
                <w:highlight w:val="none"/>
                <w:lang w:eastAsia="en-US"/>
              </w:rPr>
              <w:t>设备类型</w:t>
            </w:r>
          </w:p>
        </w:tc>
      </w:tr>
      <w:tr w14:paraId="69817CC4">
        <w:tblPrEx>
          <w:tblCellMar>
            <w:top w:w="0" w:type="dxa"/>
            <w:left w:w="108" w:type="dxa"/>
            <w:bottom w:w="0" w:type="dxa"/>
            <w:right w:w="108" w:type="dxa"/>
          </w:tblCellMar>
        </w:tblPrEx>
        <w:trPr>
          <w:trHeight w:val="250" w:hRule="atLeast"/>
          <w:jc w:val="center"/>
        </w:trPr>
        <w:tc>
          <w:tcPr>
            <w:tcW w:w="412" w:type="pct"/>
            <w:vMerge w:val="continue"/>
            <w:tcBorders>
              <w:left w:val="single" w:color="000000" w:sz="4" w:space="0"/>
              <w:bottom w:val="single" w:color="000000" w:sz="4" w:space="0"/>
              <w:right w:val="single" w:color="000000" w:sz="4" w:space="0"/>
            </w:tcBorders>
            <w:vAlign w:val="center"/>
          </w:tcPr>
          <w:p w14:paraId="0DC8A14A">
            <w:pPr>
              <w:spacing w:line="360" w:lineRule="auto"/>
              <w:jc w:val="center"/>
              <w:rPr>
                <w:rFonts w:hint="eastAsia" w:asciiTheme="minorEastAsia" w:hAnsiTheme="minorEastAsia" w:eastAsiaTheme="minorEastAsia" w:cstheme="minorEastAsia"/>
                <w:color w:val="auto"/>
                <w:highlight w:val="none"/>
              </w:rPr>
            </w:pPr>
          </w:p>
        </w:tc>
        <w:tc>
          <w:tcPr>
            <w:tcW w:w="571" w:type="pct"/>
            <w:vMerge w:val="continue"/>
            <w:tcBorders>
              <w:left w:val="nil"/>
              <w:bottom w:val="single" w:color="000000" w:sz="4" w:space="0"/>
              <w:right w:val="nil"/>
            </w:tcBorders>
            <w:vAlign w:val="center"/>
          </w:tcPr>
          <w:p w14:paraId="3CC31C74">
            <w:pPr>
              <w:spacing w:line="360" w:lineRule="auto"/>
              <w:jc w:val="center"/>
              <w:rPr>
                <w:rFonts w:hint="eastAsia" w:asciiTheme="minorEastAsia" w:hAnsiTheme="minorEastAsia" w:eastAsiaTheme="minorEastAsia" w:cstheme="minorEastAsia"/>
                <w:color w:val="auto"/>
                <w:highlight w:val="none"/>
              </w:rPr>
            </w:pPr>
          </w:p>
        </w:tc>
        <w:tc>
          <w:tcPr>
            <w:tcW w:w="793" w:type="pct"/>
            <w:vMerge w:val="continue"/>
            <w:tcBorders>
              <w:left w:val="single" w:color="000000" w:sz="4" w:space="0"/>
              <w:bottom w:val="single" w:color="000000" w:sz="4" w:space="0"/>
              <w:right w:val="nil"/>
            </w:tcBorders>
            <w:vAlign w:val="center"/>
          </w:tcPr>
          <w:p w14:paraId="36D2FD1A">
            <w:pPr>
              <w:spacing w:line="360" w:lineRule="auto"/>
              <w:jc w:val="center"/>
              <w:rPr>
                <w:rFonts w:hint="eastAsia" w:asciiTheme="minorEastAsia" w:hAnsiTheme="minorEastAsia" w:eastAsiaTheme="minorEastAsia" w:cstheme="minorEastAsia"/>
                <w:color w:val="auto"/>
                <w:highlight w:val="none"/>
              </w:rPr>
            </w:pPr>
          </w:p>
        </w:tc>
        <w:tc>
          <w:tcPr>
            <w:tcW w:w="914" w:type="pct"/>
            <w:vMerge w:val="continue"/>
            <w:tcBorders>
              <w:left w:val="single" w:color="000000" w:sz="4" w:space="0"/>
              <w:bottom w:val="single" w:color="000000" w:sz="4" w:space="0"/>
              <w:right w:val="single" w:color="000000" w:sz="4" w:space="0"/>
            </w:tcBorders>
            <w:vAlign w:val="center"/>
          </w:tcPr>
          <w:p w14:paraId="1D24B4CA">
            <w:pPr>
              <w:spacing w:line="360" w:lineRule="auto"/>
              <w:jc w:val="center"/>
              <w:rPr>
                <w:rFonts w:hint="eastAsia" w:asciiTheme="minorEastAsia" w:hAnsiTheme="minorEastAsia" w:eastAsiaTheme="minorEastAsia" w:cstheme="minorEastAsia"/>
                <w:color w:val="auto"/>
                <w:highlight w:val="none"/>
              </w:rPr>
            </w:pPr>
          </w:p>
        </w:tc>
        <w:tc>
          <w:tcPr>
            <w:tcW w:w="945" w:type="pct"/>
            <w:tcBorders>
              <w:top w:val="single" w:color="000000" w:sz="4" w:space="0"/>
              <w:left w:val="nil"/>
              <w:bottom w:val="single" w:color="000000" w:sz="4" w:space="0"/>
              <w:right w:val="single" w:color="000000" w:sz="4" w:space="0"/>
            </w:tcBorders>
            <w:vAlign w:val="center"/>
          </w:tcPr>
          <w:p w14:paraId="51AA74F8">
            <w:pPr>
              <w:spacing w:line="360" w:lineRule="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热成像球机数量</w:t>
            </w:r>
          </w:p>
          <w:p w14:paraId="209ED30C">
            <w:pPr>
              <w:spacing w:line="360" w:lineRule="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（台）</w:t>
            </w:r>
          </w:p>
        </w:tc>
        <w:tc>
          <w:tcPr>
            <w:tcW w:w="782" w:type="pct"/>
            <w:tcBorders>
              <w:top w:val="single" w:color="000000" w:sz="4" w:space="0"/>
              <w:left w:val="nil"/>
              <w:bottom w:val="single" w:color="000000" w:sz="4" w:space="0"/>
              <w:right w:val="single" w:color="000000" w:sz="4" w:space="0"/>
            </w:tcBorders>
            <w:vAlign w:val="center"/>
          </w:tcPr>
          <w:p w14:paraId="14F23515">
            <w:pPr>
              <w:spacing w:line="360" w:lineRule="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普通球机数量</w:t>
            </w:r>
            <w:r>
              <w:rPr>
                <w:rFonts w:hint="eastAsia" w:asciiTheme="minorEastAsia" w:hAnsiTheme="minorEastAsia" w:eastAsiaTheme="minorEastAsia" w:cstheme="minorEastAsia"/>
                <w:b/>
                <w:bCs/>
                <w:color w:val="auto"/>
                <w:kern w:val="0"/>
                <w:szCs w:val="21"/>
                <w:highlight w:val="none"/>
              </w:rPr>
              <w:br w:type="textWrapping"/>
            </w:r>
            <w:r>
              <w:rPr>
                <w:rFonts w:hint="eastAsia" w:asciiTheme="minorEastAsia" w:hAnsiTheme="minorEastAsia" w:eastAsiaTheme="minorEastAsia" w:cstheme="minorEastAsia"/>
                <w:b/>
                <w:bCs/>
                <w:color w:val="auto"/>
                <w:kern w:val="0"/>
                <w:szCs w:val="21"/>
                <w:highlight w:val="none"/>
              </w:rPr>
              <w:t>（台）</w:t>
            </w:r>
          </w:p>
        </w:tc>
        <w:tc>
          <w:tcPr>
            <w:tcW w:w="579" w:type="pct"/>
            <w:tcBorders>
              <w:top w:val="single" w:color="000000" w:sz="4" w:space="0"/>
              <w:left w:val="nil"/>
              <w:bottom w:val="single" w:color="000000" w:sz="4" w:space="0"/>
              <w:right w:val="single" w:color="000000" w:sz="4" w:space="0"/>
            </w:tcBorders>
            <w:vAlign w:val="center"/>
          </w:tcPr>
          <w:p w14:paraId="002F75E1">
            <w:pPr>
              <w:spacing w:line="360" w:lineRule="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音柱数量</w:t>
            </w:r>
            <w:r>
              <w:rPr>
                <w:rFonts w:hint="eastAsia" w:asciiTheme="minorEastAsia" w:hAnsiTheme="minorEastAsia" w:eastAsiaTheme="minorEastAsia" w:cstheme="minorEastAsia"/>
                <w:b/>
                <w:bCs/>
                <w:color w:val="auto"/>
                <w:kern w:val="0"/>
                <w:szCs w:val="21"/>
                <w:highlight w:val="none"/>
              </w:rPr>
              <w:br w:type="textWrapping"/>
            </w:r>
            <w:r>
              <w:rPr>
                <w:rFonts w:hint="eastAsia" w:asciiTheme="minorEastAsia" w:hAnsiTheme="minorEastAsia" w:eastAsiaTheme="minorEastAsia" w:cstheme="minorEastAsia"/>
                <w:b/>
                <w:bCs/>
                <w:color w:val="auto"/>
                <w:kern w:val="0"/>
                <w:szCs w:val="21"/>
                <w:highlight w:val="none"/>
              </w:rPr>
              <w:t>（根）</w:t>
            </w:r>
          </w:p>
        </w:tc>
      </w:tr>
      <w:tr w14:paraId="1FDB4733">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2CB52ADE">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w:t>
            </w:r>
          </w:p>
        </w:tc>
        <w:tc>
          <w:tcPr>
            <w:tcW w:w="571" w:type="pct"/>
            <w:tcBorders>
              <w:top w:val="single" w:color="000000" w:sz="4" w:space="0"/>
              <w:left w:val="nil"/>
              <w:bottom w:val="single" w:color="000000" w:sz="4" w:space="0"/>
              <w:right w:val="single" w:color="000000" w:sz="4" w:space="0"/>
            </w:tcBorders>
            <w:vAlign w:val="center"/>
          </w:tcPr>
          <w:p w14:paraId="2BF54CFA">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桂林</w:t>
            </w:r>
          </w:p>
        </w:tc>
        <w:tc>
          <w:tcPr>
            <w:tcW w:w="793" w:type="pct"/>
            <w:tcBorders>
              <w:top w:val="single" w:color="000000" w:sz="4" w:space="0"/>
              <w:left w:val="nil"/>
              <w:bottom w:val="single" w:color="000000" w:sz="4" w:space="0"/>
              <w:right w:val="single" w:color="000000" w:sz="4" w:space="0"/>
            </w:tcBorders>
            <w:vAlign w:val="center"/>
          </w:tcPr>
          <w:p w14:paraId="4FB22C9F">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衡柳线</w:t>
            </w:r>
          </w:p>
        </w:tc>
        <w:tc>
          <w:tcPr>
            <w:tcW w:w="914" w:type="pct"/>
            <w:tcBorders>
              <w:top w:val="single" w:color="000000" w:sz="4" w:space="0"/>
              <w:left w:val="nil"/>
              <w:bottom w:val="single" w:color="000000" w:sz="4" w:space="0"/>
              <w:right w:val="single" w:color="000000" w:sz="4" w:space="0"/>
            </w:tcBorders>
            <w:vAlign w:val="center"/>
          </w:tcPr>
          <w:p w14:paraId="6BCB6C7C">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K278+700</w:t>
            </w:r>
          </w:p>
        </w:tc>
        <w:tc>
          <w:tcPr>
            <w:tcW w:w="945" w:type="pct"/>
            <w:tcBorders>
              <w:top w:val="single" w:color="000000" w:sz="4" w:space="0"/>
              <w:left w:val="nil"/>
              <w:bottom w:val="single" w:color="000000" w:sz="4" w:space="0"/>
              <w:right w:val="single" w:color="000000" w:sz="4" w:space="0"/>
            </w:tcBorders>
            <w:vAlign w:val="center"/>
          </w:tcPr>
          <w:p w14:paraId="40044113">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0389E7CD">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54B564C4">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15118AEB">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7ADC61B0">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2</w:t>
            </w:r>
          </w:p>
        </w:tc>
        <w:tc>
          <w:tcPr>
            <w:tcW w:w="571" w:type="pct"/>
            <w:tcBorders>
              <w:top w:val="single" w:color="000000" w:sz="4" w:space="0"/>
              <w:left w:val="nil"/>
              <w:bottom w:val="single" w:color="000000" w:sz="4" w:space="0"/>
              <w:right w:val="single" w:color="000000" w:sz="4" w:space="0"/>
            </w:tcBorders>
            <w:vAlign w:val="center"/>
          </w:tcPr>
          <w:p w14:paraId="40504DD0">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桂林</w:t>
            </w:r>
          </w:p>
        </w:tc>
        <w:tc>
          <w:tcPr>
            <w:tcW w:w="793" w:type="pct"/>
            <w:tcBorders>
              <w:top w:val="single" w:color="000000" w:sz="4" w:space="0"/>
              <w:left w:val="nil"/>
              <w:bottom w:val="single" w:color="000000" w:sz="4" w:space="0"/>
              <w:right w:val="single" w:color="000000" w:sz="4" w:space="0"/>
            </w:tcBorders>
            <w:vAlign w:val="center"/>
          </w:tcPr>
          <w:p w14:paraId="60505F46">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衡柳线</w:t>
            </w:r>
          </w:p>
        </w:tc>
        <w:tc>
          <w:tcPr>
            <w:tcW w:w="914" w:type="pct"/>
            <w:tcBorders>
              <w:top w:val="single" w:color="000000" w:sz="4" w:space="0"/>
              <w:left w:val="nil"/>
              <w:bottom w:val="single" w:color="000000" w:sz="4" w:space="0"/>
              <w:right w:val="single" w:color="000000" w:sz="4" w:space="0"/>
            </w:tcBorders>
            <w:vAlign w:val="center"/>
          </w:tcPr>
          <w:p w14:paraId="02EF71D3">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K225+535</w:t>
            </w:r>
          </w:p>
        </w:tc>
        <w:tc>
          <w:tcPr>
            <w:tcW w:w="945" w:type="pct"/>
            <w:tcBorders>
              <w:top w:val="single" w:color="000000" w:sz="4" w:space="0"/>
              <w:left w:val="nil"/>
              <w:bottom w:val="single" w:color="000000" w:sz="4" w:space="0"/>
              <w:right w:val="single" w:color="000000" w:sz="4" w:space="0"/>
            </w:tcBorders>
            <w:vAlign w:val="center"/>
          </w:tcPr>
          <w:p w14:paraId="7E227AEF">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1F599D17">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239C7F9A">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09482FC8">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5A233DA3">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3</w:t>
            </w:r>
          </w:p>
        </w:tc>
        <w:tc>
          <w:tcPr>
            <w:tcW w:w="571" w:type="pct"/>
            <w:tcBorders>
              <w:top w:val="single" w:color="000000" w:sz="4" w:space="0"/>
              <w:left w:val="nil"/>
              <w:bottom w:val="single" w:color="000000" w:sz="4" w:space="0"/>
              <w:right w:val="single" w:color="000000" w:sz="4" w:space="0"/>
            </w:tcBorders>
            <w:vAlign w:val="center"/>
          </w:tcPr>
          <w:p w14:paraId="18D4A3D2">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桂林</w:t>
            </w:r>
          </w:p>
        </w:tc>
        <w:tc>
          <w:tcPr>
            <w:tcW w:w="793" w:type="pct"/>
            <w:tcBorders>
              <w:top w:val="single" w:color="000000" w:sz="4" w:space="0"/>
              <w:left w:val="nil"/>
              <w:bottom w:val="single" w:color="000000" w:sz="4" w:space="0"/>
              <w:right w:val="single" w:color="000000" w:sz="4" w:space="0"/>
            </w:tcBorders>
            <w:vAlign w:val="center"/>
          </w:tcPr>
          <w:p w14:paraId="3C931EF7">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衡柳线</w:t>
            </w:r>
          </w:p>
        </w:tc>
        <w:tc>
          <w:tcPr>
            <w:tcW w:w="914" w:type="pct"/>
            <w:tcBorders>
              <w:top w:val="single" w:color="000000" w:sz="4" w:space="0"/>
              <w:left w:val="nil"/>
              <w:bottom w:val="single" w:color="000000" w:sz="4" w:space="0"/>
              <w:right w:val="single" w:color="000000" w:sz="4" w:space="0"/>
            </w:tcBorders>
            <w:vAlign w:val="center"/>
          </w:tcPr>
          <w:p w14:paraId="01555F57">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K226+235</w:t>
            </w:r>
          </w:p>
        </w:tc>
        <w:tc>
          <w:tcPr>
            <w:tcW w:w="945" w:type="pct"/>
            <w:tcBorders>
              <w:top w:val="single" w:color="000000" w:sz="4" w:space="0"/>
              <w:left w:val="nil"/>
              <w:bottom w:val="single" w:color="000000" w:sz="4" w:space="0"/>
              <w:right w:val="single" w:color="000000" w:sz="4" w:space="0"/>
            </w:tcBorders>
            <w:vAlign w:val="center"/>
          </w:tcPr>
          <w:p w14:paraId="7F7E93BC">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68968148">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3A4413A8">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5F33E518">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4A22C666">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4</w:t>
            </w:r>
          </w:p>
        </w:tc>
        <w:tc>
          <w:tcPr>
            <w:tcW w:w="571" w:type="pct"/>
            <w:tcBorders>
              <w:top w:val="single" w:color="000000" w:sz="4" w:space="0"/>
              <w:left w:val="nil"/>
              <w:bottom w:val="single" w:color="000000" w:sz="4" w:space="0"/>
              <w:right w:val="single" w:color="000000" w:sz="4" w:space="0"/>
            </w:tcBorders>
            <w:vAlign w:val="center"/>
          </w:tcPr>
          <w:p w14:paraId="62E3DC06">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桂林</w:t>
            </w:r>
          </w:p>
        </w:tc>
        <w:tc>
          <w:tcPr>
            <w:tcW w:w="793" w:type="pct"/>
            <w:tcBorders>
              <w:top w:val="single" w:color="000000" w:sz="4" w:space="0"/>
              <w:left w:val="nil"/>
              <w:bottom w:val="single" w:color="000000" w:sz="4" w:space="0"/>
              <w:right w:val="single" w:color="000000" w:sz="4" w:space="0"/>
            </w:tcBorders>
            <w:vAlign w:val="center"/>
          </w:tcPr>
          <w:p w14:paraId="5B061291">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衡柳线</w:t>
            </w:r>
          </w:p>
        </w:tc>
        <w:tc>
          <w:tcPr>
            <w:tcW w:w="914" w:type="pct"/>
            <w:tcBorders>
              <w:top w:val="single" w:color="000000" w:sz="4" w:space="0"/>
              <w:left w:val="nil"/>
              <w:bottom w:val="single" w:color="000000" w:sz="4" w:space="0"/>
              <w:right w:val="single" w:color="000000" w:sz="4" w:space="0"/>
            </w:tcBorders>
            <w:vAlign w:val="center"/>
          </w:tcPr>
          <w:p w14:paraId="4BF3236D">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K386+358</w:t>
            </w:r>
          </w:p>
        </w:tc>
        <w:tc>
          <w:tcPr>
            <w:tcW w:w="945" w:type="pct"/>
            <w:tcBorders>
              <w:top w:val="single" w:color="000000" w:sz="4" w:space="0"/>
              <w:left w:val="nil"/>
              <w:bottom w:val="single" w:color="000000" w:sz="4" w:space="0"/>
              <w:right w:val="single" w:color="000000" w:sz="4" w:space="0"/>
            </w:tcBorders>
            <w:vAlign w:val="center"/>
          </w:tcPr>
          <w:p w14:paraId="0474C95C">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6FA40859">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01565B3C">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5DC9DD85">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7E8FE052">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5</w:t>
            </w:r>
          </w:p>
        </w:tc>
        <w:tc>
          <w:tcPr>
            <w:tcW w:w="571" w:type="pct"/>
            <w:tcBorders>
              <w:top w:val="single" w:color="000000" w:sz="4" w:space="0"/>
              <w:left w:val="nil"/>
              <w:bottom w:val="single" w:color="000000" w:sz="4" w:space="0"/>
              <w:right w:val="single" w:color="000000" w:sz="4" w:space="0"/>
            </w:tcBorders>
            <w:vAlign w:val="center"/>
          </w:tcPr>
          <w:p w14:paraId="2280DAA6">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柳州</w:t>
            </w:r>
          </w:p>
        </w:tc>
        <w:tc>
          <w:tcPr>
            <w:tcW w:w="793" w:type="pct"/>
            <w:tcBorders>
              <w:top w:val="single" w:color="000000" w:sz="4" w:space="0"/>
              <w:left w:val="nil"/>
              <w:bottom w:val="single" w:color="000000" w:sz="4" w:space="0"/>
              <w:right w:val="single" w:color="000000" w:sz="4" w:space="0"/>
            </w:tcBorders>
            <w:vAlign w:val="center"/>
          </w:tcPr>
          <w:p w14:paraId="1BC93085">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湘桂线</w:t>
            </w:r>
          </w:p>
        </w:tc>
        <w:tc>
          <w:tcPr>
            <w:tcW w:w="914" w:type="pct"/>
            <w:tcBorders>
              <w:top w:val="single" w:color="000000" w:sz="4" w:space="0"/>
              <w:left w:val="nil"/>
              <w:bottom w:val="single" w:color="000000" w:sz="4" w:space="0"/>
              <w:right w:val="single" w:color="000000" w:sz="4" w:space="0"/>
            </w:tcBorders>
            <w:vAlign w:val="center"/>
          </w:tcPr>
          <w:p w14:paraId="26F26D59">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K533+970</w:t>
            </w:r>
          </w:p>
        </w:tc>
        <w:tc>
          <w:tcPr>
            <w:tcW w:w="945" w:type="pct"/>
            <w:tcBorders>
              <w:top w:val="single" w:color="000000" w:sz="4" w:space="0"/>
              <w:left w:val="nil"/>
              <w:bottom w:val="single" w:color="000000" w:sz="4" w:space="0"/>
              <w:right w:val="single" w:color="000000" w:sz="4" w:space="0"/>
            </w:tcBorders>
            <w:vAlign w:val="center"/>
          </w:tcPr>
          <w:p w14:paraId="3314C43B">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500F322E">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1405DC5C">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r>
      <w:tr w14:paraId="7906082B">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642F797D">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6</w:t>
            </w:r>
          </w:p>
        </w:tc>
        <w:tc>
          <w:tcPr>
            <w:tcW w:w="571" w:type="pct"/>
            <w:tcBorders>
              <w:top w:val="single" w:color="000000" w:sz="4" w:space="0"/>
              <w:left w:val="nil"/>
              <w:bottom w:val="single" w:color="000000" w:sz="4" w:space="0"/>
              <w:right w:val="single" w:color="000000" w:sz="4" w:space="0"/>
            </w:tcBorders>
            <w:vAlign w:val="center"/>
          </w:tcPr>
          <w:p w14:paraId="6A824A24">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柳州</w:t>
            </w:r>
          </w:p>
        </w:tc>
        <w:tc>
          <w:tcPr>
            <w:tcW w:w="793" w:type="pct"/>
            <w:tcBorders>
              <w:top w:val="single" w:color="000000" w:sz="4" w:space="0"/>
              <w:left w:val="nil"/>
              <w:bottom w:val="single" w:color="000000" w:sz="4" w:space="0"/>
              <w:right w:val="single" w:color="000000" w:sz="4" w:space="0"/>
            </w:tcBorders>
            <w:vAlign w:val="center"/>
          </w:tcPr>
          <w:p w14:paraId="5BE3BB1B">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衡柳线</w:t>
            </w:r>
          </w:p>
        </w:tc>
        <w:tc>
          <w:tcPr>
            <w:tcW w:w="914" w:type="pct"/>
            <w:tcBorders>
              <w:top w:val="single" w:color="000000" w:sz="4" w:space="0"/>
              <w:left w:val="nil"/>
              <w:bottom w:val="single" w:color="000000" w:sz="4" w:space="0"/>
              <w:right w:val="single" w:color="000000" w:sz="4" w:space="0"/>
            </w:tcBorders>
            <w:vAlign w:val="center"/>
          </w:tcPr>
          <w:p w14:paraId="1F5266CA">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K497+500</w:t>
            </w:r>
          </w:p>
        </w:tc>
        <w:tc>
          <w:tcPr>
            <w:tcW w:w="945" w:type="pct"/>
            <w:tcBorders>
              <w:top w:val="single" w:color="000000" w:sz="4" w:space="0"/>
              <w:left w:val="nil"/>
              <w:bottom w:val="single" w:color="000000" w:sz="4" w:space="0"/>
              <w:right w:val="single" w:color="000000" w:sz="4" w:space="0"/>
            </w:tcBorders>
            <w:vAlign w:val="center"/>
          </w:tcPr>
          <w:p w14:paraId="6318D74B">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326743AC">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436171F4">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r>
      <w:tr w14:paraId="0E7052B5">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6EB9A1CC">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7</w:t>
            </w:r>
          </w:p>
        </w:tc>
        <w:tc>
          <w:tcPr>
            <w:tcW w:w="571" w:type="pct"/>
            <w:tcBorders>
              <w:top w:val="single" w:color="000000" w:sz="4" w:space="0"/>
              <w:left w:val="nil"/>
              <w:bottom w:val="single" w:color="000000" w:sz="4" w:space="0"/>
              <w:right w:val="single" w:color="000000" w:sz="4" w:space="0"/>
            </w:tcBorders>
            <w:vAlign w:val="center"/>
          </w:tcPr>
          <w:p w14:paraId="1497E7D1">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柳州</w:t>
            </w:r>
          </w:p>
        </w:tc>
        <w:tc>
          <w:tcPr>
            <w:tcW w:w="793" w:type="pct"/>
            <w:tcBorders>
              <w:top w:val="single" w:color="000000" w:sz="4" w:space="0"/>
              <w:left w:val="nil"/>
              <w:bottom w:val="single" w:color="000000" w:sz="4" w:space="0"/>
              <w:right w:val="single" w:color="000000" w:sz="4" w:space="0"/>
            </w:tcBorders>
            <w:vAlign w:val="center"/>
          </w:tcPr>
          <w:p w14:paraId="61386036">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衡柳线</w:t>
            </w:r>
          </w:p>
        </w:tc>
        <w:tc>
          <w:tcPr>
            <w:tcW w:w="914" w:type="pct"/>
            <w:tcBorders>
              <w:top w:val="single" w:color="000000" w:sz="4" w:space="0"/>
              <w:left w:val="nil"/>
              <w:bottom w:val="single" w:color="000000" w:sz="4" w:space="0"/>
              <w:right w:val="single" w:color="000000" w:sz="4" w:space="0"/>
            </w:tcBorders>
            <w:vAlign w:val="center"/>
          </w:tcPr>
          <w:p w14:paraId="653B2AB2">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K484+598</w:t>
            </w:r>
          </w:p>
        </w:tc>
        <w:tc>
          <w:tcPr>
            <w:tcW w:w="945" w:type="pct"/>
            <w:tcBorders>
              <w:top w:val="single" w:color="000000" w:sz="4" w:space="0"/>
              <w:left w:val="nil"/>
              <w:bottom w:val="single" w:color="000000" w:sz="4" w:space="0"/>
              <w:right w:val="single" w:color="000000" w:sz="4" w:space="0"/>
            </w:tcBorders>
            <w:vAlign w:val="center"/>
          </w:tcPr>
          <w:p w14:paraId="395360DD">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7A5EF4AB">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23A305DC">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r>
      <w:tr w14:paraId="7524D5FA">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nil"/>
              <w:right w:val="single" w:color="000000" w:sz="4" w:space="0"/>
            </w:tcBorders>
            <w:vAlign w:val="center"/>
          </w:tcPr>
          <w:p w14:paraId="52A5EB59">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8</w:t>
            </w:r>
          </w:p>
        </w:tc>
        <w:tc>
          <w:tcPr>
            <w:tcW w:w="571" w:type="pct"/>
            <w:tcBorders>
              <w:top w:val="single" w:color="000000" w:sz="4" w:space="0"/>
              <w:left w:val="nil"/>
              <w:bottom w:val="nil"/>
              <w:right w:val="single" w:color="000000" w:sz="4" w:space="0"/>
            </w:tcBorders>
            <w:vAlign w:val="center"/>
          </w:tcPr>
          <w:p w14:paraId="49A11BCC">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百色</w:t>
            </w:r>
          </w:p>
        </w:tc>
        <w:tc>
          <w:tcPr>
            <w:tcW w:w="793" w:type="pct"/>
            <w:tcBorders>
              <w:top w:val="single" w:color="000000" w:sz="4" w:space="0"/>
              <w:left w:val="nil"/>
              <w:bottom w:val="nil"/>
              <w:right w:val="single" w:color="000000" w:sz="4" w:space="0"/>
            </w:tcBorders>
            <w:vAlign w:val="center"/>
          </w:tcPr>
          <w:p w14:paraId="5280EFC7">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南昆客专</w:t>
            </w:r>
          </w:p>
        </w:tc>
        <w:tc>
          <w:tcPr>
            <w:tcW w:w="914" w:type="pct"/>
            <w:tcBorders>
              <w:top w:val="single" w:color="000000" w:sz="4" w:space="0"/>
              <w:left w:val="nil"/>
              <w:bottom w:val="nil"/>
              <w:right w:val="single" w:color="000000" w:sz="4" w:space="0"/>
            </w:tcBorders>
            <w:vAlign w:val="center"/>
          </w:tcPr>
          <w:p w14:paraId="0A123B3E">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K224+500</w:t>
            </w:r>
          </w:p>
        </w:tc>
        <w:tc>
          <w:tcPr>
            <w:tcW w:w="945" w:type="pct"/>
            <w:tcBorders>
              <w:top w:val="single" w:color="000000" w:sz="4" w:space="0"/>
              <w:left w:val="nil"/>
              <w:bottom w:val="single" w:color="000000" w:sz="4" w:space="0"/>
              <w:right w:val="single" w:color="000000" w:sz="4" w:space="0"/>
            </w:tcBorders>
            <w:vAlign w:val="center"/>
          </w:tcPr>
          <w:p w14:paraId="1C6D2575">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5671AD2A">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7500A11C">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r>
      <w:tr w14:paraId="54411D3E">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68F7AA4B">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9</w:t>
            </w:r>
          </w:p>
        </w:tc>
        <w:tc>
          <w:tcPr>
            <w:tcW w:w="571" w:type="pct"/>
            <w:tcBorders>
              <w:top w:val="single" w:color="000000" w:sz="4" w:space="0"/>
              <w:left w:val="nil"/>
              <w:bottom w:val="single" w:color="000000" w:sz="4" w:space="0"/>
              <w:right w:val="single" w:color="000000" w:sz="4" w:space="0"/>
            </w:tcBorders>
            <w:vAlign w:val="center"/>
          </w:tcPr>
          <w:p w14:paraId="03DE9103">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百色</w:t>
            </w:r>
          </w:p>
        </w:tc>
        <w:tc>
          <w:tcPr>
            <w:tcW w:w="793" w:type="pct"/>
            <w:tcBorders>
              <w:top w:val="single" w:color="000000" w:sz="4" w:space="0"/>
              <w:left w:val="nil"/>
              <w:bottom w:val="single" w:color="000000" w:sz="4" w:space="0"/>
              <w:right w:val="single" w:color="000000" w:sz="4" w:space="0"/>
            </w:tcBorders>
            <w:vAlign w:val="center"/>
          </w:tcPr>
          <w:p w14:paraId="11E99A59">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南昆客专</w:t>
            </w:r>
          </w:p>
        </w:tc>
        <w:tc>
          <w:tcPr>
            <w:tcW w:w="914" w:type="pct"/>
            <w:tcBorders>
              <w:top w:val="single" w:color="000000" w:sz="4" w:space="0"/>
              <w:left w:val="nil"/>
              <w:bottom w:val="single" w:color="000000" w:sz="4" w:space="0"/>
              <w:right w:val="single" w:color="000000" w:sz="4" w:space="0"/>
            </w:tcBorders>
            <w:vAlign w:val="center"/>
          </w:tcPr>
          <w:p w14:paraId="3A620AB7">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K107+500</w:t>
            </w:r>
          </w:p>
        </w:tc>
        <w:tc>
          <w:tcPr>
            <w:tcW w:w="945" w:type="pct"/>
            <w:tcBorders>
              <w:top w:val="single" w:color="000000" w:sz="4" w:space="0"/>
              <w:left w:val="nil"/>
              <w:bottom w:val="single" w:color="000000" w:sz="4" w:space="0"/>
              <w:right w:val="single" w:color="000000" w:sz="4" w:space="0"/>
            </w:tcBorders>
            <w:vAlign w:val="center"/>
          </w:tcPr>
          <w:p w14:paraId="510D3DC1">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4007DED2">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2B5678ED">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r>
      <w:tr w14:paraId="04A12A8F">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4116F63A">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10</w:t>
            </w:r>
          </w:p>
        </w:tc>
        <w:tc>
          <w:tcPr>
            <w:tcW w:w="571" w:type="pct"/>
            <w:tcBorders>
              <w:top w:val="single" w:color="000000" w:sz="4" w:space="0"/>
              <w:left w:val="nil"/>
              <w:bottom w:val="single" w:color="000000" w:sz="4" w:space="0"/>
              <w:right w:val="single" w:color="000000" w:sz="4" w:space="0"/>
            </w:tcBorders>
            <w:vAlign w:val="center"/>
          </w:tcPr>
          <w:p w14:paraId="4FBA29A5">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贵港</w:t>
            </w:r>
          </w:p>
        </w:tc>
        <w:tc>
          <w:tcPr>
            <w:tcW w:w="793" w:type="pct"/>
            <w:tcBorders>
              <w:top w:val="single" w:color="000000" w:sz="4" w:space="0"/>
              <w:left w:val="nil"/>
              <w:bottom w:val="single" w:color="000000" w:sz="4" w:space="0"/>
              <w:right w:val="single" w:color="000000" w:sz="4" w:space="0"/>
            </w:tcBorders>
            <w:vAlign w:val="center"/>
          </w:tcPr>
          <w:p w14:paraId="180294B9">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南广线</w:t>
            </w:r>
          </w:p>
        </w:tc>
        <w:tc>
          <w:tcPr>
            <w:tcW w:w="914" w:type="pct"/>
            <w:tcBorders>
              <w:top w:val="single" w:color="000000" w:sz="4" w:space="0"/>
              <w:left w:val="nil"/>
              <w:bottom w:val="single" w:color="000000" w:sz="4" w:space="0"/>
              <w:right w:val="single" w:color="000000" w:sz="4" w:space="0"/>
            </w:tcBorders>
            <w:vAlign w:val="center"/>
          </w:tcPr>
          <w:p w14:paraId="5E3BD864">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K143+680</w:t>
            </w:r>
          </w:p>
        </w:tc>
        <w:tc>
          <w:tcPr>
            <w:tcW w:w="945" w:type="pct"/>
            <w:tcBorders>
              <w:top w:val="single" w:color="000000" w:sz="4" w:space="0"/>
              <w:left w:val="nil"/>
              <w:bottom w:val="single" w:color="000000" w:sz="4" w:space="0"/>
              <w:right w:val="single" w:color="000000" w:sz="4" w:space="0"/>
            </w:tcBorders>
            <w:vAlign w:val="center"/>
          </w:tcPr>
          <w:p w14:paraId="34E69065">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04260475">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795954D2">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r>
      <w:tr w14:paraId="20C7413B">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5E469954">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11</w:t>
            </w:r>
          </w:p>
        </w:tc>
        <w:tc>
          <w:tcPr>
            <w:tcW w:w="571" w:type="pct"/>
            <w:tcBorders>
              <w:top w:val="single" w:color="000000" w:sz="4" w:space="0"/>
              <w:left w:val="nil"/>
              <w:bottom w:val="single" w:color="000000" w:sz="4" w:space="0"/>
              <w:right w:val="single" w:color="000000" w:sz="4" w:space="0"/>
            </w:tcBorders>
            <w:vAlign w:val="center"/>
          </w:tcPr>
          <w:p w14:paraId="216B0C18">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贵港</w:t>
            </w:r>
          </w:p>
        </w:tc>
        <w:tc>
          <w:tcPr>
            <w:tcW w:w="793" w:type="pct"/>
            <w:tcBorders>
              <w:top w:val="single" w:color="000000" w:sz="4" w:space="0"/>
              <w:left w:val="nil"/>
              <w:bottom w:val="single" w:color="000000" w:sz="4" w:space="0"/>
              <w:right w:val="single" w:color="000000" w:sz="4" w:space="0"/>
            </w:tcBorders>
            <w:vAlign w:val="center"/>
          </w:tcPr>
          <w:p w14:paraId="234E8ABA">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黎湛线</w:t>
            </w:r>
          </w:p>
        </w:tc>
        <w:tc>
          <w:tcPr>
            <w:tcW w:w="914" w:type="pct"/>
            <w:tcBorders>
              <w:top w:val="single" w:color="000000" w:sz="4" w:space="0"/>
              <w:left w:val="nil"/>
              <w:bottom w:val="single" w:color="000000" w:sz="4" w:space="0"/>
              <w:right w:val="single" w:color="000000" w:sz="4" w:space="0"/>
            </w:tcBorders>
            <w:vAlign w:val="center"/>
          </w:tcPr>
          <w:p w14:paraId="309214AE">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K54+070</w:t>
            </w:r>
          </w:p>
        </w:tc>
        <w:tc>
          <w:tcPr>
            <w:tcW w:w="945" w:type="pct"/>
            <w:tcBorders>
              <w:top w:val="single" w:color="000000" w:sz="4" w:space="0"/>
              <w:left w:val="nil"/>
              <w:bottom w:val="single" w:color="000000" w:sz="4" w:space="0"/>
              <w:right w:val="single" w:color="000000" w:sz="4" w:space="0"/>
            </w:tcBorders>
            <w:vAlign w:val="center"/>
          </w:tcPr>
          <w:p w14:paraId="2F4E374F">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435D92E5">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77B028D5">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r>
      <w:tr w14:paraId="5D66521A">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57884197">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12</w:t>
            </w:r>
          </w:p>
        </w:tc>
        <w:tc>
          <w:tcPr>
            <w:tcW w:w="571" w:type="pct"/>
            <w:tcBorders>
              <w:top w:val="single" w:color="000000" w:sz="4" w:space="0"/>
              <w:left w:val="nil"/>
              <w:bottom w:val="single" w:color="000000" w:sz="4" w:space="0"/>
              <w:right w:val="single" w:color="000000" w:sz="4" w:space="0"/>
            </w:tcBorders>
            <w:vAlign w:val="center"/>
          </w:tcPr>
          <w:p w14:paraId="46FE151E">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贺州</w:t>
            </w:r>
          </w:p>
        </w:tc>
        <w:tc>
          <w:tcPr>
            <w:tcW w:w="793" w:type="pct"/>
            <w:tcBorders>
              <w:top w:val="single" w:color="000000" w:sz="4" w:space="0"/>
              <w:left w:val="nil"/>
              <w:bottom w:val="single" w:color="000000" w:sz="4" w:space="0"/>
              <w:right w:val="single" w:color="000000" w:sz="4" w:space="0"/>
            </w:tcBorders>
            <w:vAlign w:val="center"/>
          </w:tcPr>
          <w:p w14:paraId="0650FCC3">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贵广客专</w:t>
            </w:r>
          </w:p>
        </w:tc>
        <w:tc>
          <w:tcPr>
            <w:tcW w:w="914" w:type="pct"/>
            <w:tcBorders>
              <w:top w:val="single" w:color="000000" w:sz="4" w:space="0"/>
              <w:left w:val="nil"/>
              <w:bottom w:val="single" w:color="000000" w:sz="4" w:space="0"/>
              <w:right w:val="single" w:color="000000" w:sz="4" w:space="0"/>
            </w:tcBorders>
            <w:vAlign w:val="center"/>
          </w:tcPr>
          <w:p w14:paraId="2B3542E0">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K599+184</w:t>
            </w:r>
          </w:p>
        </w:tc>
        <w:tc>
          <w:tcPr>
            <w:tcW w:w="945" w:type="pct"/>
            <w:tcBorders>
              <w:top w:val="single" w:color="000000" w:sz="4" w:space="0"/>
              <w:left w:val="nil"/>
              <w:bottom w:val="single" w:color="000000" w:sz="4" w:space="0"/>
              <w:right w:val="single" w:color="000000" w:sz="4" w:space="0"/>
            </w:tcBorders>
            <w:vAlign w:val="center"/>
          </w:tcPr>
          <w:p w14:paraId="0BBD78C4">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782" w:type="pct"/>
            <w:tcBorders>
              <w:top w:val="single" w:color="000000" w:sz="4" w:space="0"/>
              <w:left w:val="nil"/>
              <w:bottom w:val="single" w:color="000000" w:sz="4" w:space="0"/>
              <w:right w:val="single" w:color="000000" w:sz="4" w:space="0"/>
            </w:tcBorders>
            <w:vAlign w:val="center"/>
          </w:tcPr>
          <w:p w14:paraId="4DE55CCF">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79" w:type="pct"/>
            <w:tcBorders>
              <w:top w:val="single" w:color="000000" w:sz="4" w:space="0"/>
              <w:left w:val="nil"/>
              <w:bottom w:val="single" w:color="000000" w:sz="4" w:space="0"/>
              <w:right w:val="single" w:color="000000" w:sz="4" w:space="0"/>
            </w:tcBorders>
            <w:vAlign w:val="center"/>
          </w:tcPr>
          <w:p w14:paraId="2E263029">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r>
      <w:tr w14:paraId="00B23584">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18040374">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13</w:t>
            </w:r>
          </w:p>
        </w:tc>
        <w:tc>
          <w:tcPr>
            <w:tcW w:w="571" w:type="pct"/>
            <w:tcBorders>
              <w:top w:val="single" w:color="000000" w:sz="4" w:space="0"/>
              <w:left w:val="nil"/>
              <w:bottom w:val="single" w:color="000000" w:sz="4" w:space="0"/>
              <w:right w:val="single" w:color="000000" w:sz="4" w:space="0"/>
            </w:tcBorders>
            <w:vAlign w:val="center"/>
          </w:tcPr>
          <w:p w14:paraId="509962D6">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玉林</w:t>
            </w:r>
          </w:p>
        </w:tc>
        <w:tc>
          <w:tcPr>
            <w:tcW w:w="793" w:type="pct"/>
            <w:tcBorders>
              <w:top w:val="single" w:color="000000" w:sz="4" w:space="0"/>
              <w:left w:val="nil"/>
              <w:bottom w:val="single" w:color="000000" w:sz="4" w:space="0"/>
              <w:right w:val="single" w:color="000000" w:sz="4" w:space="0"/>
            </w:tcBorders>
            <w:vAlign w:val="center"/>
          </w:tcPr>
          <w:p w14:paraId="3D1B56A0">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黎湛线</w:t>
            </w:r>
          </w:p>
        </w:tc>
        <w:tc>
          <w:tcPr>
            <w:tcW w:w="914" w:type="pct"/>
            <w:tcBorders>
              <w:top w:val="single" w:color="000000" w:sz="4" w:space="0"/>
              <w:left w:val="nil"/>
              <w:bottom w:val="single" w:color="000000" w:sz="4" w:space="0"/>
              <w:right w:val="single" w:color="000000" w:sz="4" w:space="0"/>
            </w:tcBorders>
            <w:vAlign w:val="center"/>
          </w:tcPr>
          <w:p w14:paraId="11B75B54">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K143+300</w:t>
            </w:r>
          </w:p>
        </w:tc>
        <w:tc>
          <w:tcPr>
            <w:tcW w:w="945" w:type="pct"/>
            <w:tcBorders>
              <w:top w:val="single" w:color="000000" w:sz="4" w:space="0"/>
              <w:left w:val="nil"/>
              <w:bottom w:val="single" w:color="000000" w:sz="4" w:space="0"/>
              <w:right w:val="single" w:color="000000" w:sz="4" w:space="0"/>
            </w:tcBorders>
            <w:vAlign w:val="center"/>
          </w:tcPr>
          <w:p w14:paraId="3A8F1089">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7330FEA5">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0F862CDB">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r>
      <w:tr w14:paraId="589F5911">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122BE1D8">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14</w:t>
            </w:r>
          </w:p>
        </w:tc>
        <w:tc>
          <w:tcPr>
            <w:tcW w:w="571" w:type="pct"/>
            <w:tcBorders>
              <w:top w:val="single" w:color="000000" w:sz="4" w:space="0"/>
              <w:left w:val="nil"/>
              <w:bottom w:val="single" w:color="000000" w:sz="4" w:space="0"/>
              <w:right w:val="single" w:color="000000" w:sz="4" w:space="0"/>
            </w:tcBorders>
            <w:vAlign w:val="center"/>
          </w:tcPr>
          <w:p w14:paraId="59F032B9">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玉林</w:t>
            </w:r>
          </w:p>
        </w:tc>
        <w:tc>
          <w:tcPr>
            <w:tcW w:w="793" w:type="pct"/>
            <w:tcBorders>
              <w:top w:val="single" w:color="000000" w:sz="4" w:space="0"/>
              <w:left w:val="nil"/>
              <w:bottom w:val="single" w:color="000000" w:sz="4" w:space="0"/>
              <w:right w:val="single" w:color="000000" w:sz="4" w:space="0"/>
            </w:tcBorders>
            <w:vAlign w:val="center"/>
          </w:tcPr>
          <w:p w14:paraId="735A6B33">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黎湛线</w:t>
            </w:r>
          </w:p>
        </w:tc>
        <w:tc>
          <w:tcPr>
            <w:tcW w:w="914" w:type="pct"/>
            <w:tcBorders>
              <w:top w:val="single" w:color="000000" w:sz="4" w:space="0"/>
              <w:left w:val="nil"/>
              <w:bottom w:val="single" w:color="000000" w:sz="4" w:space="0"/>
              <w:right w:val="single" w:color="000000" w:sz="4" w:space="0"/>
            </w:tcBorders>
            <w:vAlign w:val="center"/>
          </w:tcPr>
          <w:p w14:paraId="471AA82F">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K143+350</w:t>
            </w:r>
          </w:p>
        </w:tc>
        <w:tc>
          <w:tcPr>
            <w:tcW w:w="945" w:type="pct"/>
            <w:tcBorders>
              <w:top w:val="single" w:color="000000" w:sz="4" w:space="0"/>
              <w:left w:val="nil"/>
              <w:bottom w:val="single" w:color="000000" w:sz="4" w:space="0"/>
              <w:right w:val="single" w:color="000000" w:sz="4" w:space="0"/>
            </w:tcBorders>
            <w:vAlign w:val="center"/>
          </w:tcPr>
          <w:p w14:paraId="10F13D5E">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61904996">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5C985C24">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r>
      <w:tr w14:paraId="41FAE16E">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22977057">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15</w:t>
            </w:r>
          </w:p>
        </w:tc>
        <w:tc>
          <w:tcPr>
            <w:tcW w:w="571" w:type="pct"/>
            <w:tcBorders>
              <w:top w:val="single" w:color="000000" w:sz="4" w:space="0"/>
              <w:left w:val="nil"/>
              <w:bottom w:val="single" w:color="000000" w:sz="4" w:space="0"/>
              <w:right w:val="single" w:color="000000" w:sz="4" w:space="0"/>
            </w:tcBorders>
            <w:vAlign w:val="center"/>
          </w:tcPr>
          <w:p w14:paraId="71B3B610">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玉林</w:t>
            </w:r>
          </w:p>
        </w:tc>
        <w:tc>
          <w:tcPr>
            <w:tcW w:w="793" w:type="pct"/>
            <w:tcBorders>
              <w:top w:val="single" w:color="000000" w:sz="4" w:space="0"/>
              <w:left w:val="nil"/>
              <w:bottom w:val="single" w:color="000000" w:sz="4" w:space="0"/>
              <w:right w:val="single" w:color="000000" w:sz="4" w:space="0"/>
            </w:tcBorders>
            <w:vAlign w:val="center"/>
          </w:tcPr>
          <w:p w14:paraId="3B2E2EC9">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黎湛线</w:t>
            </w:r>
          </w:p>
        </w:tc>
        <w:tc>
          <w:tcPr>
            <w:tcW w:w="914" w:type="pct"/>
            <w:tcBorders>
              <w:top w:val="single" w:color="000000" w:sz="4" w:space="0"/>
              <w:left w:val="nil"/>
              <w:bottom w:val="single" w:color="000000" w:sz="4" w:space="0"/>
              <w:right w:val="single" w:color="000000" w:sz="4" w:space="0"/>
            </w:tcBorders>
            <w:vAlign w:val="center"/>
          </w:tcPr>
          <w:p w14:paraId="19E277E7">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K146+100</w:t>
            </w:r>
          </w:p>
        </w:tc>
        <w:tc>
          <w:tcPr>
            <w:tcW w:w="945" w:type="pct"/>
            <w:tcBorders>
              <w:top w:val="single" w:color="000000" w:sz="4" w:space="0"/>
              <w:left w:val="nil"/>
              <w:bottom w:val="single" w:color="000000" w:sz="4" w:space="0"/>
              <w:right w:val="single" w:color="000000" w:sz="4" w:space="0"/>
            </w:tcBorders>
            <w:vAlign w:val="center"/>
          </w:tcPr>
          <w:p w14:paraId="345584BD">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731C0222">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401964F3">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r>
      <w:tr w14:paraId="468E241A">
        <w:tblPrEx>
          <w:tblCellMar>
            <w:top w:w="0" w:type="dxa"/>
            <w:left w:w="108" w:type="dxa"/>
            <w:bottom w:w="0" w:type="dxa"/>
            <w:right w:w="108" w:type="dxa"/>
          </w:tblCellMar>
        </w:tblPrEx>
        <w:trPr>
          <w:trHeight w:val="510" w:hRule="atLeast"/>
          <w:jc w:val="center"/>
        </w:trPr>
        <w:tc>
          <w:tcPr>
            <w:tcW w:w="412" w:type="pct"/>
            <w:tcBorders>
              <w:top w:val="single" w:color="000000" w:sz="4" w:space="0"/>
              <w:left w:val="single" w:color="000000" w:sz="4" w:space="0"/>
              <w:bottom w:val="single" w:color="000000" w:sz="4" w:space="0"/>
              <w:right w:val="single" w:color="000000" w:sz="4" w:space="0"/>
            </w:tcBorders>
            <w:vAlign w:val="center"/>
          </w:tcPr>
          <w:p w14:paraId="3A3EA9DE">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16</w:t>
            </w:r>
          </w:p>
        </w:tc>
        <w:tc>
          <w:tcPr>
            <w:tcW w:w="571" w:type="pct"/>
            <w:tcBorders>
              <w:top w:val="single" w:color="000000" w:sz="4" w:space="0"/>
              <w:left w:val="nil"/>
              <w:bottom w:val="single" w:color="000000" w:sz="4" w:space="0"/>
              <w:right w:val="single" w:color="000000" w:sz="4" w:space="0"/>
            </w:tcBorders>
            <w:vAlign w:val="center"/>
          </w:tcPr>
          <w:p w14:paraId="7629ACD8">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玉林</w:t>
            </w:r>
          </w:p>
        </w:tc>
        <w:tc>
          <w:tcPr>
            <w:tcW w:w="793" w:type="pct"/>
            <w:tcBorders>
              <w:top w:val="single" w:color="000000" w:sz="4" w:space="0"/>
              <w:left w:val="nil"/>
              <w:bottom w:val="single" w:color="000000" w:sz="4" w:space="0"/>
              <w:right w:val="single" w:color="000000" w:sz="4" w:space="0"/>
            </w:tcBorders>
            <w:vAlign w:val="center"/>
          </w:tcPr>
          <w:p w14:paraId="59A01201">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黎湛线</w:t>
            </w:r>
          </w:p>
        </w:tc>
        <w:tc>
          <w:tcPr>
            <w:tcW w:w="914" w:type="pct"/>
            <w:tcBorders>
              <w:top w:val="single" w:color="000000" w:sz="4" w:space="0"/>
              <w:left w:val="nil"/>
              <w:bottom w:val="single" w:color="000000" w:sz="4" w:space="0"/>
              <w:right w:val="single" w:color="000000" w:sz="4" w:space="0"/>
            </w:tcBorders>
            <w:vAlign w:val="center"/>
          </w:tcPr>
          <w:p w14:paraId="0F561BBB">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eastAsia="en-US"/>
              </w:rPr>
              <w:t>K146+150</w:t>
            </w:r>
          </w:p>
        </w:tc>
        <w:tc>
          <w:tcPr>
            <w:tcW w:w="945" w:type="pct"/>
            <w:tcBorders>
              <w:top w:val="single" w:color="000000" w:sz="4" w:space="0"/>
              <w:left w:val="nil"/>
              <w:bottom w:val="single" w:color="000000" w:sz="4" w:space="0"/>
              <w:right w:val="single" w:color="000000" w:sz="4" w:space="0"/>
            </w:tcBorders>
            <w:vAlign w:val="center"/>
          </w:tcPr>
          <w:p w14:paraId="510C8F93">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782" w:type="pct"/>
            <w:tcBorders>
              <w:top w:val="single" w:color="000000" w:sz="4" w:space="0"/>
              <w:left w:val="nil"/>
              <w:bottom w:val="single" w:color="000000" w:sz="4" w:space="0"/>
              <w:right w:val="single" w:color="000000" w:sz="4" w:space="0"/>
            </w:tcBorders>
            <w:vAlign w:val="center"/>
          </w:tcPr>
          <w:p w14:paraId="50B96128">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c>
          <w:tcPr>
            <w:tcW w:w="579" w:type="pct"/>
            <w:tcBorders>
              <w:top w:val="single" w:color="000000" w:sz="4" w:space="0"/>
              <w:left w:val="nil"/>
              <w:bottom w:val="single" w:color="000000" w:sz="4" w:space="0"/>
              <w:right w:val="single" w:color="000000" w:sz="4" w:space="0"/>
            </w:tcBorders>
            <w:vAlign w:val="center"/>
          </w:tcPr>
          <w:p w14:paraId="2893D19C">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rPr>
              <w:t>0</w:t>
            </w:r>
          </w:p>
        </w:tc>
      </w:tr>
      <w:tr w14:paraId="1DDF6385">
        <w:tblPrEx>
          <w:tblCellMar>
            <w:top w:w="0" w:type="dxa"/>
            <w:left w:w="108" w:type="dxa"/>
            <w:bottom w:w="0" w:type="dxa"/>
            <w:right w:w="108" w:type="dxa"/>
          </w:tblCellMar>
        </w:tblPrEx>
        <w:trPr>
          <w:trHeight w:val="510" w:hRule="atLeast"/>
          <w:jc w:val="center"/>
        </w:trPr>
        <w:tc>
          <w:tcPr>
            <w:tcW w:w="5293" w:type="dxa"/>
            <w:gridSpan w:val="4"/>
            <w:tcBorders>
              <w:top w:val="single" w:color="000000" w:sz="4" w:space="0"/>
              <w:left w:val="single" w:color="000000" w:sz="4" w:space="0"/>
              <w:bottom w:val="single" w:color="000000" w:sz="4" w:space="0"/>
              <w:right w:val="single" w:color="000000" w:sz="4" w:space="0"/>
            </w:tcBorders>
            <w:vAlign w:val="center"/>
          </w:tcPr>
          <w:p w14:paraId="346DC9A2">
            <w:pPr>
              <w:spacing w:line="360" w:lineRule="auto"/>
              <w:jc w:val="center"/>
              <w:rPr>
                <w:rFonts w:hint="eastAsia" w:asciiTheme="minorEastAsia" w:hAnsiTheme="minorEastAsia" w:eastAsiaTheme="minorEastAsia" w:cstheme="minorEastAsia"/>
                <w:color w:val="auto"/>
                <w:kern w:val="0"/>
                <w:szCs w:val="21"/>
                <w:highlight w:val="none"/>
                <w:lang w:eastAsia="en-US"/>
              </w:rPr>
            </w:pPr>
            <w:r>
              <w:rPr>
                <w:rFonts w:hint="eastAsia" w:asciiTheme="minorEastAsia" w:hAnsiTheme="minorEastAsia" w:eastAsiaTheme="minorEastAsia" w:cstheme="minorEastAsia"/>
                <w:color w:val="auto"/>
                <w:kern w:val="0"/>
                <w:szCs w:val="21"/>
                <w:highlight w:val="none"/>
                <w:lang w:val="en-US" w:eastAsia="zh-CN"/>
              </w:rPr>
              <w:t>合计</w:t>
            </w:r>
          </w:p>
        </w:tc>
        <w:tc>
          <w:tcPr>
            <w:tcW w:w="1858" w:type="dxa"/>
            <w:tcBorders>
              <w:top w:val="single" w:color="000000" w:sz="4" w:space="0"/>
              <w:left w:val="nil"/>
              <w:bottom w:val="single" w:color="000000" w:sz="4" w:space="0"/>
              <w:right w:val="single" w:color="000000" w:sz="4" w:space="0"/>
            </w:tcBorders>
            <w:vAlign w:val="center"/>
          </w:tcPr>
          <w:p w14:paraId="1D30121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Cs w:val="21"/>
                <w:highlight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538" w:type="dxa"/>
            <w:tcBorders>
              <w:top w:val="single" w:color="000000" w:sz="4" w:space="0"/>
              <w:left w:val="nil"/>
              <w:bottom w:val="single" w:color="000000" w:sz="4" w:space="0"/>
              <w:right w:val="single" w:color="000000" w:sz="4" w:space="0"/>
            </w:tcBorders>
            <w:vAlign w:val="center"/>
          </w:tcPr>
          <w:p w14:paraId="75F773A8">
            <w:pPr>
              <w:keepNext w:val="0"/>
              <w:keepLines w:val="0"/>
              <w:widowControl/>
              <w:suppressLineNumbers w:val="0"/>
              <w:jc w:val="center"/>
              <w:textAlignment w:val="center"/>
              <w:rPr>
                <w:rFonts w:hint="eastAsia" w:asciiTheme="minorEastAsia" w:hAnsiTheme="minorEastAsia" w:eastAsiaTheme="minorEastAsia" w:cstheme="minorEastAsia"/>
                <w:color w:val="auto"/>
                <w:kern w:val="0"/>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0" w:type="dxa"/>
            <w:tcBorders>
              <w:top w:val="single" w:color="000000" w:sz="4" w:space="0"/>
              <w:left w:val="nil"/>
              <w:bottom w:val="single" w:color="000000" w:sz="4" w:space="0"/>
              <w:right w:val="single" w:color="000000" w:sz="4" w:space="0"/>
            </w:tcBorders>
            <w:vAlign w:val="center"/>
          </w:tcPr>
          <w:p w14:paraId="0CCF0CA9">
            <w:pPr>
              <w:keepNext w:val="0"/>
              <w:keepLines w:val="0"/>
              <w:widowControl/>
              <w:suppressLineNumbers w:val="0"/>
              <w:jc w:val="center"/>
              <w:textAlignment w:val="center"/>
              <w:rPr>
                <w:rFonts w:hint="eastAsia" w:asciiTheme="minorEastAsia" w:hAnsiTheme="minorEastAsia" w:eastAsiaTheme="minorEastAsia" w:cstheme="minorEastAsia"/>
                <w:color w:val="auto"/>
                <w:kern w:val="0"/>
                <w:szCs w:val="21"/>
                <w:highlight w:val="none"/>
              </w:rPr>
            </w:pPr>
            <w:r>
              <w:rPr>
                <w:rFonts w:hint="eastAsia" w:ascii="宋体" w:hAnsi="宋体" w:eastAsia="宋体" w:cs="宋体"/>
                <w:i w:val="0"/>
                <w:iCs w:val="0"/>
                <w:color w:val="auto"/>
                <w:kern w:val="0"/>
                <w:sz w:val="22"/>
                <w:szCs w:val="22"/>
                <w:highlight w:val="none"/>
                <w:u w:val="none"/>
                <w:lang w:val="en-US" w:eastAsia="zh-CN" w:bidi="ar"/>
              </w:rPr>
              <w:t>4</w:t>
            </w:r>
          </w:p>
        </w:tc>
      </w:tr>
    </w:tbl>
    <w:p w14:paraId="5A68F43E">
      <w:pPr>
        <w:pStyle w:val="8"/>
        <w:ind w:firstLine="0" w:firstLineChars="0"/>
        <w:rPr>
          <w:color w:val="auto"/>
          <w:sz w:val="21"/>
          <w:szCs w:val="21"/>
          <w:highlight w:val="none"/>
          <w:lang w:val="en-US"/>
        </w:rPr>
        <w:sectPr>
          <w:pgSz w:w="11905" w:h="16838"/>
          <w:pgMar w:top="1134" w:right="1134" w:bottom="1134" w:left="1134" w:header="850" w:footer="992" w:gutter="0"/>
          <w:paperSrc/>
          <w:cols w:space="0" w:num="1"/>
          <w:rtlGutter w:val="0"/>
          <w:docGrid w:type="lines" w:linePitch="317" w:charSpace="0"/>
        </w:sectPr>
      </w:pPr>
    </w:p>
    <w:p w14:paraId="206FBA55">
      <w:pPr>
        <w:pStyle w:val="8"/>
        <w:ind w:firstLine="0" w:firstLineChars="0"/>
        <w:rPr>
          <w:color w:val="auto"/>
          <w:sz w:val="21"/>
          <w:szCs w:val="21"/>
          <w:highlight w:val="none"/>
          <w:lang w:val="en-US"/>
        </w:rPr>
      </w:pPr>
      <w:r>
        <w:rPr>
          <w:rFonts w:hint="eastAsia"/>
          <w:color w:val="auto"/>
          <w:sz w:val="21"/>
          <w:szCs w:val="21"/>
          <w:highlight w:val="none"/>
          <w:lang w:val="en-US"/>
        </w:rPr>
        <w:t>三期租赁项目点位需求清单</w:t>
      </w:r>
    </w:p>
    <w:tbl>
      <w:tblPr>
        <w:tblStyle w:val="5"/>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982"/>
        <w:gridCol w:w="1696"/>
        <w:gridCol w:w="1338"/>
        <w:gridCol w:w="1201"/>
        <w:gridCol w:w="1083"/>
        <w:gridCol w:w="1026"/>
        <w:gridCol w:w="859"/>
        <w:gridCol w:w="853"/>
      </w:tblGrid>
      <w:tr w14:paraId="2DE3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blHeader/>
          <w:jc w:val="center"/>
        </w:trPr>
        <w:tc>
          <w:tcPr>
            <w:tcW w:w="398" w:type="pct"/>
            <w:vMerge w:val="restart"/>
            <w:vAlign w:val="center"/>
          </w:tcPr>
          <w:p w14:paraId="6BC7D52C">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序号</w:t>
            </w:r>
          </w:p>
        </w:tc>
        <w:tc>
          <w:tcPr>
            <w:tcW w:w="500" w:type="pct"/>
            <w:vMerge w:val="restart"/>
            <w:vAlign w:val="center"/>
          </w:tcPr>
          <w:p w14:paraId="7958229A">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地市</w:t>
            </w:r>
          </w:p>
        </w:tc>
        <w:tc>
          <w:tcPr>
            <w:tcW w:w="863" w:type="pct"/>
            <w:vMerge w:val="restart"/>
            <w:vAlign w:val="center"/>
          </w:tcPr>
          <w:p w14:paraId="4ADB827E">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线路名称</w:t>
            </w:r>
          </w:p>
        </w:tc>
        <w:tc>
          <w:tcPr>
            <w:tcW w:w="681" w:type="pct"/>
            <w:vMerge w:val="restart"/>
            <w:vAlign w:val="center"/>
          </w:tcPr>
          <w:p w14:paraId="47D95635">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线路里程</w:t>
            </w:r>
          </w:p>
        </w:tc>
        <w:tc>
          <w:tcPr>
            <w:tcW w:w="2555" w:type="pct"/>
            <w:gridSpan w:val="5"/>
            <w:vAlign w:val="center"/>
          </w:tcPr>
          <w:p w14:paraId="69E38B4B">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设备类型</w:t>
            </w:r>
          </w:p>
        </w:tc>
      </w:tr>
      <w:tr w14:paraId="1E59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blHeader/>
          <w:jc w:val="center"/>
        </w:trPr>
        <w:tc>
          <w:tcPr>
            <w:tcW w:w="398" w:type="pct"/>
            <w:vMerge w:val="continue"/>
            <w:vAlign w:val="center"/>
          </w:tcPr>
          <w:p w14:paraId="230F10CF">
            <w:pPr>
              <w:spacing w:line="400" w:lineRule="exact"/>
              <w:jc w:val="center"/>
              <w:rPr>
                <w:rFonts w:hint="eastAsia" w:asciiTheme="minorEastAsia" w:hAnsiTheme="minorEastAsia" w:eastAsiaTheme="minorEastAsia" w:cstheme="minorEastAsia"/>
                <w:b/>
                <w:bCs/>
                <w:color w:val="auto"/>
                <w:kern w:val="0"/>
                <w:szCs w:val="21"/>
                <w:highlight w:val="none"/>
              </w:rPr>
            </w:pPr>
          </w:p>
        </w:tc>
        <w:tc>
          <w:tcPr>
            <w:tcW w:w="500" w:type="pct"/>
            <w:vMerge w:val="continue"/>
            <w:vAlign w:val="center"/>
          </w:tcPr>
          <w:p w14:paraId="3ECAD5B5">
            <w:pPr>
              <w:spacing w:line="400" w:lineRule="exact"/>
              <w:jc w:val="center"/>
              <w:rPr>
                <w:rFonts w:hint="eastAsia" w:asciiTheme="minorEastAsia" w:hAnsiTheme="minorEastAsia" w:eastAsiaTheme="minorEastAsia" w:cstheme="minorEastAsia"/>
                <w:b/>
                <w:bCs/>
                <w:color w:val="auto"/>
                <w:kern w:val="0"/>
                <w:szCs w:val="21"/>
                <w:highlight w:val="none"/>
              </w:rPr>
            </w:pPr>
          </w:p>
        </w:tc>
        <w:tc>
          <w:tcPr>
            <w:tcW w:w="863" w:type="pct"/>
            <w:vMerge w:val="continue"/>
            <w:vAlign w:val="center"/>
          </w:tcPr>
          <w:p w14:paraId="5F40E737">
            <w:pPr>
              <w:spacing w:line="400" w:lineRule="exact"/>
              <w:jc w:val="center"/>
              <w:rPr>
                <w:rFonts w:hint="eastAsia" w:asciiTheme="minorEastAsia" w:hAnsiTheme="minorEastAsia" w:eastAsiaTheme="minorEastAsia" w:cstheme="minorEastAsia"/>
                <w:b/>
                <w:bCs/>
                <w:color w:val="auto"/>
                <w:kern w:val="0"/>
                <w:szCs w:val="21"/>
                <w:highlight w:val="none"/>
              </w:rPr>
            </w:pPr>
          </w:p>
        </w:tc>
        <w:tc>
          <w:tcPr>
            <w:tcW w:w="681" w:type="pct"/>
            <w:vMerge w:val="continue"/>
            <w:vAlign w:val="center"/>
          </w:tcPr>
          <w:p w14:paraId="4B348AC0">
            <w:pPr>
              <w:spacing w:line="400" w:lineRule="exact"/>
              <w:jc w:val="center"/>
              <w:rPr>
                <w:rFonts w:hint="eastAsia" w:asciiTheme="minorEastAsia" w:hAnsiTheme="minorEastAsia" w:eastAsiaTheme="minorEastAsia" w:cstheme="minorEastAsia"/>
                <w:b/>
                <w:bCs/>
                <w:color w:val="auto"/>
                <w:kern w:val="0"/>
                <w:szCs w:val="21"/>
                <w:highlight w:val="none"/>
              </w:rPr>
            </w:pPr>
          </w:p>
        </w:tc>
        <w:tc>
          <w:tcPr>
            <w:tcW w:w="611" w:type="pct"/>
            <w:vAlign w:val="center"/>
          </w:tcPr>
          <w:p w14:paraId="49E2192E">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热成像球机数量</w:t>
            </w:r>
            <w:r>
              <w:rPr>
                <w:rFonts w:hint="eastAsia" w:asciiTheme="minorEastAsia" w:hAnsiTheme="minorEastAsia" w:eastAsiaTheme="minorEastAsia" w:cstheme="minorEastAsia"/>
                <w:b/>
                <w:bCs/>
                <w:color w:val="auto"/>
                <w:kern w:val="0"/>
                <w:szCs w:val="21"/>
                <w:highlight w:val="none"/>
              </w:rPr>
              <w:br w:type="textWrapping"/>
            </w:r>
            <w:r>
              <w:rPr>
                <w:rFonts w:hint="eastAsia" w:asciiTheme="minorEastAsia" w:hAnsiTheme="minorEastAsia" w:eastAsiaTheme="minorEastAsia" w:cstheme="minorEastAsia"/>
                <w:b/>
                <w:bCs/>
                <w:color w:val="auto"/>
                <w:kern w:val="0"/>
                <w:szCs w:val="21"/>
                <w:highlight w:val="none"/>
              </w:rPr>
              <w:t>（台）</w:t>
            </w:r>
          </w:p>
        </w:tc>
        <w:tc>
          <w:tcPr>
            <w:tcW w:w="551" w:type="pct"/>
            <w:vAlign w:val="center"/>
          </w:tcPr>
          <w:p w14:paraId="5C870E57">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枪球一体机数量</w:t>
            </w:r>
            <w:r>
              <w:rPr>
                <w:rFonts w:hint="eastAsia" w:asciiTheme="minorEastAsia" w:hAnsiTheme="minorEastAsia" w:eastAsiaTheme="minorEastAsia" w:cstheme="minorEastAsia"/>
                <w:b/>
                <w:bCs/>
                <w:color w:val="auto"/>
                <w:kern w:val="0"/>
                <w:szCs w:val="21"/>
                <w:highlight w:val="none"/>
              </w:rPr>
              <w:br w:type="textWrapping"/>
            </w:r>
            <w:r>
              <w:rPr>
                <w:rFonts w:hint="eastAsia" w:asciiTheme="minorEastAsia" w:hAnsiTheme="minorEastAsia" w:eastAsiaTheme="minorEastAsia" w:cstheme="minorEastAsia"/>
                <w:b/>
                <w:bCs/>
                <w:color w:val="auto"/>
                <w:kern w:val="0"/>
                <w:szCs w:val="21"/>
                <w:highlight w:val="none"/>
              </w:rPr>
              <w:t>（台）</w:t>
            </w:r>
          </w:p>
        </w:tc>
        <w:tc>
          <w:tcPr>
            <w:tcW w:w="522" w:type="pct"/>
            <w:vAlign w:val="center"/>
          </w:tcPr>
          <w:p w14:paraId="2672EAEA">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普通枪机数量</w:t>
            </w:r>
            <w:r>
              <w:rPr>
                <w:rFonts w:hint="eastAsia" w:asciiTheme="minorEastAsia" w:hAnsiTheme="minorEastAsia" w:eastAsiaTheme="minorEastAsia" w:cstheme="minorEastAsia"/>
                <w:b/>
                <w:bCs/>
                <w:color w:val="auto"/>
                <w:kern w:val="0"/>
                <w:szCs w:val="21"/>
                <w:highlight w:val="none"/>
              </w:rPr>
              <w:br w:type="textWrapping"/>
            </w:r>
            <w:r>
              <w:rPr>
                <w:rFonts w:hint="eastAsia" w:asciiTheme="minorEastAsia" w:hAnsiTheme="minorEastAsia" w:eastAsiaTheme="minorEastAsia" w:cstheme="minorEastAsia"/>
                <w:b/>
                <w:bCs/>
                <w:color w:val="auto"/>
                <w:kern w:val="0"/>
                <w:szCs w:val="21"/>
                <w:highlight w:val="none"/>
              </w:rPr>
              <w:t>（台）</w:t>
            </w:r>
          </w:p>
        </w:tc>
        <w:tc>
          <w:tcPr>
            <w:tcW w:w="437" w:type="pct"/>
            <w:vAlign w:val="center"/>
          </w:tcPr>
          <w:p w14:paraId="43C69BAF">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普通球机数量</w:t>
            </w:r>
            <w:r>
              <w:rPr>
                <w:rFonts w:hint="eastAsia" w:asciiTheme="minorEastAsia" w:hAnsiTheme="minorEastAsia" w:eastAsiaTheme="minorEastAsia" w:cstheme="minorEastAsia"/>
                <w:b/>
                <w:bCs/>
                <w:color w:val="auto"/>
                <w:kern w:val="0"/>
                <w:szCs w:val="21"/>
                <w:highlight w:val="none"/>
              </w:rPr>
              <w:br w:type="textWrapping"/>
            </w:r>
            <w:r>
              <w:rPr>
                <w:rFonts w:hint="eastAsia" w:asciiTheme="minorEastAsia" w:hAnsiTheme="minorEastAsia" w:eastAsiaTheme="minorEastAsia" w:cstheme="minorEastAsia"/>
                <w:b/>
                <w:bCs/>
                <w:color w:val="auto"/>
                <w:kern w:val="0"/>
                <w:szCs w:val="21"/>
                <w:highlight w:val="none"/>
              </w:rPr>
              <w:t>（台）</w:t>
            </w:r>
          </w:p>
        </w:tc>
        <w:tc>
          <w:tcPr>
            <w:tcW w:w="432" w:type="pct"/>
            <w:vAlign w:val="center"/>
          </w:tcPr>
          <w:p w14:paraId="3D7ED1D8">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音柱数量</w:t>
            </w:r>
            <w:r>
              <w:rPr>
                <w:color w:val="auto"/>
                <w:highlight w:val="none"/>
              </w:rPr>
              <w:br w:type="textWrapping"/>
            </w:r>
            <w:r>
              <w:rPr>
                <w:rFonts w:hint="eastAsia" w:asciiTheme="minorEastAsia" w:hAnsiTheme="minorEastAsia" w:eastAsiaTheme="minorEastAsia" w:cstheme="minorEastAsia"/>
                <w:b/>
                <w:bCs/>
                <w:color w:val="auto"/>
                <w:kern w:val="0"/>
                <w:szCs w:val="21"/>
                <w:highlight w:val="none"/>
              </w:rPr>
              <w:t>（根）</w:t>
            </w:r>
          </w:p>
        </w:tc>
      </w:tr>
      <w:tr w14:paraId="2A27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57D495E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00" w:type="pct"/>
            <w:vAlign w:val="center"/>
          </w:tcPr>
          <w:p w14:paraId="20409A4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南宁</w:t>
            </w:r>
          </w:p>
        </w:tc>
        <w:tc>
          <w:tcPr>
            <w:tcW w:w="863" w:type="pct"/>
            <w:vAlign w:val="center"/>
          </w:tcPr>
          <w:p w14:paraId="4345494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屯东联络线</w:t>
            </w:r>
          </w:p>
        </w:tc>
        <w:tc>
          <w:tcPr>
            <w:tcW w:w="681" w:type="pct"/>
            <w:vAlign w:val="center"/>
          </w:tcPr>
          <w:p w14:paraId="7F14002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K1+238</w:t>
            </w:r>
          </w:p>
        </w:tc>
        <w:tc>
          <w:tcPr>
            <w:tcW w:w="611" w:type="pct"/>
            <w:vAlign w:val="center"/>
          </w:tcPr>
          <w:p w14:paraId="34FC529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4350CE3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22" w:type="pct"/>
            <w:vAlign w:val="center"/>
          </w:tcPr>
          <w:p w14:paraId="534842D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17CE697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2" w:type="pct"/>
            <w:vAlign w:val="center"/>
          </w:tcPr>
          <w:p w14:paraId="12ECF3F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31B0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6D9E6B8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500" w:type="pct"/>
            <w:vAlign w:val="center"/>
          </w:tcPr>
          <w:p w14:paraId="7E12FE3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南宁</w:t>
            </w:r>
          </w:p>
        </w:tc>
        <w:tc>
          <w:tcPr>
            <w:tcW w:w="863" w:type="pct"/>
            <w:vAlign w:val="center"/>
          </w:tcPr>
          <w:p w14:paraId="7E5BA11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46177C4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K24+300</w:t>
            </w:r>
          </w:p>
        </w:tc>
        <w:tc>
          <w:tcPr>
            <w:tcW w:w="611" w:type="pct"/>
            <w:vAlign w:val="center"/>
          </w:tcPr>
          <w:p w14:paraId="60C3016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3B7F8B4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32FDAFC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7" w:type="pct"/>
            <w:vAlign w:val="center"/>
          </w:tcPr>
          <w:p w14:paraId="39789FF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2" w:type="pct"/>
            <w:vAlign w:val="center"/>
          </w:tcPr>
          <w:p w14:paraId="162D14F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74C2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16D4569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p>
        </w:tc>
        <w:tc>
          <w:tcPr>
            <w:tcW w:w="500" w:type="pct"/>
            <w:vAlign w:val="center"/>
          </w:tcPr>
          <w:p w14:paraId="63EDFAF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南宁</w:t>
            </w:r>
          </w:p>
        </w:tc>
        <w:tc>
          <w:tcPr>
            <w:tcW w:w="863" w:type="pct"/>
            <w:vAlign w:val="center"/>
          </w:tcPr>
          <w:p w14:paraId="11E2942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45E12AC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K36+340</w:t>
            </w:r>
          </w:p>
        </w:tc>
        <w:tc>
          <w:tcPr>
            <w:tcW w:w="611" w:type="pct"/>
            <w:vAlign w:val="center"/>
          </w:tcPr>
          <w:p w14:paraId="111DFCB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30269F2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08ACCCB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295B2FF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457BF8B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3780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69A57A5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p>
        </w:tc>
        <w:tc>
          <w:tcPr>
            <w:tcW w:w="500" w:type="pct"/>
            <w:vAlign w:val="center"/>
          </w:tcPr>
          <w:p w14:paraId="0AA5642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桂林</w:t>
            </w:r>
          </w:p>
        </w:tc>
        <w:tc>
          <w:tcPr>
            <w:tcW w:w="863" w:type="pct"/>
            <w:vAlign w:val="center"/>
          </w:tcPr>
          <w:p w14:paraId="6104269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衡柳线</w:t>
            </w:r>
          </w:p>
        </w:tc>
        <w:tc>
          <w:tcPr>
            <w:tcW w:w="681" w:type="pct"/>
            <w:vAlign w:val="center"/>
          </w:tcPr>
          <w:p w14:paraId="7CA3B32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K278+700</w:t>
            </w:r>
          </w:p>
        </w:tc>
        <w:tc>
          <w:tcPr>
            <w:tcW w:w="611" w:type="pct"/>
            <w:vAlign w:val="center"/>
          </w:tcPr>
          <w:p w14:paraId="1A6B419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1" w:type="pct"/>
            <w:vAlign w:val="center"/>
          </w:tcPr>
          <w:p w14:paraId="3F8F8A1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33C1D39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387AD76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2" w:type="pct"/>
            <w:vAlign w:val="center"/>
          </w:tcPr>
          <w:p w14:paraId="54E8498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09E3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2687BCC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c>
          <w:tcPr>
            <w:tcW w:w="500" w:type="pct"/>
            <w:vAlign w:val="center"/>
          </w:tcPr>
          <w:p w14:paraId="2CBAEBC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桂林</w:t>
            </w:r>
          </w:p>
        </w:tc>
        <w:tc>
          <w:tcPr>
            <w:tcW w:w="863" w:type="pct"/>
            <w:vAlign w:val="center"/>
          </w:tcPr>
          <w:p w14:paraId="1DAB97F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衡柳线</w:t>
            </w:r>
          </w:p>
        </w:tc>
        <w:tc>
          <w:tcPr>
            <w:tcW w:w="681" w:type="pct"/>
            <w:vAlign w:val="center"/>
          </w:tcPr>
          <w:p w14:paraId="2E6C44A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K225+535</w:t>
            </w:r>
          </w:p>
        </w:tc>
        <w:tc>
          <w:tcPr>
            <w:tcW w:w="611" w:type="pct"/>
            <w:vAlign w:val="center"/>
          </w:tcPr>
          <w:p w14:paraId="3F9D3BE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1" w:type="pct"/>
            <w:vAlign w:val="center"/>
          </w:tcPr>
          <w:p w14:paraId="2BD3B5E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4C08452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7974AA0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2" w:type="pct"/>
            <w:vAlign w:val="center"/>
          </w:tcPr>
          <w:p w14:paraId="2A3299C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3AF3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610555B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p>
        </w:tc>
        <w:tc>
          <w:tcPr>
            <w:tcW w:w="500" w:type="pct"/>
            <w:vAlign w:val="center"/>
          </w:tcPr>
          <w:p w14:paraId="6334A49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桂林</w:t>
            </w:r>
          </w:p>
        </w:tc>
        <w:tc>
          <w:tcPr>
            <w:tcW w:w="863" w:type="pct"/>
            <w:vAlign w:val="center"/>
          </w:tcPr>
          <w:p w14:paraId="64F1332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衡柳线</w:t>
            </w:r>
          </w:p>
        </w:tc>
        <w:tc>
          <w:tcPr>
            <w:tcW w:w="681" w:type="pct"/>
            <w:vAlign w:val="center"/>
          </w:tcPr>
          <w:p w14:paraId="3FFF1E7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K226+235</w:t>
            </w:r>
          </w:p>
        </w:tc>
        <w:tc>
          <w:tcPr>
            <w:tcW w:w="611" w:type="pct"/>
            <w:vAlign w:val="center"/>
          </w:tcPr>
          <w:p w14:paraId="27C3F24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1" w:type="pct"/>
            <w:vAlign w:val="center"/>
          </w:tcPr>
          <w:p w14:paraId="3B3D311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0C6467F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39FFEBB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2" w:type="pct"/>
            <w:vAlign w:val="center"/>
          </w:tcPr>
          <w:p w14:paraId="6E67D3F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7AF7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5476E4C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w:t>
            </w:r>
          </w:p>
        </w:tc>
        <w:tc>
          <w:tcPr>
            <w:tcW w:w="500" w:type="pct"/>
            <w:vAlign w:val="center"/>
          </w:tcPr>
          <w:p w14:paraId="6AEE233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桂林</w:t>
            </w:r>
          </w:p>
        </w:tc>
        <w:tc>
          <w:tcPr>
            <w:tcW w:w="863" w:type="pct"/>
            <w:vAlign w:val="center"/>
          </w:tcPr>
          <w:p w14:paraId="1B587FF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衡柳线</w:t>
            </w:r>
          </w:p>
        </w:tc>
        <w:tc>
          <w:tcPr>
            <w:tcW w:w="681" w:type="pct"/>
            <w:vAlign w:val="center"/>
          </w:tcPr>
          <w:p w14:paraId="692A207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K386+358</w:t>
            </w:r>
          </w:p>
        </w:tc>
        <w:tc>
          <w:tcPr>
            <w:tcW w:w="611" w:type="pct"/>
            <w:vAlign w:val="center"/>
          </w:tcPr>
          <w:p w14:paraId="2C0D49B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1" w:type="pct"/>
            <w:vAlign w:val="center"/>
          </w:tcPr>
          <w:p w14:paraId="77A8C36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41FF205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469C3AE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2" w:type="pct"/>
            <w:vAlign w:val="center"/>
          </w:tcPr>
          <w:p w14:paraId="5CF09AC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000A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610F0E1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w:t>
            </w:r>
          </w:p>
        </w:tc>
        <w:tc>
          <w:tcPr>
            <w:tcW w:w="500" w:type="pct"/>
            <w:vAlign w:val="center"/>
          </w:tcPr>
          <w:p w14:paraId="2F0C701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桂林</w:t>
            </w:r>
          </w:p>
        </w:tc>
        <w:tc>
          <w:tcPr>
            <w:tcW w:w="863" w:type="pct"/>
            <w:vAlign w:val="center"/>
          </w:tcPr>
          <w:p w14:paraId="40BFA7E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湘桂线</w:t>
            </w:r>
          </w:p>
        </w:tc>
        <w:tc>
          <w:tcPr>
            <w:tcW w:w="681" w:type="pct"/>
            <w:vAlign w:val="center"/>
          </w:tcPr>
          <w:p w14:paraId="7BAAD91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K368+500</w:t>
            </w:r>
          </w:p>
        </w:tc>
        <w:tc>
          <w:tcPr>
            <w:tcW w:w="611" w:type="pct"/>
            <w:vAlign w:val="center"/>
          </w:tcPr>
          <w:p w14:paraId="6A194EE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1" w:type="pct"/>
            <w:vAlign w:val="center"/>
          </w:tcPr>
          <w:p w14:paraId="05EF642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3C4E936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5282E46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2" w:type="pct"/>
            <w:vAlign w:val="center"/>
          </w:tcPr>
          <w:p w14:paraId="7721452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1A73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778D1F8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w:t>
            </w:r>
          </w:p>
        </w:tc>
        <w:tc>
          <w:tcPr>
            <w:tcW w:w="500" w:type="pct"/>
            <w:vAlign w:val="center"/>
          </w:tcPr>
          <w:p w14:paraId="137B52E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863" w:type="pct"/>
            <w:vAlign w:val="center"/>
          </w:tcPr>
          <w:p w14:paraId="3899F65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衡柳线</w:t>
            </w:r>
          </w:p>
        </w:tc>
        <w:tc>
          <w:tcPr>
            <w:tcW w:w="681" w:type="pct"/>
            <w:vAlign w:val="center"/>
          </w:tcPr>
          <w:p w14:paraId="43ECC74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K484+598</w:t>
            </w:r>
          </w:p>
        </w:tc>
        <w:tc>
          <w:tcPr>
            <w:tcW w:w="611" w:type="pct"/>
            <w:vAlign w:val="center"/>
          </w:tcPr>
          <w:p w14:paraId="4220712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1" w:type="pct"/>
            <w:vAlign w:val="center"/>
          </w:tcPr>
          <w:p w14:paraId="1966A37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25EECF9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4CE3B77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2" w:type="pct"/>
            <w:vAlign w:val="center"/>
          </w:tcPr>
          <w:p w14:paraId="6370160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06AE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16810A6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p>
        </w:tc>
        <w:tc>
          <w:tcPr>
            <w:tcW w:w="500" w:type="pct"/>
            <w:vAlign w:val="center"/>
          </w:tcPr>
          <w:p w14:paraId="151FEC8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863" w:type="pct"/>
            <w:vAlign w:val="center"/>
          </w:tcPr>
          <w:p w14:paraId="5E434A8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湘桂线</w:t>
            </w:r>
          </w:p>
        </w:tc>
        <w:tc>
          <w:tcPr>
            <w:tcW w:w="681" w:type="pct"/>
            <w:vAlign w:val="center"/>
          </w:tcPr>
          <w:p w14:paraId="7E13A63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K533+970</w:t>
            </w:r>
          </w:p>
        </w:tc>
        <w:tc>
          <w:tcPr>
            <w:tcW w:w="611" w:type="pct"/>
            <w:vAlign w:val="center"/>
          </w:tcPr>
          <w:p w14:paraId="224AF6C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1" w:type="pct"/>
            <w:vAlign w:val="center"/>
          </w:tcPr>
          <w:p w14:paraId="0B26C86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2BED4D2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104D6A3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2" w:type="pct"/>
            <w:vAlign w:val="center"/>
          </w:tcPr>
          <w:p w14:paraId="0E40B33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2589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13B6168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w:t>
            </w:r>
          </w:p>
        </w:tc>
        <w:tc>
          <w:tcPr>
            <w:tcW w:w="500" w:type="pct"/>
            <w:vAlign w:val="center"/>
          </w:tcPr>
          <w:p w14:paraId="5F97841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w:t>
            </w:r>
          </w:p>
        </w:tc>
        <w:tc>
          <w:tcPr>
            <w:tcW w:w="863" w:type="pct"/>
            <w:vAlign w:val="center"/>
          </w:tcPr>
          <w:p w14:paraId="0BA6010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南昆客专</w:t>
            </w:r>
          </w:p>
        </w:tc>
        <w:tc>
          <w:tcPr>
            <w:tcW w:w="681" w:type="pct"/>
            <w:vAlign w:val="center"/>
          </w:tcPr>
          <w:p w14:paraId="0FF465B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K207+500</w:t>
            </w:r>
          </w:p>
        </w:tc>
        <w:tc>
          <w:tcPr>
            <w:tcW w:w="611" w:type="pct"/>
            <w:vAlign w:val="center"/>
          </w:tcPr>
          <w:p w14:paraId="6D03E3D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1" w:type="pct"/>
            <w:vAlign w:val="center"/>
          </w:tcPr>
          <w:p w14:paraId="250D21F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7BE55F4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1C94504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2" w:type="pct"/>
            <w:vAlign w:val="center"/>
          </w:tcPr>
          <w:p w14:paraId="29FB5D4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102B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5D6B726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w:t>
            </w:r>
          </w:p>
        </w:tc>
        <w:tc>
          <w:tcPr>
            <w:tcW w:w="500" w:type="pct"/>
            <w:vAlign w:val="center"/>
          </w:tcPr>
          <w:p w14:paraId="71F9EFB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w:t>
            </w:r>
          </w:p>
        </w:tc>
        <w:tc>
          <w:tcPr>
            <w:tcW w:w="863" w:type="pct"/>
            <w:vAlign w:val="center"/>
          </w:tcPr>
          <w:p w14:paraId="6C84B06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南昆客专</w:t>
            </w:r>
          </w:p>
        </w:tc>
        <w:tc>
          <w:tcPr>
            <w:tcW w:w="681" w:type="pct"/>
            <w:vAlign w:val="center"/>
          </w:tcPr>
          <w:p w14:paraId="0FE5C15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K220+500</w:t>
            </w:r>
          </w:p>
        </w:tc>
        <w:tc>
          <w:tcPr>
            <w:tcW w:w="611" w:type="pct"/>
            <w:vAlign w:val="center"/>
          </w:tcPr>
          <w:p w14:paraId="10CFFF0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1" w:type="pct"/>
            <w:vAlign w:val="center"/>
          </w:tcPr>
          <w:p w14:paraId="4FF7BD1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4C9A440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66FD527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2" w:type="pct"/>
            <w:vAlign w:val="center"/>
          </w:tcPr>
          <w:p w14:paraId="1BF64EF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467B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134AA15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w:t>
            </w:r>
          </w:p>
        </w:tc>
        <w:tc>
          <w:tcPr>
            <w:tcW w:w="500" w:type="pct"/>
            <w:vAlign w:val="center"/>
          </w:tcPr>
          <w:p w14:paraId="60E070B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w:t>
            </w:r>
          </w:p>
        </w:tc>
        <w:tc>
          <w:tcPr>
            <w:tcW w:w="863" w:type="pct"/>
            <w:vAlign w:val="center"/>
          </w:tcPr>
          <w:p w14:paraId="52FACCA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南昆客专</w:t>
            </w:r>
          </w:p>
        </w:tc>
        <w:tc>
          <w:tcPr>
            <w:tcW w:w="681" w:type="pct"/>
            <w:vAlign w:val="center"/>
          </w:tcPr>
          <w:p w14:paraId="0236CAD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K224+500</w:t>
            </w:r>
          </w:p>
        </w:tc>
        <w:tc>
          <w:tcPr>
            <w:tcW w:w="611" w:type="pct"/>
            <w:vAlign w:val="center"/>
          </w:tcPr>
          <w:p w14:paraId="57C4F98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1" w:type="pct"/>
            <w:vAlign w:val="center"/>
          </w:tcPr>
          <w:p w14:paraId="6292B9C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71F2F21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33B4023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2" w:type="pct"/>
            <w:vAlign w:val="center"/>
          </w:tcPr>
          <w:p w14:paraId="2CF4439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1061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55ED6E0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w:t>
            </w:r>
          </w:p>
        </w:tc>
        <w:tc>
          <w:tcPr>
            <w:tcW w:w="500" w:type="pct"/>
            <w:vAlign w:val="center"/>
          </w:tcPr>
          <w:p w14:paraId="592D309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w:t>
            </w:r>
          </w:p>
        </w:tc>
        <w:tc>
          <w:tcPr>
            <w:tcW w:w="863" w:type="pct"/>
            <w:vAlign w:val="center"/>
          </w:tcPr>
          <w:p w14:paraId="2776CAE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南昆客专</w:t>
            </w:r>
          </w:p>
        </w:tc>
        <w:tc>
          <w:tcPr>
            <w:tcW w:w="681" w:type="pct"/>
            <w:vAlign w:val="center"/>
          </w:tcPr>
          <w:p w14:paraId="7FCD021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K107+500</w:t>
            </w:r>
          </w:p>
        </w:tc>
        <w:tc>
          <w:tcPr>
            <w:tcW w:w="611" w:type="pct"/>
            <w:vAlign w:val="center"/>
          </w:tcPr>
          <w:p w14:paraId="481CC7A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5B30064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5695834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65A1346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4F366B1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7A05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5B1BBA2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w:t>
            </w:r>
          </w:p>
        </w:tc>
        <w:tc>
          <w:tcPr>
            <w:tcW w:w="500" w:type="pct"/>
            <w:vAlign w:val="center"/>
          </w:tcPr>
          <w:p w14:paraId="5EAC459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863" w:type="pct"/>
            <w:vAlign w:val="center"/>
          </w:tcPr>
          <w:p w14:paraId="351DD74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43EAD34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K120+307</w:t>
            </w:r>
          </w:p>
        </w:tc>
        <w:tc>
          <w:tcPr>
            <w:tcW w:w="611" w:type="pct"/>
            <w:vAlign w:val="center"/>
          </w:tcPr>
          <w:p w14:paraId="1BAB790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7BED96E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33FDAED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7933DB0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542DC71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123D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528618C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w:t>
            </w:r>
          </w:p>
        </w:tc>
        <w:tc>
          <w:tcPr>
            <w:tcW w:w="500" w:type="pct"/>
            <w:vAlign w:val="center"/>
          </w:tcPr>
          <w:p w14:paraId="289409E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863" w:type="pct"/>
            <w:vAlign w:val="center"/>
          </w:tcPr>
          <w:p w14:paraId="5D113D1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77BFD37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K138+400</w:t>
            </w:r>
          </w:p>
        </w:tc>
        <w:tc>
          <w:tcPr>
            <w:tcW w:w="611" w:type="pct"/>
            <w:vAlign w:val="center"/>
          </w:tcPr>
          <w:p w14:paraId="5651A5F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5E76379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59E36B3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6AF371F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1631CB5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55E4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11B3604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w:t>
            </w:r>
          </w:p>
        </w:tc>
        <w:tc>
          <w:tcPr>
            <w:tcW w:w="500" w:type="pct"/>
            <w:vAlign w:val="center"/>
          </w:tcPr>
          <w:p w14:paraId="38AD8FA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863" w:type="pct"/>
            <w:vAlign w:val="center"/>
          </w:tcPr>
          <w:p w14:paraId="6244346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5FCDE41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K148+460</w:t>
            </w:r>
          </w:p>
        </w:tc>
        <w:tc>
          <w:tcPr>
            <w:tcW w:w="611" w:type="pct"/>
            <w:vAlign w:val="center"/>
          </w:tcPr>
          <w:p w14:paraId="0E8D975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054ED2A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2BEFA6B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296FE26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347373C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1393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59CDE40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w:t>
            </w:r>
          </w:p>
        </w:tc>
        <w:tc>
          <w:tcPr>
            <w:tcW w:w="500" w:type="pct"/>
            <w:vAlign w:val="center"/>
          </w:tcPr>
          <w:p w14:paraId="00ACA75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863" w:type="pct"/>
            <w:vAlign w:val="center"/>
          </w:tcPr>
          <w:p w14:paraId="5A8C296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0D502DF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K149+880</w:t>
            </w:r>
          </w:p>
        </w:tc>
        <w:tc>
          <w:tcPr>
            <w:tcW w:w="611" w:type="pct"/>
            <w:vAlign w:val="center"/>
          </w:tcPr>
          <w:p w14:paraId="7968993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56EE8CE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36AD233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39EDA5D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23E0DFA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0A6D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4A8B175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w:t>
            </w:r>
          </w:p>
        </w:tc>
        <w:tc>
          <w:tcPr>
            <w:tcW w:w="500" w:type="pct"/>
            <w:vAlign w:val="center"/>
          </w:tcPr>
          <w:p w14:paraId="6E7FBC3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863" w:type="pct"/>
            <w:vAlign w:val="center"/>
          </w:tcPr>
          <w:p w14:paraId="5ACA629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4C2556B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K153+524</w:t>
            </w:r>
          </w:p>
        </w:tc>
        <w:tc>
          <w:tcPr>
            <w:tcW w:w="611" w:type="pct"/>
            <w:vAlign w:val="center"/>
          </w:tcPr>
          <w:p w14:paraId="1D0F054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6AAF4FE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51879CC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7" w:type="pct"/>
            <w:vAlign w:val="center"/>
          </w:tcPr>
          <w:p w14:paraId="69A136A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7D6B384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533D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3D0E776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w:t>
            </w:r>
          </w:p>
        </w:tc>
        <w:tc>
          <w:tcPr>
            <w:tcW w:w="500" w:type="pct"/>
            <w:vAlign w:val="center"/>
          </w:tcPr>
          <w:p w14:paraId="5A08EC9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863" w:type="pct"/>
            <w:vAlign w:val="center"/>
          </w:tcPr>
          <w:p w14:paraId="52FC18E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39AE366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K154+100</w:t>
            </w:r>
          </w:p>
        </w:tc>
        <w:tc>
          <w:tcPr>
            <w:tcW w:w="611" w:type="pct"/>
            <w:vAlign w:val="center"/>
          </w:tcPr>
          <w:p w14:paraId="1FEB62E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4DBEAF4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3D9493A4">
            <w:pPr>
              <w:spacing w:line="400" w:lineRule="exact"/>
              <w:jc w:val="center"/>
              <w:rPr>
                <w:rFonts w:hint="eastAsia" w:asciiTheme="minorEastAsia" w:hAnsiTheme="minorEastAsia" w:eastAsiaTheme="minorEastAsia" w:cstheme="minorEastAsia"/>
                <w:color w:val="auto"/>
                <w:kern w:val="0"/>
                <w:szCs w:val="21"/>
                <w:highlight w:val="none"/>
              </w:rPr>
            </w:pPr>
          </w:p>
        </w:tc>
        <w:tc>
          <w:tcPr>
            <w:tcW w:w="437" w:type="pct"/>
            <w:vAlign w:val="center"/>
          </w:tcPr>
          <w:p w14:paraId="7481734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148A24C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5333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0DAD8E5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w:t>
            </w:r>
          </w:p>
        </w:tc>
        <w:tc>
          <w:tcPr>
            <w:tcW w:w="500" w:type="pct"/>
            <w:vAlign w:val="center"/>
          </w:tcPr>
          <w:p w14:paraId="749935D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863" w:type="pct"/>
            <w:vAlign w:val="center"/>
          </w:tcPr>
          <w:p w14:paraId="434D4E5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3A19D3B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K157+234</w:t>
            </w:r>
          </w:p>
        </w:tc>
        <w:tc>
          <w:tcPr>
            <w:tcW w:w="611" w:type="pct"/>
            <w:vAlign w:val="center"/>
          </w:tcPr>
          <w:p w14:paraId="4411757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0666DAF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563458C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7" w:type="pct"/>
            <w:vAlign w:val="center"/>
          </w:tcPr>
          <w:p w14:paraId="6B7EB8D1">
            <w:pPr>
              <w:spacing w:line="400" w:lineRule="exact"/>
              <w:jc w:val="center"/>
              <w:rPr>
                <w:rFonts w:hint="eastAsia" w:asciiTheme="minorEastAsia" w:hAnsiTheme="minorEastAsia" w:eastAsiaTheme="minorEastAsia" w:cstheme="minorEastAsia"/>
                <w:color w:val="auto"/>
                <w:kern w:val="0"/>
                <w:szCs w:val="21"/>
                <w:highlight w:val="none"/>
              </w:rPr>
            </w:pPr>
          </w:p>
        </w:tc>
        <w:tc>
          <w:tcPr>
            <w:tcW w:w="432" w:type="pct"/>
            <w:vAlign w:val="center"/>
          </w:tcPr>
          <w:p w14:paraId="1970F6C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499E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6779531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w:t>
            </w:r>
          </w:p>
        </w:tc>
        <w:tc>
          <w:tcPr>
            <w:tcW w:w="500" w:type="pct"/>
            <w:vAlign w:val="center"/>
          </w:tcPr>
          <w:p w14:paraId="74B0E77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863" w:type="pct"/>
            <w:vAlign w:val="center"/>
          </w:tcPr>
          <w:p w14:paraId="5812C01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02424BE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K146+850</w:t>
            </w:r>
          </w:p>
        </w:tc>
        <w:tc>
          <w:tcPr>
            <w:tcW w:w="611" w:type="pct"/>
            <w:vAlign w:val="center"/>
          </w:tcPr>
          <w:p w14:paraId="2DA0DB9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0E361B1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13DB6FA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42A783E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790F19B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3EDF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40D2CA1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w:t>
            </w:r>
          </w:p>
        </w:tc>
        <w:tc>
          <w:tcPr>
            <w:tcW w:w="500" w:type="pct"/>
            <w:vAlign w:val="center"/>
          </w:tcPr>
          <w:p w14:paraId="7BB5F43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863" w:type="pct"/>
            <w:vAlign w:val="center"/>
          </w:tcPr>
          <w:p w14:paraId="27476C5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10198DC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K183+800</w:t>
            </w:r>
          </w:p>
        </w:tc>
        <w:tc>
          <w:tcPr>
            <w:tcW w:w="611" w:type="pct"/>
            <w:vAlign w:val="center"/>
          </w:tcPr>
          <w:p w14:paraId="42DDD9E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1DDD639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05650D2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4B490AC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19ABA56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2D57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3986A3D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24</w:t>
            </w:r>
          </w:p>
        </w:tc>
        <w:tc>
          <w:tcPr>
            <w:tcW w:w="500" w:type="pct"/>
            <w:vAlign w:val="center"/>
          </w:tcPr>
          <w:p w14:paraId="3434468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863" w:type="pct"/>
            <w:vAlign w:val="center"/>
          </w:tcPr>
          <w:p w14:paraId="0F7B0A7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3E6418A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K191+000</w:t>
            </w:r>
          </w:p>
        </w:tc>
        <w:tc>
          <w:tcPr>
            <w:tcW w:w="611" w:type="pct"/>
            <w:vAlign w:val="center"/>
          </w:tcPr>
          <w:p w14:paraId="7DC6BD9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238AF44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4F63DBD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2CCABD0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39CD152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25D7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73D431B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25</w:t>
            </w:r>
          </w:p>
        </w:tc>
        <w:tc>
          <w:tcPr>
            <w:tcW w:w="500" w:type="pct"/>
            <w:vAlign w:val="center"/>
          </w:tcPr>
          <w:p w14:paraId="5348B2E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863" w:type="pct"/>
            <w:vAlign w:val="center"/>
          </w:tcPr>
          <w:p w14:paraId="236ED15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7AAD7AE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K236+100</w:t>
            </w:r>
          </w:p>
        </w:tc>
        <w:tc>
          <w:tcPr>
            <w:tcW w:w="611" w:type="pct"/>
            <w:vAlign w:val="center"/>
          </w:tcPr>
          <w:p w14:paraId="004A9F4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6D8D00D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7D0570E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4DC891F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5FB485B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1AAB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2E96FAB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26</w:t>
            </w:r>
          </w:p>
        </w:tc>
        <w:tc>
          <w:tcPr>
            <w:tcW w:w="500" w:type="pct"/>
            <w:vAlign w:val="center"/>
          </w:tcPr>
          <w:p w14:paraId="5EB2072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863" w:type="pct"/>
            <w:vAlign w:val="center"/>
          </w:tcPr>
          <w:p w14:paraId="59F8320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57300EA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K241+354</w:t>
            </w:r>
          </w:p>
        </w:tc>
        <w:tc>
          <w:tcPr>
            <w:tcW w:w="611" w:type="pct"/>
            <w:vAlign w:val="center"/>
          </w:tcPr>
          <w:p w14:paraId="7503710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0193195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5934907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2F78BBF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4648ABE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701B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3325E6C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27</w:t>
            </w:r>
          </w:p>
        </w:tc>
        <w:tc>
          <w:tcPr>
            <w:tcW w:w="500" w:type="pct"/>
            <w:vAlign w:val="center"/>
          </w:tcPr>
          <w:p w14:paraId="58AA535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863" w:type="pct"/>
            <w:vAlign w:val="center"/>
          </w:tcPr>
          <w:p w14:paraId="69DC94F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3677EA7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K243+359</w:t>
            </w:r>
          </w:p>
        </w:tc>
        <w:tc>
          <w:tcPr>
            <w:tcW w:w="611" w:type="pct"/>
            <w:vAlign w:val="center"/>
          </w:tcPr>
          <w:p w14:paraId="03DFBEF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180A7BA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67AF80E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2A734F8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0333EA8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7CD8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157F91B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28</w:t>
            </w:r>
          </w:p>
        </w:tc>
        <w:tc>
          <w:tcPr>
            <w:tcW w:w="500" w:type="pct"/>
            <w:vAlign w:val="center"/>
          </w:tcPr>
          <w:p w14:paraId="3FEA17F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贵港</w:t>
            </w:r>
          </w:p>
        </w:tc>
        <w:tc>
          <w:tcPr>
            <w:tcW w:w="863" w:type="pct"/>
            <w:vAlign w:val="center"/>
          </w:tcPr>
          <w:p w14:paraId="7194320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69BFFE7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K246+735</w:t>
            </w:r>
          </w:p>
        </w:tc>
        <w:tc>
          <w:tcPr>
            <w:tcW w:w="611" w:type="pct"/>
            <w:vAlign w:val="center"/>
          </w:tcPr>
          <w:p w14:paraId="13F3577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3BE0773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05A11C5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2DF7D07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4B6008A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72CB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04FC12E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29</w:t>
            </w:r>
          </w:p>
        </w:tc>
        <w:tc>
          <w:tcPr>
            <w:tcW w:w="500" w:type="pct"/>
            <w:vAlign w:val="center"/>
          </w:tcPr>
          <w:p w14:paraId="2596520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贺州</w:t>
            </w:r>
          </w:p>
        </w:tc>
        <w:tc>
          <w:tcPr>
            <w:tcW w:w="863" w:type="pct"/>
            <w:vAlign w:val="center"/>
          </w:tcPr>
          <w:p w14:paraId="3C8BA92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贵广客专</w:t>
            </w:r>
          </w:p>
        </w:tc>
        <w:tc>
          <w:tcPr>
            <w:tcW w:w="681" w:type="pct"/>
            <w:vAlign w:val="center"/>
          </w:tcPr>
          <w:p w14:paraId="0A54CAD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K598+257</w:t>
            </w:r>
          </w:p>
        </w:tc>
        <w:tc>
          <w:tcPr>
            <w:tcW w:w="611" w:type="pct"/>
            <w:vAlign w:val="center"/>
          </w:tcPr>
          <w:p w14:paraId="2FDA553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1" w:type="pct"/>
            <w:vAlign w:val="center"/>
          </w:tcPr>
          <w:p w14:paraId="50B4A1F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22" w:type="pct"/>
            <w:vAlign w:val="center"/>
          </w:tcPr>
          <w:p w14:paraId="65AB05B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3C07282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2" w:type="pct"/>
            <w:vAlign w:val="center"/>
          </w:tcPr>
          <w:p w14:paraId="30BFF02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620E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6EDC68B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30</w:t>
            </w:r>
          </w:p>
        </w:tc>
        <w:tc>
          <w:tcPr>
            <w:tcW w:w="500" w:type="pct"/>
            <w:vAlign w:val="center"/>
          </w:tcPr>
          <w:p w14:paraId="2FD7E52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贺州</w:t>
            </w:r>
          </w:p>
        </w:tc>
        <w:tc>
          <w:tcPr>
            <w:tcW w:w="863" w:type="pct"/>
            <w:vAlign w:val="center"/>
          </w:tcPr>
          <w:p w14:paraId="4706D10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贵广客专</w:t>
            </w:r>
          </w:p>
        </w:tc>
        <w:tc>
          <w:tcPr>
            <w:tcW w:w="681" w:type="pct"/>
            <w:vAlign w:val="center"/>
          </w:tcPr>
          <w:p w14:paraId="399E6D5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K599+184</w:t>
            </w:r>
          </w:p>
        </w:tc>
        <w:tc>
          <w:tcPr>
            <w:tcW w:w="611" w:type="pct"/>
            <w:vAlign w:val="center"/>
          </w:tcPr>
          <w:p w14:paraId="046ED4D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08E894F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7A258D7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37718B0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43C8B26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77CC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2F8B3D1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31</w:t>
            </w:r>
          </w:p>
        </w:tc>
        <w:tc>
          <w:tcPr>
            <w:tcW w:w="500" w:type="pct"/>
            <w:vAlign w:val="center"/>
          </w:tcPr>
          <w:p w14:paraId="6216ADE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梧州</w:t>
            </w:r>
          </w:p>
        </w:tc>
        <w:tc>
          <w:tcPr>
            <w:tcW w:w="863" w:type="pct"/>
            <w:vAlign w:val="center"/>
          </w:tcPr>
          <w:p w14:paraId="67A53FE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7ED2827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K280+120</w:t>
            </w:r>
          </w:p>
        </w:tc>
        <w:tc>
          <w:tcPr>
            <w:tcW w:w="611" w:type="pct"/>
            <w:vAlign w:val="center"/>
          </w:tcPr>
          <w:p w14:paraId="0EBF234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0A2EC20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428E1FE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313D7D5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755523C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444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3C73C34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w:t>
            </w:r>
          </w:p>
        </w:tc>
        <w:tc>
          <w:tcPr>
            <w:tcW w:w="500" w:type="pct"/>
            <w:vAlign w:val="center"/>
          </w:tcPr>
          <w:p w14:paraId="258C4D5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梧州</w:t>
            </w:r>
          </w:p>
        </w:tc>
        <w:tc>
          <w:tcPr>
            <w:tcW w:w="863" w:type="pct"/>
            <w:vAlign w:val="center"/>
          </w:tcPr>
          <w:p w14:paraId="6D71C8F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753F98D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K269+950</w:t>
            </w:r>
          </w:p>
        </w:tc>
        <w:tc>
          <w:tcPr>
            <w:tcW w:w="611" w:type="pct"/>
            <w:vAlign w:val="center"/>
          </w:tcPr>
          <w:p w14:paraId="37E962F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0210C23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6ED28A7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3AD5A0B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0E4DB93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4AD1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5C1AB2C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w:t>
            </w:r>
          </w:p>
        </w:tc>
        <w:tc>
          <w:tcPr>
            <w:tcW w:w="500" w:type="pct"/>
            <w:vAlign w:val="center"/>
          </w:tcPr>
          <w:p w14:paraId="3447A9B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梧州</w:t>
            </w:r>
          </w:p>
        </w:tc>
        <w:tc>
          <w:tcPr>
            <w:tcW w:w="863" w:type="pct"/>
            <w:vAlign w:val="center"/>
          </w:tcPr>
          <w:p w14:paraId="0E377F5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45E7399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K318+130</w:t>
            </w:r>
          </w:p>
        </w:tc>
        <w:tc>
          <w:tcPr>
            <w:tcW w:w="611" w:type="pct"/>
            <w:vAlign w:val="center"/>
          </w:tcPr>
          <w:p w14:paraId="65414BA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7F8850D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3876858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0272D95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312FEE1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671F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64F9683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34</w:t>
            </w:r>
          </w:p>
        </w:tc>
        <w:tc>
          <w:tcPr>
            <w:tcW w:w="500" w:type="pct"/>
            <w:vAlign w:val="center"/>
          </w:tcPr>
          <w:p w14:paraId="025D7C5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梧州</w:t>
            </w:r>
          </w:p>
        </w:tc>
        <w:tc>
          <w:tcPr>
            <w:tcW w:w="863" w:type="pct"/>
            <w:vAlign w:val="center"/>
          </w:tcPr>
          <w:p w14:paraId="35AB320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573AA4F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K321+940</w:t>
            </w:r>
          </w:p>
        </w:tc>
        <w:tc>
          <w:tcPr>
            <w:tcW w:w="611" w:type="pct"/>
            <w:vAlign w:val="center"/>
          </w:tcPr>
          <w:p w14:paraId="066E4CC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2AA4DDE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4B8CD14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437" w:type="pct"/>
            <w:vAlign w:val="center"/>
          </w:tcPr>
          <w:p w14:paraId="362D91F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14D0E24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21A5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8" w:type="pct"/>
            <w:vAlign w:val="center"/>
          </w:tcPr>
          <w:p w14:paraId="2E03F5E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35</w:t>
            </w:r>
          </w:p>
        </w:tc>
        <w:tc>
          <w:tcPr>
            <w:tcW w:w="500" w:type="pct"/>
            <w:vAlign w:val="center"/>
          </w:tcPr>
          <w:p w14:paraId="20CC2FB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梧州</w:t>
            </w:r>
          </w:p>
        </w:tc>
        <w:tc>
          <w:tcPr>
            <w:tcW w:w="863" w:type="pct"/>
            <w:vAlign w:val="center"/>
          </w:tcPr>
          <w:p w14:paraId="7CFED7A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南广线</w:t>
            </w:r>
          </w:p>
        </w:tc>
        <w:tc>
          <w:tcPr>
            <w:tcW w:w="681" w:type="pct"/>
            <w:vAlign w:val="center"/>
          </w:tcPr>
          <w:p w14:paraId="3DA8623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K324+570</w:t>
            </w:r>
          </w:p>
        </w:tc>
        <w:tc>
          <w:tcPr>
            <w:tcW w:w="611" w:type="pct"/>
            <w:vAlign w:val="center"/>
          </w:tcPr>
          <w:p w14:paraId="2A714C4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1" w:type="pct"/>
            <w:vAlign w:val="center"/>
          </w:tcPr>
          <w:p w14:paraId="708F0B2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22" w:type="pct"/>
            <w:vAlign w:val="center"/>
          </w:tcPr>
          <w:p w14:paraId="0E8AC25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7" w:type="pct"/>
            <w:vAlign w:val="center"/>
          </w:tcPr>
          <w:p w14:paraId="4203B16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432" w:type="pct"/>
            <w:vAlign w:val="center"/>
          </w:tcPr>
          <w:p w14:paraId="0F54379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2A81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01" w:type="dxa"/>
            <w:gridSpan w:val="4"/>
            <w:vAlign w:val="center"/>
          </w:tcPr>
          <w:p w14:paraId="3D0A0CF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val="en-US" w:eastAsia="zh-CN"/>
              </w:rPr>
              <w:t>合计</w:t>
            </w:r>
          </w:p>
        </w:tc>
        <w:tc>
          <w:tcPr>
            <w:tcW w:w="1200" w:type="dxa"/>
            <w:vAlign w:val="center"/>
          </w:tcPr>
          <w:p w14:paraId="703E5D51">
            <w:pPr>
              <w:keepNext w:val="0"/>
              <w:keepLines w:val="0"/>
              <w:widowControl/>
              <w:suppressLineNumbers w:val="0"/>
              <w:jc w:val="center"/>
              <w:textAlignment w:val="center"/>
              <w:rPr>
                <w:rFonts w:hint="eastAsia" w:asciiTheme="minorEastAsia" w:hAnsiTheme="minorEastAsia" w:eastAsiaTheme="minorEastAsia" w:cstheme="minorEastAsia"/>
                <w:color w:val="auto"/>
                <w:kern w:val="0"/>
                <w:szCs w:val="21"/>
                <w:highlight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82" w:type="dxa"/>
            <w:vAlign w:val="center"/>
          </w:tcPr>
          <w:p w14:paraId="62A0909A">
            <w:pPr>
              <w:keepNext w:val="0"/>
              <w:keepLines w:val="0"/>
              <w:widowControl/>
              <w:suppressLineNumbers w:val="0"/>
              <w:jc w:val="center"/>
              <w:textAlignment w:val="center"/>
              <w:rPr>
                <w:rFonts w:hint="eastAsia" w:asciiTheme="minorEastAsia" w:hAnsiTheme="minorEastAsia" w:eastAsiaTheme="minorEastAsia" w:cstheme="minorEastAsia"/>
                <w:color w:val="auto"/>
                <w:kern w:val="0"/>
                <w:szCs w:val="21"/>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25" w:type="dxa"/>
            <w:vAlign w:val="center"/>
          </w:tcPr>
          <w:p w14:paraId="789E0DAB">
            <w:pPr>
              <w:keepNext w:val="0"/>
              <w:keepLines w:val="0"/>
              <w:widowControl/>
              <w:suppressLineNumbers w:val="0"/>
              <w:jc w:val="center"/>
              <w:textAlignment w:val="center"/>
              <w:rPr>
                <w:rFonts w:hint="eastAsia" w:asciiTheme="minorEastAsia" w:hAnsiTheme="minorEastAsia" w:eastAsiaTheme="minorEastAsia" w:cstheme="minorEastAsia"/>
                <w:color w:val="auto"/>
                <w:kern w:val="0"/>
                <w:szCs w:val="21"/>
                <w:highlight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58" w:type="dxa"/>
            <w:vAlign w:val="center"/>
          </w:tcPr>
          <w:p w14:paraId="2ACC67E7">
            <w:pPr>
              <w:keepNext w:val="0"/>
              <w:keepLines w:val="0"/>
              <w:widowControl/>
              <w:suppressLineNumbers w:val="0"/>
              <w:jc w:val="center"/>
              <w:textAlignment w:val="center"/>
              <w:rPr>
                <w:rFonts w:hint="eastAsia" w:asciiTheme="minorEastAsia" w:hAnsiTheme="minorEastAsia" w:eastAsiaTheme="minorEastAsia" w:cstheme="minorEastAsia"/>
                <w:color w:val="auto"/>
                <w:kern w:val="0"/>
                <w:szCs w:val="21"/>
                <w:highlight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853" w:type="dxa"/>
            <w:vAlign w:val="center"/>
          </w:tcPr>
          <w:p w14:paraId="53B7ADAE">
            <w:pPr>
              <w:keepNext w:val="0"/>
              <w:keepLines w:val="0"/>
              <w:widowControl/>
              <w:suppressLineNumbers w:val="0"/>
              <w:jc w:val="center"/>
              <w:textAlignment w:val="center"/>
              <w:rPr>
                <w:rFonts w:hint="eastAsia" w:asciiTheme="minorEastAsia" w:hAnsiTheme="minorEastAsia" w:eastAsiaTheme="minorEastAsia" w:cstheme="minorEastAsia"/>
                <w:color w:val="auto"/>
                <w:kern w:val="0"/>
                <w:szCs w:val="21"/>
                <w:highlight w:val="none"/>
              </w:rPr>
            </w:pPr>
            <w:r>
              <w:rPr>
                <w:rFonts w:hint="eastAsia" w:ascii="宋体" w:hAnsi="宋体" w:eastAsia="宋体" w:cs="宋体"/>
                <w:i w:val="0"/>
                <w:iCs w:val="0"/>
                <w:color w:val="auto"/>
                <w:kern w:val="0"/>
                <w:sz w:val="22"/>
                <w:szCs w:val="22"/>
                <w:highlight w:val="none"/>
                <w:u w:val="none"/>
                <w:lang w:val="en-US" w:eastAsia="zh-CN" w:bidi="ar"/>
              </w:rPr>
              <w:t>2</w:t>
            </w:r>
          </w:p>
        </w:tc>
      </w:tr>
    </w:tbl>
    <w:p w14:paraId="2BB0D37E">
      <w:pPr>
        <w:pStyle w:val="8"/>
        <w:ind w:firstLine="0" w:firstLineChars="0"/>
        <w:rPr>
          <w:color w:val="auto"/>
          <w:sz w:val="21"/>
          <w:szCs w:val="21"/>
          <w:highlight w:val="none"/>
          <w:lang w:val="en-US"/>
        </w:rPr>
        <w:sectPr>
          <w:pgSz w:w="11905" w:h="16838"/>
          <w:pgMar w:top="1134" w:right="1134" w:bottom="1134" w:left="1134" w:header="850" w:footer="992" w:gutter="0"/>
          <w:paperSrc/>
          <w:cols w:space="0" w:num="1"/>
          <w:rtlGutter w:val="0"/>
          <w:docGrid w:type="lines" w:linePitch="317" w:charSpace="0"/>
        </w:sectPr>
      </w:pPr>
    </w:p>
    <w:p w14:paraId="12C763BF">
      <w:pPr>
        <w:pStyle w:val="8"/>
        <w:ind w:firstLine="0" w:firstLineChars="0"/>
        <w:rPr>
          <w:color w:val="auto"/>
          <w:sz w:val="21"/>
          <w:szCs w:val="21"/>
          <w:highlight w:val="none"/>
          <w:lang w:val="en-US"/>
        </w:rPr>
      </w:pPr>
      <w:r>
        <w:rPr>
          <w:rFonts w:hint="eastAsia"/>
          <w:color w:val="auto"/>
          <w:sz w:val="21"/>
          <w:szCs w:val="21"/>
          <w:highlight w:val="none"/>
          <w:lang w:val="en-US"/>
        </w:rPr>
        <w:t>四期新建租赁项目点位需求清单</w:t>
      </w:r>
    </w:p>
    <w:tbl>
      <w:tblPr>
        <w:tblStyle w:val="5"/>
        <w:tblW w:w="4995" w:type="pct"/>
        <w:jc w:val="center"/>
        <w:tblLayout w:type="fixed"/>
        <w:tblCellMar>
          <w:top w:w="0" w:type="dxa"/>
          <w:left w:w="108" w:type="dxa"/>
          <w:bottom w:w="0" w:type="dxa"/>
          <w:right w:w="108" w:type="dxa"/>
        </w:tblCellMar>
      </w:tblPr>
      <w:tblGrid>
        <w:gridCol w:w="810"/>
        <w:gridCol w:w="1192"/>
        <w:gridCol w:w="1546"/>
        <w:gridCol w:w="2126"/>
        <w:gridCol w:w="2299"/>
        <w:gridCol w:w="1870"/>
      </w:tblGrid>
      <w:tr w14:paraId="6FA8C872">
        <w:tblPrEx>
          <w:tblCellMar>
            <w:top w:w="0" w:type="dxa"/>
            <w:left w:w="108" w:type="dxa"/>
            <w:bottom w:w="0" w:type="dxa"/>
            <w:right w:w="108" w:type="dxa"/>
          </w:tblCellMar>
        </w:tblPrEx>
        <w:trPr>
          <w:trHeight w:val="378" w:hRule="atLeast"/>
          <w:jc w:val="center"/>
        </w:trPr>
        <w:tc>
          <w:tcPr>
            <w:tcW w:w="411" w:type="pct"/>
            <w:vMerge w:val="restart"/>
            <w:tcBorders>
              <w:top w:val="single" w:color="000000" w:sz="4" w:space="0"/>
              <w:left w:val="single" w:color="000000" w:sz="4" w:space="0"/>
              <w:right w:val="single" w:color="000000" w:sz="4" w:space="0"/>
            </w:tcBorders>
            <w:noWrap/>
            <w:vAlign w:val="center"/>
          </w:tcPr>
          <w:p w14:paraId="6F8546AE">
            <w:pPr>
              <w:spacing w:line="360" w:lineRule="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序号</w:t>
            </w:r>
          </w:p>
        </w:tc>
        <w:tc>
          <w:tcPr>
            <w:tcW w:w="605" w:type="pct"/>
            <w:vMerge w:val="restart"/>
            <w:tcBorders>
              <w:top w:val="single" w:color="000000" w:sz="4" w:space="0"/>
              <w:left w:val="single" w:color="000000" w:sz="4" w:space="0"/>
              <w:right w:val="single" w:color="000000" w:sz="4" w:space="0"/>
            </w:tcBorders>
            <w:noWrap/>
            <w:vAlign w:val="center"/>
          </w:tcPr>
          <w:p w14:paraId="151FE91B">
            <w:pPr>
              <w:spacing w:line="360" w:lineRule="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地市</w:t>
            </w:r>
          </w:p>
        </w:tc>
        <w:tc>
          <w:tcPr>
            <w:tcW w:w="785" w:type="pct"/>
            <w:vMerge w:val="restart"/>
            <w:tcBorders>
              <w:top w:val="single" w:color="000000" w:sz="4" w:space="0"/>
              <w:left w:val="single" w:color="000000" w:sz="4" w:space="0"/>
              <w:right w:val="single" w:color="000000" w:sz="4" w:space="0"/>
            </w:tcBorders>
            <w:vAlign w:val="center"/>
          </w:tcPr>
          <w:p w14:paraId="0374BF31">
            <w:pPr>
              <w:spacing w:line="360" w:lineRule="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线路名称</w:t>
            </w:r>
          </w:p>
        </w:tc>
        <w:tc>
          <w:tcPr>
            <w:tcW w:w="1078" w:type="pct"/>
            <w:vMerge w:val="restart"/>
            <w:tcBorders>
              <w:top w:val="single" w:color="000000" w:sz="4" w:space="0"/>
              <w:left w:val="single" w:color="000000" w:sz="4" w:space="0"/>
              <w:right w:val="single" w:color="000000" w:sz="4" w:space="0"/>
            </w:tcBorders>
            <w:vAlign w:val="center"/>
          </w:tcPr>
          <w:p w14:paraId="206BB80D">
            <w:pPr>
              <w:spacing w:line="360" w:lineRule="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线路里程</w:t>
            </w:r>
          </w:p>
        </w:tc>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1D23881B">
            <w:pPr>
              <w:spacing w:line="360" w:lineRule="auto"/>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设备类型</w:t>
            </w:r>
          </w:p>
        </w:tc>
      </w:tr>
      <w:tr w14:paraId="148A736B">
        <w:tblPrEx>
          <w:tblCellMar>
            <w:top w:w="0" w:type="dxa"/>
            <w:left w:w="108" w:type="dxa"/>
            <w:bottom w:w="0" w:type="dxa"/>
            <w:right w:w="108" w:type="dxa"/>
          </w:tblCellMar>
        </w:tblPrEx>
        <w:trPr>
          <w:trHeight w:val="430" w:hRule="atLeast"/>
          <w:jc w:val="center"/>
        </w:trPr>
        <w:tc>
          <w:tcPr>
            <w:tcW w:w="411" w:type="pct"/>
            <w:vMerge w:val="continue"/>
            <w:tcBorders>
              <w:left w:val="single" w:color="000000" w:sz="4" w:space="0"/>
              <w:bottom w:val="single" w:color="000000" w:sz="4" w:space="0"/>
              <w:right w:val="single" w:color="000000" w:sz="4" w:space="0"/>
            </w:tcBorders>
            <w:noWrap/>
            <w:vAlign w:val="center"/>
          </w:tcPr>
          <w:p w14:paraId="13D9B6B5">
            <w:pPr>
              <w:spacing w:line="400" w:lineRule="exact"/>
              <w:jc w:val="center"/>
              <w:rPr>
                <w:rFonts w:hint="eastAsia" w:asciiTheme="minorEastAsia" w:hAnsiTheme="minorEastAsia" w:eastAsiaTheme="minorEastAsia" w:cstheme="minorEastAsia"/>
                <w:b/>
                <w:bCs/>
                <w:color w:val="auto"/>
                <w:kern w:val="0"/>
                <w:szCs w:val="21"/>
                <w:highlight w:val="none"/>
              </w:rPr>
            </w:pPr>
          </w:p>
        </w:tc>
        <w:tc>
          <w:tcPr>
            <w:tcW w:w="605" w:type="pct"/>
            <w:vMerge w:val="continue"/>
            <w:tcBorders>
              <w:left w:val="single" w:color="000000" w:sz="4" w:space="0"/>
              <w:bottom w:val="single" w:color="000000" w:sz="4" w:space="0"/>
              <w:right w:val="single" w:color="000000" w:sz="4" w:space="0"/>
            </w:tcBorders>
            <w:noWrap/>
            <w:vAlign w:val="center"/>
          </w:tcPr>
          <w:p w14:paraId="7153D522">
            <w:pPr>
              <w:spacing w:line="400" w:lineRule="exact"/>
              <w:jc w:val="center"/>
              <w:rPr>
                <w:rFonts w:hint="eastAsia" w:asciiTheme="minorEastAsia" w:hAnsiTheme="minorEastAsia" w:eastAsiaTheme="minorEastAsia" w:cstheme="minorEastAsia"/>
                <w:b/>
                <w:bCs/>
                <w:color w:val="auto"/>
                <w:kern w:val="0"/>
                <w:szCs w:val="21"/>
                <w:highlight w:val="none"/>
              </w:rPr>
            </w:pPr>
          </w:p>
        </w:tc>
        <w:tc>
          <w:tcPr>
            <w:tcW w:w="785" w:type="pct"/>
            <w:vMerge w:val="continue"/>
            <w:tcBorders>
              <w:left w:val="single" w:color="000000" w:sz="4" w:space="0"/>
              <w:bottom w:val="single" w:color="000000" w:sz="4" w:space="0"/>
              <w:right w:val="single" w:color="000000" w:sz="4" w:space="0"/>
            </w:tcBorders>
            <w:vAlign w:val="center"/>
          </w:tcPr>
          <w:p w14:paraId="5099F1C9">
            <w:pPr>
              <w:spacing w:line="400" w:lineRule="exact"/>
              <w:jc w:val="center"/>
              <w:rPr>
                <w:rFonts w:hint="eastAsia" w:asciiTheme="minorEastAsia" w:hAnsiTheme="minorEastAsia" w:eastAsiaTheme="minorEastAsia" w:cstheme="minorEastAsia"/>
                <w:b/>
                <w:bCs/>
                <w:color w:val="auto"/>
                <w:kern w:val="0"/>
                <w:szCs w:val="21"/>
                <w:highlight w:val="none"/>
              </w:rPr>
            </w:pPr>
          </w:p>
        </w:tc>
        <w:tc>
          <w:tcPr>
            <w:tcW w:w="1078" w:type="pct"/>
            <w:vMerge w:val="continue"/>
            <w:tcBorders>
              <w:left w:val="single" w:color="000000" w:sz="4" w:space="0"/>
              <w:bottom w:val="single" w:color="000000" w:sz="4" w:space="0"/>
              <w:right w:val="single" w:color="000000" w:sz="4" w:space="0"/>
            </w:tcBorders>
            <w:vAlign w:val="center"/>
          </w:tcPr>
          <w:p w14:paraId="7E39C342">
            <w:pPr>
              <w:spacing w:line="400" w:lineRule="exact"/>
              <w:jc w:val="center"/>
              <w:rPr>
                <w:rFonts w:hint="eastAsia" w:asciiTheme="minorEastAsia" w:hAnsiTheme="minorEastAsia" w:eastAsiaTheme="minorEastAsia" w:cstheme="minorEastAsia"/>
                <w:b/>
                <w:bCs/>
                <w:color w:val="auto"/>
                <w:kern w:val="0"/>
                <w:szCs w:val="21"/>
                <w:highlight w:val="none"/>
              </w:rPr>
            </w:pPr>
          </w:p>
        </w:tc>
        <w:tc>
          <w:tcPr>
            <w:tcW w:w="1168" w:type="pct"/>
            <w:tcBorders>
              <w:top w:val="single" w:color="000000" w:sz="4" w:space="0"/>
              <w:left w:val="single" w:color="000000" w:sz="4" w:space="0"/>
              <w:bottom w:val="single" w:color="000000" w:sz="4" w:space="0"/>
              <w:right w:val="single" w:color="000000" w:sz="4" w:space="0"/>
            </w:tcBorders>
            <w:vAlign w:val="center"/>
          </w:tcPr>
          <w:p w14:paraId="7228B86A">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新增热成像球机数量</w:t>
            </w:r>
            <w:r>
              <w:rPr>
                <w:rFonts w:hint="eastAsia" w:asciiTheme="minorEastAsia" w:hAnsiTheme="minorEastAsia" w:eastAsiaTheme="minorEastAsia" w:cstheme="minorEastAsia"/>
                <w:b/>
                <w:bCs/>
                <w:color w:val="auto"/>
                <w:kern w:val="0"/>
                <w:szCs w:val="21"/>
                <w:highlight w:val="none"/>
              </w:rPr>
              <w:br w:type="textWrapping"/>
            </w:r>
            <w:r>
              <w:rPr>
                <w:rFonts w:hint="eastAsia" w:asciiTheme="minorEastAsia" w:hAnsiTheme="minorEastAsia" w:eastAsiaTheme="minorEastAsia" w:cstheme="minorEastAsia"/>
                <w:b/>
                <w:bCs/>
                <w:color w:val="auto"/>
                <w:kern w:val="0"/>
                <w:szCs w:val="21"/>
                <w:highlight w:val="none"/>
              </w:rPr>
              <w:t>（台）</w:t>
            </w:r>
          </w:p>
        </w:tc>
        <w:tc>
          <w:tcPr>
            <w:tcW w:w="950" w:type="pct"/>
            <w:tcBorders>
              <w:top w:val="single" w:color="000000" w:sz="4" w:space="0"/>
              <w:left w:val="single" w:color="000000" w:sz="4" w:space="0"/>
              <w:bottom w:val="single" w:color="000000" w:sz="4" w:space="0"/>
              <w:right w:val="single" w:color="000000" w:sz="4" w:space="0"/>
            </w:tcBorders>
            <w:vAlign w:val="center"/>
          </w:tcPr>
          <w:p w14:paraId="099806A5">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新增音柱数量</w:t>
            </w:r>
            <w:r>
              <w:rPr>
                <w:color w:val="auto"/>
                <w:highlight w:val="none"/>
              </w:rPr>
              <w:br w:type="textWrapping"/>
            </w:r>
            <w:r>
              <w:rPr>
                <w:rFonts w:hint="eastAsia" w:asciiTheme="minorEastAsia" w:hAnsiTheme="minorEastAsia" w:eastAsiaTheme="minorEastAsia" w:cstheme="minorEastAsia"/>
                <w:b/>
                <w:bCs/>
                <w:color w:val="auto"/>
                <w:kern w:val="0"/>
                <w:szCs w:val="21"/>
                <w:highlight w:val="none"/>
              </w:rPr>
              <w:t>（根）</w:t>
            </w:r>
          </w:p>
        </w:tc>
      </w:tr>
      <w:tr w14:paraId="47CC7357">
        <w:tblPrEx>
          <w:tblCellMar>
            <w:top w:w="0" w:type="dxa"/>
            <w:left w:w="108" w:type="dxa"/>
            <w:bottom w:w="0" w:type="dxa"/>
            <w:right w:w="108" w:type="dxa"/>
          </w:tblCellMar>
        </w:tblPrEx>
        <w:trPr>
          <w:trHeight w:val="379"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49AF633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430746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785" w:type="pct"/>
            <w:tcBorders>
              <w:top w:val="single" w:color="000000" w:sz="4" w:space="0"/>
              <w:left w:val="single" w:color="000000" w:sz="4" w:space="0"/>
              <w:bottom w:val="single" w:color="000000" w:sz="4" w:space="0"/>
              <w:right w:val="single" w:color="000000" w:sz="4" w:space="0"/>
            </w:tcBorders>
            <w:vAlign w:val="center"/>
          </w:tcPr>
          <w:p w14:paraId="5D5A819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湘桂线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1883688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K535+400下行</w:t>
            </w:r>
          </w:p>
        </w:tc>
        <w:tc>
          <w:tcPr>
            <w:tcW w:w="1168" w:type="pct"/>
            <w:tcBorders>
              <w:top w:val="single" w:color="000000" w:sz="4" w:space="0"/>
              <w:left w:val="single" w:color="000000" w:sz="4" w:space="0"/>
              <w:bottom w:val="single" w:color="000000" w:sz="4" w:space="0"/>
              <w:right w:val="single" w:color="000000" w:sz="4" w:space="0"/>
            </w:tcBorders>
            <w:vAlign w:val="center"/>
          </w:tcPr>
          <w:p w14:paraId="4036BFC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950" w:type="pct"/>
            <w:tcBorders>
              <w:top w:val="single" w:color="000000" w:sz="4" w:space="0"/>
              <w:left w:val="single" w:color="000000" w:sz="4" w:space="0"/>
              <w:bottom w:val="single" w:color="000000" w:sz="4" w:space="0"/>
              <w:right w:val="single" w:color="000000" w:sz="4" w:space="0"/>
            </w:tcBorders>
            <w:vAlign w:val="center"/>
          </w:tcPr>
          <w:p w14:paraId="78A4FF2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48FDBBBE">
        <w:tblPrEx>
          <w:tblCellMar>
            <w:top w:w="0" w:type="dxa"/>
            <w:left w:w="108" w:type="dxa"/>
            <w:bottom w:w="0" w:type="dxa"/>
            <w:right w:w="108" w:type="dxa"/>
          </w:tblCellMar>
        </w:tblPrEx>
        <w:trPr>
          <w:trHeight w:val="90"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7CB9945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3DE0C1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785" w:type="pct"/>
            <w:tcBorders>
              <w:top w:val="single" w:color="000000" w:sz="4" w:space="0"/>
              <w:left w:val="single" w:color="000000" w:sz="4" w:space="0"/>
              <w:bottom w:val="single" w:color="000000" w:sz="4" w:space="0"/>
              <w:right w:val="single" w:color="000000" w:sz="4" w:space="0"/>
            </w:tcBorders>
            <w:vAlign w:val="center"/>
          </w:tcPr>
          <w:p w14:paraId="73F9ADD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湘桂线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7FC3223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K534+600上行</w:t>
            </w:r>
          </w:p>
        </w:tc>
        <w:tc>
          <w:tcPr>
            <w:tcW w:w="1168" w:type="pct"/>
            <w:tcBorders>
              <w:top w:val="single" w:color="000000" w:sz="4" w:space="0"/>
              <w:left w:val="single" w:color="000000" w:sz="4" w:space="0"/>
              <w:bottom w:val="single" w:color="000000" w:sz="4" w:space="0"/>
              <w:right w:val="single" w:color="000000" w:sz="4" w:space="0"/>
            </w:tcBorders>
            <w:vAlign w:val="center"/>
          </w:tcPr>
          <w:p w14:paraId="0A99B44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950" w:type="pct"/>
            <w:tcBorders>
              <w:top w:val="single" w:color="000000" w:sz="4" w:space="0"/>
              <w:left w:val="single" w:color="000000" w:sz="4" w:space="0"/>
              <w:bottom w:val="single" w:color="000000" w:sz="4" w:space="0"/>
              <w:right w:val="single" w:color="000000" w:sz="4" w:space="0"/>
            </w:tcBorders>
            <w:vAlign w:val="center"/>
          </w:tcPr>
          <w:p w14:paraId="2D36C0F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2CD40889">
        <w:trPr>
          <w:trHeight w:val="90"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3514A14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3950B6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柳州</w:t>
            </w:r>
          </w:p>
        </w:tc>
        <w:tc>
          <w:tcPr>
            <w:tcW w:w="785" w:type="pct"/>
            <w:tcBorders>
              <w:top w:val="single" w:color="000000" w:sz="4" w:space="0"/>
              <w:left w:val="single" w:color="000000" w:sz="4" w:space="0"/>
              <w:bottom w:val="single" w:color="000000" w:sz="4" w:space="0"/>
              <w:right w:val="single" w:color="000000" w:sz="4" w:space="0"/>
            </w:tcBorders>
            <w:vAlign w:val="center"/>
          </w:tcPr>
          <w:p w14:paraId="6E14ED0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湘桂线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4661935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K537+600下行</w:t>
            </w:r>
          </w:p>
        </w:tc>
        <w:tc>
          <w:tcPr>
            <w:tcW w:w="1168" w:type="pct"/>
            <w:tcBorders>
              <w:top w:val="single" w:color="000000" w:sz="4" w:space="0"/>
              <w:left w:val="single" w:color="000000" w:sz="4" w:space="0"/>
              <w:bottom w:val="single" w:color="000000" w:sz="4" w:space="0"/>
              <w:right w:val="single" w:color="000000" w:sz="4" w:space="0"/>
            </w:tcBorders>
            <w:vAlign w:val="center"/>
          </w:tcPr>
          <w:p w14:paraId="7D1A5AB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950" w:type="pct"/>
            <w:tcBorders>
              <w:top w:val="single" w:color="000000" w:sz="4" w:space="0"/>
              <w:left w:val="single" w:color="000000" w:sz="4" w:space="0"/>
              <w:bottom w:val="single" w:color="000000" w:sz="4" w:space="0"/>
              <w:right w:val="single" w:color="000000" w:sz="4" w:space="0"/>
            </w:tcBorders>
            <w:vAlign w:val="center"/>
          </w:tcPr>
          <w:p w14:paraId="7F7BFDC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5DF3A358">
        <w:tblPrEx>
          <w:tblCellMar>
            <w:top w:w="0" w:type="dxa"/>
            <w:left w:w="108" w:type="dxa"/>
            <w:bottom w:w="0" w:type="dxa"/>
            <w:right w:w="108" w:type="dxa"/>
          </w:tblCellMar>
        </w:tblPrEx>
        <w:trPr>
          <w:trHeight w:val="90"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0796060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7E3BA2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北海</w:t>
            </w:r>
          </w:p>
        </w:tc>
        <w:tc>
          <w:tcPr>
            <w:tcW w:w="785" w:type="pct"/>
            <w:tcBorders>
              <w:top w:val="single" w:color="000000" w:sz="4" w:space="0"/>
              <w:left w:val="single" w:color="000000" w:sz="4" w:space="0"/>
              <w:bottom w:val="single" w:color="000000" w:sz="4" w:space="0"/>
              <w:right w:val="single" w:color="000000" w:sz="4" w:space="0"/>
            </w:tcBorders>
            <w:vAlign w:val="center"/>
          </w:tcPr>
          <w:p w14:paraId="0A03787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6E99E03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K157+100</w:t>
            </w:r>
          </w:p>
        </w:tc>
        <w:tc>
          <w:tcPr>
            <w:tcW w:w="1168" w:type="pct"/>
            <w:tcBorders>
              <w:top w:val="single" w:color="000000" w:sz="4" w:space="0"/>
              <w:left w:val="single" w:color="000000" w:sz="4" w:space="0"/>
              <w:bottom w:val="single" w:color="000000" w:sz="4" w:space="0"/>
              <w:right w:val="single" w:color="000000" w:sz="4" w:space="0"/>
            </w:tcBorders>
            <w:vAlign w:val="center"/>
          </w:tcPr>
          <w:p w14:paraId="68B0FC0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950" w:type="pct"/>
            <w:tcBorders>
              <w:top w:val="single" w:color="000000" w:sz="4" w:space="0"/>
              <w:left w:val="single" w:color="000000" w:sz="4" w:space="0"/>
              <w:bottom w:val="single" w:color="000000" w:sz="4" w:space="0"/>
              <w:right w:val="single" w:color="000000" w:sz="4" w:space="0"/>
            </w:tcBorders>
            <w:vAlign w:val="center"/>
          </w:tcPr>
          <w:p w14:paraId="6218555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15E58D12">
        <w:tblPrEx>
          <w:tblCellMar>
            <w:top w:w="0" w:type="dxa"/>
            <w:left w:w="108" w:type="dxa"/>
            <w:bottom w:w="0" w:type="dxa"/>
            <w:right w:w="108" w:type="dxa"/>
          </w:tblCellMar>
        </w:tblPrEx>
        <w:trPr>
          <w:trHeight w:val="90"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4C620A2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D56C51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北海</w:t>
            </w:r>
          </w:p>
        </w:tc>
        <w:tc>
          <w:tcPr>
            <w:tcW w:w="785" w:type="pct"/>
            <w:tcBorders>
              <w:top w:val="single" w:color="000000" w:sz="4" w:space="0"/>
              <w:left w:val="single" w:color="000000" w:sz="4" w:space="0"/>
              <w:bottom w:val="single" w:color="000000" w:sz="4" w:space="0"/>
              <w:right w:val="single" w:color="000000" w:sz="4" w:space="0"/>
            </w:tcBorders>
            <w:vAlign w:val="center"/>
          </w:tcPr>
          <w:p w14:paraId="3D3314A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1E1FBA4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K155+1060</w:t>
            </w:r>
          </w:p>
        </w:tc>
        <w:tc>
          <w:tcPr>
            <w:tcW w:w="1168" w:type="pct"/>
            <w:tcBorders>
              <w:top w:val="single" w:color="000000" w:sz="4" w:space="0"/>
              <w:left w:val="single" w:color="000000" w:sz="4" w:space="0"/>
              <w:bottom w:val="single" w:color="000000" w:sz="4" w:space="0"/>
              <w:right w:val="single" w:color="000000" w:sz="4" w:space="0"/>
            </w:tcBorders>
            <w:vAlign w:val="center"/>
          </w:tcPr>
          <w:p w14:paraId="37378CB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950" w:type="pct"/>
            <w:tcBorders>
              <w:top w:val="single" w:color="000000" w:sz="4" w:space="0"/>
              <w:left w:val="single" w:color="000000" w:sz="4" w:space="0"/>
              <w:bottom w:val="single" w:color="000000" w:sz="4" w:space="0"/>
              <w:right w:val="single" w:color="000000" w:sz="4" w:space="0"/>
            </w:tcBorders>
            <w:vAlign w:val="center"/>
          </w:tcPr>
          <w:p w14:paraId="4B5B67E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1BF52D2B">
        <w:tblPrEx>
          <w:tblCellMar>
            <w:top w:w="0" w:type="dxa"/>
            <w:left w:w="108" w:type="dxa"/>
            <w:bottom w:w="0" w:type="dxa"/>
            <w:right w:w="108" w:type="dxa"/>
          </w:tblCellMar>
        </w:tblPrEx>
        <w:trPr>
          <w:trHeight w:val="345"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43F0B58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5BDA17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北海</w:t>
            </w:r>
          </w:p>
        </w:tc>
        <w:tc>
          <w:tcPr>
            <w:tcW w:w="785" w:type="pct"/>
            <w:tcBorders>
              <w:top w:val="single" w:color="000000" w:sz="4" w:space="0"/>
              <w:left w:val="single" w:color="000000" w:sz="4" w:space="0"/>
              <w:bottom w:val="single" w:color="000000" w:sz="4" w:space="0"/>
              <w:right w:val="single" w:color="000000" w:sz="4" w:space="0"/>
            </w:tcBorders>
            <w:vAlign w:val="center"/>
          </w:tcPr>
          <w:p w14:paraId="613BA13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0123609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K154+100</w:t>
            </w:r>
          </w:p>
        </w:tc>
        <w:tc>
          <w:tcPr>
            <w:tcW w:w="1168" w:type="pct"/>
            <w:tcBorders>
              <w:top w:val="single" w:color="000000" w:sz="4" w:space="0"/>
              <w:left w:val="single" w:color="000000" w:sz="4" w:space="0"/>
              <w:bottom w:val="single" w:color="000000" w:sz="4" w:space="0"/>
              <w:right w:val="single" w:color="000000" w:sz="4" w:space="0"/>
            </w:tcBorders>
            <w:vAlign w:val="center"/>
          </w:tcPr>
          <w:p w14:paraId="6EF491B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950" w:type="pct"/>
            <w:tcBorders>
              <w:top w:val="single" w:color="000000" w:sz="4" w:space="0"/>
              <w:left w:val="single" w:color="000000" w:sz="4" w:space="0"/>
              <w:bottom w:val="single" w:color="000000" w:sz="4" w:space="0"/>
              <w:right w:val="single" w:color="000000" w:sz="4" w:space="0"/>
            </w:tcBorders>
            <w:vAlign w:val="center"/>
          </w:tcPr>
          <w:p w14:paraId="755D0E9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331D63F0">
        <w:tblPrEx>
          <w:tblCellMar>
            <w:top w:w="0" w:type="dxa"/>
            <w:left w:w="108" w:type="dxa"/>
            <w:bottom w:w="0" w:type="dxa"/>
            <w:right w:w="108" w:type="dxa"/>
          </w:tblCellMar>
        </w:tblPrEx>
        <w:trPr>
          <w:trHeight w:val="309"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5E4F145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930A1B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北海</w:t>
            </w:r>
          </w:p>
        </w:tc>
        <w:tc>
          <w:tcPr>
            <w:tcW w:w="785" w:type="pct"/>
            <w:tcBorders>
              <w:top w:val="single" w:color="000000" w:sz="4" w:space="0"/>
              <w:left w:val="single" w:color="000000" w:sz="4" w:space="0"/>
              <w:bottom w:val="single" w:color="000000" w:sz="4" w:space="0"/>
              <w:right w:val="single" w:color="000000" w:sz="4" w:space="0"/>
            </w:tcBorders>
            <w:vAlign w:val="center"/>
          </w:tcPr>
          <w:p w14:paraId="5581364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333C367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K152+000</w:t>
            </w:r>
          </w:p>
        </w:tc>
        <w:tc>
          <w:tcPr>
            <w:tcW w:w="1168" w:type="pct"/>
            <w:tcBorders>
              <w:top w:val="single" w:color="000000" w:sz="4" w:space="0"/>
              <w:left w:val="single" w:color="000000" w:sz="4" w:space="0"/>
              <w:bottom w:val="single" w:color="000000" w:sz="4" w:space="0"/>
              <w:right w:val="single" w:color="000000" w:sz="4" w:space="0"/>
            </w:tcBorders>
            <w:vAlign w:val="center"/>
          </w:tcPr>
          <w:p w14:paraId="37AADCE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950" w:type="pct"/>
            <w:tcBorders>
              <w:top w:val="single" w:color="000000" w:sz="4" w:space="0"/>
              <w:left w:val="single" w:color="000000" w:sz="4" w:space="0"/>
              <w:bottom w:val="single" w:color="000000" w:sz="4" w:space="0"/>
              <w:right w:val="single" w:color="000000" w:sz="4" w:space="0"/>
            </w:tcBorders>
            <w:vAlign w:val="center"/>
          </w:tcPr>
          <w:p w14:paraId="79F6383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5BDD5993">
        <w:tblPrEx>
          <w:tblCellMar>
            <w:top w:w="0" w:type="dxa"/>
            <w:left w:w="108" w:type="dxa"/>
            <w:bottom w:w="0" w:type="dxa"/>
            <w:right w:w="108" w:type="dxa"/>
          </w:tblCellMar>
        </w:tblPrEx>
        <w:trPr>
          <w:trHeight w:val="333"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46471AA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01E7E1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北海</w:t>
            </w:r>
          </w:p>
        </w:tc>
        <w:tc>
          <w:tcPr>
            <w:tcW w:w="785" w:type="pct"/>
            <w:tcBorders>
              <w:top w:val="single" w:color="000000" w:sz="4" w:space="0"/>
              <w:left w:val="single" w:color="000000" w:sz="4" w:space="0"/>
              <w:bottom w:val="single" w:color="000000" w:sz="4" w:space="0"/>
              <w:right w:val="single" w:color="000000" w:sz="4" w:space="0"/>
            </w:tcBorders>
            <w:vAlign w:val="center"/>
          </w:tcPr>
          <w:p w14:paraId="476D94E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2F82C89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K150+100</w:t>
            </w:r>
          </w:p>
        </w:tc>
        <w:tc>
          <w:tcPr>
            <w:tcW w:w="1168" w:type="pct"/>
            <w:tcBorders>
              <w:top w:val="single" w:color="000000" w:sz="4" w:space="0"/>
              <w:left w:val="single" w:color="000000" w:sz="4" w:space="0"/>
              <w:bottom w:val="single" w:color="000000" w:sz="4" w:space="0"/>
              <w:right w:val="single" w:color="000000" w:sz="4" w:space="0"/>
            </w:tcBorders>
            <w:vAlign w:val="center"/>
          </w:tcPr>
          <w:p w14:paraId="73D6AEE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950" w:type="pct"/>
            <w:tcBorders>
              <w:top w:val="single" w:color="000000" w:sz="4" w:space="0"/>
              <w:left w:val="single" w:color="000000" w:sz="4" w:space="0"/>
              <w:bottom w:val="single" w:color="000000" w:sz="4" w:space="0"/>
              <w:right w:val="single" w:color="000000" w:sz="4" w:space="0"/>
            </w:tcBorders>
            <w:vAlign w:val="center"/>
          </w:tcPr>
          <w:p w14:paraId="342276C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7FA4C538">
        <w:tblPrEx>
          <w:tblCellMar>
            <w:top w:w="0" w:type="dxa"/>
            <w:left w:w="108" w:type="dxa"/>
            <w:bottom w:w="0" w:type="dxa"/>
            <w:right w:w="108" w:type="dxa"/>
          </w:tblCellMar>
        </w:tblPrEx>
        <w:trPr>
          <w:trHeight w:val="345"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7C91709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4B35A8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北海</w:t>
            </w:r>
          </w:p>
        </w:tc>
        <w:tc>
          <w:tcPr>
            <w:tcW w:w="785" w:type="pct"/>
            <w:tcBorders>
              <w:top w:val="single" w:color="000000" w:sz="4" w:space="0"/>
              <w:left w:val="single" w:color="000000" w:sz="4" w:space="0"/>
              <w:bottom w:val="single" w:color="000000" w:sz="4" w:space="0"/>
              <w:right w:val="single" w:color="000000" w:sz="4" w:space="0"/>
            </w:tcBorders>
            <w:vAlign w:val="center"/>
          </w:tcPr>
          <w:p w14:paraId="0A4C1FB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5634E71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K149+200</w:t>
            </w:r>
          </w:p>
        </w:tc>
        <w:tc>
          <w:tcPr>
            <w:tcW w:w="1168" w:type="pct"/>
            <w:tcBorders>
              <w:top w:val="single" w:color="000000" w:sz="4" w:space="0"/>
              <w:left w:val="single" w:color="000000" w:sz="4" w:space="0"/>
              <w:bottom w:val="single" w:color="000000" w:sz="4" w:space="0"/>
              <w:right w:val="single" w:color="000000" w:sz="4" w:space="0"/>
            </w:tcBorders>
            <w:vAlign w:val="center"/>
          </w:tcPr>
          <w:p w14:paraId="35A487A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950" w:type="pct"/>
            <w:tcBorders>
              <w:top w:val="single" w:color="000000" w:sz="4" w:space="0"/>
              <w:left w:val="single" w:color="000000" w:sz="4" w:space="0"/>
              <w:bottom w:val="single" w:color="000000" w:sz="4" w:space="0"/>
              <w:right w:val="single" w:color="000000" w:sz="4" w:space="0"/>
            </w:tcBorders>
            <w:vAlign w:val="center"/>
          </w:tcPr>
          <w:p w14:paraId="6A0C167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2D337DF3">
        <w:tblPrEx>
          <w:tblCellMar>
            <w:top w:w="0" w:type="dxa"/>
            <w:left w:w="108" w:type="dxa"/>
            <w:bottom w:w="0" w:type="dxa"/>
            <w:right w:w="108" w:type="dxa"/>
          </w:tblCellMar>
        </w:tblPrEx>
        <w:trPr>
          <w:trHeight w:val="285"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585BC9D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016917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北海</w:t>
            </w:r>
          </w:p>
        </w:tc>
        <w:tc>
          <w:tcPr>
            <w:tcW w:w="785" w:type="pct"/>
            <w:tcBorders>
              <w:top w:val="single" w:color="000000" w:sz="4" w:space="0"/>
              <w:left w:val="single" w:color="000000" w:sz="4" w:space="0"/>
              <w:bottom w:val="single" w:color="000000" w:sz="4" w:space="0"/>
              <w:right w:val="single" w:color="000000" w:sz="4" w:space="0"/>
            </w:tcBorders>
            <w:vAlign w:val="center"/>
          </w:tcPr>
          <w:p w14:paraId="0FC27B3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06699D0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K145+500</w:t>
            </w:r>
          </w:p>
        </w:tc>
        <w:tc>
          <w:tcPr>
            <w:tcW w:w="1168" w:type="pct"/>
            <w:tcBorders>
              <w:top w:val="single" w:color="000000" w:sz="4" w:space="0"/>
              <w:left w:val="single" w:color="000000" w:sz="4" w:space="0"/>
              <w:bottom w:val="single" w:color="000000" w:sz="4" w:space="0"/>
              <w:right w:val="single" w:color="000000" w:sz="4" w:space="0"/>
            </w:tcBorders>
            <w:vAlign w:val="center"/>
          </w:tcPr>
          <w:p w14:paraId="1959D7B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950" w:type="pct"/>
            <w:tcBorders>
              <w:top w:val="single" w:color="000000" w:sz="4" w:space="0"/>
              <w:left w:val="single" w:color="000000" w:sz="4" w:space="0"/>
              <w:bottom w:val="single" w:color="000000" w:sz="4" w:space="0"/>
              <w:right w:val="single" w:color="000000" w:sz="4" w:space="0"/>
            </w:tcBorders>
            <w:vAlign w:val="center"/>
          </w:tcPr>
          <w:p w14:paraId="3DDA491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6C871AAD">
        <w:tblPrEx>
          <w:tblCellMar>
            <w:top w:w="0" w:type="dxa"/>
            <w:left w:w="108" w:type="dxa"/>
            <w:bottom w:w="0" w:type="dxa"/>
            <w:right w:w="108" w:type="dxa"/>
          </w:tblCellMar>
        </w:tblPrEx>
        <w:trPr>
          <w:trHeight w:val="321"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3EF6699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51EA5F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钦州</w:t>
            </w:r>
          </w:p>
        </w:tc>
        <w:tc>
          <w:tcPr>
            <w:tcW w:w="785" w:type="pct"/>
            <w:tcBorders>
              <w:top w:val="single" w:color="000000" w:sz="4" w:space="0"/>
              <w:left w:val="single" w:color="000000" w:sz="4" w:space="0"/>
              <w:bottom w:val="single" w:color="000000" w:sz="4" w:space="0"/>
              <w:right w:val="single" w:color="000000" w:sz="4" w:space="0"/>
            </w:tcBorders>
            <w:vAlign w:val="center"/>
          </w:tcPr>
          <w:p w14:paraId="29CFA19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76A7F34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K71+990</w:t>
            </w:r>
          </w:p>
        </w:tc>
        <w:tc>
          <w:tcPr>
            <w:tcW w:w="1168" w:type="pct"/>
            <w:tcBorders>
              <w:top w:val="single" w:color="000000" w:sz="4" w:space="0"/>
              <w:left w:val="single" w:color="000000" w:sz="4" w:space="0"/>
              <w:bottom w:val="single" w:color="000000" w:sz="4" w:space="0"/>
              <w:right w:val="single" w:color="000000" w:sz="4" w:space="0"/>
            </w:tcBorders>
            <w:vAlign w:val="center"/>
          </w:tcPr>
          <w:p w14:paraId="11DE68A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950" w:type="pct"/>
            <w:tcBorders>
              <w:top w:val="single" w:color="000000" w:sz="4" w:space="0"/>
              <w:left w:val="single" w:color="000000" w:sz="4" w:space="0"/>
              <w:bottom w:val="single" w:color="000000" w:sz="4" w:space="0"/>
              <w:right w:val="single" w:color="000000" w:sz="4" w:space="0"/>
            </w:tcBorders>
            <w:vAlign w:val="center"/>
          </w:tcPr>
          <w:p w14:paraId="146E3B5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r>
      <w:tr w14:paraId="24290D52">
        <w:tblPrEx>
          <w:tblCellMar>
            <w:top w:w="0" w:type="dxa"/>
            <w:left w:w="108" w:type="dxa"/>
            <w:bottom w:w="0" w:type="dxa"/>
            <w:right w:w="108" w:type="dxa"/>
          </w:tblCellMar>
        </w:tblPrEx>
        <w:trPr>
          <w:trHeight w:val="90"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18025DC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8051E5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钦州</w:t>
            </w:r>
          </w:p>
        </w:tc>
        <w:tc>
          <w:tcPr>
            <w:tcW w:w="785" w:type="pct"/>
            <w:tcBorders>
              <w:top w:val="single" w:color="000000" w:sz="4" w:space="0"/>
              <w:left w:val="single" w:color="000000" w:sz="4" w:space="0"/>
              <w:bottom w:val="single" w:color="000000" w:sz="4" w:space="0"/>
              <w:right w:val="single" w:color="000000" w:sz="4" w:space="0"/>
            </w:tcBorders>
            <w:vAlign w:val="center"/>
          </w:tcPr>
          <w:p w14:paraId="1E62F1F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1D679AE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K73+800</w:t>
            </w:r>
          </w:p>
        </w:tc>
        <w:tc>
          <w:tcPr>
            <w:tcW w:w="1168" w:type="pct"/>
            <w:tcBorders>
              <w:top w:val="single" w:color="000000" w:sz="4" w:space="0"/>
              <w:left w:val="single" w:color="000000" w:sz="4" w:space="0"/>
              <w:bottom w:val="single" w:color="000000" w:sz="4" w:space="0"/>
              <w:right w:val="single" w:color="000000" w:sz="4" w:space="0"/>
            </w:tcBorders>
            <w:vAlign w:val="center"/>
          </w:tcPr>
          <w:p w14:paraId="5808BE5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950" w:type="pct"/>
            <w:tcBorders>
              <w:top w:val="single" w:color="000000" w:sz="4" w:space="0"/>
              <w:left w:val="single" w:color="000000" w:sz="4" w:space="0"/>
              <w:bottom w:val="single" w:color="000000" w:sz="4" w:space="0"/>
              <w:right w:val="single" w:color="000000" w:sz="4" w:space="0"/>
            </w:tcBorders>
            <w:vAlign w:val="center"/>
          </w:tcPr>
          <w:p w14:paraId="59A6965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3040A024">
        <w:tblPrEx>
          <w:tblCellMar>
            <w:top w:w="0" w:type="dxa"/>
            <w:left w:w="108" w:type="dxa"/>
            <w:bottom w:w="0" w:type="dxa"/>
            <w:right w:w="108" w:type="dxa"/>
          </w:tblCellMar>
        </w:tblPrEx>
        <w:trPr>
          <w:trHeight w:val="249"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2347731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07AABB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钦州</w:t>
            </w:r>
          </w:p>
        </w:tc>
        <w:tc>
          <w:tcPr>
            <w:tcW w:w="785" w:type="pct"/>
            <w:tcBorders>
              <w:top w:val="single" w:color="000000" w:sz="4" w:space="0"/>
              <w:left w:val="single" w:color="000000" w:sz="4" w:space="0"/>
              <w:bottom w:val="single" w:color="000000" w:sz="4" w:space="0"/>
              <w:right w:val="single" w:color="000000" w:sz="4" w:space="0"/>
            </w:tcBorders>
            <w:vAlign w:val="center"/>
          </w:tcPr>
          <w:p w14:paraId="2AC2AEA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20E933F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K84+400 上行</w:t>
            </w:r>
          </w:p>
        </w:tc>
        <w:tc>
          <w:tcPr>
            <w:tcW w:w="1168" w:type="pct"/>
            <w:tcBorders>
              <w:top w:val="single" w:color="000000" w:sz="4" w:space="0"/>
              <w:left w:val="single" w:color="000000" w:sz="4" w:space="0"/>
              <w:bottom w:val="single" w:color="000000" w:sz="4" w:space="0"/>
              <w:right w:val="single" w:color="000000" w:sz="4" w:space="0"/>
            </w:tcBorders>
            <w:vAlign w:val="center"/>
          </w:tcPr>
          <w:p w14:paraId="7F1788E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950" w:type="pct"/>
            <w:tcBorders>
              <w:top w:val="single" w:color="000000" w:sz="4" w:space="0"/>
              <w:left w:val="single" w:color="000000" w:sz="4" w:space="0"/>
              <w:bottom w:val="single" w:color="000000" w:sz="4" w:space="0"/>
              <w:right w:val="single" w:color="000000" w:sz="4" w:space="0"/>
            </w:tcBorders>
            <w:vAlign w:val="center"/>
          </w:tcPr>
          <w:p w14:paraId="181A9A9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r>
      <w:tr w14:paraId="622ADEE2">
        <w:tblPrEx>
          <w:tblCellMar>
            <w:top w:w="0" w:type="dxa"/>
            <w:left w:w="108" w:type="dxa"/>
            <w:bottom w:w="0" w:type="dxa"/>
            <w:right w:w="108" w:type="dxa"/>
          </w:tblCellMar>
        </w:tblPrEx>
        <w:trPr>
          <w:trHeight w:val="225"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38BB478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2383E9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钦州</w:t>
            </w:r>
          </w:p>
        </w:tc>
        <w:tc>
          <w:tcPr>
            <w:tcW w:w="785" w:type="pct"/>
            <w:tcBorders>
              <w:top w:val="single" w:color="000000" w:sz="4" w:space="0"/>
              <w:left w:val="single" w:color="000000" w:sz="4" w:space="0"/>
              <w:bottom w:val="single" w:color="000000" w:sz="4" w:space="0"/>
              <w:right w:val="single" w:color="000000" w:sz="4" w:space="0"/>
            </w:tcBorders>
            <w:vAlign w:val="center"/>
          </w:tcPr>
          <w:p w14:paraId="6A80DB0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50D6E9D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K84+950 上行</w:t>
            </w:r>
          </w:p>
        </w:tc>
        <w:tc>
          <w:tcPr>
            <w:tcW w:w="1168" w:type="pct"/>
            <w:tcBorders>
              <w:top w:val="single" w:color="000000" w:sz="4" w:space="0"/>
              <w:left w:val="single" w:color="000000" w:sz="4" w:space="0"/>
              <w:bottom w:val="single" w:color="000000" w:sz="4" w:space="0"/>
              <w:right w:val="single" w:color="000000" w:sz="4" w:space="0"/>
            </w:tcBorders>
            <w:vAlign w:val="center"/>
          </w:tcPr>
          <w:p w14:paraId="437613D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950" w:type="pct"/>
            <w:tcBorders>
              <w:top w:val="single" w:color="000000" w:sz="4" w:space="0"/>
              <w:left w:val="single" w:color="000000" w:sz="4" w:space="0"/>
              <w:bottom w:val="single" w:color="000000" w:sz="4" w:space="0"/>
              <w:right w:val="single" w:color="000000" w:sz="4" w:space="0"/>
            </w:tcBorders>
            <w:vAlign w:val="center"/>
          </w:tcPr>
          <w:p w14:paraId="14B46E9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318F9035">
        <w:tblPrEx>
          <w:tblCellMar>
            <w:top w:w="0" w:type="dxa"/>
            <w:left w:w="108" w:type="dxa"/>
            <w:bottom w:w="0" w:type="dxa"/>
            <w:right w:w="108" w:type="dxa"/>
          </w:tblCellMar>
        </w:tblPrEx>
        <w:trPr>
          <w:trHeight w:val="90"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49BE105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DBC699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钦州</w:t>
            </w:r>
          </w:p>
        </w:tc>
        <w:tc>
          <w:tcPr>
            <w:tcW w:w="785" w:type="pct"/>
            <w:tcBorders>
              <w:top w:val="single" w:color="000000" w:sz="4" w:space="0"/>
              <w:left w:val="single" w:color="000000" w:sz="4" w:space="0"/>
              <w:bottom w:val="single" w:color="000000" w:sz="4" w:space="0"/>
              <w:right w:val="single" w:color="000000" w:sz="4" w:space="0"/>
            </w:tcBorders>
            <w:vAlign w:val="center"/>
          </w:tcPr>
          <w:p w14:paraId="14E6042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7A77FB9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K75+400 下行</w:t>
            </w:r>
          </w:p>
        </w:tc>
        <w:tc>
          <w:tcPr>
            <w:tcW w:w="1168" w:type="pct"/>
            <w:tcBorders>
              <w:top w:val="single" w:color="000000" w:sz="4" w:space="0"/>
              <w:left w:val="single" w:color="000000" w:sz="4" w:space="0"/>
              <w:bottom w:val="single" w:color="000000" w:sz="4" w:space="0"/>
              <w:right w:val="single" w:color="000000" w:sz="4" w:space="0"/>
            </w:tcBorders>
            <w:vAlign w:val="center"/>
          </w:tcPr>
          <w:p w14:paraId="0E0B642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950" w:type="pct"/>
            <w:tcBorders>
              <w:top w:val="single" w:color="000000" w:sz="4" w:space="0"/>
              <w:left w:val="single" w:color="000000" w:sz="4" w:space="0"/>
              <w:bottom w:val="single" w:color="000000" w:sz="4" w:space="0"/>
              <w:right w:val="single" w:color="000000" w:sz="4" w:space="0"/>
            </w:tcBorders>
            <w:vAlign w:val="center"/>
          </w:tcPr>
          <w:p w14:paraId="0BC1B93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r>
      <w:tr w14:paraId="5558054A">
        <w:tblPrEx>
          <w:tblCellMar>
            <w:top w:w="0" w:type="dxa"/>
            <w:left w:w="108" w:type="dxa"/>
            <w:bottom w:w="0" w:type="dxa"/>
            <w:right w:w="108" w:type="dxa"/>
          </w:tblCellMar>
        </w:tblPrEx>
        <w:trPr>
          <w:trHeight w:val="90"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01B9942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1F7628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钦州</w:t>
            </w:r>
          </w:p>
        </w:tc>
        <w:tc>
          <w:tcPr>
            <w:tcW w:w="785" w:type="pct"/>
            <w:tcBorders>
              <w:top w:val="single" w:color="000000" w:sz="4" w:space="0"/>
              <w:left w:val="single" w:color="000000" w:sz="4" w:space="0"/>
              <w:bottom w:val="single" w:color="000000" w:sz="4" w:space="0"/>
              <w:right w:val="single" w:color="000000" w:sz="4" w:space="0"/>
            </w:tcBorders>
            <w:vAlign w:val="center"/>
          </w:tcPr>
          <w:p w14:paraId="55E2A31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2E1BEB6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K85+420 下行</w:t>
            </w:r>
          </w:p>
        </w:tc>
        <w:tc>
          <w:tcPr>
            <w:tcW w:w="1168" w:type="pct"/>
            <w:tcBorders>
              <w:top w:val="single" w:color="000000" w:sz="4" w:space="0"/>
              <w:left w:val="single" w:color="000000" w:sz="4" w:space="0"/>
              <w:bottom w:val="single" w:color="000000" w:sz="4" w:space="0"/>
              <w:right w:val="single" w:color="000000" w:sz="4" w:space="0"/>
            </w:tcBorders>
            <w:vAlign w:val="center"/>
          </w:tcPr>
          <w:p w14:paraId="40B675E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950" w:type="pct"/>
            <w:tcBorders>
              <w:top w:val="single" w:color="000000" w:sz="4" w:space="0"/>
              <w:left w:val="single" w:color="000000" w:sz="4" w:space="0"/>
              <w:bottom w:val="single" w:color="000000" w:sz="4" w:space="0"/>
              <w:right w:val="single" w:color="000000" w:sz="4" w:space="0"/>
            </w:tcBorders>
            <w:vAlign w:val="center"/>
          </w:tcPr>
          <w:p w14:paraId="3BBE8F3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4693AEEC">
        <w:tblPrEx>
          <w:tblCellMar>
            <w:top w:w="0" w:type="dxa"/>
            <w:left w:w="108" w:type="dxa"/>
            <w:bottom w:w="0" w:type="dxa"/>
            <w:right w:w="108" w:type="dxa"/>
          </w:tblCellMar>
        </w:tblPrEx>
        <w:trPr>
          <w:trHeight w:val="312"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3297FB2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C84FE0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钦州</w:t>
            </w:r>
          </w:p>
        </w:tc>
        <w:tc>
          <w:tcPr>
            <w:tcW w:w="785" w:type="pct"/>
            <w:tcBorders>
              <w:top w:val="single" w:color="000000" w:sz="4" w:space="0"/>
              <w:left w:val="single" w:color="000000" w:sz="4" w:space="0"/>
              <w:bottom w:val="single" w:color="000000" w:sz="4" w:space="0"/>
              <w:right w:val="single" w:color="000000" w:sz="4" w:space="0"/>
            </w:tcBorders>
            <w:vAlign w:val="center"/>
          </w:tcPr>
          <w:p w14:paraId="4BEE9BF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4D17E6F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K81+825 上行</w:t>
            </w:r>
          </w:p>
        </w:tc>
        <w:tc>
          <w:tcPr>
            <w:tcW w:w="1168" w:type="pct"/>
            <w:tcBorders>
              <w:top w:val="single" w:color="000000" w:sz="4" w:space="0"/>
              <w:left w:val="single" w:color="000000" w:sz="4" w:space="0"/>
              <w:bottom w:val="single" w:color="000000" w:sz="4" w:space="0"/>
              <w:right w:val="single" w:color="000000" w:sz="4" w:space="0"/>
            </w:tcBorders>
            <w:vAlign w:val="center"/>
          </w:tcPr>
          <w:p w14:paraId="046DD40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950" w:type="pct"/>
            <w:tcBorders>
              <w:top w:val="single" w:color="000000" w:sz="4" w:space="0"/>
              <w:left w:val="single" w:color="000000" w:sz="4" w:space="0"/>
              <w:bottom w:val="single" w:color="000000" w:sz="4" w:space="0"/>
              <w:right w:val="single" w:color="000000" w:sz="4" w:space="0"/>
            </w:tcBorders>
            <w:vAlign w:val="center"/>
          </w:tcPr>
          <w:p w14:paraId="1A695C0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r>
      <w:tr w14:paraId="2338F2CB">
        <w:tblPrEx>
          <w:tblCellMar>
            <w:top w:w="0" w:type="dxa"/>
            <w:left w:w="108" w:type="dxa"/>
            <w:bottom w:w="0" w:type="dxa"/>
            <w:right w:w="108" w:type="dxa"/>
          </w:tblCellMar>
        </w:tblPrEx>
        <w:trPr>
          <w:trHeight w:val="312"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2A100E5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CF1A15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钦州</w:t>
            </w:r>
          </w:p>
        </w:tc>
        <w:tc>
          <w:tcPr>
            <w:tcW w:w="785" w:type="pct"/>
            <w:tcBorders>
              <w:top w:val="single" w:color="000000" w:sz="4" w:space="0"/>
              <w:left w:val="single" w:color="000000" w:sz="4" w:space="0"/>
              <w:bottom w:val="single" w:color="000000" w:sz="4" w:space="0"/>
              <w:right w:val="single" w:color="000000" w:sz="4" w:space="0"/>
            </w:tcBorders>
            <w:vAlign w:val="center"/>
          </w:tcPr>
          <w:p w14:paraId="3E6A284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1EA4E0C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K86+900 下行</w:t>
            </w:r>
          </w:p>
        </w:tc>
        <w:tc>
          <w:tcPr>
            <w:tcW w:w="1168" w:type="pct"/>
            <w:tcBorders>
              <w:top w:val="single" w:color="000000" w:sz="4" w:space="0"/>
              <w:left w:val="single" w:color="000000" w:sz="4" w:space="0"/>
              <w:bottom w:val="single" w:color="000000" w:sz="4" w:space="0"/>
              <w:right w:val="single" w:color="000000" w:sz="4" w:space="0"/>
            </w:tcBorders>
            <w:vAlign w:val="center"/>
          </w:tcPr>
          <w:p w14:paraId="4B5DCA5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950" w:type="pct"/>
            <w:tcBorders>
              <w:top w:val="single" w:color="000000" w:sz="4" w:space="0"/>
              <w:left w:val="single" w:color="000000" w:sz="4" w:space="0"/>
              <w:bottom w:val="single" w:color="000000" w:sz="4" w:space="0"/>
              <w:right w:val="single" w:color="000000" w:sz="4" w:space="0"/>
            </w:tcBorders>
            <w:vAlign w:val="center"/>
          </w:tcPr>
          <w:p w14:paraId="077551D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087A6876">
        <w:tblPrEx>
          <w:tblCellMar>
            <w:top w:w="0" w:type="dxa"/>
            <w:left w:w="108" w:type="dxa"/>
            <w:bottom w:w="0" w:type="dxa"/>
            <w:right w:w="108" w:type="dxa"/>
          </w:tblCellMar>
        </w:tblPrEx>
        <w:trPr>
          <w:trHeight w:val="216"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2E803AC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789B35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钦州</w:t>
            </w:r>
          </w:p>
        </w:tc>
        <w:tc>
          <w:tcPr>
            <w:tcW w:w="785" w:type="pct"/>
            <w:tcBorders>
              <w:top w:val="single" w:color="000000" w:sz="4" w:space="0"/>
              <w:left w:val="single" w:color="000000" w:sz="4" w:space="0"/>
              <w:bottom w:val="single" w:color="000000" w:sz="4" w:space="0"/>
              <w:right w:val="single" w:color="000000" w:sz="4" w:space="0"/>
            </w:tcBorders>
            <w:vAlign w:val="center"/>
          </w:tcPr>
          <w:p w14:paraId="4ADA979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375CEC0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K87+500 下行</w:t>
            </w:r>
          </w:p>
        </w:tc>
        <w:tc>
          <w:tcPr>
            <w:tcW w:w="1168" w:type="pct"/>
            <w:tcBorders>
              <w:top w:val="single" w:color="000000" w:sz="4" w:space="0"/>
              <w:left w:val="single" w:color="000000" w:sz="4" w:space="0"/>
              <w:bottom w:val="single" w:color="000000" w:sz="4" w:space="0"/>
              <w:right w:val="single" w:color="000000" w:sz="4" w:space="0"/>
            </w:tcBorders>
            <w:vAlign w:val="center"/>
          </w:tcPr>
          <w:p w14:paraId="6CA892C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950" w:type="pct"/>
            <w:tcBorders>
              <w:top w:val="single" w:color="000000" w:sz="4" w:space="0"/>
              <w:left w:val="single" w:color="000000" w:sz="4" w:space="0"/>
              <w:bottom w:val="single" w:color="000000" w:sz="4" w:space="0"/>
              <w:right w:val="single" w:color="000000" w:sz="4" w:space="0"/>
            </w:tcBorders>
            <w:vAlign w:val="center"/>
          </w:tcPr>
          <w:p w14:paraId="56756E7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38AD0AFE">
        <w:tblPrEx>
          <w:tblCellMar>
            <w:top w:w="0" w:type="dxa"/>
            <w:left w:w="108" w:type="dxa"/>
            <w:bottom w:w="0" w:type="dxa"/>
            <w:right w:w="108" w:type="dxa"/>
          </w:tblCellMar>
        </w:tblPrEx>
        <w:trPr>
          <w:trHeight w:val="190"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27D7D3E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CAF7B5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钦州</w:t>
            </w:r>
          </w:p>
        </w:tc>
        <w:tc>
          <w:tcPr>
            <w:tcW w:w="785" w:type="pct"/>
            <w:tcBorders>
              <w:top w:val="single" w:color="000000" w:sz="4" w:space="0"/>
              <w:left w:val="single" w:color="000000" w:sz="4" w:space="0"/>
              <w:bottom w:val="single" w:color="000000" w:sz="4" w:space="0"/>
              <w:right w:val="single" w:color="000000" w:sz="4" w:space="0"/>
            </w:tcBorders>
            <w:vAlign w:val="center"/>
          </w:tcPr>
          <w:p w14:paraId="02D730A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1BFE36A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K90+033</w:t>
            </w:r>
          </w:p>
        </w:tc>
        <w:tc>
          <w:tcPr>
            <w:tcW w:w="1168" w:type="pct"/>
            <w:tcBorders>
              <w:top w:val="single" w:color="000000" w:sz="4" w:space="0"/>
              <w:left w:val="single" w:color="000000" w:sz="4" w:space="0"/>
              <w:bottom w:val="single" w:color="000000" w:sz="4" w:space="0"/>
              <w:right w:val="single" w:color="000000" w:sz="4" w:space="0"/>
            </w:tcBorders>
            <w:vAlign w:val="center"/>
          </w:tcPr>
          <w:p w14:paraId="5222F58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950" w:type="pct"/>
            <w:tcBorders>
              <w:top w:val="single" w:color="000000" w:sz="4" w:space="0"/>
              <w:left w:val="single" w:color="000000" w:sz="4" w:space="0"/>
              <w:bottom w:val="single" w:color="000000" w:sz="4" w:space="0"/>
              <w:right w:val="single" w:color="000000" w:sz="4" w:space="0"/>
            </w:tcBorders>
            <w:vAlign w:val="center"/>
          </w:tcPr>
          <w:p w14:paraId="018ACB5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r>
      <w:tr w14:paraId="65500FFA">
        <w:tblPrEx>
          <w:tblCellMar>
            <w:top w:w="0" w:type="dxa"/>
            <w:left w:w="108" w:type="dxa"/>
            <w:bottom w:w="0" w:type="dxa"/>
            <w:right w:w="108" w:type="dxa"/>
          </w:tblCellMar>
        </w:tblPrEx>
        <w:trPr>
          <w:trHeight w:val="90"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539F857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F08F02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钦州</w:t>
            </w:r>
          </w:p>
        </w:tc>
        <w:tc>
          <w:tcPr>
            <w:tcW w:w="785" w:type="pct"/>
            <w:tcBorders>
              <w:top w:val="single" w:color="000000" w:sz="4" w:space="0"/>
              <w:left w:val="single" w:color="000000" w:sz="4" w:space="0"/>
              <w:bottom w:val="single" w:color="000000" w:sz="4" w:space="0"/>
              <w:right w:val="single" w:color="000000" w:sz="4" w:space="0"/>
            </w:tcBorders>
            <w:vAlign w:val="center"/>
          </w:tcPr>
          <w:p w14:paraId="5ACB91D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586D0EE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K98+700 上行</w:t>
            </w:r>
          </w:p>
        </w:tc>
        <w:tc>
          <w:tcPr>
            <w:tcW w:w="1168" w:type="pct"/>
            <w:tcBorders>
              <w:top w:val="single" w:color="000000" w:sz="4" w:space="0"/>
              <w:left w:val="single" w:color="000000" w:sz="4" w:space="0"/>
              <w:bottom w:val="single" w:color="000000" w:sz="4" w:space="0"/>
              <w:right w:val="single" w:color="000000" w:sz="4" w:space="0"/>
            </w:tcBorders>
            <w:vAlign w:val="center"/>
          </w:tcPr>
          <w:p w14:paraId="3EF7594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950" w:type="pct"/>
            <w:tcBorders>
              <w:top w:val="single" w:color="000000" w:sz="4" w:space="0"/>
              <w:left w:val="single" w:color="000000" w:sz="4" w:space="0"/>
              <w:bottom w:val="single" w:color="000000" w:sz="4" w:space="0"/>
              <w:right w:val="single" w:color="000000" w:sz="4" w:space="0"/>
            </w:tcBorders>
            <w:vAlign w:val="center"/>
          </w:tcPr>
          <w:p w14:paraId="23892E5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0975FF2B">
        <w:tblPrEx>
          <w:tblCellMar>
            <w:top w:w="0" w:type="dxa"/>
            <w:left w:w="108" w:type="dxa"/>
            <w:bottom w:w="0" w:type="dxa"/>
            <w:right w:w="108" w:type="dxa"/>
          </w:tblCellMar>
        </w:tblPrEx>
        <w:trPr>
          <w:trHeight w:val="237"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01AAA11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A1184D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钦州</w:t>
            </w:r>
          </w:p>
        </w:tc>
        <w:tc>
          <w:tcPr>
            <w:tcW w:w="785" w:type="pct"/>
            <w:tcBorders>
              <w:top w:val="single" w:color="000000" w:sz="4" w:space="0"/>
              <w:left w:val="single" w:color="000000" w:sz="4" w:space="0"/>
              <w:bottom w:val="single" w:color="000000" w:sz="4" w:space="0"/>
              <w:right w:val="single" w:color="000000" w:sz="4" w:space="0"/>
            </w:tcBorders>
            <w:vAlign w:val="center"/>
          </w:tcPr>
          <w:p w14:paraId="5138A39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4BAE38A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K106+179 上行</w:t>
            </w:r>
          </w:p>
        </w:tc>
        <w:tc>
          <w:tcPr>
            <w:tcW w:w="1168" w:type="pct"/>
            <w:tcBorders>
              <w:top w:val="single" w:color="000000" w:sz="4" w:space="0"/>
              <w:left w:val="single" w:color="000000" w:sz="4" w:space="0"/>
              <w:bottom w:val="single" w:color="000000" w:sz="4" w:space="0"/>
              <w:right w:val="single" w:color="000000" w:sz="4" w:space="0"/>
            </w:tcBorders>
            <w:vAlign w:val="center"/>
          </w:tcPr>
          <w:p w14:paraId="6FA4042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950" w:type="pct"/>
            <w:tcBorders>
              <w:top w:val="single" w:color="000000" w:sz="4" w:space="0"/>
              <w:left w:val="single" w:color="000000" w:sz="4" w:space="0"/>
              <w:bottom w:val="single" w:color="000000" w:sz="4" w:space="0"/>
              <w:right w:val="single" w:color="000000" w:sz="4" w:space="0"/>
            </w:tcBorders>
            <w:vAlign w:val="center"/>
          </w:tcPr>
          <w:p w14:paraId="3F82AA0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r>
      <w:tr w14:paraId="1CFB9FCF">
        <w:tblPrEx>
          <w:tblCellMar>
            <w:top w:w="0" w:type="dxa"/>
            <w:left w:w="108" w:type="dxa"/>
            <w:bottom w:w="0" w:type="dxa"/>
            <w:right w:w="108" w:type="dxa"/>
          </w:tblCellMar>
        </w:tblPrEx>
        <w:trPr>
          <w:trHeight w:val="214" w:hRule="atLeast"/>
          <w:jc w:val="center"/>
        </w:trPr>
        <w:tc>
          <w:tcPr>
            <w:tcW w:w="411" w:type="pct"/>
            <w:tcBorders>
              <w:top w:val="single" w:color="000000" w:sz="4" w:space="0"/>
              <w:left w:val="single" w:color="000000" w:sz="4" w:space="0"/>
              <w:bottom w:val="single" w:color="000000" w:sz="4" w:space="0"/>
              <w:right w:val="single" w:color="000000" w:sz="4" w:space="0"/>
            </w:tcBorders>
            <w:noWrap/>
            <w:vAlign w:val="center"/>
          </w:tcPr>
          <w:p w14:paraId="24FD855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B43D46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钦州</w:t>
            </w:r>
          </w:p>
        </w:tc>
        <w:tc>
          <w:tcPr>
            <w:tcW w:w="785" w:type="pct"/>
            <w:tcBorders>
              <w:top w:val="single" w:color="000000" w:sz="4" w:space="0"/>
              <w:left w:val="single" w:color="000000" w:sz="4" w:space="0"/>
              <w:bottom w:val="single" w:color="000000" w:sz="4" w:space="0"/>
              <w:right w:val="single" w:color="000000" w:sz="4" w:space="0"/>
            </w:tcBorders>
            <w:vAlign w:val="center"/>
          </w:tcPr>
          <w:p w14:paraId="5164945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邕北线</w:t>
            </w:r>
          </w:p>
        </w:tc>
        <w:tc>
          <w:tcPr>
            <w:tcW w:w="1078" w:type="pct"/>
            <w:tcBorders>
              <w:top w:val="single" w:color="000000" w:sz="4" w:space="0"/>
              <w:left w:val="single" w:color="000000" w:sz="4" w:space="0"/>
              <w:bottom w:val="single" w:color="000000" w:sz="4" w:space="0"/>
              <w:right w:val="single" w:color="000000" w:sz="4" w:space="0"/>
            </w:tcBorders>
            <w:vAlign w:val="center"/>
          </w:tcPr>
          <w:p w14:paraId="6DF9C2B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K116+000</w:t>
            </w:r>
          </w:p>
        </w:tc>
        <w:tc>
          <w:tcPr>
            <w:tcW w:w="1168" w:type="pct"/>
            <w:tcBorders>
              <w:top w:val="single" w:color="000000" w:sz="4" w:space="0"/>
              <w:left w:val="single" w:color="000000" w:sz="4" w:space="0"/>
              <w:bottom w:val="single" w:color="000000" w:sz="4" w:space="0"/>
              <w:right w:val="single" w:color="000000" w:sz="4" w:space="0"/>
            </w:tcBorders>
            <w:vAlign w:val="center"/>
          </w:tcPr>
          <w:p w14:paraId="504346C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950" w:type="pct"/>
            <w:tcBorders>
              <w:top w:val="single" w:color="000000" w:sz="4" w:space="0"/>
              <w:left w:val="single" w:color="000000" w:sz="4" w:space="0"/>
              <w:bottom w:val="single" w:color="000000" w:sz="4" w:space="0"/>
              <w:right w:val="single" w:color="000000" w:sz="4" w:space="0"/>
            </w:tcBorders>
            <w:vAlign w:val="center"/>
          </w:tcPr>
          <w:p w14:paraId="3786FC3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r>
      <w:tr w14:paraId="799EB057">
        <w:tblPrEx>
          <w:tblCellMar>
            <w:top w:w="0" w:type="dxa"/>
            <w:left w:w="108" w:type="dxa"/>
            <w:bottom w:w="0" w:type="dxa"/>
            <w:right w:w="108" w:type="dxa"/>
          </w:tblCellMar>
        </w:tblPrEx>
        <w:trPr>
          <w:trHeight w:val="90" w:hRule="atLeast"/>
          <w:jc w:val="center"/>
        </w:trPr>
        <w:tc>
          <w:tcPr>
            <w:tcW w:w="2881" w:type="pct"/>
            <w:gridSpan w:val="4"/>
            <w:tcBorders>
              <w:top w:val="single" w:color="000000" w:sz="4" w:space="0"/>
              <w:left w:val="single" w:color="000000" w:sz="4" w:space="0"/>
              <w:bottom w:val="single" w:color="000000" w:sz="4" w:space="0"/>
              <w:right w:val="single" w:color="000000" w:sz="4" w:space="0"/>
            </w:tcBorders>
            <w:noWrap/>
            <w:vAlign w:val="center"/>
          </w:tcPr>
          <w:p w14:paraId="1504DF0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合计</w:t>
            </w:r>
          </w:p>
        </w:tc>
        <w:tc>
          <w:tcPr>
            <w:tcW w:w="1168" w:type="pct"/>
            <w:tcBorders>
              <w:top w:val="single" w:color="000000" w:sz="4" w:space="0"/>
              <w:left w:val="single" w:color="000000" w:sz="4" w:space="0"/>
              <w:bottom w:val="single" w:color="000000" w:sz="4" w:space="0"/>
              <w:right w:val="single" w:color="000000" w:sz="4" w:space="0"/>
            </w:tcBorders>
            <w:vAlign w:val="center"/>
          </w:tcPr>
          <w:p w14:paraId="598BCD2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w:t>
            </w:r>
          </w:p>
        </w:tc>
        <w:tc>
          <w:tcPr>
            <w:tcW w:w="950" w:type="pct"/>
            <w:tcBorders>
              <w:top w:val="single" w:color="000000" w:sz="4" w:space="0"/>
              <w:left w:val="single" w:color="000000" w:sz="4" w:space="0"/>
              <w:bottom w:val="single" w:color="000000" w:sz="4" w:space="0"/>
              <w:right w:val="single" w:color="000000" w:sz="4" w:space="0"/>
            </w:tcBorders>
            <w:vAlign w:val="center"/>
          </w:tcPr>
          <w:p w14:paraId="14276B8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27</w:t>
            </w:r>
          </w:p>
        </w:tc>
      </w:tr>
    </w:tbl>
    <w:p w14:paraId="466AFFCA">
      <w:pPr>
        <w:pStyle w:val="8"/>
        <w:ind w:firstLine="0" w:firstLineChars="0"/>
        <w:rPr>
          <w:color w:val="auto"/>
          <w:sz w:val="21"/>
          <w:szCs w:val="21"/>
          <w:highlight w:val="none"/>
          <w:lang w:val="en-US"/>
        </w:rPr>
        <w:sectPr>
          <w:pgSz w:w="11905" w:h="16838"/>
          <w:pgMar w:top="1134" w:right="1134" w:bottom="1134" w:left="1134" w:header="850" w:footer="992" w:gutter="0"/>
          <w:paperSrc/>
          <w:cols w:space="0" w:num="1"/>
          <w:rtlGutter w:val="0"/>
          <w:docGrid w:type="lines" w:linePitch="317" w:charSpace="0"/>
        </w:sectPr>
      </w:pPr>
    </w:p>
    <w:p w14:paraId="5A88DDEE">
      <w:pPr>
        <w:pStyle w:val="8"/>
        <w:ind w:firstLine="0" w:firstLineChars="0"/>
        <w:rPr>
          <w:color w:val="auto"/>
          <w:sz w:val="21"/>
          <w:szCs w:val="21"/>
          <w:highlight w:val="none"/>
          <w:lang w:val="en-US"/>
        </w:rPr>
      </w:pPr>
      <w:r>
        <w:rPr>
          <w:rFonts w:hint="eastAsia"/>
          <w:color w:val="auto"/>
          <w:sz w:val="21"/>
          <w:szCs w:val="21"/>
          <w:highlight w:val="none"/>
          <w:lang w:val="en-US"/>
        </w:rPr>
        <w:t>五期新建租赁项目点位需求清单</w:t>
      </w:r>
    </w:p>
    <w:tbl>
      <w:tblPr>
        <w:tblStyle w:val="5"/>
        <w:tblW w:w="4992" w:type="pct"/>
        <w:jc w:val="center"/>
        <w:tblLayout w:type="autofit"/>
        <w:tblCellMar>
          <w:top w:w="0" w:type="dxa"/>
          <w:left w:w="108" w:type="dxa"/>
          <w:bottom w:w="0" w:type="dxa"/>
          <w:right w:w="108" w:type="dxa"/>
        </w:tblCellMar>
      </w:tblPr>
      <w:tblGrid>
        <w:gridCol w:w="984"/>
        <w:gridCol w:w="1330"/>
        <w:gridCol w:w="1468"/>
        <w:gridCol w:w="1667"/>
        <w:gridCol w:w="1692"/>
        <w:gridCol w:w="1606"/>
        <w:gridCol w:w="1090"/>
      </w:tblGrid>
      <w:tr w14:paraId="6ED08DC8">
        <w:tblPrEx>
          <w:tblCellMar>
            <w:top w:w="0" w:type="dxa"/>
            <w:left w:w="108" w:type="dxa"/>
            <w:bottom w:w="0" w:type="dxa"/>
            <w:right w:w="108" w:type="dxa"/>
          </w:tblCellMar>
        </w:tblPrEx>
        <w:trPr>
          <w:trHeight w:val="548" w:hRule="atLeast"/>
          <w:jc w:val="center"/>
        </w:trPr>
        <w:tc>
          <w:tcPr>
            <w:tcW w:w="500" w:type="pct"/>
            <w:vMerge w:val="restart"/>
            <w:tcBorders>
              <w:top w:val="single" w:color="000000" w:sz="4" w:space="0"/>
              <w:left w:val="single" w:color="000000" w:sz="4" w:space="0"/>
              <w:right w:val="single" w:color="000000" w:sz="4" w:space="0"/>
            </w:tcBorders>
            <w:noWrap/>
            <w:vAlign w:val="center"/>
          </w:tcPr>
          <w:p w14:paraId="4F86B5D8">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序号</w:t>
            </w:r>
          </w:p>
        </w:tc>
        <w:tc>
          <w:tcPr>
            <w:tcW w:w="676" w:type="pct"/>
            <w:vMerge w:val="restart"/>
            <w:tcBorders>
              <w:top w:val="single" w:color="000000" w:sz="4" w:space="0"/>
              <w:left w:val="single" w:color="000000" w:sz="4" w:space="0"/>
              <w:right w:val="single" w:color="000000" w:sz="4" w:space="0"/>
            </w:tcBorders>
            <w:noWrap/>
            <w:vAlign w:val="center"/>
          </w:tcPr>
          <w:p w14:paraId="1F42A03D">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地市</w:t>
            </w:r>
          </w:p>
        </w:tc>
        <w:tc>
          <w:tcPr>
            <w:tcW w:w="746" w:type="pct"/>
            <w:vMerge w:val="restart"/>
            <w:tcBorders>
              <w:top w:val="single" w:color="000000" w:sz="4" w:space="0"/>
              <w:left w:val="single" w:color="000000" w:sz="4" w:space="0"/>
              <w:right w:val="single" w:color="000000" w:sz="4" w:space="0"/>
            </w:tcBorders>
            <w:vAlign w:val="center"/>
          </w:tcPr>
          <w:p w14:paraId="0F7173A9">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线路名称</w:t>
            </w:r>
          </w:p>
        </w:tc>
        <w:tc>
          <w:tcPr>
            <w:tcW w:w="845" w:type="pct"/>
            <w:vMerge w:val="restart"/>
            <w:tcBorders>
              <w:top w:val="single" w:color="000000" w:sz="4" w:space="0"/>
              <w:left w:val="single" w:color="000000" w:sz="4" w:space="0"/>
              <w:right w:val="single" w:color="000000" w:sz="4" w:space="0"/>
            </w:tcBorders>
            <w:vAlign w:val="center"/>
          </w:tcPr>
          <w:p w14:paraId="6D8A1261">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线路里程</w:t>
            </w:r>
          </w:p>
        </w:tc>
        <w:tc>
          <w:tcPr>
            <w:tcW w:w="2230" w:type="pct"/>
            <w:gridSpan w:val="3"/>
            <w:tcBorders>
              <w:top w:val="single" w:color="000000" w:sz="4" w:space="0"/>
              <w:left w:val="single" w:color="000000" w:sz="4" w:space="0"/>
              <w:bottom w:val="single" w:color="000000" w:sz="4" w:space="0"/>
              <w:right w:val="single" w:color="000000" w:sz="4" w:space="0"/>
            </w:tcBorders>
            <w:vAlign w:val="center"/>
          </w:tcPr>
          <w:p w14:paraId="670BF9BD">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设备类型</w:t>
            </w:r>
          </w:p>
        </w:tc>
      </w:tr>
      <w:tr w14:paraId="44D2F85F">
        <w:tblPrEx>
          <w:tblCellMar>
            <w:top w:w="0" w:type="dxa"/>
            <w:left w:w="108" w:type="dxa"/>
            <w:bottom w:w="0" w:type="dxa"/>
            <w:right w:w="108" w:type="dxa"/>
          </w:tblCellMar>
        </w:tblPrEx>
        <w:trPr>
          <w:trHeight w:val="548" w:hRule="atLeast"/>
          <w:jc w:val="center"/>
        </w:trPr>
        <w:tc>
          <w:tcPr>
            <w:tcW w:w="500" w:type="pct"/>
            <w:vMerge w:val="continue"/>
            <w:tcBorders>
              <w:left w:val="single" w:color="000000" w:sz="4" w:space="0"/>
              <w:bottom w:val="single" w:color="000000" w:sz="4" w:space="0"/>
              <w:right w:val="single" w:color="000000" w:sz="4" w:space="0"/>
            </w:tcBorders>
            <w:noWrap/>
            <w:vAlign w:val="center"/>
          </w:tcPr>
          <w:p w14:paraId="6478C21C">
            <w:pPr>
              <w:spacing w:line="400" w:lineRule="exact"/>
              <w:jc w:val="center"/>
              <w:rPr>
                <w:rFonts w:hint="eastAsia" w:asciiTheme="minorEastAsia" w:hAnsiTheme="minorEastAsia" w:eastAsiaTheme="minorEastAsia" w:cstheme="minorEastAsia"/>
                <w:b/>
                <w:bCs/>
                <w:color w:val="auto"/>
                <w:kern w:val="0"/>
                <w:szCs w:val="21"/>
                <w:highlight w:val="none"/>
              </w:rPr>
            </w:pPr>
          </w:p>
        </w:tc>
        <w:tc>
          <w:tcPr>
            <w:tcW w:w="676" w:type="pct"/>
            <w:vMerge w:val="continue"/>
            <w:tcBorders>
              <w:left w:val="single" w:color="000000" w:sz="4" w:space="0"/>
              <w:bottom w:val="single" w:color="000000" w:sz="4" w:space="0"/>
              <w:right w:val="single" w:color="000000" w:sz="4" w:space="0"/>
            </w:tcBorders>
            <w:noWrap/>
            <w:vAlign w:val="center"/>
          </w:tcPr>
          <w:p w14:paraId="0388BC3D">
            <w:pPr>
              <w:spacing w:line="400" w:lineRule="exact"/>
              <w:jc w:val="center"/>
              <w:rPr>
                <w:rFonts w:hint="eastAsia" w:asciiTheme="minorEastAsia" w:hAnsiTheme="minorEastAsia" w:eastAsiaTheme="minorEastAsia" w:cstheme="minorEastAsia"/>
                <w:b/>
                <w:bCs/>
                <w:color w:val="auto"/>
                <w:kern w:val="0"/>
                <w:szCs w:val="21"/>
                <w:highlight w:val="none"/>
              </w:rPr>
            </w:pPr>
          </w:p>
        </w:tc>
        <w:tc>
          <w:tcPr>
            <w:tcW w:w="746" w:type="pct"/>
            <w:vMerge w:val="continue"/>
            <w:tcBorders>
              <w:left w:val="single" w:color="000000" w:sz="4" w:space="0"/>
              <w:bottom w:val="single" w:color="000000" w:sz="4" w:space="0"/>
              <w:right w:val="single" w:color="000000" w:sz="4" w:space="0"/>
            </w:tcBorders>
            <w:vAlign w:val="center"/>
          </w:tcPr>
          <w:p w14:paraId="459BCC01">
            <w:pPr>
              <w:spacing w:line="400" w:lineRule="exact"/>
              <w:jc w:val="center"/>
              <w:rPr>
                <w:rFonts w:hint="eastAsia" w:asciiTheme="minorEastAsia" w:hAnsiTheme="minorEastAsia" w:eastAsiaTheme="minorEastAsia" w:cstheme="minorEastAsia"/>
                <w:b/>
                <w:bCs/>
                <w:color w:val="auto"/>
                <w:kern w:val="0"/>
                <w:szCs w:val="21"/>
                <w:highlight w:val="none"/>
              </w:rPr>
            </w:pPr>
          </w:p>
        </w:tc>
        <w:tc>
          <w:tcPr>
            <w:tcW w:w="845" w:type="pct"/>
            <w:vMerge w:val="continue"/>
            <w:tcBorders>
              <w:left w:val="single" w:color="000000" w:sz="4" w:space="0"/>
              <w:bottom w:val="single" w:color="000000" w:sz="4" w:space="0"/>
              <w:right w:val="single" w:color="000000" w:sz="4" w:space="0"/>
            </w:tcBorders>
            <w:vAlign w:val="center"/>
          </w:tcPr>
          <w:p w14:paraId="729ECE9E">
            <w:pPr>
              <w:spacing w:line="400" w:lineRule="exact"/>
              <w:jc w:val="center"/>
              <w:rPr>
                <w:rFonts w:hint="eastAsia" w:asciiTheme="minorEastAsia" w:hAnsiTheme="minorEastAsia" w:eastAsiaTheme="minorEastAsia" w:cstheme="minorEastAsia"/>
                <w:b/>
                <w:bCs/>
                <w:color w:val="auto"/>
                <w:kern w:val="0"/>
                <w:szCs w:val="21"/>
                <w:highlight w:val="none"/>
              </w:rPr>
            </w:pPr>
          </w:p>
        </w:tc>
        <w:tc>
          <w:tcPr>
            <w:tcW w:w="860" w:type="pct"/>
            <w:tcBorders>
              <w:top w:val="single" w:color="000000" w:sz="4" w:space="0"/>
              <w:left w:val="single" w:color="000000" w:sz="4" w:space="0"/>
              <w:bottom w:val="single" w:color="000000" w:sz="4" w:space="0"/>
              <w:right w:val="single" w:color="000000" w:sz="4" w:space="0"/>
            </w:tcBorders>
            <w:vAlign w:val="center"/>
          </w:tcPr>
          <w:p w14:paraId="3ADBBB58">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新增热成像球机设备数量</w:t>
            </w:r>
            <w:r>
              <w:rPr>
                <w:rFonts w:hint="eastAsia" w:asciiTheme="minorEastAsia" w:hAnsiTheme="minorEastAsia" w:eastAsiaTheme="minorEastAsia" w:cstheme="minorEastAsia"/>
                <w:b/>
                <w:bCs/>
                <w:color w:val="auto"/>
                <w:kern w:val="0"/>
                <w:szCs w:val="21"/>
                <w:highlight w:val="none"/>
              </w:rPr>
              <w:br w:type="textWrapping"/>
            </w:r>
            <w:r>
              <w:rPr>
                <w:rFonts w:hint="eastAsia" w:asciiTheme="minorEastAsia" w:hAnsiTheme="minorEastAsia" w:eastAsiaTheme="minorEastAsia" w:cstheme="minorEastAsia"/>
                <w:b/>
                <w:bCs/>
                <w:color w:val="auto"/>
                <w:kern w:val="0"/>
                <w:szCs w:val="21"/>
                <w:highlight w:val="none"/>
              </w:rPr>
              <w:t>（台）</w:t>
            </w:r>
          </w:p>
        </w:tc>
        <w:tc>
          <w:tcPr>
            <w:tcW w:w="816" w:type="pct"/>
            <w:tcBorders>
              <w:top w:val="single" w:color="000000" w:sz="4" w:space="0"/>
              <w:left w:val="single" w:color="000000" w:sz="4" w:space="0"/>
              <w:bottom w:val="single" w:color="000000" w:sz="4" w:space="0"/>
              <w:right w:val="single" w:color="000000" w:sz="4" w:space="0"/>
            </w:tcBorders>
            <w:vAlign w:val="center"/>
          </w:tcPr>
          <w:p w14:paraId="5B4BB702">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新增热成像枪机设备数量</w:t>
            </w:r>
            <w:r>
              <w:rPr>
                <w:rFonts w:hint="eastAsia" w:asciiTheme="minorEastAsia" w:hAnsiTheme="minorEastAsia" w:eastAsiaTheme="minorEastAsia" w:cstheme="minorEastAsia"/>
                <w:b/>
                <w:bCs/>
                <w:color w:val="auto"/>
                <w:kern w:val="0"/>
                <w:szCs w:val="21"/>
                <w:highlight w:val="none"/>
              </w:rPr>
              <w:br w:type="textWrapping"/>
            </w:r>
            <w:r>
              <w:rPr>
                <w:rFonts w:hint="eastAsia" w:asciiTheme="minorEastAsia" w:hAnsiTheme="minorEastAsia" w:eastAsiaTheme="minorEastAsia" w:cstheme="minorEastAsia"/>
                <w:b/>
                <w:bCs/>
                <w:color w:val="auto"/>
                <w:kern w:val="0"/>
                <w:szCs w:val="21"/>
                <w:highlight w:val="none"/>
              </w:rPr>
              <w:t>（台）</w:t>
            </w:r>
          </w:p>
        </w:tc>
        <w:tc>
          <w:tcPr>
            <w:tcW w:w="554" w:type="pct"/>
            <w:tcBorders>
              <w:top w:val="single" w:color="000000" w:sz="4" w:space="0"/>
              <w:left w:val="single" w:color="000000" w:sz="4" w:space="0"/>
              <w:bottom w:val="single" w:color="000000" w:sz="4" w:space="0"/>
              <w:right w:val="single" w:color="000000" w:sz="4" w:space="0"/>
            </w:tcBorders>
            <w:vAlign w:val="center"/>
          </w:tcPr>
          <w:p w14:paraId="4604B2D7">
            <w:pPr>
              <w:spacing w:line="400" w:lineRule="exact"/>
              <w:jc w:val="center"/>
              <w:rPr>
                <w:rFonts w:hint="eastAsia"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新增音柱数量</w:t>
            </w:r>
            <w:r>
              <w:rPr>
                <w:color w:val="auto"/>
                <w:highlight w:val="none"/>
              </w:rPr>
              <w:br w:type="textWrapping"/>
            </w:r>
            <w:r>
              <w:rPr>
                <w:rFonts w:hint="eastAsia" w:asciiTheme="minorEastAsia" w:hAnsiTheme="minorEastAsia" w:eastAsiaTheme="minorEastAsia" w:cstheme="minorEastAsia"/>
                <w:b/>
                <w:bCs/>
                <w:color w:val="auto"/>
                <w:kern w:val="0"/>
                <w:szCs w:val="21"/>
                <w:highlight w:val="none"/>
              </w:rPr>
              <w:t>（根）</w:t>
            </w:r>
          </w:p>
        </w:tc>
      </w:tr>
      <w:tr w14:paraId="13BDE0F9">
        <w:tblPrEx>
          <w:tblCellMar>
            <w:top w:w="0" w:type="dxa"/>
            <w:left w:w="108" w:type="dxa"/>
            <w:bottom w:w="0" w:type="dxa"/>
            <w:right w:w="108" w:type="dxa"/>
          </w:tblCellMar>
        </w:tblPrEx>
        <w:trPr>
          <w:trHeight w:val="90"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2499FFF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E283A9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64947A9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523442F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K117+100</w:t>
            </w:r>
          </w:p>
        </w:tc>
        <w:tc>
          <w:tcPr>
            <w:tcW w:w="860" w:type="pct"/>
            <w:tcBorders>
              <w:top w:val="single" w:color="000000" w:sz="4" w:space="0"/>
              <w:left w:val="single" w:color="000000" w:sz="4" w:space="0"/>
              <w:bottom w:val="single" w:color="000000" w:sz="4" w:space="0"/>
              <w:right w:val="single" w:color="000000" w:sz="4" w:space="0"/>
            </w:tcBorders>
            <w:vAlign w:val="center"/>
          </w:tcPr>
          <w:p w14:paraId="3030F26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27DB14B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4" w:type="pct"/>
            <w:tcBorders>
              <w:top w:val="single" w:color="000000" w:sz="4" w:space="0"/>
              <w:left w:val="single" w:color="000000" w:sz="4" w:space="0"/>
              <w:bottom w:val="single" w:color="000000" w:sz="4" w:space="0"/>
              <w:right w:val="single" w:color="000000" w:sz="4" w:space="0"/>
            </w:tcBorders>
            <w:vAlign w:val="center"/>
          </w:tcPr>
          <w:p w14:paraId="3C71B9D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6341555B">
        <w:tblPrEx>
          <w:tblCellMar>
            <w:top w:w="0" w:type="dxa"/>
            <w:left w:w="108" w:type="dxa"/>
            <w:bottom w:w="0" w:type="dxa"/>
            <w:right w:w="108" w:type="dxa"/>
          </w:tblCellMar>
        </w:tblPrEx>
        <w:trPr>
          <w:trHeight w:val="90"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6BB4EA2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8F189D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2075F17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05991CE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K118+050</w:t>
            </w:r>
          </w:p>
        </w:tc>
        <w:tc>
          <w:tcPr>
            <w:tcW w:w="860" w:type="pct"/>
            <w:tcBorders>
              <w:top w:val="single" w:color="000000" w:sz="4" w:space="0"/>
              <w:left w:val="single" w:color="000000" w:sz="4" w:space="0"/>
              <w:bottom w:val="single" w:color="000000" w:sz="4" w:space="0"/>
              <w:right w:val="single" w:color="000000" w:sz="4" w:space="0"/>
            </w:tcBorders>
            <w:vAlign w:val="center"/>
          </w:tcPr>
          <w:p w14:paraId="6456854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0312254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4" w:type="pct"/>
            <w:tcBorders>
              <w:top w:val="single" w:color="000000" w:sz="4" w:space="0"/>
              <w:left w:val="single" w:color="000000" w:sz="4" w:space="0"/>
              <w:bottom w:val="single" w:color="000000" w:sz="4" w:space="0"/>
              <w:right w:val="single" w:color="000000" w:sz="4" w:space="0"/>
            </w:tcBorders>
            <w:vAlign w:val="center"/>
          </w:tcPr>
          <w:p w14:paraId="072D389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2C1FB802">
        <w:tblPrEx>
          <w:tblCellMar>
            <w:top w:w="0" w:type="dxa"/>
            <w:left w:w="108" w:type="dxa"/>
            <w:bottom w:w="0" w:type="dxa"/>
            <w:right w:w="108" w:type="dxa"/>
          </w:tblCellMar>
        </w:tblPrEx>
        <w:trPr>
          <w:trHeight w:val="90"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75ED88B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A7DB4B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494B9F2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55D8DDC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K171+210</w:t>
            </w:r>
          </w:p>
        </w:tc>
        <w:tc>
          <w:tcPr>
            <w:tcW w:w="860" w:type="pct"/>
            <w:tcBorders>
              <w:top w:val="single" w:color="000000" w:sz="4" w:space="0"/>
              <w:left w:val="single" w:color="000000" w:sz="4" w:space="0"/>
              <w:bottom w:val="single" w:color="000000" w:sz="4" w:space="0"/>
              <w:right w:val="single" w:color="000000" w:sz="4" w:space="0"/>
            </w:tcBorders>
            <w:vAlign w:val="center"/>
          </w:tcPr>
          <w:p w14:paraId="0CF6BA8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1C93480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4" w:type="pct"/>
            <w:tcBorders>
              <w:top w:val="single" w:color="000000" w:sz="4" w:space="0"/>
              <w:left w:val="single" w:color="000000" w:sz="4" w:space="0"/>
              <w:bottom w:val="single" w:color="000000" w:sz="4" w:space="0"/>
              <w:right w:val="single" w:color="000000" w:sz="4" w:space="0"/>
            </w:tcBorders>
            <w:vAlign w:val="center"/>
          </w:tcPr>
          <w:p w14:paraId="0085012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15C8EF80">
        <w:tblPrEx>
          <w:tblCellMar>
            <w:top w:w="0" w:type="dxa"/>
            <w:left w:w="108" w:type="dxa"/>
            <w:bottom w:w="0" w:type="dxa"/>
            <w:right w:w="108" w:type="dxa"/>
          </w:tblCellMar>
        </w:tblPrEx>
        <w:trPr>
          <w:trHeight w:val="90"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5AB497C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7629C9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65FD155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7C157CE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K223+220</w:t>
            </w:r>
          </w:p>
        </w:tc>
        <w:tc>
          <w:tcPr>
            <w:tcW w:w="860" w:type="pct"/>
            <w:tcBorders>
              <w:top w:val="single" w:color="000000" w:sz="4" w:space="0"/>
              <w:left w:val="single" w:color="000000" w:sz="4" w:space="0"/>
              <w:bottom w:val="single" w:color="000000" w:sz="4" w:space="0"/>
              <w:right w:val="single" w:color="000000" w:sz="4" w:space="0"/>
            </w:tcBorders>
            <w:vAlign w:val="center"/>
          </w:tcPr>
          <w:p w14:paraId="669501F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11E3D4A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4" w:type="pct"/>
            <w:tcBorders>
              <w:top w:val="single" w:color="000000" w:sz="4" w:space="0"/>
              <w:left w:val="single" w:color="000000" w:sz="4" w:space="0"/>
              <w:bottom w:val="single" w:color="000000" w:sz="4" w:space="0"/>
              <w:right w:val="single" w:color="000000" w:sz="4" w:space="0"/>
            </w:tcBorders>
            <w:vAlign w:val="center"/>
          </w:tcPr>
          <w:p w14:paraId="4DF47D4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3CCAB9B3">
        <w:tblPrEx>
          <w:tblCellMar>
            <w:top w:w="0" w:type="dxa"/>
            <w:left w:w="108" w:type="dxa"/>
            <w:bottom w:w="0" w:type="dxa"/>
            <w:right w:w="108" w:type="dxa"/>
          </w:tblCellMar>
        </w:tblPrEx>
        <w:trPr>
          <w:trHeight w:val="90"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3AAC334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5B04E5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3EA1B852">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24C7E37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K224+500</w:t>
            </w:r>
          </w:p>
        </w:tc>
        <w:tc>
          <w:tcPr>
            <w:tcW w:w="860" w:type="pct"/>
            <w:tcBorders>
              <w:top w:val="single" w:color="000000" w:sz="4" w:space="0"/>
              <w:left w:val="single" w:color="000000" w:sz="4" w:space="0"/>
              <w:bottom w:val="single" w:color="000000" w:sz="4" w:space="0"/>
              <w:right w:val="single" w:color="000000" w:sz="4" w:space="0"/>
            </w:tcBorders>
            <w:vAlign w:val="center"/>
          </w:tcPr>
          <w:p w14:paraId="35F4A5E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54F654D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4" w:type="pct"/>
            <w:tcBorders>
              <w:top w:val="single" w:color="000000" w:sz="4" w:space="0"/>
              <w:left w:val="single" w:color="000000" w:sz="4" w:space="0"/>
              <w:bottom w:val="single" w:color="000000" w:sz="4" w:space="0"/>
              <w:right w:val="single" w:color="000000" w:sz="4" w:space="0"/>
            </w:tcBorders>
            <w:vAlign w:val="center"/>
          </w:tcPr>
          <w:p w14:paraId="394E549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15E7D3E0">
        <w:tblPrEx>
          <w:tblCellMar>
            <w:top w:w="0" w:type="dxa"/>
            <w:left w:w="108" w:type="dxa"/>
            <w:bottom w:w="0" w:type="dxa"/>
            <w:right w:w="108" w:type="dxa"/>
          </w:tblCellMar>
        </w:tblPrEx>
        <w:trPr>
          <w:trHeight w:val="90"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0D0F88D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2C3A96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72C7A85F">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42EEC9C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K229+620</w:t>
            </w:r>
          </w:p>
        </w:tc>
        <w:tc>
          <w:tcPr>
            <w:tcW w:w="860" w:type="pct"/>
            <w:tcBorders>
              <w:top w:val="single" w:color="000000" w:sz="4" w:space="0"/>
              <w:left w:val="single" w:color="000000" w:sz="4" w:space="0"/>
              <w:bottom w:val="single" w:color="000000" w:sz="4" w:space="0"/>
              <w:right w:val="single" w:color="000000" w:sz="4" w:space="0"/>
            </w:tcBorders>
            <w:vAlign w:val="center"/>
          </w:tcPr>
          <w:p w14:paraId="468427E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1AEF674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4" w:type="pct"/>
            <w:tcBorders>
              <w:top w:val="single" w:color="000000" w:sz="4" w:space="0"/>
              <w:left w:val="single" w:color="000000" w:sz="4" w:space="0"/>
              <w:bottom w:val="single" w:color="000000" w:sz="4" w:space="0"/>
              <w:right w:val="single" w:color="000000" w:sz="4" w:space="0"/>
            </w:tcBorders>
            <w:vAlign w:val="center"/>
          </w:tcPr>
          <w:p w14:paraId="45249EB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15F7DB85">
        <w:tblPrEx>
          <w:tblCellMar>
            <w:top w:w="0" w:type="dxa"/>
            <w:left w:w="108" w:type="dxa"/>
            <w:bottom w:w="0" w:type="dxa"/>
            <w:right w:w="108" w:type="dxa"/>
          </w:tblCellMar>
        </w:tblPrEx>
        <w:trPr>
          <w:trHeight w:val="309"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509BB8B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1CE836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0875E018">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5D0771B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K234+550</w:t>
            </w:r>
          </w:p>
        </w:tc>
        <w:tc>
          <w:tcPr>
            <w:tcW w:w="860" w:type="pct"/>
            <w:tcBorders>
              <w:top w:val="single" w:color="000000" w:sz="4" w:space="0"/>
              <w:left w:val="single" w:color="000000" w:sz="4" w:space="0"/>
              <w:bottom w:val="single" w:color="000000" w:sz="4" w:space="0"/>
              <w:right w:val="single" w:color="000000" w:sz="4" w:space="0"/>
            </w:tcBorders>
            <w:vAlign w:val="center"/>
          </w:tcPr>
          <w:p w14:paraId="4D8BCAB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51887E0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4" w:type="pct"/>
            <w:tcBorders>
              <w:top w:val="single" w:color="000000" w:sz="4" w:space="0"/>
              <w:left w:val="single" w:color="000000" w:sz="4" w:space="0"/>
              <w:bottom w:val="single" w:color="000000" w:sz="4" w:space="0"/>
              <w:right w:val="single" w:color="000000" w:sz="4" w:space="0"/>
            </w:tcBorders>
            <w:vAlign w:val="center"/>
          </w:tcPr>
          <w:p w14:paraId="03C410D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2D2F839B">
        <w:tblPrEx>
          <w:tblCellMar>
            <w:top w:w="0" w:type="dxa"/>
            <w:left w:w="108" w:type="dxa"/>
            <w:bottom w:w="0" w:type="dxa"/>
            <w:right w:w="108" w:type="dxa"/>
          </w:tblCellMar>
        </w:tblPrEx>
        <w:trPr>
          <w:trHeight w:val="333"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3B7011F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6BDBEB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144E7D0C">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5E93EE5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K234+860</w:t>
            </w:r>
          </w:p>
        </w:tc>
        <w:tc>
          <w:tcPr>
            <w:tcW w:w="860" w:type="pct"/>
            <w:tcBorders>
              <w:top w:val="single" w:color="000000" w:sz="4" w:space="0"/>
              <w:left w:val="single" w:color="000000" w:sz="4" w:space="0"/>
              <w:bottom w:val="single" w:color="000000" w:sz="4" w:space="0"/>
              <w:right w:val="single" w:color="000000" w:sz="4" w:space="0"/>
            </w:tcBorders>
            <w:vAlign w:val="center"/>
          </w:tcPr>
          <w:p w14:paraId="26695CD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49839FE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4" w:type="pct"/>
            <w:tcBorders>
              <w:top w:val="single" w:color="000000" w:sz="4" w:space="0"/>
              <w:left w:val="single" w:color="000000" w:sz="4" w:space="0"/>
              <w:bottom w:val="single" w:color="000000" w:sz="4" w:space="0"/>
              <w:right w:val="single" w:color="000000" w:sz="4" w:space="0"/>
            </w:tcBorders>
            <w:vAlign w:val="center"/>
          </w:tcPr>
          <w:p w14:paraId="2AAD158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31A34003">
        <w:tblPrEx>
          <w:tblCellMar>
            <w:top w:w="0" w:type="dxa"/>
            <w:left w:w="108" w:type="dxa"/>
            <w:bottom w:w="0" w:type="dxa"/>
            <w:right w:w="108" w:type="dxa"/>
          </w:tblCellMar>
        </w:tblPrEx>
        <w:trPr>
          <w:trHeight w:val="345"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2A651F4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09058A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6A15E40E">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2557823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K235+100</w:t>
            </w:r>
          </w:p>
        </w:tc>
        <w:tc>
          <w:tcPr>
            <w:tcW w:w="860" w:type="pct"/>
            <w:tcBorders>
              <w:top w:val="single" w:color="000000" w:sz="4" w:space="0"/>
              <w:left w:val="single" w:color="000000" w:sz="4" w:space="0"/>
              <w:bottom w:val="single" w:color="000000" w:sz="4" w:space="0"/>
              <w:right w:val="single" w:color="000000" w:sz="4" w:space="0"/>
            </w:tcBorders>
            <w:vAlign w:val="center"/>
          </w:tcPr>
          <w:p w14:paraId="6557708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4E0D921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4" w:type="pct"/>
            <w:tcBorders>
              <w:top w:val="single" w:color="000000" w:sz="4" w:space="0"/>
              <w:left w:val="single" w:color="000000" w:sz="4" w:space="0"/>
              <w:bottom w:val="single" w:color="000000" w:sz="4" w:space="0"/>
              <w:right w:val="single" w:color="000000" w:sz="4" w:space="0"/>
            </w:tcBorders>
            <w:vAlign w:val="center"/>
          </w:tcPr>
          <w:p w14:paraId="5A58EC9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7B218F3B">
        <w:tblPrEx>
          <w:tblCellMar>
            <w:top w:w="0" w:type="dxa"/>
            <w:left w:w="108" w:type="dxa"/>
            <w:bottom w:w="0" w:type="dxa"/>
            <w:right w:w="108" w:type="dxa"/>
          </w:tblCellMar>
        </w:tblPrEx>
        <w:trPr>
          <w:trHeight w:val="285"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7A58A89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08A562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385A6C20">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39BBB2E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K235+800</w:t>
            </w:r>
          </w:p>
        </w:tc>
        <w:tc>
          <w:tcPr>
            <w:tcW w:w="860" w:type="pct"/>
            <w:tcBorders>
              <w:top w:val="single" w:color="000000" w:sz="4" w:space="0"/>
              <w:left w:val="single" w:color="000000" w:sz="4" w:space="0"/>
              <w:bottom w:val="single" w:color="000000" w:sz="4" w:space="0"/>
              <w:right w:val="single" w:color="000000" w:sz="4" w:space="0"/>
            </w:tcBorders>
            <w:vAlign w:val="center"/>
          </w:tcPr>
          <w:p w14:paraId="7A19EAD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3EE7F1C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4" w:type="pct"/>
            <w:tcBorders>
              <w:top w:val="single" w:color="000000" w:sz="4" w:space="0"/>
              <w:left w:val="single" w:color="000000" w:sz="4" w:space="0"/>
              <w:bottom w:val="single" w:color="000000" w:sz="4" w:space="0"/>
              <w:right w:val="single" w:color="000000" w:sz="4" w:space="0"/>
            </w:tcBorders>
            <w:vAlign w:val="center"/>
          </w:tcPr>
          <w:p w14:paraId="0F268E2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6C191969">
        <w:tblPrEx>
          <w:tblCellMar>
            <w:top w:w="0" w:type="dxa"/>
            <w:left w:w="108" w:type="dxa"/>
            <w:bottom w:w="0" w:type="dxa"/>
            <w:right w:w="108" w:type="dxa"/>
          </w:tblCellMar>
        </w:tblPrEx>
        <w:trPr>
          <w:trHeight w:val="321"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5D10A9D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32691CC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271701C1">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7421375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K248+350</w:t>
            </w:r>
          </w:p>
        </w:tc>
        <w:tc>
          <w:tcPr>
            <w:tcW w:w="860" w:type="pct"/>
            <w:tcBorders>
              <w:top w:val="single" w:color="000000" w:sz="4" w:space="0"/>
              <w:left w:val="single" w:color="000000" w:sz="4" w:space="0"/>
              <w:bottom w:val="single" w:color="000000" w:sz="4" w:space="0"/>
              <w:right w:val="single" w:color="000000" w:sz="4" w:space="0"/>
            </w:tcBorders>
            <w:vAlign w:val="center"/>
          </w:tcPr>
          <w:p w14:paraId="3CE0D5A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751EEEE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4" w:type="pct"/>
            <w:tcBorders>
              <w:top w:val="single" w:color="000000" w:sz="4" w:space="0"/>
              <w:left w:val="single" w:color="000000" w:sz="4" w:space="0"/>
              <w:bottom w:val="single" w:color="000000" w:sz="4" w:space="0"/>
              <w:right w:val="single" w:color="000000" w:sz="4" w:space="0"/>
            </w:tcBorders>
            <w:vAlign w:val="center"/>
          </w:tcPr>
          <w:p w14:paraId="6962ED9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3A07A4D7">
        <w:tblPrEx>
          <w:tblCellMar>
            <w:top w:w="0" w:type="dxa"/>
            <w:left w:w="108" w:type="dxa"/>
            <w:bottom w:w="0" w:type="dxa"/>
            <w:right w:w="108" w:type="dxa"/>
          </w:tblCellMar>
        </w:tblPrEx>
        <w:trPr>
          <w:trHeight w:val="90"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4FBD1E4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7BDD2F2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54548073">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3426E76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K254+080</w:t>
            </w:r>
          </w:p>
        </w:tc>
        <w:tc>
          <w:tcPr>
            <w:tcW w:w="860" w:type="pct"/>
            <w:tcBorders>
              <w:top w:val="single" w:color="000000" w:sz="4" w:space="0"/>
              <w:left w:val="single" w:color="000000" w:sz="4" w:space="0"/>
              <w:bottom w:val="single" w:color="000000" w:sz="4" w:space="0"/>
              <w:right w:val="single" w:color="000000" w:sz="4" w:space="0"/>
            </w:tcBorders>
            <w:vAlign w:val="center"/>
          </w:tcPr>
          <w:p w14:paraId="0AA5BC7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6CCE3EA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4" w:type="pct"/>
            <w:tcBorders>
              <w:top w:val="single" w:color="000000" w:sz="4" w:space="0"/>
              <w:left w:val="single" w:color="000000" w:sz="4" w:space="0"/>
              <w:bottom w:val="single" w:color="000000" w:sz="4" w:space="0"/>
              <w:right w:val="single" w:color="000000" w:sz="4" w:space="0"/>
            </w:tcBorders>
            <w:vAlign w:val="center"/>
          </w:tcPr>
          <w:p w14:paraId="631D406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r>
      <w:tr w14:paraId="0C592E27">
        <w:tblPrEx>
          <w:tblCellMar>
            <w:top w:w="0" w:type="dxa"/>
            <w:left w:w="108" w:type="dxa"/>
            <w:bottom w:w="0" w:type="dxa"/>
            <w:right w:w="108" w:type="dxa"/>
          </w:tblCellMar>
        </w:tblPrEx>
        <w:trPr>
          <w:trHeight w:val="249"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04ACD5F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93C5D6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39DD5D25">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496B269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K254+800</w:t>
            </w:r>
          </w:p>
        </w:tc>
        <w:tc>
          <w:tcPr>
            <w:tcW w:w="860" w:type="pct"/>
            <w:tcBorders>
              <w:top w:val="single" w:color="000000" w:sz="4" w:space="0"/>
              <w:left w:val="single" w:color="000000" w:sz="4" w:space="0"/>
              <w:bottom w:val="single" w:color="000000" w:sz="4" w:space="0"/>
              <w:right w:val="single" w:color="000000" w:sz="4" w:space="0"/>
            </w:tcBorders>
            <w:vAlign w:val="center"/>
          </w:tcPr>
          <w:p w14:paraId="0A48F69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7AE65AD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4" w:type="pct"/>
            <w:tcBorders>
              <w:top w:val="single" w:color="000000" w:sz="4" w:space="0"/>
              <w:left w:val="single" w:color="000000" w:sz="4" w:space="0"/>
              <w:bottom w:val="single" w:color="000000" w:sz="4" w:space="0"/>
              <w:right w:val="single" w:color="000000" w:sz="4" w:space="0"/>
            </w:tcBorders>
            <w:vAlign w:val="center"/>
          </w:tcPr>
          <w:p w14:paraId="6F681E7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69D43383">
        <w:tblPrEx>
          <w:tblCellMar>
            <w:top w:w="0" w:type="dxa"/>
            <w:left w:w="108" w:type="dxa"/>
            <w:bottom w:w="0" w:type="dxa"/>
            <w:right w:w="108" w:type="dxa"/>
          </w:tblCellMar>
        </w:tblPrEx>
        <w:trPr>
          <w:trHeight w:val="225"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0567DE4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9EEE9E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2155BB5B">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5D403A4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K255+270</w:t>
            </w:r>
          </w:p>
        </w:tc>
        <w:tc>
          <w:tcPr>
            <w:tcW w:w="860" w:type="pct"/>
            <w:tcBorders>
              <w:top w:val="single" w:color="000000" w:sz="4" w:space="0"/>
              <w:left w:val="single" w:color="000000" w:sz="4" w:space="0"/>
              <w:bottom w:val="single" w:color="000000" w:sz="4" w:space="0"/>
              <w:right w:val="single" w:color="000000" w:sz="4" w:space="0"/>
            </w:tcBorders>
            <w:vAlign w:val="center"/>
          </w:tcPr>
          <w:p w14:paraId="548ADC8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0861ACC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4" w:type="pct"/>
            <w:tcBorders>
              <w:top w:val="single" w:color="000000" w:sz="4" w:space="0"/>
              <w:left w:val="single" w:color="000000" w:sz="4" w:space="0"/>
              <w:bottom w:val="single" w:color="000000" w:sz="4" w:space="0"/>
              <w:right w:val="single" w:color="000000" w:sz="4" w:space="0"/>
            </w:tcBorders>
            <w:vAlign w:val="center"/>
          </w:tcPr>
          <w:p w14:paraId="6327976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1F77965E">
        <w:tblPrEx>
          <w:tblCellMar>
            <w:top w:w="0" w:type="dxa"/>
            <w:left w:w="108" w:type="dxa"/>
            <w:bottom w:w="0" w:type="dxa"/>
            <w:right w:w="108" w:type="dxa"/>
          </w:tblCellMar>
        </w:tblPrEx>
        <w:trPr>
          <w:trHeight w:val="90"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605776D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04B22B71">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66F0A51E">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47AAECA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K268+950</w:t>
            </w:r>
          </w:p>
        </w:tc>
        <w:tc>
          <w:tcPr>
            <w:tcW w:w="860" w:type="pct"/>
            <w:tcBorders>
              <w:top w:val="single" w:color="000000" w:sz="4" w:space="0"/>
              <w:left w:val="single" w:color="000000" w:sz="4" w:space="0"/>
              <w:bottom w:val="single" w:color="000000" w:sz="4" w:space="0"/>
              <w:right w:val="single" w:color="000000" w:sz="4" w:space="0"/>
            </w:tcBorders>
            <w:vAlign w:val="center"/>
          </w:tcPr>
          <w:p w14:paraId="3B26D4E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307E1A3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4" w:type="pct"/>
            <w:tcBorders>
              <w:top w:val="single" w:color="000000" w:sz="4" w:space="0"/>
              <w:left w:val="single" w:color="000000" w:sz="4" w:space="0"/>
              <w:bottom w:val="single" w:color="000000" w:sz="4" w:space="0"/>
              <w:right w:val="single" w:color="000000" w:sz="4" w:space="0"/>
            </w:tcBorders>
            <w:vAlign w:val="center"/>
          </w:tcPr>
          <w:p w14:paraId="137E97D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15641355">
        <w:tblPrEx>
          <w:tblCellMar>
            <w:top w:w="0" w:type="dxa"/>
            <w:left w:w="108" w:type="dxa"/>
            <w:bottom w:w="0" w:type="dxa"/>
            <w:right w:w="108" w:type="dxa"/>
          </w:tblCellMar>
        </w:tblPrEx>
        <w:trPr>
          <w:trHeight w:val="90"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4EB0067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0A0416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74517DC0">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553E49D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K275+200</w:t>
            </w:r>
          </w:p>
        </w:tc>
        <w:tc>
          <w:tcPr>
            <w:tcW w:w="860" w:type="pct"/>
            <w:tcBorders>
              <w:top w:val="single" w:color="000000" w:sz="4" w:space="0"/>
              <w:left w:val="single" w:color="000000" w:sz="4" w:space="0"/>
              <w:bottom w:val="single" w:color="000000" w:sz="4" w:space="0"/>
              <w:right w:val="single" w:color="000000" w:sz="4" w:space="0"/>
            </w:tcBorders>
            <w:vAlign w:val="center"/>
          </w:tcPr>
          <w:p w14:paraId="5962268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7B70EC4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4" w:type="pct"/>
            <w:tcBorders>
              <w:top w:val="single" w:color="000000" w:sz="4" w:space="0"/>
              <w:left w:val="single" w:color="000000" w:sz="4" w:space="0"/>
              <w:bottom w:val="single" w:color="000000" w:sz="4" w:space="0"/>
              <w:right w:val="single" w:color="000000" w:sz="4" w:space="0"/>
            </w:tcBorders>
            <w:vAlign w:val="center"/>
          </w:tcPr>
          <w:p w14:paraId="040B776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2707F75E">
        <w:tblPrEx>
          <w:tblCellMar>
            <w:top w:w="0" w:type="dxa"/>
            <w:left w:w="108" w:type="dxa"/>
            <w:bottom w:w="0" w:type="dxa"/>
            <w:right w:w="108" w:type="dxa"/>
          </w:tblCellMar>
        </w:tblPrEx>
        <w:trPr>
          <w:trHeight w:val="312"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007D736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2A33C51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5103F515">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2547041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K275+490</w:t>
            </w:r>
          </w:p>
        </w:tc>
        <w:tc>
          <w:tcPr>
            <w:tcW w:w="860" w:type="pct"/>
            <w:tcBorders>
              <w:top w:val="single" w:color="000000" w:sz="4" w:space="0"/>
              <w:left w:val="single" w:color="000000" w:sz="4" w:space="0"/>
              <w:bottom w:val="single" w:color="000000" w:sz="4" w:space="0"/>
              <w:right w:val="single" w:color="000000" w:sz="4" w:space="0"/>
            </w:tcBorders>
            <w:vAlign w:val="center"/>
          </w:tcPr>
          <w:p w14:paraId="7D155FF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7D130C4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4" w:type="pct"/>
            <w:tcBorders>
              <w:top w:val="single" w:color="000000" w:sz="4" w:space="0"/>
              <w:left w:val="single" w:color="000000" w:sz="4" w:space="0"/>
              <w:bottom w:val="single" w:color="000000" w:sz="4" w:space="0"/>
              <w:right w:val="single" w:color="000000" w:sz="4" w:space="0"/>
            </w:tcBorders>
            <w:vAlign w:val="center"/>
          </w:tcPr>
          <w:p w14:paraId="7E7BE12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5EAA841F">
        <w:tblPrEx>
          <w:tblCellMar>
            <w:top w:w="0" w:type="dxa"/>
            <w:left w:w="108" w:type="dxa"/>
            <w:bottom w:w="0" w:type="dxa"/>
            <w:right w:w="108" w:type="dxa"/>
          </w:tblCellMar>
        </w:tblPrEx>
        <w:trPr>
          <w:trHeight w:val="312"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4D00B75D">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F3D1176">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126ACEA1">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27211EA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K276+450</w:t>
            </w:r>
          </w:p>
        </w:tc>
        <w:tc>
          <w:tcPr>
            <w:tcW w:w="860" w:type="pct"/>
            <w:tcBorders>
              <w:top w:val="single" w:color="000000" w:sz="4" w:space="0"/>
              <w:left w:val="single" w:color="000000" w:sz="4" w:space="0"/>
              <w:bottom w:val="single" w:color="000000" w:sz="4" w:space="0"/>
              <w:right w:val="single" w:color="000000" w:sz="4" w:space="0"/>
            </w:tcBorders>
            <w:vAlign w:val="center"/>
          </w:tcPr>
          <w:p w14:paraId="3377563A">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19E9D1A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4" w:type="pct"/>
            <w:tcBorders>
              <w:top w:val="single" w:color="000000" w:sz="4" w:space="0"/>
              <w:left w:val="single" w:color="000000" w:sz="4" w:space="0"/>
              <w:bottom w:val="single" w:color="000000" w:sz="4" w:space="0"/>
              <w:right w:val="single" w:color="000000" w:sz="4" w:space="0"/>
            </w:tcBorders>
            <w:vAlign w:val="center"/>
          </w:tcPr>
          <w:p w14:paraId="61FB564B">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0B033583">
        <w:tblPrEx>
          <w:tblCellMar>
            <w:top w:w="0" w:type="dxa"/>
            <w:left w:w="108" w:type="dxa"/>
            <w:bottom w:w="0" w:type="dxa"/>
            <w:right w:w="108" w:type="dxa"/>
          </w:tblCellMar>
        </w:tblPrEx>
        <w:trPr>
          <w:trHeight w:val="216"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79166245">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47088D7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1BA04EEF">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1CE577F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K281+000</w:t>
            </w:r>
          </w:p>
        </w:tc>
        <w:tc>
          <w:tcPr>
            <w:tcW w:w="860" w:type="pct"/>
            <w:tcBorders>
              <w:top w:val="single" w:color="000000" w:sz="4" w:space="0"/>
              <w:left w:val="single" w:color="000000" w:sz="4" w:space="0"/>
              <w:bottom w:val="single" w:color="000000" w:sz="4" w:space="0"/>
              <w:right w:val="single" w:color="000000" w:sz="4" w:space="0"/>
            </w:tcBorders>
            <w:vAlign w:val="center"/>
          </w:tcPr>
          <w:p w14:paraId="56F1282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049A64A2">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554" w:type="pct"/>
            <w:tcBorders>
              <w:top w:val="single" w:color="000000" w:sz="4" w:space="0"/>
              <w:left w:val="single" w:color="000000" w:sz="4" w:space="0"/>
              <w:bottom w:val="single" w:color="000000" w:sz="4" w:space="0"/>
              <w:right w:val="single" w:color="000000" w:sz="4" w:space="0"/>
            </w:tcBorders>
            <w:vAlign w:val="center"/>
          </w:tcPr>
          <w:p w14:paraId="007FA8F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7151D4DD">
        <w:tblPrEx>
          <w:tblCellMar>
            <w:top w:w="0" w:type="dxa"/>
            <w:left w:w="108" w:type="dxa"/>
            <w:bottom w:w="0" w:type="dxa"/>
            <w:right w:w="108" w:type="dxa"/>
          </w:tblCellMar>
        </w:tblPrEx>
        <w:trPr>
          <w:trHeight w:val="190"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4290E5F3">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125B2B3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428323BA">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05D3BA0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K292+000</w:t>
            </w:r>
          </w:p>
        </w:tc>
        <w:tc>
          <w:tcPr>
            <w:tcW w:w="860" w:type="pct"/>
            <w:tcBorders>
              <w:top w:val="single" w:color="000000" w:sz="4" w:space="0"/>
              <w:left w:val="single" w:color="000000" w:sz="4" w:space="0"/>
              <w:bottom w:val="single" w:color="000000" w:sz="4" w:space="0"/>
              <w:right w:val="single" w:color="000000" w:sz="4" w:space="0"/>
            </w:tcBorders>
            <w:vAlign w:val="center"/>
          </w:tcPr>
          <w:p w14:paraId="3FA26BE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3989B9B0">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4" w:type="pct"/>
            <w:tcBorders>
              <w:top w:val="single" w:color="000000" w:sz="4" w:space="0"/>
              <w:left w:val="single" w:color="000000" w:sz="4" w:space="0"/>
              <w:bottom w:val="single" w:color="000000" w:sz="4" w:space="0"/>
              <w:right w:val="single" w:color="000000" w:sz="4" w:space="0"/>
            </w:tcBorders>
            <w:vAlign w:val="center"/>
          </w:tcPr>
          <w:p w14:paraId="2D853BB7">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189500C3">
        <w:tblPrEx>
          <w:tblCellMar>
            <w:top w:w="0" w:type="dxa"/>
            <w:left w:w="108" w:type="dxa"/>
            <w:bottom w:w="0" w:type="dxa"/>
            <w:right w:w="108" w:type="dxa"/>
          </w:tblCellMar>
        </w:tblPrEx>
        <w:trPr>
          <w:trHeight w:val="90" w:hRule="atLeast"/>
          <w:jc w:val="center"/>
        </w:trPr>
        <w:tc>
          <w:tcPr>
            <w:tcW w:w="500" w:type="pct"/>
            <w:tcBorders>
              <w:top w:val="single" w:color="000000" w:sz="4" w:space="0"/>
              <w:left w:val="single" w:color="000000" w:sz="4" w:space="0"/>
              <w:bottom w:val="single" w:color="000000" w:sz="4" w:space="0"/>
              <w:right w:val="single" w:color="000000" w:sz="4" w:space="0"/>
            </w:tcBorders>
            <w:noWrap/>
            <w:vAlign w:val="center"/>
          </w:tcPr>
          <w:p w14:paraId="6208F3C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6243D5E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百色市</w:t>
            </w:r>
          </w:p>
        </w:tc>
        <w:tc>
          <w:tcPr>
            <w:tcW w:w="746" w:type="pct"/>
            <w:tcBorders>
              <w:top w:val="single" w:color="000000" w:sz="4" w:space="0"/>
              <w:left w:val="single" w:color="000000" w:sz="4" w:space="0"/>
              <w:bottom w:val="single" w:color="000000" w:sz="4" w:space="0"/>
              <w:right w:val="single" w:color="000000" w:sz="4" w:space="0"/>
            </w:tcBorders>
            <w:vAlign w:val="center"/>
          </w:tcPr>
          <w:p w14:paraId="505B6FDF">
            <w:pPr>
              <w:spacing w:line="400" w:lineRule="exact"/>
              <w:jc w:val="center"/>
              <w:rPr>
                <w:rFonts w:hint="eastAsia" w:asciiTheme="minorEastAsia" w:hAnsiTheme="minorEastAsia" w:eastAsiaTheme="minorEastAsia" w:cstheme="minorEastAsia"/>
                <w:iCs/>
                <w:color w:val="auto"/>
                <w:kern w:val="0"/>
                <w:szCs w:val="21"/>
                <w:highlight w:val="none"/>
              </w:rPr>
            </w:pPr>
            <w:r>
              <w:rPr>
                <w:rFonts w:hint="eastAsia" w:asciiTheme="minorEastAsia" w:hAnsiTheme="minorEastAsia" w:eastAsiaTheme="minorEastAsia" w:cstheme="minorEastAsia"/>
                <w:color w:val="auto"/>
                <w:kern w:val="0"/>
                <w:szCs w:val="21"/>
                <w:highlight w:val="none"/>
              </w:rPr>
              <w:t>南昆线</w:t>
            </w:r>
          </w:p>
        </w:tc>
        <w:tc>
          <w:tcPr>
            <w:tcW w:w="845" w:type="pct"/>
            <w:tcBorders>
              <w:top w:val="single" w:color="000000" w:sz="4" w:space="0"/>
              <w:left w:val="single" w:color="000000" w:sz="4" w:space="0"/>
              <w:bottom w:val="single" w:color="000000" w:sz="4" w:space="0"/>
              <w:right w:val="single" w:color="000000" w:sz="4" w:space="0"/>
            </w:tcBorders>
            <w:vAlign w:val="center"/>
          </w:tcPr>
          <w:p w14:paraId="72CF0439">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K296+700</w:t>
            </w:r>
          </w:p>
        </w:tc>
        <w:tc>
          <w:tcPr>
            <w:tcW w:w="860" w:type="pct"/>
            <w:tcBorders>
              <w:top w:val="single" w:color="000000" w:sz="4" w:space="0"/>
              <w:left w:val="single" w:color="000000" w:sz="4" w:space="0"/>
              <w:bottom w:val="single" w:color="000000" w:sz="4" w:space="0"/>
              <w:right w:val="single" w:color="000000" w:sz="4" w:space="0"/>
            </w:tcBorders>
            <w:vAlign w:val="center"/>
          </w:tcPr>
          <w:p w14:paraId="0FA128BC">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816" w:type="pct"/>
            <w:tcBorders>
              <w:top w:val="single" w:color="000000" w:sz="4" w:space="0"/>
              <w:left w:val="single" w:color="000000" w:sz="4" w:space="0"/>
              <w:bottom w:val="single" w:color="000000" w:sz="4" w:space="0"/>
              <w:right w:val="single" w:color="000000" w:sz="4" w:space="0"/>
            </w:tcBorders>
            <w:vAlign w:val="center"/>
          </w:tcPr>
          <w:p w14:paraId="2258D7A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0</w:t>
            </w:r>
          </w:p>
        </w:tc>
        <w:tc>
          <w:tcPr>
            <w:tcW w:w="554" w:type="pct"/>
            <w:tcBorders>
              <w:top w:val="single" w:color="000000" w:sz="4" w:space="0"/>
              <w:left w:val="single" w:color="000000" w:sz="4" w:space="0"/>
              <w:bottom w:val="single" w:color="000000" w:sz="4" w:space="0"/>
              <w:right w:val="single" w:color="000000" w:sz="4" w:space="0"/>
            </w:tcBorders>
            <w:vAlign w:val="center"/>
          </w:tcPr>
          <w:p w14:paraId="0221ABC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r>
      <w:tr w14:paraId="4AA03D3E">
        <w:tblPrEx>
          <w:tblCellMar>
            <w:top w:w="0" w:type="dxa"/>
            <w:left w:w="108" w:type="dxa"/>
            <w:bottom w:w="0" w:type="dxa"/>
            <w:right w:w="108" w:type="dxa"/>
          </w:tblCellMar>
        </w:tblPrEx>
        <w:trPr>
          <w:trHeight w:val="90" w:hRule="atLeast"/>
          <w:jc w:val="center"/>
        </w:trPr>
        <w:tc>
          <w:tcPr>
            <w:tcW w:w="2769" w:type="pct"/>
            <w:gridSpan w:val="4"/>
            <w:tcBorders>
              <w:top w:val="single" w:color="000000" w:sz="4" w:space="0"/>
              <w:left w:val="single" w:color="000000" w:sz="4" w:space="0"/>
              <w:bottom w:val="single" w:color="000000" w:sz="4" w:space="0"/>
              <w:right w:val="single" w:color="000000" w:sz="4" w:space="0"/>
            </w:tcBorders>
            <w:noWrap/>
            <w:vAlign w:val="center"/>
          </w:tcPr>
          <w:p w14:paraId="7829AA4E">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合计</w:t>
            </w:r>
          </w:p>
        </w:tc>
        <w:tc>
          <w:tcPr>
            <w:tcW w:w="860" w:type="pct"/>
            <w:tcBorders>
              <w:top w:val="single" w:color="000000" w:sz="4" w:space="0"/>
              <w:left w:val="single" w:color="000000" w:sz="4" w:space="0"/>
              <w:bottom w:val="single" w:color="000000" w:sz="4" w:space="0"/>
              <w:right w:val="single" w:color="000000" w:sz="4" w:space="0"/>
            </w:tcBorders>
            <w:vAlign w:val="center"/>
          </w:tcPr>
          <w:p w14:paraId="48FBD334">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w:t>
            </w:r>
          </w:p>
        </w:tc>
        <w:tc>
          <w:tcPr>
            <w:tcW w:w="816" w:type="pct"/>
            <w:tcBorders>
              <w:top w:val="single" w:color="000000" w:sz="4" w:space="0"/>
              <w:left w:val="single" w:color="000000" w:sz="4" w:space="0"/>
              <w:bottom w:val="single" w:color="000000" w:sz="4" w:space="0"/>
              <w:right w:val="single" w:color="000000" w:sz="4" w:space="0"/>
            </w:tcBorders>
            <w:vAlign w:val="center"/>
          </w:tcPr>
          <w:p w14:paraId="17A6BB38">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w:t>
            </w:r>
          </w:p>
        </w:tc>
        <w:tc>
          <w:tcPr>
            <w:tcW w:w="554" w:type="pct"/>
            <w:tcBorders>
              <w:top w:val="single" w:color="000000" w:sz="4" w:space="0"/>
              <w:left w:val="single" w:color="000000" w:sz="4" w:space="0"/>
              <w:bottom w:val="single" w:color="000000" w:sz="4" w:space="0"/>
              <w:right w:val="single" w:color="000000" w:sz="4" w:space="0"/>
            </w:tcBorders>
            <w:vAlign w:val="center"/>
          </w:tcPr>
          <w:p w14:paraId="1FF555EF">
            <w:pPr>
              <w:spacing w:line="40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w:t>
            </w:r>
          </w:p>
        </w:tc>
      </w:tr>
    </w:tbl>
    <w:p w14:paraId="52FF2B62">
      <w:pPr>
        <w:pStyle w:val="8"/>
        <w:ind w:firstLine="0" w:firstLineChars="0"/>
        <w:rPr>
          <w:color w:val="auto"/>
          <w:sz w:val="21"/>
          <w:szCs w:val="21"/>
          <w:highlight w:val="none"/>
          <w:lang w:val="en-US"/>
        </w:rPr>
      </w:pPr>
    </w:p>
    <w:p w14:paraId="4B4C1C69">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046379A6">
      <w:pPr>
        <w:spacing w:line="428" w:lineRule="exact"/>
        <w:rPr>
          <w:rFonts w:hint="eastAsia" w:ascii="宋体" w:hAnsi="宋体" w:cs="宋体"/>
          <w:color w:val="auto"/>
          <w:sz w:val="32"/>
          <w:szCs w:val="32"/>
          <w:highlight w:val="none"/>
        </w:rPr>
      </w:pPr>
      <w:r>
        <w:rPr>
          <w:rFonts w:hint="eastAsia" w:ascii="宋体" w:hAnsi="宋体" w:cs="宋体"/>
          <w:b/>
          <w:bCs/>
          <w:color w:val="auto"/>
          <w:sz w:val="32"/>
          <w:szCs w:val="32"/>
          <w:highlight w:val="none"/>
        </w:rPr>
        <w:t>附件2：</w:t>
      </w:r>
    </w:p>
    <w:p w14:paraId="1B55D5BA">
      <w:pPr>
        <w:spacing w:before="7"/>
        <w:rPr>
          <w:rFonts w:hint="eastAsia" w:ascii="宋体" w:hAnsi="宋体" w:cs="宋体"/>
          <w:color w:val="auto"/>
          <w:sz w:val="17"/>
          <w:szCs w:val="17"/>
          <w:highlight w:val="none"/>
        </w:rPr>
      </w:pPr>
    </w:p>
    <w:p w14:paraId="2EA2DD5C">
      <w:pPr>
        <w:widowControl/>
        <w:spacing w:before="120" w:beforeLines="50" w:after="120" w:afterLines="50" w:line="280" w:lineRule="exact"/>
        <w:jc w:val="center"/>
        <w:rPr>
          <w:rFonts w:hint="eastAsia" w:ascii="宋体" w:hAnsi="宋体" w:cs="宋体"/>
          <w:b/>
          <w:bCs/>
          <w:color w:val="auto"/>
          <w:kern w:val="0"/>
          <w:sz w:val="30"/>
          <w:szCs w:val="30"/>
          <w:highlight w:val="none"/>
        </w:rPr>
      </w:pPr>
      <w:bookmarkStart w:id="15" w:name="_Toc28361_WPSOffice_Level2"/>
      <w:r>
        <w:rPr>
          <w:rFonts w:hint="eastAsia" w:ascii="宋体" w:hAnsi="宋体" w:cs="宋体"/>
          <w:b/>
          <w:bCs/>
          <w:color w:val="auto"/>
          <w:kern w:val="0"/>
          <w:sz w:val="30"/>
          <w:szCs w:val="30"/>
          <w:highlight w:val="none"/>
        </w:rPr>
        <w:t>统计上大中小微型企业划分标准</w:t>
      </w:r>
      <w:bookmarkEnd w:id="15"/>
    </w:p>
    <w:tbl>
      <w:tblPr>
        <w:tblStyle w:val="5"/>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585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5AA5057A">
            <w:pPr>
              <w:widowControl/>
              <w:spacing w:line="28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vAlign w:val="center"/>
          </w:tcPr>
          <w:p w14:paraId="07949A73">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vAlign w:val="center"/>
          </w:tcPr>
          <w:p w14:paraId="00570F33">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7461B282">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vAlign w:val="center"/>
          </w:tcPr>
          <w:p w14:paraId="547EE051">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vAlign w:val="center"/>
          </w:tcPr>
          <w:p w14:paraId="607F85D9">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vAlign w:val="center"/>
          </w:tcPr>
          <w:p w14:paraId="6FC4A3BE">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vAlign w:val="center"/>
          </w:tcPr>
          <w:p w14:paraId="732757D8">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66F3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84F6603">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20340D3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7675D6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B66256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105E2B6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5D811DC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14:paraId="71A9F3C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125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94590FF">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4A648AD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CA8B76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3FCD27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68390DF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2633BB1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7879DEA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761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F3C9212">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46B69FD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9C18B1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53DFCF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17F4AA9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55EB1E2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14:paraId="782B5EA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122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D4F80B5">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73355AA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C2E615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38161A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41D02B2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3C7B8D5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14:paraId="186AD9E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41F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89BB8FB">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1E3CC6C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05F53FA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B926B6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336EE14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7AC36C3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14:paraId="457A697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912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0CED16B">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25CFAF1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F30735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808A0E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4719C85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123C31E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14:paraId="3E64838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086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2387EC5">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3963A88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3496E1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046827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4BBAB1A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12D708CF">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63F54F1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3A7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5C32459">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6E8E196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91D6AE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2D7B2B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7B52471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1DF084DA">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418BC5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839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CD8EC77">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15A24A8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E2C9F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28E5A4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03EFC8C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14:paraId="3B1CDE23">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14:paraId="2BE28A1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217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201D3CF">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629795E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D32B71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2812AC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4CA06A4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7A8A5F7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17BA76C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E8E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1237131">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4BA1CBF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2BC210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A3DF36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1A3F1B1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3B879B6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14:paraId="631EAB2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11C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5BADA9E">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7360294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B1B838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E0DAA1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123FCC12">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2F3DC41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14:paraId="5B8054F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477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0156590">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76500D0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FF8CBB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2430129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04A0C97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134F827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4FC508E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0EC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8CECB65">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0812B5F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CDC1FA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F23FB7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7A19537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2155DC3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14:paraId="7DD1DC3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D5F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DC143BA">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13938F6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C05C6E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E9DF8D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7BC06D6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3F35783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67B4F38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71C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8F7461F">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149DC45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ACE2C1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181DB4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518D0CF7">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20B5EDA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36E4721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FDE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12C6B3B">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3B2D9A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CA4597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198DA8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0137AD7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647256F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5D27B17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8C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3D51B41">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2918C72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37BC4E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2D549B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792B3FE3">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2908F18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2B14D3E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E7C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7B633B">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4F066A2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DF5D41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7336BE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05F5B32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7E6C84B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14:paraId="788B634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DA1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6AEE4CB">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35E390D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1C0AAF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946C19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65EA613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594235F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4DED2AC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3F7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BE5F41A">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335ECBB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A7F069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08E4D3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0B2E125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14:paraId="63CA8A3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0DCB15B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9075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D835274">
            <w:pPr>
              <w:widowControl/>
              <w:spacing w:line="28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5AD636C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1D9024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43ECB9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A6E489E">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3268626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62524B4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856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D3C506D">
            <w:pPr>
              <w:widowControl/>
              <w:spacing w:line="280" w:lineRule="exact"/>
              <w:jc w:val="left"/>
              <w:rPr>
                <w:rFonts w:hint="eastAsia" w:ascii="宋体" w:hAnsi="宋体" w:cs="宋体"/>
                <w:color w:val="auto"/>
                <w:spacing w:val="-12"/>
                <w:kern w:val="0"/>
                <w:sz w:val="18"/>
                <w:szCs w:val="18"/>
                <w:highlight w:val="none"/>
              </w:rPr>
            </w:pPr>
          </w:p>
        </w:tc>
        <w:tc>
          <w:tcPr>
            <w:tcW w:w="1369" w:type="dxa"/>
            <w:vAlign w:val="center"/>
          </w:tcPr>
          <w:p w14:paraId="012A23A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16AD8F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3F3B4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2A30B62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336DE84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14:paraId="6E374EA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895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3E72B84">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510D9F1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D6DE34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2FE651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1DE6B19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14:paraId="0F9FB45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14:paraId="5A01F76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50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7951A34">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1500180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465E286F">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AB9FF4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4F548FC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566FDA7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14:paraId="04076F8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7E27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0859D9A">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308996A8">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A003205">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1125C1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3C47E5C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2404C6C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14:paraId="318C614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6F5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702B311">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6CA98EC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C6A98EE">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A05783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1F94F2F7">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14:paraId="538319D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14:paraId="30A932DB">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D7B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2C682F4">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5134D23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694EEA6">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1704A5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5619DDA">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4F54CC4C">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6CD7873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099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BD58C4D">
            <w:pPr>
              <w:widowControl/>
              <w:spacing w:line="280" w:lineRule="exact"/>
              <w:jc w:val="left"/>
              <w:rPr>
                <w:rFonts w:hint="eastAsia" w:ascii="宋体" w:hAnsi="宋体" w:cs="宋体"/>
                <w:color w:val="auto"/>
                <w:kern w:val="0"/>
                <w:sz w:val="18"/>
                <w:szCs w:val="18"/>
                <w:highlight w:val="none"/>
              </w:rPr>
            </w:pPr>
          </w:p>
        </w:tc>
        <w:tc>
          <w:tcPr>
            <w:tcW w:w="1369" w:type="dxa"/>
            <w:vAlign w:val="center"/>
          </w:tcPr>
          <w:p w14:paraId="042189A7">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330451F1">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285ACB9">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45EEB64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14:paraId="2A8043D4">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14:paraId="1346077D">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12E4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355884F0">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69EF1DDA">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DB96F52">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3A5BDB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A533631">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14:paraId="68C77BA3">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14:paraId="49C87640">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8D62746">
      <w:pPr>
        <w:widowControl/>
        <w:spacing w:line="280" w:lineRule="exact"/>
        <w:rPr>
          <w:rFonts w:hint="eastAsia" w:ascii="宋体" w:hAnsi="宋体" w:cs="宋体"/>
          <w:color w:val="auto"/>
          <w:spacing w:val="8"/>
          <w:kern w:val="0"/>
          <w:sz w:val="24"/>
          <w:highlight w:val="none"/>
        </w:rPr>
      </w:pPr>
    </w:p>
    <w:p w14:paraId="1EFA400E">
      <w:pPr>
        <w:widowControl/>
        <w:spacing w:line="360" w:lineRule="auto"/>
        <w:rPr>
          <w:rFonts w:hint="eastAsia" w:ascii="宋体" w:hAnsi="宋体" w:cs="宋体"/>
          <w:color w:val="auto"/>
          <w:spacing w:val="8"/>
          <w:kern w:val="0"/>
          <w:szCs w:val="21"/>
          <w:highlight w:val="none"/>
        </w:rPr>
      </w:pPr>
    </w:p>
    <w:p w14:paraId="0043997A">
      <w:pPr>
        <w:widowControl/>
        <w:spacing w:line="360" w:lineRule="auto"/>
        <w:rPr>
          <w:rFonts w:hint="eastAsia"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75C23DA5">
      <w:pPr>
        <w:pStyle w:val="3"/>
        <w:adjustRightInd w:val="0"/>
        <w:spacing w:line="360" w:lineRule="auto"/>
        <w:ind w:firstLine="452" w:firstLineChars="200"/>
        <w:contextualSpacing/>
        <w:rPr>
          <w:rFonts w:hint="eastAsia"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24F71A28">
      <w:pPr>
        <w:pStyle w:val="3"/>
        <w:adjustRightInd w:val="0"/>
        <w:spacing w:line="360" w:lineRule="auto"/>
        <w:ind w:firstLine="452" w:firstLineChars="200"/>
        <w:contextualSpacing/>
        <w:rPr>
          <w:rFonts w:hint="eastAsia"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22D2823">
      <w:pPr>
        <w:pStyle w:val="3"/>
        <w:spacing w:line="360" w:lineRule="auto"/>
        <w:ind w:firstLine="452" w:firstLineChars="200"/>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sectPr>
      <w:pgSz w:w="11905" w:h="16838"/>
      <w:pgMar w:top="1134" w:right="1134" w:bottom="1134" w:left="1134" w:header="850" w:footer="992" w:gutter="0"/>
      <w:paperSrc/>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362D">
    <w:pPr>
      <w:snapToGrid w:val="0"/>
      <w:jc w:val="center"/>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4A65118">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9</w:t>
                          </w:r>
                          <w:r>
                            <w:rPr>
                              <w:sz w:val="18"/>
                              <w:szCs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GpB/xvHAQAAiwMAAA4AAAAAAAAAAQAgAAAAHwEAAGRycy9lMm9Eb2Mu&#10;eG1sUEsFBgAAAAAGAAYAWQEAAFgFAAAAAA==&#10;">
              <v:fill on="f" focussize="0,0"/>
              <v:stroke on="f"/>
              <v:imagedata o:title=""/>
              <o:lock v:ext="edit" aspectratio="f"/>
              <v:textbox inset="0mm,0mm,0mm,0mm" style="mso-fit-shape-to-text:t;">
                <w:txbxContent>
                  <w:p w14:paraId="54A65118">
                    <w:pPr>
                      <w:snapToGrid w:val="0"/>
                      <w:jc w:val="left"/>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9</w:t>
                    </w:r>
                    <w:r>
                      <w:rPr>
                        <w:sz w:val="18"/>
                        <w:szCs w:val="18"/>
                      </w:rPr>
                      <w:fldChar w:fldCharType="end"/>
                    </w:r>
                  </w:p>
                </w:txbxContent>
              </v:textbox>
            </v:shape>
          </w:pict>
        </mc:Fallback>
      </mc:AlternateContent>
    </w:r>
  </w:p>
  <w:p w14:paraId="12C43C08">
    <w:pPr>
      <w:snapToGrid w:val="0"/>
      <w:jc w:val="left"/>
      <w:rPr>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88FD0"/>
    <w:multiLevelType w:val="singleLevel"/>
    <w:tmpl w:val="88588FD0"/>
    <w:lvl w:ilvl="0" w:tentative="0">
      <w:start w:val="7"/>
      <w:numFmt w:val="chineseCounting"/>
      <w:suff w:val="nothing"/>
      <w:lvlText w:val="%1、"/>
      <w:lvlJc w:val="left"/>
      <w:rPr>
        <w:rFonts w:hint="eastAsia"/>
      </w:rPr>
    </w:lvl>
  </w:abstractNum>
  <w:abstractNum w:abstractNumId="1">
    <w:nsid w:val="D4ECAD9E"/>
    <w:multiLevelType w:val="singleLevel"/>
    <w:tmpl w:val="D4ECAD9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158"/>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57796"/>
    <w:rsid w:val="6BE57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line="200" w:lineRule="exact"/>
      <w:ind w:firstLine="301"/>
    </w:pPr>
    <w:rPr>
      <w:rFonts w:ascii="宋体" w:hAnsi="Courier New"/>
      <w:spacing w:val="-4"/>
      <w:sz w:val="18"/>
      <w:szCs w:val="20"/>
    </w:rPr>
  </w:style>
  <w:style w:type="paragraph" w:styleId="3">
    <w:name w:val="Plain Text"/>
    <w:basedOn w:val="1"/>
    <w:qFormat/>
    <w:uiPriority w:val="0"/>
    <w:rPr>
      <w:rFonts w:ascii="宋体" w:hAnsi="Courier New"/>
      <w:szCs w:val="20"/>
    </w:rPr>
  </w:style>
  <w:style w:type="paragraph" w:styleId="4">
    <w:name w:val="footer"/>
    <w:basedOn w:val="1"/>
    <w:next w:val="1"/>
    <w:qFormat/>
    <w:uiPriority w:val="0"/>
    <w:pPr>
      <w:tabs>
        <w:tab w:val="center" w:pos="4153"/>
        <w:tab w:val="right" w:pos="8306"/>
      </w:tabs>
      <w:snapToGrid w:val="0"/>
      <w:jc w:val="left"/>
    </w:pPr>
    <w:rPr>
      <w:sz w:val="18"/>
      <w:szCs w:val="18"/>
    </w:rPr>
  </w:style>
  <w:style w:type="character" w:styleId="7">
    <w:name w:val="annotation reference"/>
    <w:qFormat/>
    <w:uiPriority w:val="0"/>
    <w:rPr>
      <w:sz w:val="21"/>
      <w:szCs w:val="21"/>
    </w:rPr>
  </w:style>
  <w:style w:type="paragraph" w:customStyle="1" w:styleId="8">
    <w:name w:val="首行缩进"/>
    <w:basedOn w:val="1"/>
    <w:autoRedefine/>
    <w:qFormat/>
    <w:uiPriority w:val="0"/>
    <w:pPr>
      <w:spacing w:line="360" w:lineRule="auto"/>
      <w:ind w:firstLine="200" w:firstLineChars="200"/>
      <w:jc w:val="left"/>
    </w:pPr>
    <w:rPr>
      <w:b/>
      <w:bCs/>
      <w:iCs/>
      <w:kern w:val="0"/>
      <w:sz w:val="20"/>
      <w:szCs w:val="20"/>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2025-11-24T08:59:00Z</dcterms:created>
  <dc:creator>Administrator</dc:creator>
  <cp:lastModifiedBy>Administrator</cp:lastModifiedBy>
  <dcterms:modified xsi:type="dcterms:W3CDTF">2025-11-24T09:00:01Z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BC87C7EBD1B84B3BACFE07B1DC1CE83F_11</vt:lpwstr>
  </property>
  <property fmtid="{D5CDD505-2E9C-101B-9397-08002B2CF9AE}" pid="4" name="KSOTemplateDocerSaveRecord">
    <vt:lpwstr>eyJoZGlkIjoiN2RjZTg3ODRlNjRjNzAxODI4ZWQxODMxMzVlOWY3M2QiLCJ1c2VySWQiOiIxNTkzOTYyOTQ4In0=</vt:lpwstr>
  </property>
</Properties>
</file>