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outlineLvl w:val="0"/>
        <w:rPr>
          <w:rFonts w:hint="eastAsia" w:ascii="Times New Roman" w:hAnsi="Times New Roman" w:eastAsia="宋体" w:cs="Times New Roman"/>
          <w:b/>
          <w:color w:val="auto"/>
          <w:kern w:val="2"/>
          <w:sz w:val="36"/>
          <w:szCs w:val="20"/>
          <w:highlight w:val="none"/>
          <w:lang w:val="en-US" w:eastAsia="zh-CN" w:bidi="ar-SA"/>
        </w:rPr>
      </w:pPr>
      <w:bookmarkStart w:id="1" w:name="_GoBack"/>
      <w:bookmarkEnd w:id="1"/>
      <w:r>
        <w:rPr>
          <w:rFonts w:hint="eastAsia" w:ascii="Times New Roman" w:hAnsi="Times New Roman" w:eastAsia="宋体" w:cs="Times New Roman"/>
          <w:b/>
          <w:color w:val="auto"/>
          <w:kern w:val="2"/>
          <w:sz w:val="36"/>
          <w:szCs w:val="20"/>
          <w:highlight w:val="none"/>
          <w:lang w:val="en-US" w:eastAsia="zh-CN" w:bidi="ar-SA"/>
        </w:rPr>
        <w:t>采购需求</w:t>
      </w:r>
    </w:p>
    <w:p>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Times New Roman" w:hAnsi="宋体" w:eastAsia="宋体" w:cs="Times New Roman"/>
          <w:b/>
          <w:color w:val="auto"/>
          <w:szCs w:val="21"/>
          <w:highlight w:val="none"/>
        </w:rPr>
      </w:pPr>
      <w:r>
        <w:rPr>
          <w:rFonts w:hint="eastAsia" w:ascii="Times New Roman" w:hAnsi="宋体" w:eastAsia="宋体" w:cs="Times New Roman"/>
          <w:b/>
          <w:color w:val="auto"/>
          <w:szCs w:val="21"/>
          <w:highlight w:val="none"/>
        </w:rPr>
        <w:t>说明：</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本招标文件所称中小企业必须符合《政府采购促进中小企业发展管理办法》（财库〔2020〕46号）的规定。</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“实质性要求”是指招标文件中已经指明不满足则投标无效的条款，或者不能负偏离的条款，或者采购需求中带“▲”的条款。</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3.不</w:t>
      </w:r>
      <w:r>
        <w:rPr>
          <w:rFonts w:hint="eastAsia" w:ascii="宋体" w:hAnsi="宋体" w:eastAsia="宋体" w:cs="宋体"/>
          <w:color w:val="auto"/>
          <w:highlight w:val="none"/>
        </w:rPr>
        <w:t>需要投标人对采购需求响应为具体数值的，此采购需求的数值后将以◆号标注。</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如投标人投标产品存在侵犯他人的知识产权或者专利成果行为的，应承担相应法律责任。</w:t>
      </w:r>
    </w:p>
    <w:p>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采购标的对应的中小企业划分标准所属行业名称：租赁和商务服务业。中小企业划分标准详见本章附件。</w:t>
      </w:r>
    </w:p>
    <w:p>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6.1分标、2分标中标规则：</w:t>
      </w:r>
    </w:p>
    <w:p>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1.投标人可对本项目一个或多个分标进行报价。评标过程中，评标委员会将分别对各分标所有投标人进行综合评分和排序。</w:t>
      </w:r>
    </w:p>
    <w:p>
      <w:pPr>
        <w:spacing w:line="360" w:lineRule="auto"/>
        <w:ind w:firstLine="420" w:firstLineChars="200"/>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中标规则：为确保提供服务的及时性，一家投标人只能成为本项目其中1个分标的中标人。若某投标人两个分标综合评分均排名第一，则评标委员会推荐该投标人为1分标的中标候选人，评标委员会2分标推荐2分标综合评分紧随其后的投标人为中标候选人。</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08"/>
        <w:gridCol w:w="802"/>
        <w:gridCol w:w="569"/>
        <w:gridCol w:w="6304"/>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27" w:type="dxa"/>
            <w:vMerge w:val="restart"/>
            <w:noWrap w:val="0"/>
            <w:vAlign w:val="center"/>
          </w:tcPr>
          <w:p>
            <w:pPr>
              <w:rPr>
                <w:rFonts w:hint="eastAsia" w:ascii="Times New Roman" w:hAnsi="Times New Roman" w:eastAsia="宋体" w:cs="Times New Roman"/>
                <w:b/>
                <w:bCs/>
                <w:color w:val="auto"/>
                <w:highlight w:val="none"/>
                <w:lang w:eastAsia="zh-CN"/>
              </w:rPr>
            </w:pPr>
            <w:bookmarkStart w:id="0" w:name="_Hlk141211246"/>
            <w:r>
              <w:rPr>
                <w:rFonts w:hint="eastAsia" w:ascii="Times New Roman" w:hAnsi="Times New Roman" w:eastAsia="宋体" w:cs="Times New Roman"/>
                <w:b/>
                <w:bCs/>
                <w:color w:val="auto"/>
                <w:highlight w:val="none"/>
                <w:lang w:val="en-US" w:eastAsia="zh-CN"/>
              </w:rPr>
              <w:t>1</w:t>
            </w:r>
            <w:r>
              <w:rPr>
                <w:rFonts w:hint="eastAsia" w:ascii="Times New Roman" w:hAnsi="Times New Roman" w:eastAsia="宋体" w:cs="Times New Roman"/>
                <w:b/>
                <w:bCs/>
                <w:color w:val="auto"/>
                <w:highlight w:val="none"/>
                <w:lang w:eastAsia="zh-CN"/>
              </w:rPr>
              <w:t>分标采购清单及服务参数</w:t>
            </w:r>
          </w:p>
        </w:tc>
        <w:tc>
          <w:tcPr>
            <w:tcW w:w="508" w:type="dxa"/>
            <w:noWrap w:val="0"/>
            <w:vAlign w:val="center"/>
          </w:tcPr>
          <w:p>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序号</w:t>
            </w:r>
          </w:p>
        </w:tc>
        <w:tc>
          <w:tcPr>
            <w:tcW w:w="802" w:type="dxa"/>
            <w:noWrap w:val="0"/>
            <w:vAlign w:val="center"/>
          </w:tcPr>
          <w:p>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标的名称</w:t>
            </w:r>
          </w:p>
        </w:tc>
        <w:tc>
          <w:tcPr>
            <w:tcW w:w="569" w:type="dxa"/>
            <w:noWrap w:val="0"/>
            <w:vAlign w:val="center"/>
          </w:tcPr>
          <w:p>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数量</w:t>
            </w:r>
          </w:p>
        </w:tc>
        <w:tc>
          <w:tcPr>
            <w:tcW w:w="6304" w:type="dxa"/>
            <w:noWrap w:val="0"/>
            <w:tcMar>
              <w:top w:w="0" w:type="dxa"/>
              <w:left w:w="0" w:type="dxa"/>
              <w:bottom w:w="0" w:type="dxa"/>
              <w:right w:w="0" w:type="dxa"/>
            </w:tcMar>
            <w:vAlign w:val="center"/>
          </w:tcPr>
          <w:p>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服务参数</w:t>
            </w:r>
          </w:p>
        </w:tc>
        <w:tc>
          <w:tcPr>
            <w:tcW w:w="1096" w:type="dxa"/>
            <w:noWrap w:val="0"/>
            <w:vAlign w:val="center"/>
          </w:tcPr>
          <w:p>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sz w:val="18"/>
                <w:szCs w:val="21"/>
                <w:highlight w:val="none"/>
              </w:rPr>
              <w:t>分项预算合计（元）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pPr>
              <w:rPr>
                <w:rFonts w:ascii="Times New Roman" w:hAnsi="Times New Roman" w:eastAsia="宋体" w:cs="Times New Roman"/>
                <w:b/>
                <w:bCs/>
                <w:color w:val="auto"/>
                <w:highlight w:val="none"/>
              </w:rPr>
            </w:pPr>
          </w:p>
        </w:tc>
        <w:tc>
          <w:tcPr>
            <w:tcW w:w="508" w:type="dxa"/>
            <w:noWrap w:val="0"/>
            <w:vAlign w:val="center"/>
          </w:tcPr>
          <w:p>
            <w:pPr>
              <w:widowControl/>
              <w:spacing w:line="240" w:lineRule="auto"/>
              <w:ind w:firstLine="0" w:firstLineChars="0"/>
              <w:jc w:val="center"/>
              <w:rPr>
                <w:rFonts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rPr>
              <w:t>1</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南宁高新技术产业开发区规划技术审查服务</w:t>
            </w:r>
          </w:p>
        </w:tc>
        <w:tc>
          <w:tcPr>
            <w:tcW w:w="5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304" w:type="dxa"/>
            <w:noWrap w:val="0"/>
            <w:vAlign w:val="top"/>
          </w:tcPr>
          <w:p>
            <w:pPr>
              <w:spacing w:line="360" w:lineRule="auto"/>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一、项目概述</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建设项目规划审批是城市规划实施的核心制度，具有技术性强、专业性强、公共政策强的属性。开展规划技术审查工作，将建设方案是否符合国家强制性技术标准、是否符合城乡规划以及其他政策法规要求等涉及科学合理性、技术可行性的技术问题的审查工作交由具备相应资质与经验的第三方服务机构负责，实现技术审查与行政审批分离，既可保证规划审查的质量，也有利于提高行政审批效能，符合深化审批制度改革与推动政府职能转变的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二、技术审查项目内容和要求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▲（一）技术审查适用范围：</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以下南宁市区范围内由南宁市自然资源局高新技术开发区分局负责审批、许可的项目：</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（1）新建民用建筑项目；</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2）新建非小型低风险产业类工业建筑项目（小型低风险产业类工业建筑项目指项目总建筑面积不大于5000平方米，不涉及易燃易爆、有毒有害和劳动密集型的新建、改建、扩建的标准厂房和普通仓库），非“标准地”出让的工业建筑项目；</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 xml:space="preserve">（3）新建景观园林工程项目； </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（4）新建、改建、扩建的交通、道路、重大工程项目的管线、市政场站（除开闭所、照明工程、通信基站、广播电视发射塔外）等市政工程项目；</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◆（5）扩建、改建单体建筑面积大于5000平方米的公共建筑及工业建筑；涉及调整建筑面积、建筑高度、建筑层数和使用性质的居住建筑；工程投资额在30万以上或者建筑面积在300平方米以上的改建工程。</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（6）其他</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认为需要开展技术审查的建筑、景观园林、市政工程项目。</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 xml:space="preserve">▲（二）建筑工程项目技术审查工作内容： </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1.审查申请单位是否符合法定资格；审查报建材料、图纸是否完备且符合要求；核查建设资质、设计资质、签名及盖章是否齐备。</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2.审查建设项目是否取得土地使用证明文件，且建设内容是否符合土地使用证明文件及相关批文要求。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3.审查项目建设内容是否符合控制性详细规划、设计条件要求，是否符合各专项管控要求（含机场净空保护管控、国家安全设施与气象观测场周边建设管控、河道、城市交通系统管控、建筑艺术专审控制等），是否符合国家及地方政策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4.审查项目与周边现状（含现状地形、管线、临避设施、建构筑物、城市道路、基地出入口等）衔接关系；核查项目用地红线范围内历史审批文证及建设情况。</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 xml:space="preserve">5. 核查项目日照分析报告编制内容及承诺书是否符合《南宁市自然资源局关于改进建筑日照分析管理方式的通知》（南自然资发〔2021〕93号）要求，日照结论是否符合我市技术规定及审批政策要求。 </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6.审查项目技术经济指标是否符合土地证明文件、规划设计条件。</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7.审查方案设计（包括技术图纸、建筑面积计算、外立面效果与楼宇亮化）是否符合工程设计相关规范、标准以及我市规划管理各类技术规定的要求；方案编制深度是否符合《南宁市自然资源局关于印发&lt;南宁市房建类建设工程规划许可报建方案图纸编制内容及深度要求&gt;的通知》(南自然资发〔2019〕2310号)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8.审查电子报建文件是否完备且符合要求，包括图形坐标、制图规范性、图形的图层及属性、建筑面积计算、技术经济指标计算、与纸质文件的一致性等内容。</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9.审查项目海绵化设计强制性指标是否满足设计条件要求。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10.审查排水排污系统规划是否符合规划管控要求。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11.技术审查包含现场踏勘和成果资料的技术审查。</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▲（三）景观园林工程项目技术审查工作内容：</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1.审查景观园林项目立项依据；审查报建材料、图纸、设计方案是否达到编制深度要求；核查建设资质、设计单位资质、签名及盖章是否齐备。</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2.审查景观园林的具体位置与范围，审查建设项目是否位于用地权属范围内。</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3.审查景观园林项目建设（包括用地性质、用地范围、建设内容等）否符合国土空间总体规划、控制性详细规划及相关专项规划的要求。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4.审查景观园林项目与周边现状（含现状地形、管线、临避设施、建构筑物、城市道路、基地出入口等）衔接关系；核查项目用地红线范围内历史审批文证及建设情况。</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5.审查景观园林项目总体平面布局，是否对功能分区和景区划分、地形布局、园路系统、植物布局、建筑物布局、设施布局及工程管线系统做出综合设计，审查公园出入口是否综合考虑公园内部交通及周边居民的使用需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6.审查公园类项目设计是否符合《公园设计规范》要求，包括且不限于公园内用地类型面积比例、总建筑面积与建筑占地面积比例、公园各类设施设置要求等。</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7. 审查公园类项目的建筑物、构筑物专项设计内容，建（构）筑物的位置、规模、造型、材料、色彩及其使用功能应符合公园总体规划要求。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8.审查公园园路系统与铺装场地是否与公园总体规划一致。</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 xml:space="preserve">9. 审查公园类项目方案的竖向设计、绿化景观设计、给排水和电气等设计内容是否符合《公园设计规范》要求。 </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10.审查景观园林项目的建设规模及投资额是否符合相关批文或政府会议纪要要求。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（四）市政工程审查工作内容：</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申请单位符合法定资格，材料、图纸完备；道路、桥梁、交通、排水、管线、管廊、海绵城市设计等工程方案应符合国土空间规划（总体规划、详细规划、相关专项规划）、国家规范、地方规范及政府相关批文要求；市政场站尚需符合土地约定条件；有景观要求的项目，景观效果需符合要求；与现状项目、在建项目、正在开展设计的项目或规划的衔接。</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▲（五）技术审查工作时限：</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工作时限以</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通知时间为工作时限起算时间。设计方案审查时限应符合工程建设许可阶段审批流程要求。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▲三、遵循的规范、文件</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（一）《南宁市城市规划管理技术规定</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南宁市建筑工程规划指引</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南宁市建筑工程规划指引补充规定</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南宁市建筑风貌控制导则》等地方规范性文件。</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（二）《民用建筑通用规范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民用建筑设计统一标准</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建筑工程建筑面积计算规范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城市居住区规划设计标准》《住宅设计规范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中小学设计规范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公园设计规范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城市绿地分类标准</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建筑设计防火规范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城乡建设用地竖向规划规范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城市道路工程设计规范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室外排水设计标准》等国家或国家部委颁布的规范性文件。</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（三）南宁市颁布的相关国土空间规划</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（五）法定规划及相关国家标准、技术规范等。</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四、项目工作大纲技术方案要求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在响应文件中提供项目工作大纲技术方案。具体要求如下（包括但不限于以下内容）：</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（一）对项目的认识：供应商对本项工作的背景、目标和内容进行描述。</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（二）技术思路：供应商对本项工作的时间进度、过程控制、成果质量保证三方面措施进行描述。</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五、服务要求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1.供应商需指派专人担任本服务期的管理及技术负责人，管理及技术负责人应能与</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和相关单位有效沟通，确保审查质量并承担相应责任。</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2.供应商不得将</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委托的审查工作转交第三方完成。</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将不定期地对供应商拟投入的专职审查人员在岗情况进行检查，经查实供应商擅自减少专职审核员达一定比例，或实际专职审核员配备达不到合同约定的最低人数时，</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有权暂停供应商编审服务。</w:t>
            </w:r>
          </w:p>
        </w:tc>
        <w:tc>
          <w:tcPr>
            <w:tcW w:w="1096" w:type="dxa"/>
            <w:noWrap w:val="0"/>
            <w:vAlign w:val="center"/>
          </w:tcPr>
          <w:p>
            <w:pPr>
              <w:spacing w:line="570" w:lineRule="exact"/>
              <w:rPr>
                <w:rFonts w:hint="default" w:ascii="宋体" w:hAnsi="宋体" w:eastAsia="宋体" w:cs="宋体"/>
                <w:color w:val="auto"/>
                <w:sz w:val="21"/>
                <w:szCs w:val="21"/>
                <w:highlight w:val="none"/>
                <w:lang w:val="en-US" w:eastAsia="zh-CN"/>
              </w:rPr>
            </w:pPr>
            <w:r>
              <w:rPr>
                <w:rFonts w:hint="eastAsia" w:ascii="宋体" w:hAnsi="宋体" w:eastAsia="宋体" w:cs="Times New Roman"/>
                <w:color w:val="auto"/>
                <w:sz w:val="18"/>
                <w:szCs w:val="18"/>
                <w:highlight w:val="none"/>
                <w:lang w:val="en-US" w:eastAsia="zh-CN"/>
              </w:rPr>
              <w:t>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0"/>
            <w:vAlign w:val="center"/>
          </w:tcPr>
          <w:p>
            <w:pPr>
              <w:rPr>
                <w:rFonts w:hint="eastAsia" w:ascii="宋体" w:hAnsi="宋体" w:eastAsia="宋体" w:cs="宋体"/>
                <w:b/>
                <w:bCs/>
                <w:color w:val="auto"/>
                <w:highlight w:val="none"/>
              </w:rPr>
            </w:pPr>
            <w:r>
              <w:rPr>
                <w:rFonts w:hint="eastAsia" w:ascii="宋体" w:hAnsi="宋体" w:eastAsia="宋体" w:cs="宋体"/>
                <w:b/>
                <w:bCs/>
                <w:color w:val="auto"/>
                <w:highlight w:val="none"/>
              </w:rPr>
              <w:t>商务条款</w:t>
            </w:r>
          </w:p>
        </w:tc>
        <w:tc>
          <w:tcPr>
            <w:tcW w:w="9279" w:type="dxa"/>
            <w:gridSpan w:val="5"/>
            <w:noWrap w:val="0"/>
            <w:vAlign w:val="center"/>
          </w:tcPr>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一、合同签订期：自中标通知书发出之日起25日内</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color w:val="auto"/>
                <w:szCs w:val="21"/>
                <w:highlight w:val="none"/>
              </w:rPr>
              <w:t>▲二、提交服务成果时间：</w:t>
            </w:r>
            <w:r>
              <w:rPr>
                <w:rFonts w:hint="default" w:ascii="宋体" w:hAnsi="宋体" w:eastAsia="宋体" w:cs="Times New Roman"/>
                <w:b w:val="0"/>
                <w:bCs/>
                <w:color w:val="auto"/>
                <w:szCs w:val="21"/>
                <w:highlight w:val="none"/>
                <w:lang w:val="en-US" w:eastAsia="zh-CN"/>
              </w:rPr>
              <w:t>工作时限以</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通知时间为工作时限起算时间。设计方案审查时限应符合工程建设许可阶段审批流程要求。</w:t>
            </w:r>
          </w:p>
          <w:p>
            <w:pPr>
              <w:widowControl/>
              <w:shd w:val="clear" w:color="auto" w:fill="FFFFFF"/>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▲三、提交服务成果地点：南宁市自然资源局南宁高新技术产业开发区分局</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▲四、技术服务期限： 1年（自合同签订之日起1年）；</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五、技术服务质量要求：符合国家、南宁市的相关规范及规定； </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六、服务要求：</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处理问题响应时间：接到采购人处理问题通知后12小时内到达采购人指定现场</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◆七、服务人员要求：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▲1.根据项目内容和项目规模的需要，投标人必须配置至少10名审查成员，专业可包含城乡规划、建筑学、风景园林</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Cs w:val="21"/>
                <w:highlight w:val="none"/>
              </w:rPr>
              <w:t>市政道路与桥梁等（城乡规划、建筑学、风景园林、市政道路与桥梁专业至少各一名）</w:t>
            </w:r>
            <w:r>
              <w:rPr>
                <w:rFonts w:hint="eastAsia" w:ascii="宋体" w:hAnsi="宋体" w:eastAsia="宋体" w:cs="Times New Roman"/>
                <w:color w:val="auto"/>
                <w:szCs w:val="21"/>
                <w:highlight w:val="none"/>
              </w:rPr>
              <w:t>，其中不少于1名注册规划师、1名注册建筑师,不少于3名（含3名）具有中级以上（含中级）职称专业技术人员。</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▲2.在中标服务期内，须派至少2名(含2名)以上的专业技术人员（专业</w:t>
            </w:r>
            <w:r>
              <w:rPr>
                <w:rFonts w:hint="eastAsia" w:ascii="宋体" w:hAnsi="宋体" w:eastAsia="宋体" w:cs="Times New Roman"/>
                <w:color w:val="auto"/>
                <w:szCs w:val="21"/>
                <w:highlight w:val="none"/>
                <w:lang w:eastAsia="zh-CN"/>
              </w:rPr>
              <w:t>可</w:t>
            </w:r>
            <w:r>
              <w:rPr>
                <w:rFonts w:hint="eastAsia" w:ascii="宋体" w:hAnsi="宋体" w:eastAsia="宋体" w:cs="Times New Roman"/>
                <w:color w:val="auto"/>
                <w:szCs w:val="21"/>
                <w:highlight w:val="none"/>
              </w:rPr>
              <w:t>包含城乡规划、建筑学、风景园林</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Cs w:val="21"/>
                <w:highlight w:val="none"/>
              </w:rPr>
              <w:t>市政道路与桥梁</w:t>
            </w:r>
            <w:r>
              <w:rPr>
                <w:rFonts w:hint="eastAsia" w:ascii="宋体" w:hAnsi="宋体" w:eastAsia="宋体" w:cs="Times New Roman"/>
                <w:color w:val="auto"/>
                <w:szCs w:val="21"/>
                <w:highlight w:val="none"/>
              </w:rPr>
              <w:t>）常驻采购人指定的工作地点提供技术服务。常驻技术人员必须严格按照采购人日常工作考勤制度及工作纪律进行考勤备案，在服务期内，若驻点人员出现迟到、早退、缺勤等违反工作纪律累计达10次的，采购人有权终止服务合同，并没收其履约及质量保证金。常驻人员的交通、食宿、培训等一切费用由中标人自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3.投标文件中需列出审查人员，未经采购人允许，中标人不能减少数量。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4.投标人必须承诺如确定为中标人后：</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采购人有权要求中标人更换不能胜任或不符合业务要求的服务人员。实施期间如有人员变动必须书面向采购人申请，经采购人审批许可，替换的人员所具备的资质不得低于原人员的资质，且累计替换人数不得高于总投入项目人数的20%，否则采购人有权终止合同，采购人可依法追究中标人承担相应的法律责任。</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2）为保证中标人所派出的常驻技术人员素质和服务水平能达到采购人所需，采购人要求中标人应保证其派出的常驻技术人员的基本待遇，其中派出的常驻技术人员每月的实收工资不低于南宁市最低工资标准（不含法律法规和国家规定的劳动者福利待遇等）。</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（3）中标人及派出的常驻技术人员需严格执行安全制度、保密制度以及廉洁制度。</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（4）中标人及派出的常驻技术人员需积极参加采购人组织的业务培训和安全教育。</w:t>
            </w:r>
          </w:p>
          <w:p>
            <w:pPr>
              <w:spacing w:line="360"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▲（5）中标人需接受采购人的建设项目技术审查服务任务。</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八、其他要求：</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▲1.报价</w:t>
            </w:r>
            <w:r>
              <w:rPr>
                <w:rFonts w:ascii="宋体" w:hAnsi="宋体" w:eastAsia="宋体" w:cs="Times New Roman"/>
                <w:color w:val="auto"/>
                <w:szCs w:val="21"/>
                <w:highlight w:val="none"/>
              </w:rPr>
              <w:t>方式：</w:t>
            </w:r>
            <w:r>
              <w:rPr>
                <w:rFonts w:hint="eastAsia" w:ascii="宋体" w:hAnsi="宋体" w:eastAsia="宋体" w:cs="Times New Roman"/>
                <w:color w:val="auto"/>
                <w:szCs w:val="21"/>
                <w:highlight w:val="none"/>
              </w:rPr>
              <w:t>由投标人根据市场价格及自我承受能力按唯一单价</w:t>
            </w:r>
            <w:r>
              <w:rPr>
                <w:rFonts w:hint="eastAsia" w:ascii="宋体" w:hAnsi="宋体" w:eastAsia="宋体" w:cs="Times New Roman"/>
                <w:color w:val="auto"/>
                <w:szCs w:val="21"/>
                <w:highlight w:val="none"/>
                <w:lang w:eastAsia="zh-CN"/>
              </w:rPr>
              <w:t>下浮率</w:t>
            </w:r>
            <w:r>
              <w:rPr>
                <w:rFonts w:hint="eastAsia" w:ascii="宋体" w:hAnsi="宋体" w:eastAsia="宋体" w:cs="Times New Roman"/>
                <w:color w:val="auto"/>
                <w:szCs w:val="21"/>
                <w:highlight w:val="none"/>
              </w:rPr>
              <w:t xml:space="preserve">进行报价，投标报价的有效范围： </w:t>
            </w:r>
            <w:r>
              <w:rPr>
                <w:rFonts w:hint="eastAsia" w:ascii="宋体" w:hAnsi="宋体" w:eastAsia="宋体" w:cs="Times New Roman"/>
                <w:color w:val="auto"/>
                <w:szCs w:val="21"/>
                <w:highlight w:val="none"/>
                <w:lang w:eastAsia="zh-CN"/>
              </w:rPr>
              <w:t>0%≤单价下浮率&lt;100%</w:t>
            </w:r>
            <w:r>
              <w:rPr>
                <w:rFonts w:hint="eastAsia" w:ascii="宋体" w:hAnsi="宋体" w:eastAsia="宋体" w:cs="Times New Roman"/>
                <w:color w:val="auto"/>
                <w:szCs w:val="21"/>
                <w:highlight w:val="none"/>
              </w:rPr>
              <w:t xml:space="preserve"> 。</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最高</w:t>
            </w:r>
            <w:r>
              <w:rPr>
                <w:rFonts w:ascii="宋体" w:hAnsi="宋体" w:eastAsia="宋体" w:cs="Times New Roman"/>
                <w:color w:val="auto"/>
                <w:szCs w:val="21"/>
                <w:highlight w:val="none"/>
              </w:rPr>
              <w:t>限价如下所示：</w:t>
            </w:r>
          </w:p>
          <w:tbl>
            <w:tblPr>
              <w:tblStyle w:val="2"/>
              <w:tblW w:w="74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33"/>
              <w:gridCol w:w="2693"/>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7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服务项目</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收费内容</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最高单价</w:t>
                  </w: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81" w:type="dxa"/>
                  <w:vMerge w:val="restart"/>
                  <w:tcBorders>
                    <w:top w:val="nil"/>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3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建筑工程技术审查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营业性用房或设施</w:t>
                  </w:r>
                </w:p>
              </w:tc>
              <w:tc>
                <w:tcPr>
                  <w:tcW w:w="1418"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0.6元/㎡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（按建筑面积）</w:t>
                  </w:r>
                </w:p>
              </w:tc>
              <w:tc>
                <w:tcPr>
                  <w:tcW w:w="1417" w:type="dxa"/>
                  <w:vMerge w:val="restart"/>
                  <w:tcBorders>
                    <w:top w:val="nil"/>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781" w:type="dxa"/>
                  <w:vMerge w:val="continue"/>
                  <w:tcBorders>
                    <w:top w:val="nil"/>
                    <w:left w:val="single" w:color="auto" w:sz="4" w:space="0"/>
                    <w:bottom w:val="single" w:color="auto" w:sz="4" w:space="0"/>
                    <w:right w:val="single" w:color="auto" w:sz="4" w:space="0"/>
                  </w:tcBorders>
                  <w:noWrap/>
                  <w:vAlign w:val="center"/>
                </w:tcPr>
                <w:p>
                  <w:pPr>
                    <w:rPr>
                      <w:rFonts w:hint="eastAsia" w:ascii="等线" w:hAnsi="等线" w:eastAsia="等线" w:cs="等线"/>
                      <w:color w:val="auto"/>
                      <w:sz w:val="20"/>
                      <w:szCs w:val="20"/>
                      <w:highlight w:val="none"/>
                    </w:rPr>
                  </w:pPr>
                </w:p>
              </w:tc>
              <w:tc>
                <w:tcPr>
                  <w:tcW w:w="1133"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工业用房</w:t>
                  </w:r>
                </w:p>
              </w:tc>
              <w:tc>
                <w:tcPr>
                  <w:tcW w:w="1418"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1417" w:type="dxa"/>
                  <w:vMerge w:val="continue"/>
                  <w:tcBorders>
                    <w:top w:val="nil"/>
                    <w:left w:val="single" w:color="auto" w:sz="4" w:space="0"/>
                    <w:bottom w:val="single" w:color="auto" w:sz="4" w:space="0"/>
                    <w:right w:val="single" w:color="auto" w:sz="4" w:space="0"/>
                  </w:tcBorders>
                  <w:noWrap w:val="0"/>
                  <w:vAlign w:val="top"/>
                </w:tcPr>
                <w:p>
                  <w:pPr>
                    <w:rPr>
                      <w:rFonts w:hint="eastAsia" w:ascii="等线" w:hAnsi="等线" w:eastAsia="等线" w:cs="等线"/>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81" w:type="dxa"/>
                  <w:vMerge w:val="continue"/>
                  <w:tcBorders>
                    <w:top w:val="nil"/>
                    <w:left w:val="single" w:color="auto" w:sz="4" w:space="0"/>
                    <w:bottom w:val="single" w:color="auto" w:sz="4" w:space="0"/>
                    <w:right w:val="single" w:color="auto" w:sz="4" w:space="0"/>
                  </w:tcBorders>
                  <w:noWrap/>
                  <w:vAlign w:val="center"/>
                </w:tcPr>
                <w:p>
                  <w:pPr>
                    <w:rPr>
                      <w:rFonts w:hint="eastAsia" w:ascii="等线" w:hAnsi="等线" w:eastAsia="等线" w:cs="等线"/>
                      <w:color w:val="auto"/>
                      <w:sz w:val="20"/>
                      <w:szCs w:val="20"/>
                      <w:highlight w:val="none"/>
                    </w:rPr>
                  </w:pPr>
                </w:p>
              </w:tc>
              <w:tc>
                <w:tcPr>
                  <w:tcW w:w="1133"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住宅及其他建筑</w:t>
                  </w:r>
                </w:p>
              </w:tc>
              <w:tc>
                <w:tcPr>
                  <w:tcW w:w="1418"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1417" w:type="dxa"/>
                  <w:vMerge w:val="continue"/>
                  <w:tcBorders>
                    <w:top w:val="nil"/>
                    <w:left w:val="single" w:color="auto" w:sz="4" w:space="0"/>
                    <w:bottom w:val="single" w:color="auto" w:sz="4" w:space="0"/>
                    <w:right w:val="single" w:color="auto" w:sz="4" w:space="0"/>
                  </w:tcBorders>
                  <w:noWrap w:val="0"/>
                  <w:vAlign w:val="top"/>
                </w:tcPr>
                <w:p>
                  <w:pPr>
                    <w:rPr>
                      <w:rFonts w:hint="eastAsia" w:ascii="等线" w:hAnsi="等线" w:eastAsia="等线" w:cs="等线"/>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781" w:type="dxa"/>
                  <w:vMerge w:val="continue"/>
                  <w:tcBorders>
                    <w:top w:val="nil"/>
                    <w:left w:val="single" w:color="auto" w:sz="4" w:space="0"/>
                    <w:bottom w:val="single" w:color="auto" w:sz="4" w:space="0"/>
                    <w:right w:val="single" w:color="auto" w:sz="4" w:space="0"/>
                  </w:tcBorders>
                  <w:noWrap/>
                  <w:vAlign w:val="center"/>
                </w:tcPr>
                <w:p>
                  <w:pPr>
                    <w:rPr>
                      <w:rFonts w:hint="eastAsia" w:ascii="等线" w:hAnsi="等线" w:eastAsia="等线" w:cs="等线"/>
                      <w:color w:val="auto"/>
                      <w:sz w:val="20"/>
                      <w:szCs w:val="20"/>
                      <w:highlight w:val="none"/>
                    </w:rPr>
                  </w:pPr>
                </w:p>
              </w:tc>
              <w:tc>
                <w:tcPr>
                  <w:tcW w:w="1133"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军事设施（不含家属宿舍、经营性设施）、中小学校（仅九年义务教育）、托儿所、幼儿园、民政部门兴办的敬老院、非营利性的社会福利设施</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100元/个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（按项目数）</w:t>
                  </w:r>
                </w:p>
              </w:tc>
              <w:tc>
                <w:tcPr>
                  <w:tcW w:w="1417" w:type="dxa"/>
                  <w:vMerge w:val="continue"/>
                  <w:tcBorders>
                    <w:top w:val="nil"/>
                    <w:left w:val="single" w:color="auto" w:sz="4" w:space="0"/>
                    <w:bottom w:val="single" w:color="auto" w:sz="4" w:space="0"/>
                    <w:right w:val="single" w:color="auto" w:sz="4" w:space="0"/>
                  </w:tcBorders>
                  <w:noWrap w:val="0"/>
                  <w:vAlign w:val="top"/>
                </w:tcPr>
                <w:p>
                  <w:pPr>
                    <w:rPr>
                      <w:rFonts w:hint="eastAsia" w:ascii="等线" w:hAnsi="等线" w:eastAsia="等线" w:cs="等线"/>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781" w:type="dxa"/>
                  <w:vMerge w:val="restart"/>
                  <w:tcBorders>
                    <w:top w:val="nil"/>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13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景观园林工程技术审查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一般公园绿地类项目的总体规划、修建性详细规划、工程方案</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0.1元/㎡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（按用地面积）</w:t>
                  </w:r>
                </w:p>
              </w:tc>
              <w:tc>
                <w:tcPr>
                  <w:tcW w:w="1417"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最低单笔费用不低于200元；最高单笔费用不得超过15万元。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81" w:type="dxa"/>
                  <w:vMerge w:val="continue"/>
                  <w:tcBorders>
                    <w:top w:val="nil"/>
                    <w:left w:val="single" w:color="auto" w:sz="4" w:space="0"/>
                    <w:bottom w:val="single" w:color="auto" w:sz="4" w:space="0"/>
                    <w:right w:val="single" w:color="auto" w:sz="4" w:space="0"/>
                  </w:tcBorders>
                  <w:noWrap/>
                  <w:vAlign w:val="center"/>
                </w:tcPr>
                <w:p>
                  <w:pPr>
                    <w:rPr>
                      <w:rFonts w:hint="eastAsia" w:ascii="等线" w:hAnsi="等线" w:eastAsia="等线" w:cs="等线"/>
                      <w:color w:val="auto"/>
                      <w:sz w:val="20"/>
                      <w:szCs w:val="20"/>
                      <w:highlight w:val="none"/>
                    </w:rPr>
                  </w:pPr>
                </w:p>
              </w:tc>
              <w:tc>
                <w:tcPr>
                  <w:tcW w:w="1133"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自然保护区、风景名胜区、森林公园、湿地公园等项目总体规划、概念性规划</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0.01元/㎡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（按用地面积）</w:t>
                  </w:r>
                </w:p>
              </w:tc>
              <w:tc>
                <w:tcPr>
                  <w:tcW w:w="1417"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市政工程技术审查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工程管线及其他难以用面积计算的建构筑物</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项目总投资额的0.5‰（按核定的工程投资总额）</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最高单笔费用不得超过15万元。</w:t>
                  </w:r>
                </w:p>
              </w:tc>
            </w:tr>
          </w:tbl>
          <w:p>
            <w:pPr>
              <w:widowControl/>
              <w:shd w:val="clear" w:color="auto" w:fill="FFFFFF"/>
              <w:spacing w:line="360" w:lineRule="auto"/>
              <w:rPr>
                <w:rFonts w:hint="eastAsia"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lang w:val="en-US" w:eastAsia="zh-CN"/>
              </w:rPr>
              <w:t>建</w:t>
            </w:r>
            <w:r>
              <w:rPr>
                <w:rFonts w:hint="eastAsia" w:ascii="宋体" w:hAnsi="宋体" w:eastAsia="宋体" w:cs="Times New Roman"/>
                <w:color w:val="auto"/>
                <w:kern w:val="1"/>
                <w:sz w:val="21"/>
                <w:szCs w:val="21"/>
                <w:highlight w:val="none"/>
              </w:rPr>
              <w:t>筑工程、景观园林工程：单笔结算价＝项目最高单价*</w:t>
            </w:r>
            <w:r>
              <w:rPr>
                <w:rFonts w:hint="eastAsia" w:ascii="宋体" w:hAnsi="宋体" w:eastAsia="宋体" w:cs="Times New Roman"/>
                <w:color w:val="auto"/>
                <w:kern w:val="1"/>
                <w:sz w:val="21"/>
                <w:szCs w:val="21"/>
                <w:highlight w:val="none"/>
                <w:lang w:eastAsia="zh-CN"/>
              </w:rPr>
              <w:t>（</w:t>
            </w:r>
            <w:r>
              <w:rPr>
                <w:rFonts w:hint="eastAsia" w:ascii="宋体" w:hAnsi="宋体" w:eastAsia="宋体" w:cs="Times New Roman"/>
                <w:color w:val="auto"/>
                <w:kern w:val="1"/>
                <w:sz w:val="21"/>
                <w:szCs w:val="21"/>
                <w:highlight w:val="none"/>
                <w:lang w:val="en-US" w:eastAsia="zh-CN"/>
              </w:rPr>
              <w:t>1-</w:t>
            </w:r>
            <w:r>
              <w:rPr>
                <w:rFonts w:hint="eastAsia" w:ascii="宋体" w:hAnsi="宋体" w:eastAsia="宋体" w:cs="Times New Roman"/>
                <w:color w:val="auto"/>
                <w:sz w:val="21"/>
                <w:szCs w:val="21"/>
                <w:highlight w:val="none"/>
                <w:lang w:eastAsia="zh-CN"/>
              </w:rPr>
              <w:t>中标单价下浮率）</w:t>
            </w:r>
            <w:r>
              <w:rPr>
                <w:rFonts w:hint="eastAsia" w:ascii="宋体" w:hAnsi="宋体" w:eastAsia="宋体" w:cs="Times New Roman"/>
                <w:color w:val="auto"/>
                <w:kern w:val="1"/>
                <w:sz w:val="21"/>
                <w:szCs w:val="21"/>
                <w:highlight w:val="none"/>
              </w:rPr>
              <w:t>*实际面积或个数。</w:t>
            </w:r>
          </w:p>
          <w:p>
            <w:pPr>
              <w:widowControl/>
              <w:shd w:val="clear" w:color="auto" w:fill="FFFFFF"/>
              <w:spacing w:line="360" w:lineRule="auto"/>
              <w:rPr>
                <w:rFonts w:hint="eastAsia"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rPr>
              <w:t>举例：100 ㎡营业性用房或设施建筑工程技术审查结算价=0.6元/㎡ *</w:t>
            </w:r>
            <w:r>
              <w:rPr>
                <w:rFonts w:hint="eastAsia" w:ascii="宋体" w:hAnsi="宋体" w:eastAsia="宋体" w:cs="Times New Roman"/>
                <w:strike w:val="0"/>
                <w:dstrike w:val="0"/>
                <w:color w:val="auto"/>
                <w:kern w:val="1"/>
                <w:sz w:val="21"/>
                <w:szCs w:val="21"/>
                <w:highlight w:val="none"/>
              </w:rPr>
              <w:t>（1-</w:t>
            </w:r>
            <w:r>
              <w:rPr>
                <w:rFonts w:hint="eastAsia" w:ascii="宋体" w:hAnsi="宋体" w:eastAsia="宋体" w:cs="Times New Roman"/>
                <w:strike w:val="0"/>
                <w:dstrike w:val="0"/>
                <w:color w:val="auto"/>
                <w:kern w:val="1"/>
                <w:sz w:val="21"/>
                <w:szCs w:val="21"/>
                <w:highlight w:val="none"/>
                <w:lang w:eastAsia="zh-CN"/>
              </w:rPr>
              <w:t>中标单价下浮率</w:t>
            </w:r>
            <w:r>
              <w:rPr>
                <w:rFonts w:hint="eastAsia" w:ascii="宋体" w:hAnsi="宋体" w:eastAsia="宋体" w:cs="Times New Roman"/>
                <w:strike w:val="0"/>
                <w:dstrike w:val="0"/>
                <w:color w:val="auto"/>
                <w:kern w:val="1"/>
                <w:sz w:val="21"/>
                <w:szCs w:val="21"/>
                <w:highlight w:val="none"/>
              </w:rPr>
              <w:t>）</w:t>
            </w:r>
            <w:r>
              <w:rPr>
                <w:rFonts w:hint="eastAsia" w:ascii="宋体" w:hAnsi="宋体" w:eastAsia="宋体" w:cs="Times New Roman"/>
                <w:color w:val="auto"/>
                <w:kern w:val="1"/>
                <w:sz w:val="21"/>
                <w:szCs w:val="21"/>
                <w:highlight w:val="none"/>
              </w:rPr>
              <w:t>*100</w:t>
            </w:r>
          </w:p>
          <w:p>
            <w:pPr>
              <w:widowControl/>
              <w:shd w:val="clear" w:color="auto" w:fill="FFFFFF"/>
              <w:spacing w:line="360" w:lineRule="auto"/>
              <w:rPr>
                <w:rFonts w:hint="eastAsia"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rPr>
              <w:t>市政工程：单笔结算价＝项目总投资额的0.5‰ *</w:t>
            </w:r>
            <w:r>
              <w:rPr>
                <w:rFonts w:hint="eastAsia" w:ascii="宋体" w:hAnsi="宋体" w:eastAsia="宋体" w:cs="Times New Roman"/>
                <w:strike w:val="0"/>
                <w:dstrike w:val="0"/>
                <w:color w:val="auto"/>
                <w:kern w:val="1"/>
                <w:sz w:val="21"/>
                <w:szCs w:val="21"/>
                <w:highlight w:val="none"/>
              </w:rPr>
              <w:t>（1-</w:t>
            </w:r>
            <w:r>
              <w:rPr>
                <w:rFonts w:hint="eastAsia" w:ascii="宋体" w:hAnsi="宋体" w:eastAsia="宋体" w:cs="Times New Roman"/>
                <w:strike w:val="0"/>
                <w:dstrike w:val="0"/>
                <w:color w:val="auto"/>
                <w:kern w:val="1"/>
                <w:sz w:val="21"/>
                <w:szCs w:val="21"/>
                <w:highlight w:val="none"/>
                <w:lang w:eastAsia="zh-CN"/>
              </w:rPr>
              <w:t>中标单价下浮率</w:t>
            </w:r>
            <w:r>
              <w:rPr>
                <w:rFonts w:hint="eastAsia" w:ascii="宋体" w:hAnsi="宋体" w:eastAsia="宋体" w:cs="Times New Roman"/>
                <w:strike w:val="0"/>
                <w:dstrike w:val="0"/>
                <w:color w:val="auto"/>
                <w:kern w:val="1"/>
                <w:sz w:val="21"/>
                <w:szCs w:val="21"/>
                <w:highlight w:val="none"/>
              </w:rPr>
              <w:t>）</w:t>
            </w:r>
            <w:r>
              <w:rPr>
                <w:rFonts w:hint="eastAsia" w:ascii="宋体" w:hAnsi="宋体" w:eastAsia="宋体" w:cs="Times New Roman"/>
                <w:color w:val="auto"/>
                <w:kern w:val="1"/>
                <w:sz w:val="21"/>
                <w:szCs w:val="21"/>
                <w:highlight w:val="none"/>
              </w:rPr>
              <w:t>。</w:t>
            </w:r>
          </w:p>
          <w:p>
            <w:pPr>
              <w:widowControl/>
              <w:shd w:val="clear" w:color="auto" w:fill="FFFFFF"/>
              <w:spacing w:line="360" w:lineRule="auto"/>
              <w:rPr>
                <w:rFonts w:hint="eastAsia"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rPr>
              <w:t>举例：某项目投资总额1000万，其工程管线及其他难以用面积计算的建构筑物技术审查结算价=1000*0.5‰*</w:t>
            </w:r>
            <w:r>
              <w:rPr>
                <w:rFonts w:hint="eastAsia" w:ascii="宋体" w:hAnsi="宋体" w:eastAsia="宋体" w:cs="Times New Roman"/>
                <w:strike w:val="0"/>
                <w:dstrike w:val="0"/>
                <w:color w:val="auto"/>
                <w:kern w:val="1"/>
                <w:sz w:val="21"/>
                <w:szCs w:val="21"/>
                <w:highlight w:val="none"/>
              </w:rPr>
              <w:t>（1-</w:t>
            </w:r>
            <w:r>
              <w:rPr>
                <w:rFonts w:hint="eastAsia" w:ascii="宋体" w:hAnsi="宋体" w:eastAsia="宋体" w:cs="Times New Roman"/>
                <w:strike w:val="0"/>
                <w:dstrike w:val="0"/>
                <w:color w:val="auto"/>
                <w:kern w:val="1"/>
                <w:sz w:val="21"/>
                <w:szCs w:val="21"/>
                <w:highlight w:val="none"/>
                <w:lang w:eastAsia="zh-CN"/>
              </w:rPr>
              <w:t>中标单价下浮率</w:t>
            </w:r>
            <w:r>
              <w:rPr>
                <w:rFonts w:hint="eastAsia" w:ascii="宋体" w:hAnsi="宋体" w:eastAsia="宋体" w:cs="Times New Roman"/>
                <w:strike w:val="0"/>
                <w:dstrike w:val="0"/>
                <w:color w:val="auto"/>
                <w:kern w:val="1"/>
                <w:sz w:val="21"/>
                <w:szCs w:val="21"/>
                <w:highlight w:val="none"/>
              </w:rPr>
              <w:t>）</w:t>
            </w:r>
            <w:r>
              <w:rPr>
                <w:rFonts w:hint="eastAsia" w:ascii="宋体" w:hAnsi="宋体" w:eastAsia="宋体" w:cs="Times New Roman"/>
                <w:color w:val="auto"/>
                <w:kern w:val="1"/>
                <w:sz w:val="21"/>
                <w:szCs w:val="21"/>
                <w:highlight w:val="none"/>
              </w:rPr>
              <w:t>（万元）</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kern w:val="1"/>
                <w:sz w:val="20"/>
                <w:szCs w:val="20"/>
                <w:highlight w:val="none"/>
              </w:rPr>
              <w:t>2.报价</w:t>
            </w:r>
            <w:r>
              <w:rPr>
                <w:rFonts w:hint="eastAsia" w:ascii="宋体" w:hAnsi="宋体" w:eastAsia="宋体" w:cs="Times New Roman"/>
                <w:color w:val="auto"/>
                <w:szCs w:val="21"/>
                <w:highlight w:val="none"/>
              </w:rPr>
              <w:t xml:space="preserve">必须含以下部分，包括： </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（1）服务的价格；</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（2）材料费：成果打印及光盘刻录费用；</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（3）必要的保险费用和各项税金；</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（4）技术审查过程中产生的相关评审费用。</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▲3.付款方式：</w:t>
            </w:r>
            <w:r>
              <w:rPr>
                <w:rFonts w:hint="eastAsia" w:ascii="Times New Roman" w:hAnsi="Times New Roman" w:eastAsia="宋体" w:cs="Times New Roman"/>
                <w:color w:val="auto"/>
                <w:highlight w:val="none"/>
              </w:rPr>
              <w:t>本项目无预付款，</w:t>
            </w:r>
            <w:r>
              <w:rPr>
                <w:rFonts w:hint="eastAsia" w:ascii="Times New Roman" w:hAnsi="Times New Roman" w:eastAsia="宋体" w:cs="Times New Roman"/>
                <w:color w:val="auto"/>
                <w:highlight w:val="none"/>
                <w:lang w:eastAsia="zh-CN"/>
              </w:rPr>
              <w:t>采购人</w:t>
            </w:r>
            <w:r>
              <w:rPr>
                <w:rFonts w:hint="eastAsia" w:ascii="宋体" w:hAnsi="宋体" w:eastAsia="宋体" w:cs="宋体"/>
                <w:color w:val="auto"/>
                <w:szCs w:val="21"/>
                <w:highlight w:val="none"/>
              </w:rPr>
              <w:t>按季度支付合同款</w:t>
            </w:r>
            <w:r>
              <w:rPr>
                <w:rFonts w:hint="eastAsia" w:ascii="宋体" w:hAnsi="宋体" w:eastAsia="宋体" w:cs="宋体"/>
                <w:color w:val="auto"/>
                <w:szCs w:val="21"/>
                <w:highlight w:val="none"/>
                <w:lang w:eastAsia="zh-CN"/>
              </w:rPr>
              <w:t>。每季度按</w:t>
            </w:r>
            <w:r>
              <w:rPr>
                <w:rFonts w:hint="eastAsia" w:ascii="Times New Roman" w:hAnsi="Times New Roman" w:eastAsia="宋体" w:cs="Times New Roman"/>
                <w:color w:val="auto"/>
                <w:highlight w:val="none"/>
              </w:rPr>
              <w:t>中标人提供的技术审查服务工作成果经采购人验收合格后按实际工作量结算合同款，</w:t>
            </w:r>
            <w:r>
              <w:rPr>
                <w:rFonts w:hint="eastAsia" w:ascii="宋体" w:hAnsi="宋体" w:eastAsia="宋体" w:cs="宋体"/>
                <w:color w:val="auto"/>
                <w:szCs w:val="21"/>
                <w:highlight w:val="none"/>
              </w:rPr>
              <w:t>建筑工程、景观园林工程项目支付金额为“最高单价*</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eastAsia="zh-CN"/>
              </w:rPr>
              <w:t>中标单价下浮率</w:t>
            </w:r>
            <w:r>
              <w:rPr>
                <w:rFonts w:hint="eastAsia" w:ascii="宋体" w:hAnsi="宋体" w:eastAsia="宋体" w:cs="Times New Roman"/>
                <w:color w:val="auto"/>
                <w:sz w:val="21"/>
                <w:szCs w:val="21"/>
                <w:highlight w:val="none"/>
              </w:rPr>
              <w:t>）</w:t>
            </w:r>
            <w:r>
              <w:rPr>
                <w:rFonts w:hint="eastAsia" w:ascii="宋体" w:hAnsi="宋体" w:eastAsia="宋体" w:cs="宋体"/>
                <w:color w:val="auto"/>
                <w:szCs w:val="21"/>
                <w:highlight w:val="none"/>
              </w:rPr>
              <w:t>*本季度实际通过技术审查服务验收的工作量”；市政工程项目支付金额为“项目总投资额的0.5‰*</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eastAsia="zh-CN"/>
              </w:rPr>
              <w:t>中标单价下浮率</w:t>
            </w:r>
            <w:r>
              <w:rPr>
                <w:rFonts w:hint="eastAsia" w:ascii="宋体" w:hAnsi="宋体" w:eastAsia="宋体" w:cs="Times New Roman"/>
                <w:color w:val="auto"/>
                <w:sz w:val="21"/>
                <w:szCs w:val="21"/>
                <w:highlight w:val="none"/>
              </w:rPr>
              <w:t>）</w:t>
            </w:r>
            <w:r>
              <w:rPr>
                <w:rFonts w:hint="eastAsia" w:ascii="宋体" w:hAnsi="宋体" w:eastAsia="宋体" w:cs="宋体"/>
                <w:color w:val="auto"/>
                <w:szCs w:val="21"/>
                <w:highlight w:val="none"/>
              </w:rPr>
              <w:t>*本季度实际通过技术审查服务验收的工作量”</w:t>
            </w:r>
            <w:r>
              <w:rPr>
                <w:rFonts w:hint="eastAsia" w:ascii="Times New Roman" w:hAnsi="Times New Roman" w:eastAsia="宋体" w:cs="Times New Roman"/>
                <w:color w:val="auto"/>
                <w:highlight w:val="none"/>
              </w:rPr>
              <w:t>（建设项目取得技术审查合格的意见书且通过甲方审定、审批或批复即视为该项目的技术审查服务工作通过验收</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如建设单位因主观原因对已通过采购人审批或批复的图纸进行调整而申请技术审查服务的，由建设单位自行承担技术审查费用，</w:t>
            </w:r>
            <w:r>
              <w:rPr>
                <w:rFonts w:hint="eastAsia" w:ascii="Times New Roman" w:hAnsi="Times New Roman" w:eastAsia="宋体" w:cs="Times New Roman"/>
                <w:color w:val="auto"/>
                <w:highlight w:val="none"/>
                <w:lang w:eastAsia="zh-CN"/>
              </w:rPr>
              <w:t>原则上采用本分标中标供应商，</w:t>
            </w:r>
            <w:r>
              <w:rPr>
                <w:rFonts w:hint="eastAsia" w:ascii="Times New Roman" w:hAnsi="Times New Roman" w:eastAsia="宋体" w:cs="Times New Roman"/>
                <w:color w:val="auto"/>
                <w:highlight w:val="none"/>
              </w:rPr>
              <w:t>计费单价及标准不高于本次竞标报价及标准）。</w:t>
            </w:r>
            <w:r>
              <w:rPr>
                <w:rFonts w:hint="eastAsia" w:ascii="宋体" w:hAnsi="宋体" w:eastAsia="宋体" w:cs="宋体"/>
                <w:color w:val="auto"/>
                <w:szCs w:val="21"/>
                <w:highlight w:val="none"/>
              </w:rPr>
              <w:t xml:space="preserve"> 款项支付时，中标人同时向采购人提供相应金额的正式发票。</w:t>
            </w:r>
            <w:r>
              <w:rPr>
                <w:rFonts w:hint="eastAsia" w:ascii="宋体" w:hAnsi="宋体" w:eastAsia="宋体" w:cs="Times New Roman"/>
                <w:color w:val="auto"/>
                <w:szCs w:val="21"/>
                <w:highlight w:val="none"/>
              </w:rPr>
              <w:t xml:space="preserve">  </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.因管理的需要或政策的变动，增加技术审查内容所带来的工作量，中标人不再追加服务费。</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.若投标人在服务期内违反其做出的相关承诺,采购人有权终止合同并通过诚信管理制度进行管理。</w:t>
            </w:r>
          </w:p>
          <w:p>
            <w:pPr>
              <w:widowControl/>
              <w:shd w:val="clear" w:color="auto" w:fill="FFFFFF"/>
              <w:spacing w:line="360" w:lineRule="auto"/>
              <w:rPr>
                <w:rFonts w:hint="default" w:ascii="Times New Roman" w:hAnsi="Times New Roman" w:eastAsia="宋体" w:cs="Times New Roman"/>
                <w:color w:val="auto"/>
                <w:highlight w:val="none"/>
                <w:lang w:val="en-US" w:eastAsia="zh-CN"/>
              </w:rPr>
            </w:pP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.保密要求：中标人须严格遵守采购人保密制度要求，在项目开展过程中，对本项目所有项目信息以及接触到数据予以保密，未经采购人书面允许，不得以任何形式向第三方透露本项目的任何内容。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0"/>
            <w:vAlign w:val="center"/>
          </w:tcPr>
          <w:p>
            <w:pPr>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其他说明</w:t>
            </w:r>
          </w:p>
        </w:tc>
        <w:tc>
          <w:tcPr>
            <w:tcW w:w="9279" w:type="dxa"/>
            <w:gridSpan w:val="5"/>
            <w:noWrap w:val="0"/>
            <w:vAlign w:val="center"/>
          </w:tcPr>
          <w:p>
            <w:pPr>
              <w:widowControl/>
              <w:spacing w:line="360" w:lineRule="exact"/>
              <w:jc w:val="left"/>
              <w:rPr>
                <w:rFonts w:hint="default" w:ascii="Times New Roman" w:hAnsi="Times New Roman" w:eastAsia="宋体" w:cs="Times New Roman"/>
                <w:color w:val="auto"/>
                <w:highlight w:val="none"/>
                <w:lang w:val="en-US" w:eastAsia="zh-CN"/>
              </w:rPr>
            </w:pPr>
            <w:r>
              <w:rPr>
                <w:rFonts w:hint="eastAsia" w:ascii="宋体" w:hAnsi="宋体" w:eastAsia="宋体" w:cs="Times New Roman"/>
                <w:color w:val="auto"/>
                <w:szCs w:val="21"/>
                <w:highlight w:val="none"/>
              </w:rPr>
              <w:t>合同延续年限、条件和方式：</w:t>
            </w:r>
            <w:r>
              <w:rPr>
                <w:rFonts w:hint="eastAsia" w:ascii="宋体" w:hAnsi="宋体" w:eastAsia="宋体" w:cs="Times New Roman"/>
                <w:color w:val="auto"/>
                <w:kern w:val="0"/>
                <w:szCs w:val="21"/>
                <w:highlight w:val="none"/>
              </w:rPr>
              <w:t>本项目合同履约期到期后，采购人依据本项目的服务履约评价情况及实际需求，并根据《财政部关于推进和完善服务项目政府有关问题的通知》（财库</w:t>
            </w:r>
            <w:r>
              <w:rPr>
                <w:rFonts w:hint="eastAsia" w:ascii="宋体" w:hAnsi="宋体" w:eastAsia="宋体" w:cs="Times New Roman"/>
                <w:color w:val="auto"/>
                <w:kern w:val="0"/>
                <w:szCs w:val="21"/>
                <w:highlight w:val="none"/>
                <w:lang w:eastAsia="zh-CN"/>
              </w:rPr>
              <w:t>〔2014〕37号</w:t>
            </w:r>
            <w:r>
              <w:rPr>
                <w:rFonts w:hint="eastAsia" w:ascii="宋体" w:hAnsi="宋体" w:eastAsia="宋体" w:cs="Times New Roman"/>
                <w:color w:val="auto"/>
                <w:kern w:val="0"/>
                <w:szCs w:val="21"/>
                <w:highlight w:val="none"/>
              </w:rPr>
              <w:t>）及《政府购买服务管理办法》（财政部令102号）等规定，在年度预算保障的前提下，对于购买内容（采购需求）相对固定、连续（延续）性强、经费来源稳定、价格变化幅度小的政府采购服务项目，可以通过一年一续签方式签订合同</w:t>
            </w:r>
            <w:r>
              <w:rPr>
                <w:rFonts w:hint="eastAsia" w:ascii="宋体" w:hAnsi="宋体" w:eastAsia="宋体" w:cs="Times New Roman"/>
                <w:color w:val="auto"/>
                <w:kern w:val="0"/>
                <w:szCs w:val="21"/>
                <w:highlight w:val="none"/>
                <w:lang w:eastAsia="zh-CN"/>
              </w:rPr>
              <w:t>，本项目最多续签一年合同</w:t>
            </w:r>
            <w:r>
              <w:rPr>
                <w:rFonts w:hint="eastAsia" w:ascii="宋体" w:hAnsi="宋体" w:eastAsia="宋体" w:cs="Times New Roman"/>
                <w:color w:val="auto"/>
                <w:kern w:val="0"/>
                <w:szCs w:val="21"/>
                <w:highlight w:val="none"/>
              </w:rPr>
              <w:t>。投标人可以自由选择接受或拒绝。</w:t>
            </w:r>
          </w:p>
        </w:tc>
      </w:tr>
      <w:bookmarkEnd w:id="0"/>
    </w:tbl>
    <w:p>
      <w:pPr>
        <w:adjustRightInd/>
        <w:spacing w:line="240" w:lineRule="auto"/>
        <w:ind w:left="119"/>
        <w:textAlignment w:val="auto"/>
        <w:rPr>
          <w:rFonts w:hint="default" w:ascii="Times New Roman" w:hAnsi="Times New Roman" w:eastAsia="宋体" w:cs="Times New Roman"/>
          <w:color w:val="auto"/>
          <w:highlight w:val="none"/>
          <w:lang w:val="en-US" w:eastAsia="zh-CN"/>
        </w:rPr>
      </w:pPr>
    </w:p>
    <w:p>
      <w:pPr>
        <w:adjustRightInd/>
        <w:spacing w:line="240" w:lineRule="auto"/>
        <w:ind w:left="119"/>
        <w:textAlignment w:val="auto"/>
        <w:rPr>
          <w:rFonts w:hint="default" w:ascii="Times New Roman" w:hAnsi="Times New Roman" w:eastAsia="宋体" w:cs="Times New Roman"/>
          <w:color w:val="auto"/>
          <w:highlight w:val="none"/>
          <w:lang w:val="en-US" w:eastAsia="zh-CN"/>
        </w:rPr>
      </w:pPr>
    </w:p>
    <w:p>
      <w:pPr>
        <w:adjustRightInd/>
        <w:spacing w:line="240" w:lineRule="auto"/>
        <w:ind w:left="119"/>
        <w:textAlignment w:val="auto"/>
        <w:rPr>
          <w:rFonts w:hint="default" w:ascii="Times New Roman" w:hAnsi="Times New Roman" w:eastAsia="宋体" w:cs="Times New Roman"/>
          <w:color w:val="auto"/>
          <w:highlight w:val="none"/>
          <w:lang w:val="en-US" w:eastAsia="zh-CN"/>
        </w:rPr>
      </w:pPr>
    </w:p>
    <w:p>
      <w:pPr>
        <w:adjustRightInd/>
        <w:spacing w:line="240" w:lineRule="auto"/>
        <w:ind w:left="119"/>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br w:type="page"/>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508"/>
        <w:gridCol w:w="802"/>
        <w:gridCol w:w="569"/>
        <w:gridCol w:w="6304"/>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27" w:type="dxa"/>
            <w:vMerge w:val="restart"/>
            <w:noWrap w:val="0"/>
            <w:vAlign w:val="center"/>
          </w:tcPr>
          <w:p>
            <w:pPr>
              <w:rPr>
                <w:rFonts w:hint="eastAsia" w:ascii="Times New Roman" w:hAnsi="Times New Roman" w:eastAsia="宋体" w:cs="Times New Roman"/>
                <w:b/>
                <w:bCs/>
                <w:color w:val="auto"/>
                <w:highlight w:val="none"/>
                <w:lang w:eastAsia="zh-CN"/>
              </w:rPr>
            </w:pPr>
            <w:r>
              <w:rPr>
                <w:rFonts w:hint="eastAsia" w:ascii="Times New Roman" w:hAnsi="Times New Roman" w:eastAsia="宋体" w:cs="Times New Roman"/>
                <w:b/>
                <w:bCs/>
                <w:color w:val="auto"/>
                <w:highlight w:val="none"/>
                <w:lang w:val="en-US" w:eastAsia="zh-CN"/>
              </w:rPr>
              <w:t>2</w:t>
            </w:r>
            <w:r>
              <w:rPr>
                <w:rFonts w:hint="eastAsia" w:ascii="Times New Roman" w:hAnsi="Times New Roman" w:eastAsia="宋体" w:cs="Times New Roman"/>
                <w:b/>
                <w:bCs/>
                <w:color w:val="auto"/>
                <w:highlight w:val="none"/>
                <w:lang w:eastAsia="zh-CN"/>
              </w:rPr>
              <w:t>分标采购清单及服务参数</w:t>
            </w:r>
          </w:p>
        </w:tc>
        <w:tc>
          <w:tcPr>
            <w:tcW w:w="508" w:type="dxa"/>
            <w:noWrap w:val="0"/>
            <w:vAlign w:val="center"/>
          </w:tcPr>
          <w:p>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序号</w:t>
            </w:r>
          </w:p>
        </w:tc>
        <w:tc>
          <w:tcPr>
            <w:tcW w:w="802" w:type="dxa"/>
            <w:noWrap w:val="0"/>
            <w:vAlign w:val="center"/>
          </w:tcPr>
          <w:p>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标的名称</w:t>
            </w:r>
          </w:p>
        </w:tc>
        <w:tc>
          <w:tcPr>
            <w:tcW w:w="569" w:type="dxa"/>
            <w:noWrap w:val="0"/>
            <w:vAlign w:val="center"/>
          </w:tcPr>
          <w:p>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数量</w:t>
            </w:r>
          </w:p>
        </w:tc>
        <w:tc>
          <w:tcPr>
            <w:tcW w:w="6304" w:type="dxa"/>
            <w:noWrap w:val="0"/>
            <w:tcMar>
              <w:top w:w="0" w:type="dxa"/>
              <w:left w:w="0" w:type="dxa"/>
              <w:bottom w:w="0" w:type="dxa"/>
              <w:right w:w="0" w:type="dxa"/>
            </w:tcMar>
            <w:vAlign w:val="center"/>
          </w:tcPr>
          <w:p>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服务参数</w:t>
            </w:r>
          </w:p>
        </w:tc>
        <w:tc>
          <w:tcPr>
            <w:tcW w:w="1096" w:type="dxa"/>
            <w:noWrap w:val="0"/>
            <w:vAlign w:val="center"/>
          </w:tcPr>
          <w:p>
            <w:pPr>
              <w:jc w:val="center"/>
              <w:rPr>
                <w:rFonts w:ascii="Times New Roman" w:hAnsi="Times New Roman" w:eastAsia="宋体" w:cs="Times New Roman"/>
                <w:b/>
                <w:bCs/>
                <w:color w:val="auto"/>
                <w:highlight w:val="none"/>
              </w:rPr>
            </w:pPr>
            <w:r>
              <w:rPr>
                <w:rFonts w:hint="eastAsia" w:ascii="Times New Roman" w:hAnsi="Times New Roman" w:eastAsia="宋体" w:cs="Times New Roman"/>
                <w:b/>
                <w:bCs/>
                <w:color w:val="auto"/>
                <w:sz w:val="18"/>
                <w:szCs w:val="21"/>
                <w:highlight w:val="none"/>
              </w:rPr>
              <w:t>分项预算合计（元）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pPr>
              <w:rPr>
                <w:rFonts w:ascii="Times New Roman" w:hAnsi="Times New Roman" w:eastAsia="宋体" w:cs="Times New Roman"/>
                <w:b/>
                <w:bCs/>
                <w:color w:val="auto"/>
                <w:highlight w:val="none"/>
              </w:rPr>
            </w:pPr>
          </w:p>
        </w:tc>
        <w:tc>
          <w:tcPr>
            <w:tcW w:w="508" w:type="dxa"/>
            <w:noWrap w:val="0"/>
            <w:vAlign w:val="center"/>
          </w:tcPr>
          <w:p>
            <w:pPr>
              <w:widowControl/>
              <w:spacing w:line="240" w:lineRule="auto"/>
              <w:ind w:firstLine="0" w:firstLineChars="0"/>
              <w:jc w:val="center"/>
              <w:rPr>
                <w:rFonts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rPr>
              <w:t>1</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南宁高新技术产业开发区规划技术审查服务（涉及回避的项目）</w:t>
            </w:r>
          </w:p>
        </w:tc>
        <w:tc>
          <w:tcPr>
            <w:tcW w:w="569"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w:t>
            </w:r>
          </w:p>
        </w:tc>
        <w:tc>
          <w:tcPr>
            <w:tcW w:w="6304" w:type="dxa"/>
            <w:noWrap w:val="0"/>
            <w:vAlign w:val="top"/>
          </w:tcPr>
          <w:p>
            <w:pPr>
              <w:spacing w:line="360" w:lineRule="auto"/>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一、项目概述</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建设项目规划审批是城市规划实施的核心制度，具有技术性强、专业性强、公共政策强的属性。开展规划技术审查工作，将建设方案是否符合国家强制性技术标准、是否符合城乡规划以及其他政策法规要求等涉及科学合理性、技术可行性的技术问题的审查工作交由具备相应资质与经验的第三方服务机构负责，实现技术审查与行政审批分离，既可保证规划审查的质量，也有利于提高行政审批效能，符合深化审批制度改革与推动政府职能转变的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二、技术审查项目内容和要求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▲（一）技术审查适用范围：</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以下南宁市区范围内由南宁市自然资源局高新技术开发区分局负责审批、许可的项目</w:t>
            </w:r>
            <w:r>
              <w:rPr>
                <w:rFonts w:hint="eastAsia" w:ascii="宋体" w:hAnsi="宋体" w:eastAsia="宋体" w:cs="Times New Roman"/>
                <w:color w:val="auto"/>
                <w:szCs w:val="21"/>
                <w:highlight w:val="none"/>
              </w:rPr>
              <w:t>（涉及回避）</w:t>
            </w:r>
            <w:r>
              <w:rPr>
                <w:rFonts w:hint="default" w:ascii="宋体" w:hAnsi="宋体" w:eastAsia="宋体" w:cs="Times New Roman"/>
                <w:b w:val="0"/>
                <w:bCs/>
                <w:color w:val="auto"/>
                <w:szCs w:val="21"/>
                <w:highlight w:val="none"/>
                <w:lang w:val="en-US" w:eastAsia="zh-CN"/>
              </w:rPr>
              <w:t>：</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（1）新建民用建筑项目</w:t>
            </w:r>
            <w:r>
              <w:rPr>
                <w:rFonts w:hint="eastAsia" w:ascii="宋体" w:hAnsi="宋体" w:eastAsia="宋体" w:cs="Times New Roman"/>
                <w:color w:val="auto"/>
                <w:szCs w:val="21"/>
                <w:highlight w:val="none"/>
              </w:rPr>
              <w:t>（涉及回避）</w:t>
            </w:r>
            <w:r>
              <w:rPr>
                <w:rFonts w:hint="default" w:ascii="宋体" w:hAnsi="宋体" w:eastAsia="宋体" w:cs="Times New Roman"/>
                <w:b w:val="0"/>
                <w:bCs/>
                <w:color w:val="auto"/>
                <w:szCs w:val="21"/>
                <w:highlight w:val="none"/>
                <w:lang w:val="en-US" w:eastAsia="zh-CN"/>
              </w:rPr>
              <w:t>；</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2）新建非小型低风险产业类工业建筑项目（小型低风险产业类工业建筑项目指项目总建筑面积不大于5000平方米，不涉及易燃易爆、有毒有害和劳动密集型的新建、改建、扩建的标准厂房和普通仓库），非“标准地”出让的工业建筑项目</w:t>
            </w:r>
            <w:r>
              <w:rPr>
                <w:rFonts w:hint="eastAsia" w:ascii="宋体" w:hAnsi="宋体" w:eastAsia="宋体" w:cs="Times New Roman"/>
                <w:color w:val="auto"/>
                <w:szCs w:val="21"/>
                <w:highlight w:val="none"/>
              </w:rPr>
              <w:t>（涉及回避）</w:t>
            </w:r>
            <w:r>
              <w:rPr>
                <w:rFonts w:hint="default" w:ascii="宋体" w:hAnsi="宋体" w:eastAsia="宋体" w:cs="Times New Roman"/>
                <w:b w:val="0"/>
                <w:bCs/>
                <w:color w:val="auto"/>
                <w:szCs w:val="21"/>
                <w:highlight w:val="none"/>
                <w:lang w:val="en-US" w:eastAsia="zh-CN"/>
              </w:rPr>
              <w:t>；</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（3）新建景观园林工程项目</w:t>
            </w:r>
            <w:r>
              <w:rPr>
                <w:rFonts w:hint="eastAsia" w:ascii="宋体" w:hAnsi="宋体" w:eastAsia="宋体" w:cs="Times New Roman"/>
                <w:color w:val="auto"/>
                <w:szCs w:val="21"/>
                <w:highlight w:val="none"/>
              </w:rPr>
              <w:t>（涉及回避）</w:t>
            </w:r>
            <w:r>
              <w:rPr>
                <w:rFonts w:hint="default" w:ascii="宋体" w:hAnsi="宋体" w:eastAsia="宋体" w:cs="Times New Roman"/>
                <w:b w:val="0"/>
                <w:bCs/>
                <w:color w:val="auto"/>
                <w:szCs w:val="21"/>
                <w:highlight w:val="none"/>
                <w:lang w:val="en-US" w:eastAsia="zh-CN"/>
              </w:rPr>
              <w:t xml:space="preserve">； </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（4）新建、改建、扩建的交通、道路、重大工程项目的管线、市政场站（除开闭所、照明工程、通信基站、广播电视发射塔外）等市政工程项目</w:t>
            </w:r>
            <w:r>
              <w:rPr>
                <w:rFonts w:hint="eastAsia" w:ascii="宋体" w:hAnsi="宋体" w:eastAsia="宋体" w:cs="Times New Roman"/>
                <w:color w:val="auto"/>
                <w:szCs w:val="21"/>
                <w:highlight w:val="none"/>
              </w:rPr>
              <w:t>（涉及回避）</w:t>
            </w:r>
            <w:r>
              <w:rPr>
                <w:rFonts w:hint="default" w:ascii="宋体" w:hAnsi="宋体" w:eastAsia="宋体" w:cs="Times New Roman"/>
                <w:b w:val="0"/>
                <w:bCs/>
                <w:color w:val="auto"/>
                <w:szCs w:val="21"/>
                <w:highlight w:val="none"/>
                <w:lang w:val="en-US" w:eastAsia="zh-CN"/>
              </w:rPr>
              <w:t>；</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◆（5）扩建、改建单体建筑面积大于5000平方米的公共建筑及工业建筑；涉及调整建筑面积、建筑高度、建筑层数和使用性质的居住建筑；工程投资额在30万以上或者建筑面积在300平方米以上的改建工程</w:t>
            </w:r>
            <w:r>
              <w:rPr>
                <w:rFonts w:hint="eastAsia" w:ascii="宋体" w:hAnsi="宋体" w:eastAsia="宋体" w:cs="Times New Roman"/>
                <w:color w:val="auto"/>
                <w:szCs w:val="21"/>
                <w:highlight w:val="none"/>
              </w:rPr>
              <w:t>（涉及回避）</w:t>
            </w:r>
            <w:r>
              <w:rPr>
                <w:rFonts w:hint="default" w:ascii="宋体" w:hAnsi="宋体" w:eastAsia="宋体" w:cs="Times New Roman"/>
                <w:b w:val="0"/>
                <w:bCs/>
                <w:color w:val="auto"/>
                <w:szCs w:val="21"/>
                <w:highlight w:val="none"/>
                <w:lang w:val="en-US" w:eastAsia="zh-CN"/>
              </w:rPr>
              <w:t>。</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（6）其他</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认为需要开展技术审查的建筑、景观园林、市政工程项目</w:t>
            </w:r>
            <w:r>
              <w:rPr>
                <w:rFonts w:hint="eastAsia" w:ascii="宋体" w:hAnsi="宋体" w:eastAsia="宋体" w:cs="Times New Roman"/>
                <w:color w:val="auto"/>
                <w:szCs w:val="21"/>
                <w:highlight w:val="none"/>
              </w:rPr>
              <w:t>（涉及回避）</w:t>
            </w:r>
            <w:r>
              <w:rPr>
                <w:rFonts w:hint="default" w:ascii="宋体" w:hAnsi="宋体" w:eastAsia="宋体" w:cs="Times New Roman"/>
                <w:b w:val="0"/>
                <w:bCs/>
                <w:color w:val="auto"/>
                <w:szCs w:val="21"/>
                <w:highlight w:val="none"/>
                <w:lang w:val="en-US" w:eastAsia="zh-CN"/>
              </w:rPr>
              <w:t>。</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备注：涉及回避的项目指设计单位与技术审查单位为同一家单位的项目。</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 xml:space="preserve">▲（二）建筑工程项目技术审查工作内容： </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1.审查申请单位是否符合法定资格；审查报建材料、图纸是否完备且符合要求；核查建设资质、设计资质、签名及盖章是否齐备。</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2.审查建设项目是否取得土地使用证明文件，且建设内容是否符合土地使用证明文件及相关批文要求。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3.审查项目建设内容是否符合控制性详细规划、设计条件要求，是否符合各专项管控要求（含机场净空保护管控、国家安全设施与气象观测场周边建设管控、河道、城市交通系统管控、建筑艺术专审控制等），是否符合国家及地方政策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4.审查项目与周边现状（含现状地形、管线、临避设施、建构筑物、城市道路、基地出入口等）衔接关系；核查项目用地红线范围内历史审批文证及建设情况。</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 xml:space="preserve">5. 核查项目日照分析报告编制内容及承诺书是否符合《南宁市自然资源局关于改进建筑日照分析管理方式的通知》（南自然资发〔2021〕93号）要求，日照结论是否符合我市技术规定及审批政策要求。 </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6.审查项目技术经济指标是否符合土地证明文件、规划设计条件。</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7.审查方案设计（包括技术图纸、建筑面积计算、外立面效果与楼宇亮化）是否符合工程设计相关规范、标准以及我市规划管理各类技术规定的要求；方案编制深度是否符合《南宁市自然资源局关于印发&lt;南宁市房建类建设工程规划许可报建方案图纸编制内容及深度要求</w:t>
            </w:r>
            <w:r>
              <w:rPr>
                <w:rFonts w:hint="eastAsia" w:ascii="宋体" w:hAnsi="宋体" w:eastAsia="宋体" w:cs="Times New Roman"/>
                <w:b w:val="0"/>
                <w:bCs/>
                <w:color w:val="auto"/>
                <w:szCs w:val="21"/>
                <w:highlight w:val="none"/>
                <w:lang w:val="en-US" w:eastAsia="zh-CN"/>
              </w:rPr>
              <w:t>〉的通知》</w:t>
            </w:r>
            <w:r>
              <w:rPr>
                <w:rFonts w:hint="default" w:ascii="宋体" w:hAnsi="宋体" w:eastAsia="宋体" w:cs="Times New Roman"/>
                <w:b w:val="0"/>
                <w:bCs/>
                <w:color w:val="auto"/>
                <w:szCs w:val="21"/>
                <w:highlight w:val="none"/>
                <w:lang w:val="en-US" w:eastAsia="zh-CN"/>
              </w:rPr>
              <w:t>(南自然资发〔2019〕2310号)要求。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8.审查电子报建文件是否完备且符合要求，包括图形坐标、制图规范性、图形的图层及属性、建筑面积计算、技术经济指标计算、与纸质文件的一致性等内容。</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9.审查项目海绵化设计强制性指标是否满足设计条件要求。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10.审查排水排污系统规划是否符合规划管控要求。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11.技术审查包含现场踏勘和成果资料的技术审查。</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▲（三）景观园林工程项目技术审查工作内容：</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1.审查景观园林项目立项依据；审查报建材料、图纸、设计方案是否达到编制深度要求；核查建设资质、设计单位资质、签名及盖章是否齐备。</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2.审查景观园林的具体位置与范围，审查建设项目是否位于用地权属范围内。</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3.审查景观园林项目建设（包括用地性质、用地范围、建设内容等）否符合国土空间总体规划、控制性详细规划及相关专项规划的要求。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4.审查景观园林项目与周边现状（含现状地形、管线、临避设施、建构筑物、城市道路、基地出入口等）衔接关系；核查项目用地红线范围内历史审批文证及建设情况。</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5.审查景观园林项目总体平面布局，是否对功能分区和景区划分、地形布局、园路系统、植物布局、建筑物布局、设施布局及工程管线系统做出综合设计，审查公园出入口是否综合考虑公园内部交通及周边居民的使用需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6.审查公园类项目设计是否符合《公园设计规范》要求，包括且不限于公园内用地类型面积比例、总建筑面积与建筑占地面积比例、公园各类设施设置要求等。</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7. 审查公园类项目的建筑物、构筑物专项设计内容，建（构）筑物的位置、规模、造型、材料、色彩及其使用功能应符合公园总体规划要求。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8.审查公园园路系统与铺装场地是否与公园总体规划一致。</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 xml:space="preserve">9. 审查公园类项目方案的竖向设计、绿化景观设计、给排水和电气等设计内容是否符合《公园设计规范》要求。 </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10.审查景观园林项目的建设规模及投资额是否符合相关批文或政府会议纪要要求。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（四）市政工程审查工作内容：</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申请单位符合法定资格，材料、图纸完备；道路、桥梁、交通、排水、管线、管廊、海绵城市设计等工程方案应符合国土空间规划（总体规划、详细规划、相关专项规划）、国家规范、地方规范及政府相关批文要求；市政场站尚需符合土地约定条件；有景观要求的项目，景观效果需符合要求；与现状项目、在建项目、正在开展设计的项目或规划的衔接。</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▲（五）技术审查工作时限：</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工作时限以</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通知时间为工作时限起算时间。设计方案审查时限应符合工程建设许可阶段审批流程要求。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▲三、遵循的规范、文件</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（一）《南宁市城市规划管理技术规定</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南宁市建筑工程规划指引</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南宁市建筑工程规划指引补充规定</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南宁市建筑风貌控制导则》等地方规范性文件。</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（二）《民用建筑通用规范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民用建筑设计统一标准</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建筑工程建筑面积计算规范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城市居住区规划设计标准》《住宅设计规范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中小学设计规范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公园设计规范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城市绿地分类标准</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建筑设计防火规范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城乡建设用地竖向规划规范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城市道路工程设计规范</w:t>
            </w:r>
            <w:r>
              <w:rPr>
                <w:rFonts w:hint="eastAsia" w:ascii="宋体" w:hAnsi="宋体" w:eastAsia="宋体" w:cs="Times New Roman"/>
                <w:b w:val="0"/>
                <w:bCs/>
                <w:color w:val="auto"/>
                <w:szCs w:val="21"/>
                <w:highlight w:val="none"/>
                <w:lang w:val="en-US" w:eastAsia="zh-CN"/>
              </w:rPr>
              <w:t>》《</w:t>
            </w:r>
            <w:r>
              <w:rPr>
                <w:rFonts w:hint="default" w:ascii="宋体" w:hAnsi="宋体" w:eastAsia="宋体" w:cs="Times New Roman"/>
                <w:b w:val="0"/>
                <w:bCs/>
                <w:color w:val="auto"/>
                <w:szCs w:val="21"/>
                <w:highlight w:val="none"/>
                <w:lang w:val="en-US" w:eastAsia="zh-CN"/>
              </w:rPr>
              <w:t>室外排水设计标准》等国家或国家部委颁布的规范性文件。</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（三）南宁市颁布的相关国土空间规划</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（五）法定规划及相关国家标准、技术规范等。</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四、项目工作大纲技术方案要求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在响应文件中提供项目工作大纲技术方案。具体要求如下（包括但不限于以下内容）：</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（一）对项目的认识：供应商对本项工作的背景、目标和内容进行描述。</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（二）技术思路：供应商对本项工作的时间进度、过程控制、成果质量保证三方面措施进行描述。</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五、服务要求</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1.供应商需指派专人担任本服务期的管理及技术负责人，管理及技术负责人应能与</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和相关单位有效沟通，确保审查质量并承担相应责任。</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2.供应商不得将</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委托的审查工作转交第三方完成。</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default"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将不定期地对供应商拟投入的专职审查人员在岗情况进行检查，经查实供应商擅自减少专职审核员达一定比例，或实际专职审核员配备达不到合同约定的最低人数时，</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有权暂停供应商编审服务。</w:t>
            </w:r>
          </w:p>
        </w:tc>
        <w:tc>
          <w:tcPr>
            <w:tcW w:w="1096" w:type="dxa"/>
            <w:noWrap w:val="0"/>
            <w:vAlign w:val="center"/>
          </w:tcPr>
          <w:p>
            <w:pPr>
              <w:spacing w:line="570" w:lineRule="exact"/>
              <w:rPr>
                <w:rFonts w:hint="default" w:ascii="宋体" w:hAnsi="宋体" w:eastAsia="宋体" w:cs="宋体"/>
                <w:color w:val="auto"/>
                <w:sz w:val="21"/>
                <w:szCs w:val="21"/>
                <w:highlight w:val="none"/>
                <w:lang w:val="en-US" w:eastAsia="zh-CN"/>
              </w:rPr>
            </w:pPr>
            <w:r>
              <w:rPr>
                <w:rFonts w:hint="eastAsia" w:ascii="宋体" w:hAnsi="宋体" w:eastAsia="宋体" w:cs="Times New Roman"/>
                <w:color w:val="auto"/>
                <w:sz w:val="18"/>
                <w:szCs w:val="18"/>
                <w:highlight w:val="none"/>
                <w:lang w:val="en-US" w:eastAsia="zh-CN"/>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0"/>
            <w:vAlign w:val="center"/>
          </w:tcPr>
          <w:p>
            <w:pPr>
              <w:rPr>
                <w:rFonts w:hint="eastAsia" w:ascii="宋体" w:hAnsi="宋体" w:eastAsia="宋体" w:cs="宋体"/>
                <w:b/>
                <w:bCs/>
                <w:color w:val="auto"/>
                <w:highlight w:val="none"/>
              </w:rPr>
            </w:pPr>
            <w:r>
              <w:rPr>
                <w:rFonts w:hint="eastAsia" w:ascii="宋体" w:hAnsi="宋体" w:eastAsia="宋体" w:cs="宋体"/>
                <w:b/>
                <w:bCs/>
                <w:color w:val="auto"/>
                <w:highlight w:val="none"/>
              </w:rPr>
              <w:t>商务条款</w:t>
            </w:r>
          </w:p>
        </w:tc>
        <w:tc>
          <w:tcPr>
            <w:tcW w:w="9279" w:type="dxa"/>
            <w:gridSpan w:val="5"/>
            <w:noWrap w:val="0"/>
            <w:vAlign w:val="center"/>
          </w:tcPr>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一、合同签订期：自中标通知书发出之日起25日内</w:t>
            </w:r>
          </w:p>
          <w:p>
            <w:p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color w:val="auto"/>
                <w:szCs w:val="21"/>
                <w:highlight w:val="none"/>
              </w:rPr>
              <w:t>▲二、提交服务成果时间：</w:t>
            </w:r>
            <w:r>
              <w:rPr>
                <w:rFonts w:hint="default" w:ascii="宋体" w:hAnsi="宋体" w:eastAsia="宋体" w:cs="Times New Roman"/>
                <w:b w:val="0"/>
                <w:bCs/>
                <w:color w:val="auto"/>
                <w:szCs w:val="21"/>
                <w:highlight w:val="none"/>
                <w:lang w:val="en-US" w:eastAsia="zh-CN"/>
              </w:rPr>
              <w:t>工作时限以</w:t>
            </w:r>
            <w:r>
              <w:rPr>
                <w:rFonts w:hint="eastAsia" w:ascii="宋体" w:hAnsi="宋体" w:eastAsia="宋体" w:cs="Times New Roman"/>
                <w:b w:val="0"/>
                <w:bCs/>
                <w:color w:val="auto"/>
                <w:szCs w:val="21"/>
                <w:highlight w:val="none"/>
                <w:lang w:val="en-US" w:eastAsia="zh-CN"/>
              </w:rPr>
              <w:t>采购人</w:t>
            </w:r>
            <w:r>
              <w:rPr>
                <w:rFonts w:hint="default" w:ascii="宋体" w:hAnsi="宋体" w:eastAsia="宋体" w:cs="Times New Roman"/>
                <w:b w:val="0"/>
                <w:bCs/>
                <w:color w:val="auto"/>
                <w:szCs w:val="21"/>
                <w:highlight w:val="none"/>
                <w:lang w:val="en-US" w:eastAsia="zh-CN"/>
              </w:rPr>
              <w:t>通知时间为工作时限起算时间。设计方案审查时限应符合工程建设许可阶段审批流程要求。</w:t>
            </w:r>
          </w:p>
          <w:p>
            <w:pPr>
              <w:widowControl/>
              <w:shd w:val="clear" w:color="auto" w:fill="FFFFFF"/>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▲三、提交服务成果地点：南宁市自然资源局南宁高新技术产业开发区分局</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▲四、技术服务期限： 1年（自合同签订之日起1年）；</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五、技术服务质量要求：符合国家、南宁市的相关规范及规定； </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六、服务要求：</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处理问题响应时间：接到采购人处理问题通知后12小时内到达采购人指定现场</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◆七、服务人员要求：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▲1.根据项目内容和项目规模的需要，投标人必须配置至少10名审查成员，专业可包含城乡规划、建筑学、风景园林</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Cs w:val="21"/>
                <w:highlight w:val="none"/>
              </w:rPr>
              <w:t>市政道路与桥梁等（城乡规划、建筑学、风景园林、市政道路与桥梁专业至少各一名）</w:t>
            </w:r>
            <w:r>
              <w:rPr>
                <w:rFonts w:hint="eastAsia" w:ascii="宋体" w:hAnsi="宋体" w:eastAsia="宋体" w:cs="Times New Roman"/>
                <w:color w:val="auto"/>
                <w:szCs w:val="21"/>
                <w:highlight w:val="none"/>
              </w:rPr>
              <w:t>，其中不少于1名注册规划师、1名注册建筑师</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不少于3名（含3名）具有中级以上（含中级）职称专业技术人员。</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▲2.在中标服务期内，须派至少2名(含2名)以上的专业技术人员（专业</w:t>
            </w:r>
            <w:r>
              <w:rPr>
                <w:rFonts w:hint="eastAsia" w:ascii="宋体" w:hAnsi="宋体" w:eastAsia="宋体" w:cs="Times New Roman"/>
                <w:color w:val="auto"/>
                <w:szCs w:val="21"/>
                <w:highlight w:val="none"/>
                <w:lang w:eastAsia="zh-CN"/>
              </w:rPr>
              <w:t>可</w:t>
            </w:r>
            <w:r>
              <w:rPr>
                <w:rFonts w:hint="eastAsia" w:ascii="宋体" w:hAnsi="宋体" w:eastAsia="宋体" w:cs="Times New Roman"/>
                <w:color w:val="auto"/>
                <w:szCs w:val="21"/>
                <w:highlight w:val="none"/>
              </w:rPr>
              <w:t>包含城乡规划、建筑学、风景园林</w:t>
            </w:r>
            <w:r>
              <w:rPr>
                <w:rFonts w:hint="eastAsia" w:ascii="宋体" w:hAnsi="宋体" w:eastAsia="宋体" w:cs="Times New Roman"/>
                <w:color w:val="auto"/>
                <w:szCs w:val="21"/>
                <w:highlight w:val="none"/>
                <w:lang w:eastAsia="zh-CN"/>
              </w:rPr>
              <w:t>、</w:t>
            </w:r>
            <w:r>
              <w:rPr>
                <w:rFonts w:hint="eastAsia" w:ascii="宋体" w:hAnsi="宋体" w:eastAsia="宋体" w:cs="宋体"/>
                <w:color w:val="auto"/>
                <w:szCs w:val="21"/>
                <w:highlight w:val="none"/>
              </w:rPr>
              <w:t>市政道路与桥梁</w:t>
            </w:r>
            <w:r>
              <w:rPr>
                <w:rFonts w:hint="eastAsia" w:ascii="宋体" w:hAnsi="宋体" w:eastAsia="宋体" w:cs="Times New Roman"/>
                <w:color w:val="auto"/>
                <w:szCs w:val="21"/>
                <w:highlight w:val="none"/>
              </w:rPr>
              <w:t>）常驻采购人指定的工作地点提供技术服务。常驻技术人员必须严格按照采购人日常工作考勤制度及工作纪律进行考勤备案，在服务期内，若驻点人员出现迟到、早退、缺勤等违反工作纪律累计达10次的，采购人有权终止服务合同，并没收其履约及质量保证金。常驻人员的交通、食宿、培训等一切费用由中标人自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3.投标文件中需列出审查人员，未经采购人允许，中标人不能减少数量。</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4.投标人必须承诺如确定为中标人后：</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采购人有权要求中标人更换不能胜任或不符合业务要求的服务人员。实施期间如有人员变动必须书面向采购人申请，经采购人审批许可，替换的人员所具备的资质不得低于原人员的资质，且累计替换人数不得高于总投入项目人数的20%，否则采购人有权终止合同，采购人可依法追究中标人承担相应的法律责任。</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2）为保证中标人所派出的常驻技术人员素质和服务水平能达到采购人所需，采购人要求中标人应保证其派出的常驻技术人员的基本待遇，其中派出的常驻技术人员每月的实收工资不低于南宁市最低工资标准（不含法律法规和国家规定的劳动者福利待遇等）。</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（3）中标人及派出的常驻技术人员需严格执行安全制度、保密制度以及廉洁制度。</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（4）中标人及派出的常驻技术人员需积极参加采购人组织的业务培训和安全教育。</w:t>
            </w:r>
          </w:p>
          <w:p>
            <w:pPr>
              <w:spacing w:line="360" w:lineRule="auto"/>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▲（5）中标人需接受采购人的建设项目技术审查服务任务。</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八、其他要求：</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▲1.报价</w:t>
            </w:r>
            <w:r>
              <w:rPr>
                <w:rFonts w:ascii="宋体" w:hAnsi="宋体" w:eastAsia="宋体" w:cs="Times New Roman"/>
                <w:color w:val="auto"/>
                <w:szCs w:val="21"/>
                <w:highlight w:val="none"/>
              </w:rPr>
              <w:t>方式：</w:t>
            </w:r>
            <w:r>
              <w:rPr>
                <w:rFonts w:hint="eastAsia" w:ascii="宋体" w:hAnsi="宋体" w:eastAsia="宋体" w:cs="Times New Roman"/>
                <w:color w:val="auto"/>
                <w:szCs w:val="21"/>
                <w:highlight w:val="none"/>
              </w:rPr>
              <w:t>由投标人根据市场价格及自我承受能力按唯一单价</w:t>
            </w:r>
            <w:r>
              <w:rPr>
                <w:rFonts w:hint="eastAsia" w:ascii="宋体" w:hAnsi="宋体" w:eastAsia="宋体" w:cs="Times New Roman"/>
                <w:color w:val="auto"/>
                <w:szCs w:val="21"/>
                <w:highlight w:val="none"/>
                <w:lang w:eastAsia="zh-CN"/>
              </w:rPr>
              <w:t>下浮率</w:t>
            </w:r>
            <w:r>
              <w:rPr>
                <w:rFonts w:hint="eastAsia" w:ascii="宋体" w:hAnsi="宋体" w:eastAsia="宋体" w:cs="Times New Roman"/>
                <w:color w:val="auto"/>
                <w:szCs w:val="21"/>
                <w:highlight w:val="none"/>
              </w:rPr>
              <w:t xml:space="preserve">进行报价，投标报价的有效范围： </w:t>
            </w:r>
            <w:r>
              <w:rPr>
                <w:rFonts w:hint="eastAsia" w:ascii="宋体" w:hAnsi="宋体" w:eastAsia="宋体" w:cs="Times New Roman"/>
                <w:color w:val="auto"/>
                <w:szCs w:val="21"/>
                <w:highlight w:val="none"/>
                <w:lang w:eastAsia="zh-CN"/>
              </w:rPr>
              <w:t>0%≤单价下浮率&lt;100%</w:t>
            </w:r>
            <w:r>
              <w:rPr>
                <w:rFonts w:hint="eastAsia" w:ascii="宋体" w:hAnsi="宋体" w:eastAsia="宋体" w:cs="Times New Roman"/>
                <w:color w:val="auto"/>
                <w:szCs w:val="21"/>
                <w:highlight w:val="none"/>
              </w:rPr>
              <w:t xml:space="preserve"> 。</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最高</w:t>
            </w:r>
            <w:r>
              <w:rPr>
                <w:rFonts w:ascii="宋体" w:hAnsi="宋体" w:eastAsia="宋体" w:cs="Times New Roman"/>
                <w:color w:val="auto"/>
                <w:szCs w:val="21"/>
                <w:highlight w:val="none"/>
              </w:rPr>
              <w:t>限价如下所示：</w:t>
            </w:r>
          </w:p>
          <w:tbl>
            <w:tblPr>
              <w:tblStyle w:val="2"/>
              <w:tblW w:w="744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133"/>
              <w:gridCol w:w="2693"/>
              <w:gridCol w:w="141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7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序号</w:t>
                  </w:r>
                </w:p>
              </w:tc>
              <w:tc>
                <w:tcPr>
                  <w:tcW w:w="1133"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服务项目</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收费内容</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最高单价</w:t>
                  </w:r>
                </w:p>
              </w:tc>
              <w:tc>
                <w:tcPr>
                  <w:tcW w:w="14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81" w:type="dxa"/>
                  <w:vMerge w:val="restart"/>
                  <w:tcBorders>
                    <w:top w:val="nil"/>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w:t>
                  </w:r>
                </w:p>
              </w:tc>
              <w:tc>
                <w:tcPr>
                  <w:tcW w:w="113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建筑工程技术审查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营业性用房或设施</w:t>
                  </w:r>
                </w:p>
              </w:tc>
              <w:tc>
                <w:tcPr>
                  <w:tcW w:w="1418"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0.6元/㎡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（按建筑面积）</w:t>
                  </w:r>
                </w:p>
              </w:tc>
              <w:tc>
                <w:tcPr>
                  <w:tcW w:w="1417" w:type="dxa"/>
                  <w:vMerge w:val="restart"/>
                  <w:tcBorders>
                    <w:top w:val="nil"/>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781" w:type="dxa"/>
                  <w:vMerge w:val="continue"/>
                  <w:tcBorders>
                    <w:top w:val="nil"/>
                    <w:left w:val="single" w:color="auto" w:sz="4" w:space="0"/>
                    <w:bottom w:val="single" w:color="auto" w:sz="4" w:space="0"/>
                    <w:right w:val="single" w:color="auto" w:sz="4" w:space="0"/>
                  </w:tcBorders>
                  <w:noWrap/>
                  <w:vAlign w:val="center"/>
                </w:tcPr>
                <w:p>
                  <w:pPr>
                    <w:rPr>
                      <w:rFonts w:hint="eastAsia" w:ascii="等线" w:hAnsi="等线" w:eastAsia="等线" w:cs="等线"/>
                      <w:color w:val="auto"/>
                      <w:sz w:val="20"/>
                      <w:szCs w:val="20"/>
                      <w:highlight w:val="none"/>
                    </w:rPr>
                  </w:pPr>
                </w:p>
              </w:tc>
              <w:tc>
                <w:tcPr>
                  <w:tcW w:w="1133"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工业用房</w:t>
                  </w:r>
                </w:p>
              </w:tc>
              <w:tc>
                <w:tcPr>
                  <w:tcW w:w="1418"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1417" w:type="dxa"/>
                  <w:vMerge w:val="continue"/>
                  <w:tcBorders>
                    <w:top w:val="nil"/>
                    <w:left w:val="single" w:color="auto" w:sz="4" w:space="0"/>
                    <w:bottom w:val="single" w:color="auto" w:sz="4" w:space="0"/>
                    <w:right w:val="single" w:color="auto" w:sz="4" w:space="0"/>
                  </w:tcBorders>
                  <w:noWrap w:val="0"/>
                  <w:vAlign w:val="top"/>
                </w:tcPr>
                <w:p>
                  <w:pPr>
                    <w:rPr>
                      <w:rFonts w:hint="eastAsia" w:ascii="等线" w:hAnsi="等线" w:eastAsia="等线" w:cs="等线"/>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81" w:type="dxa"/>
                  <w:vMerge w:val="continue"/>
                  <w:tcBorders>
                    <w:top w:val="nil"/>
                    <w:left w:val="single" w:color="auto" w:sz="4" w:space="0"/>
                    <w:bottom w:val="single" w:color="auto" w:sz="4" w:space="0"/>
                    <w:right w:val="single" w:color="auto" w:sz="4" w:space="0"/>
                  </w:tcBorders>
                  <w:noWrap/>
                  <w:vAlign w:val="center"/>
                </w:tcPr>
                <w:p>
                  <w:pPr>
                    <w:rPr>
                      <w:rFonts w:hint="eastAsia" w:ascii="等线" w:hAnsi="等线" w:eastAsia="等线" w:cs="等线"/>
                      <w:color w:val="auto"/>
                      <w:sz w:val="20"/>
                      <w:szCs w:val="20"/>
                      <w:highlight w:val="none"/>
                    </w:rPr>
                  </w:pPr>
                </w:p>
              </w:tc>
              <w:tc>
                <w:tcPr>
                  <w:tcW w:w="1133"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住宅及其他建筑</w:t>
                  </w:r>
                </w:p>
              </w:tc>
              <w:tc>
                <w:tcPr>
                  <w:tcW w:w="1418"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1417" w:type="dxa"/>
                  <w:vMerge w:val="continue"/>
                  <w:tcBorders>
                    <w:top w:val="nil"/>
                    <w:left w:val="single" w:color="auto" w:sz="4" w:space="0"/>
                    <w:bottom w:val="single" w:color="auto" w:sz="4" w:space="0"/>
                    <w:right w:val="single" w:color="auto" w:sz="4" w:space="0"/>
                  </w:tcBorders>
                  <w:noWrap w:val="0"/>
                  <w:vAlign w:val="top"/>
                </w:tcPr>
                <w:p>
                  <w:pPr>
                    <w:rPr>
                      <w:rFonts w:hint="eastAsia" w:ascii="等线" w:hAnsi="等线" w:eastAsia="等线" w:cs="等线"/>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trPr>
              <w:tc>
                <w:tcPr>
                  <w:tcW w:w="781" w:type="dxa"/>
                  <w:vMerge w:val="continue"/>
                  <w:tcBorders>
                    <w:top w:val="nil"/>
                    <w:left w:val="single" w:color="auto" w:sz="4" w:space="0"/>
                    <w:bottom w:val="single" w:color="auto" w:sz="4" w:space="0"/>
                    <w:right w:val="single" w:color="auto" w:sz="4" w:space="0"/>
                  </w:tcBorders>
                  <w:noWrap/>
                  <w:vAlign w:val="center"/>
                </w:tcPr>
                <w:p>
                  <w:pPr>
                    <w:rPr>
                      <w:rFonts w:hint="eastAsia" w:ascii="等线" w:hAnsi="等线" w:eastAsia="等线" w:cs="等线"/>
                      <w:color w:val="auto"/>
                      <w:sz w:val="20"/>
                      <w:szCs w:val="20"/>
                      <w:highlight w:val="none"/>
                    </w:rPr>
                  </w:pPr>
                </w:p>
              </w:tc>
              <w:tc>
                <w:tcPr>
                  <w:tcW w:w="1133"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军事设施（不含家属宿舍、经营性设施）、中小学校（仅九年义务教育）、托儿所、幼儿园、民政部门兴办的敬老院、非营利性的社会福利设施</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100元/个</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（按项目数）</w:t>
                  </w:r>
                </w:p>
              </w:tc>
              <w:tc>
                <w:tcPr>
                  <w:tcW w:w="1417" w:type="dxa"/>
                  <w:vMerge w:val="continue"/>
                  <w:tcBorders>
                    <w:top w:val="nil"/>
                    <w:left w:val="single" w:color="auto" w:sz="4" w:space="0"/>
                    <w:bottom w:val="single" w:color="auto" w:sz="4" w:space="0"/>
                    <w:right w:val="single" w:color="auto" w:sz="4" w:space="0"/>
                  </w:tcBorders>
                  <w:noWrap w:val="0"/>
                  <w:vAlign w:val="top"/>
                </w:tcPr>
                <w:p>
                  <w:pPr>
                    <w:rPr>
                      <w:rFonts w:hint="eastAsia" w:ascii="等线" w:hAnsi="等线" w:eastAsia="等线" w:cs="等线"/>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trPr>
              <w:tc>
                <w:tcPr>
                  <w:tcW w:w="781" w:type="dxa"/>
                  <w:vMerge w:val="restart"/>
                  <w:tcBorders>
                    <w:top w:val="nil"/>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w:t>
                  </w:r>
                </w:p>
              </w:tc>
              <w:tc>
                <w:tcPr>
                  <w:tcW w:w="1133"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景观园林工程技术审查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一般公园绿地类项目的总体规划、修建性详细规划、工程方案</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0.1元/㎡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（按用地面积）</w:t>
                  </w:r>
                </w:p>
              </w:tc>
              <w:tc>
                <w:tcPr>
                  <w:tcW w:w="1417"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最低单笔费用不低于200元；最高单笔费用不得超过15万元。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81" w:type="dxa"/>
                  <w:vMerge w:val="continue"/>
                  <w:tcBorders>
                    <w:top w:val="nil"/>
                    <w:left w:val="single" w:color="auto" w:sz="4" w:space="0"/>
                    <w:bottom w:val="single" w:color="auto" w:sz="4" w:space="0"/>
                    <w:right w:val="single" w:color="auto" w:sz="4" w:space="0"/>
                  </w:tcBorders>
                  <w:noWrap/>
                  <w:vAlign w:val="center"/>
                </w:tcPr>
                <w:p>
                  <w:pPr>
                    <w:rPr>
                      <w:rFonts w:hint="eastAsia" w:ascii="等线" w:hAnsi="等线" w:eastAsia="等线" w:cs="等线"/>
                      <w:color w:val="auto"/>
                      <w:sz w:val="20"/>
                      <w:szCs w:val="20"/>
                      <w:highlight w:val="none"/>
                    </w:rPr>
                  </w:pPr>
                </w:p>
              </w:tc>
              <w:tc>
                <w:tcPr>
                  <w:tcW w:w="1133"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自然保护区、风景名胜区、森林公园、湿地公园等项目总体规划、概念性规划</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0.01元/㎡</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（按用地面积）</w:t>
                  </w:r>
                </w:p>
              </w:tc>
              <w:tc>
                <w:tcPr>
                  <w:tcW w:w="1417" w:type="dxa"/>
                  <w:vMerge w:val="continue"/>
                  <w:tcBorders>
                    <w:top w:val="nil"/>
                    <w:left w:val="single" w:color="auto" w:sz="4" w:space="0"/>
                    <w:bottom w:val="single" w:color="auto" w:sz="4" w:space="0"/>
                    <w:right w:val="single" w:color="auto" w:sz="4" w:space="0"/>
                  </w:tcBorders>
                  <w:noWrap w:val="0"/>
                  <w:vAlign w:val="center"/>
                </w:tcPr>
                <w:p>
                  <w:pPr>
                    <w:rPr>
                      <w:rFonts w:hint="eastAsia" w:ascii="等线" w:hAnsi="等线" w:eastAsia="等线" w:cs="等线"/>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7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3</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市政工程技术审查</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工程管线及其他难以用面积计算的建构筑物</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项目总投资额的0.5‰（按核定的工程投资总额）</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最高单笔费用不得超过15万元。</w:t>
                  </w:r>
                </w:p>
              </w:tc>
            </w:tr>
          </w:tbl>
          <w:p>
            <w:pPr>
              <w:widowControl/>
              <w:shd w:val="clear" w:color="auto" w:fill="FFFFFF"/>
              <w:spacing w:line="360" w:lineRule="auto"/>
              <w:rPr>
                <w:rFonts w:hint="eastAsia"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lang w:val="en-US" w:eastAsia="zh-CN"/>
              </w:rPr>
              <w:t>建</w:t>
            </w:r>
            <w:r>
              <w:rPr>
                <w:rFonts w:hint="eastAsia" w:ascii="宋体" w:hAnsi="宋体" w:eastAsia="宋体" w:cs="Times New Roman"/>
                <w:color w:val="auto"/>
                <w:kern w:val="1"/>
                <w:sz w:val="21"/>
                <w:szCs w:val="21"/>
                <w:highlight w:val="none"/>
              </w:rPr>
              <w:t>筑工程、景观园林工程：单笔结算价＝项目最高单价*</w:t>
            </w:r>
            <w:r>
              <w:rPr>
                <w:rFonts w:hint="eastAsia" w:ascii="宋体" w:hAnsi="宋体" w:eastAsia="宋体" w:cs="Times New Roman"/>
                <w:strike w:val="0"/>
                <w:dstrike w:val="0"/>
                <w:color w:val="auto"/>
                <w:kern w:val="1"/>
                <w:sz w:val="21"/>
                <w:szCs w:val="21"/>
                <w:highlight w:val="none"/>
              </w:rPr>
              <w:t>（1-</w:t>
            </w:r>
            <w:r>
              <w:rPr>
                <w:rFonts w:hint="eastAsia" w:ascii="宋体" w:hAnsi="宋体" w:eastAsia="宋体" w:cs="Times New Roman"/>
                <w:strike w:val="0"/>
                <w:dstrike w:val="0"/>
                <w:color w:val="auto"/>
                <w:kern w:val="1"/>
                <w:sz w:val="21"/>
                <w:szCs w:val="21"/>
                <w:highlight w:val="none"/>
                <w:lang w:eastAsia="zh-CN"/>
              </w:rPr>
              <w:t>中标单价下浮率</w:t>
            </w:r>
            <w:r>
              <w:rPr>
                <w:rFonts w:hint="eastAsia" w:ascii="宋体" w:hAnsi="宋体" w:eastAsia="宋体" w:cs="Times New Roman"/>
                <w:strike w:val="0"/>
                <w:dstrike w:val="0"/>
                <w:color w:val="auto"/>
                <w:kern w:val="1"/>
                <w:sz w:val="21"/>
                <w:szCs w:val="21"/>
                <w:highlight w:val="none"/>
              </w:rPr>
              <w:t>）</w:t>
            </w:r>
            <w:r>
              <w:rPr>
                <w:rFonts w:hint="eastAsia" w:ascii="宋体" w:hAnsi="宋体" w:eastAsia="宋体" w:cs="Times New Roman"/>
                <w:color w:val="auto"/>
                <w:kern w:val="1"/>
                <w:sz w:val="21"/>
                <w:szCs w:val="21"/>
                <w:highlight w:val="none"/>
              </w:rPr>
              <w:t>*实际面积或个数。</w:t>
            </w:r>
          </w:p>
          <w:p>
            <w:pPr>
              <w:widowControl/>
              <w:shd w:val="clear" w:color="auto" w:fill="FFFFFF"/>
              <w:spacing w:line="360" w:lineRule="auto"/>
              <w:rPr>
                <w:rFonts w:hint="eastAsia"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rPr>
              <w:t>举例：100 ㎡营业性用房或设施建筑工程技术审查结算价=0.6元/㎡ *</w:t>
            </w:r>
            <w:r>
              <w:rPr>
                <w:rFonts w:hint="eastAsia" w:ascii="宋体" w:hAnsi="宋体" w:eastAsia="宋体" w:cs="Times New Roman"/>
                <w:strike w:val="0"/>
                <w:dstrike w:val="0"/>
                <w:color w:val="auto"/>
                <w:kern w:val="1"/>
                <w:sz w:val="21"/>
                <w:szCs w:val="21"/>
                <w:highlight w:val="none"/>
              </w:rPr>
              <w:t>（1-</w:t>
            </w:r>
            <w:r>
              <w:rPr>
                <w:rFonts w:hint="eastAsia" w:ascii="宋体" w:hAnsi="宋体" w:eastAsia="宋体" w:cs="Times New Roman"/>
                <w:strike w:val="0"/>
                <w:dstrike w:val="0"/>
                <w:color w:val="auto"/>
                <w:kern w:val="1"/>
                <w:sz w:val="21"/>
                <w:szCs w:val="21"/>
                <w:highlight w:val="none"/>
                <w:lang w:eastAsia="zh-CN"/>
              </w:rPr>
              <w:t>中标单价下浮率</w:t>
            </w:r>
            <w:r>
              <w:rPr>
                <w:rFonts w:hint="eastAsia" w:ascii="宋体" w:hAnsi="宋体" w:eastAsia="宋体" w:cs="Times New Roman"/>
                <w:strike w:val="0"/>
                <w:dstrike w:val="0"/>
                <w:color w:val="auto"/>
                <w:kern w:val="1"/>
                <w:sz w:val="21"/>
                <w:szCs w:val="21"/>
                <w:highlight w:val="none"/>
              </w:rPr>
              <w:t>）</w:t>
            </w:r>
            <w:r>
              <w:rPr>
                <w:rFonts w:hint="eastAsia" w:ascii="宋体" w:hAnsi="宋体" w:eastAsia="宋体" w:cs="Times New Roman"/>
                <w:color w:val="auto"/>
                <w:kern w:val="1"/>
                <w:sz w:val="21"/>
                <w:szCs w:val="21"/>
                <w:highlight w:val="none"/>
              </w:rPr>
              <w:t>*100</w:t>
            </w:r>
          </w:p>
          <w:p>
            <w:pPr>
              <w:widowControl/>
              <w:shd w:val="clear" w:color="auto" w:fill="FFFFFF"/>
              <w:spacing w:line="360" w:lineRule="auto"/>
              <w:rPr>
                <w:rFonts w:hint="eastAsia"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rPr>
              <w:t>市政工程：单笔结算价＝项目总投资额的0.5‰ *</w:t>
            </w:r>
            <w:r>
              <w:rPr>
                <w:rFonts w:hint="eastAsia" w:ascii="宋体" w:hAnsi="宋体" w:eastAsia="宋体" w:cs="Times New Roman"/>
                <w:strike w:val="0"/>
                <w:dstrike w:val="0"/>
                <w:color w:val="auto"/>
                <w:kern w:val="1"/>
                <w:sz w:val="21"/>
                <w:szCs w:val="21"/>
                <w:highlight w:val="none"/>
              </w:rPr>
              <w:t>（1-</w:t>
            </w:r>
            <w:r>
              <w:rPr>
                <w:rFonts w:hint="eastAsia" w:ascii="宋体" w:hAnsi="宋体" w:eastAsia="宋体" w:cs="Times New Roman"/>
                <w:strike w:val="0"/>
                <w:dstrike w:val="0"/>
                <w:color w:val="auto"/>
                <w:kern w:val="1"/>
                <w:sz w:val="21"/>
                <w:szCs w:val="21"/>
                <w:highlight w:val="none"/>
                <w:lang w:eastAsia="zh-CN"/>
              </w:rPr>
              <w:t>中标单价下浮率</w:t>
            </w:r>
            <w:r>
              <w:rPr>
                <w:rFonts w:hint="eastAsia" w:ascii="宋体" w:hAnsi="宋体" w:eastAsia="宋体" w:cs="Times New Roman"/>
                <w:strike w:val="0"/>
                <w:dstrike w:val="0"/>
                <w:color w:val="auto"/>
                <w:kern w:val="1"/>
                <w:sz w:val="21"/>
                <w:szCs w:val="21"/>
                <w:highlight w:val="none"/>
              </w:rPr>
              <w:t>）</w:t>
            </w:r>
            <w:r>
              <w:rPr>
                <w:rFonts w:hint="eastAsia" w:ascii="宋体" w:hAnsi="宋体" w:eastAsia="宋体" w:cs="Times New Roman"/>
                <w:color w:val="auto"/>
                <w:kern w:val="1"/>
                <w:sz w:val="21"/>
                <w:szCs w:val="21"/>
                <w:highlight w:val="none"/>
              </w:rPr>
              <w:t>。</w:t>
            </w:r>
          </w:p>
          <w:p>
            <w:pPr>
              <w:widowControl/>
              <w:shd w:val="clear" w:color="auto" w:fill="FFFFFF"/>
              <w:spacing w:line="360" w:lineRule="auto"/>
              <w:rPr>
                <w:rFonts w:hint="eastAsia" w:ascii="宋体" w:hAnsi="宋体" w:eastAsia="宋体" w:cs="Times New Roman"/>
                <w:color w:val="auto"/>
                <w:kern w:val="1"/>
                <w:sz w:val="21"/>
                <w:szCs w:val="21"/>
                <w:highlight w:val="none"/>
              </w:rPr>
            </w:pPr>
            <w:r>
              <w:rPr>
                <w:rFonts w:hint="eastAsia" w:ascii="宋体" w:hAnsi="宋体" w:eastAsia="宋体" w:cs="Times New Roman"/>
                <w:color w:val="auto"/>
                <w:kern w:val="1"/>
                <w:sz w:val="21"/>
                <w:szCs w:val="21"/>
                <w:highlight w:val="none"/>
              </w:rPr>
              <w:t>举例：某项目投资总额1000万，其工程管线及其他难以用面积计算的建构筑物技术审查结算价=1000*0.5‰*</w:t>
            </w:r>
            <w:r>
              <w:rPr>
                <w:rFonts w:hint="eastAsia" w:ascii="宋体" w:hAnsi="宋体" w:eastAsia="宋体" w:cs="Times New Roman"/>
                <w:strike w:val="0"/>
                <w:dstrike w:val="0"/>
                <w:color w:val="auto"/>
                <w:kern w:val="1"/>
                <w:sz w:val="21"/>
                <w:szCs w:val="21"/>
                <w:highlight w:val="none"/>
              </w:rPr>
              <w:t>（1-</w:t>
            </w:r>
            <w:r>
              <w:rPr>
                <w:rFonts w:hint="eastAsia" w:ascii="宋体" w:hAnsi="宋体" w:eastAsia="宋体" w:cs="Times New Roman"/>
                <w:strike w:val="0"/>
                <w:dstrike w:val="0"/>
                <w:color w:val="auto"/>
                <w:kern w:val="1"/>
                <w:sz w:val="21"/>
                <w:szCs w:val="21"/>
                <w:highlight w:val="none"/>
                <w:lang w:eastAsia="zh-CN"/>
              </w:rPr>
              <w:t>中标单价下浮率</w:t>
            </w:r>
            <w:r>
              <w:rPr>
                <w:rFonts w:hint="eastAsia" w:ascii="宋体" w:hAnsi="宋体" w:eastAsia="宋体" w:cs="Times New Roman"/>
                <w:strike w:val="0"/>
                <w:dstrike w:val="0"/>
                <w:color w:val="auto"/>
                <w:kern w:val="1"/>
                <w:sz w:val="21"/>
                <w:szCs w:val="21"/>
                <w:highlight w:val="none"/>
              </w:rPr>
              <w:t>）</w:t>
            </w:r>
            <w:r>
              <w:rPr>
                <w:rFonts w:hint="eastAsia" w:ascii="宋体" w:hAnsi="宋体" w:eastAsia="宋体" w:cs="Times New Roman"/>
                <w:color w:val="auto"/>
                <w:kern w:val="1"/>
                <w:sz w:val="21"/>
                <w:szCs w:val="21"/>
                <w:highlight w:val="none"/>
              </w:rPr>
              <w:t>（万元）</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kern w:val="1"/>
                <w:sz w:val="20"/>
                <w:szCs w:val="20"/>
                <w:highlight w:val="none"/>
              </w:rPr>
              <w:t>2.报价</w:t>
            </w:r>
            <w:r>
              <w:rPr>
                <w:rFonts w:hint="eastAsia" w:ascii="宋体" w:hAnsi="宋体" w:eastAsia="宋体" w:cs="Times New Roman"/>
                <w:color w:val="auto"/>
                <w:szCs w:val="21"/>
                <w:highlight w:val="none"/>
              </w:rPr>
              <w:t xml:space="preserve">必须含以下部分，包括： </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（1）服务的价格；</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（2）材料费：成果打印及光盘刻录费用；</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（3）必要的保险费用和各项税金；</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（4）技术审查过程中产生的相关评审费用。</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▲3.付款方式：</w:t>
            </w:r>
            <w:r>
              <w:rPr>
                <w:rFonts w:hint="eastAsia" w:ascii="Times New Roman" w:hAnsi="Times New Roman" w:eastAsia="宋体" w:cs="Times New Roman"/>
                <w:color w:val="auto"/>
                <w:highlight w:val="none"/>
              </w:rPr>
              <w:t>本项目无预付款，</w:t>
            </w:r>
            <w:r>
              <w:rPr>
                <w:rFonts w:hint="eastAsia" w:ascii="Times New Roman" w:hAnsi="Times New Roman" w:eastAsia="宋体" w:cs="Times New Roman"/>
                <w:color w:val="auto"/>
                <w:highlight w:val="none"/>
                <w:lang w:eastAsia="zh-CN"/>
              </w:rPr>
              <w:t>采购人</w:t>
            </w:r>
            <w:r>
              <w:rPr>
                <w:rFonts w:hint="eastAsia" w:ascii="宋体" w:hAnsi="宋体" w:eastAsia="宋体" w:cs="宋体"/>
                <w:color w:val="auto"/>
                <w:szCs w:val="21"/>
                <w:highlight w:val="none"/>
              </w:rPr>
              <w:t>按季度支付合同款</w:t>
            </w:r>
            <w:r>
              <w:rPr>
                <w:rFonts w:hint="eastAsia" w:ascii="宋体" w:hAnsi="宋体" w:eastAsia="宋体" w:cs="宋体"/>
                <w:color w:val="auto"/>
                <w:szCs w:val="21"/>
                <w:highlight w:val="none"/>
                <w:lang w:eastAsia="zh-CN"/>
              </w:rPr>
              <w:t>。每季度按</w:t>
            </w:r>
            <w:r>
              <w:rPr>
                <w:rFonts w:hint="eastAsia" w:ascii="Times New Roman" w:hAnsi="Times New Roman" w:eastAsia="宋体" w:cs="Times New Roman"/>
                <w:color w:val="auto"/>
                <w:highlight w:val="none"/>
              </w:rPr>
              <w:t>中标人提供的技术审查服务工作成果经采购人验收合格后按实际工作量结算合同款，</w:t>
            </w:r>
            <w:r>
              <w:rPr>
                <w:rFonts w:hint="eastAsia" w:ascii="宋体" w:hAnsi="宋体" w:eastAsia="宋体" w:cs="宋体"/>
                <w:color w:val="auto"/>
                <w:szCs w:val="21"/>
                <w:highlight w:val="none"/>
              </w:rPr>
              <w:t>建筑工程、景观园林工程项目支付金额为“最高单价*</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eastAsia="zh-CN"/>
              </w:rPr>
              <w:t>中标单价下浮率</w:t>
            </w:r>
            <w:r>
              <w:rPr>
                <w:rFonts w:hint="eastAsia" w:ascii="宋体" w:hAnsi="宋体" w:eastAsia="宋体" w:cs="Times New Roman"/>
                <w:color w:val="auto"/>
                <w:sz w:val="21"/>
                <w:szCs w:val="21"/>
                <w:highlight w:val="none"/>
              </w:rPr>
              <w:t>）</w:t>
            </w:r>
            <w:r>
              <w:rPr>
                <w:rFonts w:hint="eastAsia" w:ascii="宋体" w:hAnsi="宋体" w:eastAsia="宋体" w:cs="宋体"/>
                <w:color w:val="auto"/>
                <w:szCs w:val="21"/>
                <w:highlight w:val="none"/>
              </w:rPr>
              <w:t>*本季度实际通过技术审查服务验收的工作量”；市政工程项目支付金额为“项目总投资额的0.5‰*</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lang w:eastAsia="zh-CN"/>
              </w:rPr>
              <w:t>中标单价下浮率</w:t>
            </w:r>
            <w:r>
              <w:rPr>
                <w:rFonts w:hint="eastAsia" w:ascii="宋体" w:hAnsi="宋体" w:eastAsia="宋体" w:cs="Times New Roman"/>
                <w:color w:val="auto"/>
                <w:sz w:val="21"/>
                <w:szCs w:val="21"/>
                <w:highlight w:val="none"/>
              </w:rPr>
              <w:t>）</w:t>
            </w:r>
            <w:r>
              <w:rPr>
                <w:rFonts w:hint="eastAsia" w:ascii="宋体" w:hAnsi="宋体" w:eastAsia="宋体" w:cs="宋体"/>
                <w:color w:val="auto"/>
                <w:szCs w:val="21"/>
                <w:highlight w:val="none"/>
              </w:rPr>
              <w:t>*本季度实际通过技术审查服务验收的工作量”</w:t>
            </w:r>
            <w:r>
              <w:rPr>
                <w:rFonts w:hint="eastAsia" w:ascii="Times New Roman" w:hAnsi="Times New Roman" w:eastAsia="宋体" w:cs="Times New Roman"/>
                <w:color w:val="auto"/>
                <w:highlight w:val="none"/>
              </w:rPr>
              <w:t>（建设项目取得技术审查合格的意见书且通过甲方审定、审批或批复即视为该项目的技术审查服务工作通过验收</w:t>
            </w: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rPr>
              <w:t>如建设单位因主观原因对已通过采购人审批或批复的图纸进行调整而申请技术审查服务的，由建设单位自行承担技术审查费用，</w:t>
            </w:r>
            <w:r>
              <w:rPr>
                <w:rFonts w:hint="eastAsia" w:ascii="Times New Roman" w:hAnsi="Times New Roman" w:eastAsia="宋体" w:cs="Times New Roman"/>
                <w:color w:val="auto"/>
                <w:highlight w:val="none"/>
                <w:lang w:eastAsia="zh-CN"/>
              </w:rPr>
              <w:t>原则上采用本分标中标供应商，</w:t>
            </w:r>
            <w:r>
              <w:rPr>
                <w:rFonts w:hint="eastAsia" w:ascii="Times New Roman" w:hAnsi="Times New Roman" w:eastAsia="宋体" w:cs="Times New Roman"/>
                <w:color w:val="auto"/>
                <w:highlight w:val="none"/>
              </w:rPr>
              <w:t>计费单价及标准不高于本次竞标报价及标准）。</w:t>
            </w:r>
            <w:r>
              <w:rPr>
                <w:rFonts w:hint="eastAsia" w:ascii="宋体" w:hAnsi="宋体" w:eastAsia="宋体" w:cs="宋体"/>
                <w:color w:val="auto"/>
                <w:szCs w:val="21"/>
                <w:highlight w:val="none"/>
              </w:rPr>
              <w:t xml:space="preserve"> 款项支付时，中标人同时向采购人提供相应金额的正式发票。</w:t>
            </w:r>
            <w:r>
              <w:rPr>
                <w:rFonts w:hint="eastAsia" w:ascii="宋体" w:hAnsi="宋体" w:eastAsia="宋体" w:cs="Times New Roman"/>
                <w:color w:val="auto"/>
                <w:szCs w:val="21"/>
                <w:highlight w:val="none"/>
              </w:rPr>
              <w:t xml:space="preserve">  </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.因管理的需要或政策的变动，增加技术审查内容所带来的工作量，中标人不再追加服务费。</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.若投标人在服务期内违反其做出的相关承诺,采购人有权终止合同并通过诚信管理制度进行管理。</w:t>
            </w:r>
          </w:p>
          <w:p>
            <w:pPr>
              <w:widowControl/>
              <w:shd w:val="clear" w:color="auto" w:fill="FFFFFF"/>
              <w:spacing w:line="360" w:lineRule="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w:t>
            </w:r>
            <w:r>
              <w:rPr>
                <w:rFonts w:ascii="宋体" w:hAnsi="宋体" w:eastAsia="宋体" w:cs="Times New Roman"/>
                <w:color w:val="auto"/>
                <w:szCs w:val="21"/>
                <w:highlight w:val="none"/>
              </w:rPr>
              <w:t>6</w:t>
            </w:r>
            <w:r>
              <w:rPr>
                <w:rFonts w:hint="eastAsia" w:ascii="宋体" w:hAnsi="宋体" w:eastAsia="宋体" w:cs="Times New Roman"/>
                <w:color w:val="auto"/>
                <w:szCs w:val="21"/>
                <w:highlight w:val="none"/>
              </w:rPr>
              <w:t>.保密要求：中标人须严格遵守采购人保密制度要求，在项目开展过程中，对本项目所有项目信息以及接触到数据予以保密，未经采购人书面允许，不得以任何形式向第三方透露本项目的任何内容。</w:t>
            </w:r>
          </w:p>
          <w:p>
            <w:pPr>
              <w:spacing w:line="360" w:lineRule="auto"/>
              <w:ind w:firstLine="420" w:firstLineChars="200"/>
              <w:rPr>
                <w:rFonts w:hint="default" w:ascii="Times New Roman" w:hAnsi="Times New Roman" w:eastAsia="宋体" w:cs="Times New Roman"/>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27" w:type="dxa"/>
            <w:noWrap w:val="0"/>
            <w:vAlign w:val="center"/>
          </w:tcPr>
          <w:p>
            <w:pPr>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其他说明</w:t>
            </w:r>
          </w:p>
        </w:tc>
        <w:tc>
          <w:tcPr>
            <w:tcW w:w="9279" w:type="dxa"/>
            <w:gridSpan w:val="5"/>
            <w:noWrap w:val="0"/>
            <w:vAlign w:val="center"/>
          </w:tcPr>
          <w:p>
            <w:pPr>
              <w:widowControl/>
              <w:spacing w:line="360" w:lineRule="exact"/>
              <w:jc w:val="left"/>
              <w:rPr>
                <w:rFonts w:hint="default" w:ascii="Times New Roman" w:hAnsi="Times New Roman" w:eastAsia="宋体" w:cs="Times New Roman"/>
                <w:color w:val="auto"/>
                <w:highlight w:val="none"/>
                <w:lang w:val="en-US" w:eastAsia="zh-CN"/>
              </w:rPr>
            </w:pPr>
            <w:r>
              <w:rPr>
                <w:rFonts w:hint="eastAsia" w:ascii="宋体" w:hAnsi="宋体" w:eastAsia="宋体" w:cs="Times New Roman"/>
                <w:color w:val="auto"/>
                <w:szCs w:val="21"/>
                <w:highlight w:val="none"/>
              </w:rPr>
              <w:t>合同延续年限、条件和方式：</w:t>
            </w:r>
            <w:r>
              <w:rPr>
                <w:rFonts w:hint="eastAsia" w:ascii="宋体" w:hAnsi="宋体" w:eastAsia="宋体" w:cs="Times New Roman"/>
                <w:color w:val="auto"/>
                <w:kern w:val="0"/>
                <w:szCs w:val="21"/>
                <w:highlight w:val="none"/>
              </w:rPr>
              <w:t>本项目合同履约期到期后，采购人依据本项目的服务履约评价情况及实际需求，并根据《财政部关于推进和完善服务项目政府有关问题的通知》（财库</w:t>
            </w:r>
            <w:r>
              <w:rPr>
                <w:rFonts w:hint="eastAsia" w:ascii="宋体" w:hAnsi="宋体" w:eastAsia="宋体" w:cs="Times New Roman"/>
                <w:color w:val="auto"/>
                <w:kern w:val="0"/>
                <w:szCs w:val="21"/>
                <w:highlight w:val="none"/>
                <w:lang w:eastAsia="zh-CN"/>
              </w:rPr>
              <w:t>〔2014〕37号</w:t>
            </w:r>
            <w:r>
              <w:rPr>
                <w:rFonts w:hint="eastAsia" w:ascii="宋体" w:hAnsi="宋体" w:eastAsia="宋体" w:cs="Times New Roman"/>
                <w:color w:val="auto"/>
                <w:kern w:val="0"/>
                <w:szCs w:val="21"/>
                <w:highlight w:val="none"/>
              </w:rPr>
              <w:t>）及《政府购买服务管理办法》（财政部令102号）等规定，在年度预算保障的前提下，对于购买内容（采购需求）相对固定、连续（延续）性强、经费来源稳定、价格变化幅度小的政府采购服务项目，可以通过一年一续签方式签订合同</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本项目最多续签一年合同</w:t>
            </w:r>
            <w:r>
              <w:rPr>
                <w:rFonts w:hint="eastAsia" w:ascii="宋体" w:hAnsi="宋体" w:eastAsia="宋体" w:cs="Times New Roman"/>
                <w:color w:val="auto"/>
                <w:kern w:val="0"/>
                <w:szCs w:val="21"/>
                <w:highlight w:val="none"/>
              </w:rPr>
              <w:t>。投标人可以自由选择接受或拒绝。</w:t>
            </w:r>
          </w:p>
        </w:tc>
      </w:tr>
    </w:tbl>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YWEwZWY0YjhkOTZjNmY1MTY3ZDU2MWZkYzc3NDAifQ=="/>
  </w:docVars>
  <w:rsids>
    <w:rsidRoot w:val="04463B4C"/>
    <w:rsid w:val="04463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2025-11-27T07:36:00Z</dcterms:created>
  <dc:creator>欧明聪</dc:creator>
  <cp:lastModifiedBy>欧明聪</cp:lastModifiedBy>
  <dcterms:modified xsi:type="dcterms:W3CDTF">2025-11-27T07:37:01Z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E3C13741B35E4C2ABA8BE46B815F3D00_11</vt:lpwstr>
  </property>
</Properties>
</file>