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90" w:line="240" w:lineRule="auto"/>
        <w:jc w:val="center"/>
        <w:outlineLvl w:val="0"/>
        <w:rPr>
          <w:rFonts w:ascii="Cambria" w:hAnsi="Cambria" w:eastAsia="宋体" w:cs="Times New Roman"/>
          <w:b/>
          <w:bCs w:val="0"/>
          <w:color w:val="auto"/>
          <w:kern w:val="44"/>
          <w:sz w:val="32"/>
          <w:szCs w:val="32"/>
          <w:highlight w:val="none"/>
          <w:lang w:val="en-US" w:eastAsia="zh-CN" w:bidi="ar-SA"/>
        </w:rPr>
      </w:pPr>
      <w:r>
        <w:rPr>
          <w:rFonts w:hint="eastAsia" w:ascii="Cambria" w:hAnsi="Cambria" w:eastAsia="宋体" w:cs="Times New Roman"/>
          <w:b/>
          <w:bCs w:val="0"/>
          <w:color w:val="auto"/>
          <w:kern w:val="44"/>
          <w:sz w:val="32"/>
          <w:szCs w:val="32"/>
          <w:highlight w:val="none"/>
          <w:lang w:val="en-US" w:eastAsia="zh-CN" w:bidi="ar-SA"/>
        </w:rPr>
        <w:t>采购需求</w:t>
      </w:r>
    </w:p>
    <w:p>
      <w:pPr>
        <w:spacing w:line="450" w:lineRule="exact"/>
        <w:jc w:val="left"/>
        <w:rPr>
          <w:rFonts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说明：</w:t>
      </w:r>
    </w:p>
    <w:p>
      <w:pPr>
        <w:spacing w:line="45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为落实政府采购政策需满足的要求：</w:t>
      </w:r>
    </w:p>
    <w:p>
      <w:pPr>
        <w:spacing w:line="45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pPr>
        <w:spacing w:line="45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eastAsia="宋体" w:cs="宋体"/>
          <w:b/>
          <w:bCs/>
          <w:color w:val="auto"/>
          <w:szCs w:val="21"/>
          <w:highlight w:val="none"/>
        </w:rPr>
        <w:t>否则响应文件按无效处理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Fonts w:hint="eastAsia" w:ascii="宋体" w:hAnsi="宋体" w:eastAsia="宋体" w:cs="宋体"/>
          <w:color w:val="auto"/>
          <w:highlight w:val="none"/>
          <w:u w:val="single"/>
        </w:rPr>
        <w:t>评审程序、评审方法和评审标准</w:t>
      </w:r>
      <w:r>
        <w:rPr>
          <w:rFonts w:hint="eastAsia" w:ascii="宋体" w:hAnsi="宋体" w:eastAsia="宋体" w:cs="宋体"/>
          <w:color w:val="auto"/>
          <w:szCs w:val="21"/>
          <w:highlight w:val="none"/>
        </w:rPr>
        <w:t>”。</w:t>
      </w:r>
    </w:p>
    <w:p>
      <w:pPr>
        <w:spacing w:line="450" w:lineRule="exact"/>
        <w:ind w:firstLine="413" w:firstLineChars="196"/>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“实质性要求”是指磋商文件中已经指明不满足响应文件则按无效响应处理的条款，或者不能负偏离的条款，或者采购需求中带“▲”的条款。</w:t>
      </w:r>
    </w:p>
    <w:p>
      <w:pPr>
        <w:widowControl w:val="0"/>
        <w:spacing w:line="450" w:lineRule="exact"/>
        <w:ind w:firstLine="420" w:firstLineChars="200"/>
        <w:jc w:val="left"/>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3.如竞标产品存在侵犯他人的知识产权或者专利成果行为的，应承担相应法律责任。</w:t>
      </w:r>
    </w:p>
    <w:p>
      <w:pPr>
        <w:widowControl w:val="0"/>
        <w:spacing w:line="45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供应商必须自行为其竞标产品侵犯他人的知识产权或者专利成果的行为承担相应法律责任。</w:t>
      </w:r>
    </w:p>
    <w:p>
      <w:pPr>
        <w:widowControl w:val="0"/>
        <w:spacing w:line="450" w:lineRule="exact"/>
        <w:ind w:firstLine="420" w:firstLineChars="200"/>
        <w:jc w:val="left"/>
        <w:rPr>
          <w:rFonts w:ascii="宋体" w:hAnsi="宋体" w:eastAsia="宋体" w:cs="宋体"/>
          <w:i/>
          <w:iCs/>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eastAsia="zh-CN" w:bidi="ar-SA"/>
        </w:rPr>
        <w:t>5.采购内容所属行业：</w:t>
      </w:r>
      <w:r>
        <w:rPr>
          <w:rFonts w:hint="eastAsia" w:ascii="宋体" w:hAnsi="宋体" w:eastAsia="宋体" w:cs="宋体"/>
          <w:b/>
          <w:bCs/>
          <w:color w:val="auto"/>
          <w:kern w:val="2"/>
          <w:sz w:val="21"/>
          <w:szCs w:val="21"/>
          <w:highlight w:val="none"/>
          <w:u w:val="single"/>
          <w:lang w:val="en-US" w:eastAsia="zh-CN" w:bidi="ar-SA"/>
        </w:rPr>
        <w:t>详见需求一览表。</w:t>
      </w:r>
    </w:p>
    <w:tbl>
      <w:tblPr>
        <w:tblStyle w:val="2"/>
        <w:tblpPr w:leftFromText="180" w:rightFromText="180" w:vertAnchor="text" w:horzAnchor="page" w:tblpX="1012" w:tblpY="386"/>
        <w:tblOverlap w:val="never"/>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96"/>
        <w:gridCol w:w="675"/>
        <w:gridCol w:w="461"/>
        <w:gridCol w:w="698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0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s="宋体"/>
                <w:color w:val="auto"/>
                <w:sz w:val="32"/>
                <w:szCs w:val="32"/>
                <w:highlight w:val="none"/>
              </w:rPr>
            </w:pPr>
            <w:r>
              <w:rPr>
                <w:rFonts w:hint="eastAsia" w:ascii="宋体" w:hAnsi="宋体" w:eastAsia="宋体" w:cs="宋体"/>
                <w:color w:val="auto"/>
                <w:szCs w:val="21"/>
                <w:highlight w:val="none"/>
              </w:rPr>
              <w:t>分标：无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6" w:type="dxa"/>
            <w:vMerge w:val="restart"/>
            <w:tcBorders>
              <w:top w:val="single" w:color="auto" w:sz="4" w:space="0"/>
            </w:tcBorders>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需求一览表</w:t>
            </w:r>
          </w:p>
        </w:tc>
        <w:tc>
          <w:tcPr>
            <w:tcW w:w="596" w:type="dxa"/>
            <w:tcBorders>
              <w:top w:val="single" w:color="auto" w:sz="4" w:space="0"/>
            </w:tcBorders>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75" w:type="dxa"/>
            <w:tcBorders>
              <w:top w:val="single" w:color="auto" w:sz="4" w:space="0"/>
            </w:tcBorders>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461" w:type="dxa"/>
            <w:tcBorders>
              <w:top w:val="single" w:color="auto" w:sz="4" w:space="0"/>
            </w:tcBorders>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数量及单位</w:t>
            </w:r>
          </w:p>
          <w:p>
            <w:pPr>
              <w:spacing w:line="320" w:lineRule="exact"/>
              <w:jc w:val="center"/>
              <w:rPr>
                <w:rFonts w:ascii="宋体" w:hAnsi="宋体" w:eastAsia="宋体" w:cs="宋体"/>
                <w:color w:val="auto"/>
                <w:szCs w:val="21"/>
                <w:highlight w:val="none"/>
              </w:rPr>
            </w:pPr>
          </w:p>
        </w:tc>
        <w:tc>
          <w:tcPr>
            <w:tcW w:w="6980" w:type="dxa"/>
            <w:tcBorders>
              <w:top w:val="single" w:color="auto" w:sz="4" w:space="0"/>
            </w:tcBorders>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967" w:type="dxa"/>
            <w:tcBorders>
              <w:top w:val="single" w:color="auto" w:sz="4" w:space="0"/>
            </w:tcBorders>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6" w:type="dxa"/>
            <w:vMerge w:val="continue"/>
            <w:vAlign w:val="center"/>
          </w:tcPr>
          <w:p>
            <w:pPr>
              <w:spacing w:line="320" w:lineRule="exact"/>
              <w:jc w:val="center"/>
              <w:rPr>
                <w:rFonts w:ascii="宋体" w:hAnsi="宋体" w:eastAsia="宋体" w:cs="宋体"/>
                <w:color w:val="auto"/>
                <w:szCs w:val="21"/>
                <w:highlight w:val="none"/>
              </w:rPr>
            </w:pPr>
          </w:p>
        </w:tc>
        <w:tc>
          <w:tcPr>
            <w:tcW w:w="596"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75" w:type="dxa"/>
            <w:vAlign w:val="center"/>
          </w:tcPr>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2025年广西与劳务输入地大省开展公共就业招聘服务活动</w:t>
            </w:r>
            <w:r>
              <w:rPr>
                <w:rFonts w:hint="eastAsia" w:ascii="宋体" w:hAnsi="宋体" w:eastAsia="宋体" w:cs="宋体"/>
                <w:color w:val="auto"/>
                <w:kern w:val="0"/>
                <w:szCs w:val="21"/>
                <w:highlight w:val="none"/>
                <w:lang w:eastAsia="zh-CN" w:bidi="ar"/>
              </w:rPr>
              <w:t>项目</w:t>
            </w:r>
          </w:p>
        </w:tc>
        <w:tc>
          <w:tcPr>
            <w:tcW w:w="461"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980" w:type="dxa"/>
            <w:vAlign w:val="center"/>
          </w:tcPr>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一、招聘活动组织与岗位征集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1.制定详细的招聘活动总体实施方案，明确时间节点、任务分工和保障措施，并定期做好招聘会数据整理与汇报工作。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2.围绕广西劳动力就业需求和劳务输入地大省（如广东、江苏等）用工特点，组织优质企业报名参会，并对征集岗位进行审核筛选。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3.在每场线下招聘会举办前，整理汇总岗位信息，确保岗位真实有效、信息完整。</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4.建立并完善“跨区域就业信息共享机制”，实现广西与劳务输入地大省之间的信息互通、资源共享和活动联办，常态化对接输入地企业用工需求，动态更新岗位信息库。</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二、精准宣传与人才组织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1.通过“广西就业平台”开设专栏，持续发布活动预告、岗位信息和求职指引。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2.针对广西籍劳动力，特别是脱贫人口、高校毕业生、返乡农民工等重点群体，通过短信推送、微信公众号、地方就业服务平台等渠道精准推送招聘会信息。</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3.加强与劳务协作县（如广西33个与广东协作县）对接，积极组织广西籍劳动力参与线上线下招聘活动。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三、线上线下招聘服务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在广西“数智人社”信息系统搭建线上招聘平台，为我区劳动力提供免费岗位查询、简历投递、在线沟通、求职指导等全流程服务，确保活动参与率、岗位匹配率、求职成功率显著提升。确保岗位质量与求职群体匹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2.2025年12月底前，联合劳务输入地大省举办35场线下专场招聘会，具体安排如下：</w:t>
            </w:r>
          </w:p>
          <w:p>
            <w:pPr>
              <w:numPr>
                <w:ilvl w:val="0"/>
                <w:numId w:val="1"/>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广西与广东有协作任务的33个县各举办1场，共33场；江苏南京与玉林共同举办2场。</w:t>
            </w:r>
          </w:p>
          <w:p>
            <w:pPr>
              <w:numPr>
                <w:ilvl w:val="0"/>
                <w:numId w:val="1"/>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每场招聘会组织</w:t>
            </w:r>
            <w:r>
              <w:rPr>
                <w:rFonts w:hint="eastAsia" w:ascii="宋体" w:hAnsi="宋体" w:eastAsia="宋体" w:cs="宋体"/>
                <w:color w:val="auto"/>
                <w:highlight w:val="none"/>
                <w:lang w:val="en-US" w:eastAsia="zh-CN"/>
              </w:rPr>
              <w:t>30家以上</w:t>
            </w:r>
            <w:r>
              <w:rPr>
                <w:rFonts w:hint="eastAsia" w:ascii="宋体" w:hAnsi="宋体" w:eastAsia="宋体" w:cs="宋体"/>
                <w:color w:val="auto"/>
                <w:highlight w:val="none"/>
              </w:rPr>
              <w:t>招聘企业进场，提供不少于</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个就业岗位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建立广西与劳务输入地大省“跨区域就业信息共享机制”，通过信息互通、资源共享、活动联办等方式，常态化对接输入地企业用工需求，动态更新岗位库。</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四、现场招聘会会务安排</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1.组建专业服务团队，负责招聘单位的联络、组织与现场协调。</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2.根据采购人要求，提前预约并租赁招聘场地，负责展位安排、背景板、横幅等物料设计与制作。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3.负责招聘会布展工作，提供招聘会当天参会单位的基本后勤保障。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4.配备必要的防疫、安保和应急物资，确保招聘会安全有序开展。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五、交通、住宿与安全保障</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1.如需接待跨省招聘方，应在招聘城市预订交通便利、符合公务差旅标准的酒店，保障工作人员住宿需求，费用按实际发生由参会单位自理。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2.制定安全应急预案，确保场地和人员安全。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3.加强个人信息保护，对求职者简历和单位信息进行加密处理，防止数据泄露。</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六、媒体宣传与活动报道</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1.邀请省级媒体、招聘会举办地媒体、网络平台对招聘活动进行报道，提升活动影响力。</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2.根据实际需要，承担媒体记者随团参加招聘活动期间的交通、食宿等差旅费用。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七、活动总结与效果评估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1.统计每场招聘会的进场人数、简历投递量、初步达成意向人数等数据。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2.撰写招聘会总结报告，对活动成效、存在问题及改进建议进行全面分析。</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3.服务期内对达成就业意向的人员进行抽样跟踪，了解实际入职情况，评估岗位匹配率与求职成功率。</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4.配合广西壮族自治区就业服务中心完成其他相关后续服务与评估工作。</w:t>
            </w:r>
          </w:p>
        </w:tc>
        <w:tc>
          <w:tcPr>
            <w:tcW w:w="967" w:type="dxa"/>
            <w:vAlign w:val="center"/>
          </w:tcPr>
          <w:p>
            <w:pPr>
              <w:spacing w:line="32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105" w:type="dxa"/>
            <w:gridSpan w:val="6"/>
            <w:vAlign w:val="center"/>
          </w:tcPr>
          <w:p>
            <w:pPr>
              <w:spacing w:line="32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▲合同签订时间</w:t>
            </w:r>
          </w:p>
        </w:tc>
        <w:tc>
          <w:tcPr>
            <w:tcW w:w="7947" w:type="dxa"/>
            <w:gridSpan w:val="2"/>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成交通知书发出之日起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b/>
                <w:color w:val="auto"/>
                <w:highlight w:val="none"/>
              </w:rPr>
              <w:t>▲服务期限</w:t>
            </w:r>
          </w:p>
        </w:tc>
        <w:tc>
          <w:tcPr>
            <w:tcW w:w="7947" w:type="dxa"/>
            <w:gridSpan w:val="2"/>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自合同签订之日起至2025年12月31日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b/>
                <w:color w:val="auto"/>
                <w:highlight w:val="none"/>
              </w:rPr>
              <w:t>▲服务地点</w:t>
            </w:r>
          </w:p>
        </w:tc>
        <w:tc>
          <w:tcPr>
            <w:tcW w:w="7947" w:type="dxa"/>
            <w:gridSpan w:val="2"/>
            <w:vAlign w:val="center"/>
          </w:tcPr>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▲报价要求</w:t>
            </w:r>
          </w:p>
        </w:tc>
        <w:tc>
          <w:tcPr>
            <w:tcW w:w="7947" w:type="dxa"/>
            <w:gridSpan w:val="2"/>
            <w:vAlign w:val="center"/>
          </w:tcPr>
          <w:p>
            <w:pPr>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本项目实行总承包报价，投标报价包含但不限于以下部分：</w:t>
            </w:r>
          </w:p>
          <w:p>
            <w:pPr>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（1）服务的价格；</w:t>
            </w:r>
          </w:p>
          <w:p>
            <w:pPr>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（2）必要的保险费用和各项税金；</w:t>
            </w:r>
          </w:p>
          <w:p>
            <w:pPr>
              <w:spacing w:line="360" w:lineRule="auto"/>
              <w:rPr>
                <w:rFonts w:ascii="宋体" w:hAnsi="宋体" w:eastAsia="宋体" w:cs="Times New Roman"/>
                <w:color w:val="auto"/>
                <w:highlight w:val="none"/>
              </w:rPr>
            </w:pPr>
            <w:r>
              <w:rPr>
                <w:rFonts w:hint="eastAsia" w:ascii="Times New Roman" w:hAnsi="Times New Roman" w:eastAsia="宋体" w:cs="Times New Roman"/>
                <w:color w:val="auto"/>
                <w:highlight w:val="none"/>
              </w:rPr>
              <w:t>（3）</w:t>
            </w:r>
            <w:r>
              <w:rPr>
                <w:rFonts w:ascii="宋体" w:hAnsi="宋体" w:eastAsia="宋体" w:cs="Times New Roman"/>
                <w:color w:val="auto"/>
                <w:kern w:val="2"/>
                <w:sz w:val="21"/>
                <w:szCs w:val="21"/>
                <w:highlight w:val="none"/>
              </w:rPr>
              <w:t>合同合计金额包括满足本项目全部采购需求所应提供的服务，包含但不限于</w:t>
            </w:r>
            <w:r>
              <w:rPr>
                <w:rFonts w:hint="eastAsia" w:ascii="宋体" w:hAnsi="宋体" w:eastAsia="宋体" w:cs="Times New Roman"/>
                <w:color w:val="auto"/>
                <w:kern w:val="2"/>
                <w:sz w:val="21"/>
                <w:szCs w:val="21"/>
                <w:highlight w:val="none"/>
              </w:rPr>
              <w:t>服务、劳务、人工、</w:t>
            </w:r>
            <w:r>
              <w:rPr>
                <w:rFonts w:hint="eastAsia" w:ascii="宋体" w:hAnsi="宋体" w:eastAsia="宋体" w:cs="Times New Roman"/>
                <w:color w:val="auto"/>
                <w:kern w:val="2"/>
                <w:sz w:val="21"/>
                <w:szCs w:val="21"/>
                <w:highlight w:val="none"/>
                <w:lang w:val="en-US" w:eastAsia="zh-CN"/>
              </w:rPr>
              <w:t>会务、</w:t>
            </w:r>
            <w:r>
              <w:rPr>
                <w:rFonts w:hint="eastAsia" w:ascii="Times New Roman" w:hAnsi="Times New Roman" w:eastAsia="宋体" w:cs="Times New Roman"/>
                <w:color w:val="auto"/>
                <w:highlight w:val="none"/>
                <w:lang w:val="en-US" w:eastAsia="zh-CN"/>
              </w:rPr>
              <w:t>场地费</w:t>
            </w:r>
            <w:r>
              <w:rPr>
                <w:rFonts w:hint="eastAsia" w:ascii="Times New Roman" w:hAnsi="Times New Roman" w:eastAsia="宋体" w:cs="Times New Roman"/>
                <w:color w:val="auto"/>
                <w:highlight w:val="none"/>
              </w:rPr>
              <w:t>、管理费</w:t>
            </w:r>
            <w:r>
              <w:rPr>
                <w:rFonts w:hint="eastAsia" w:ascii="宋体" w:hAnsi="宋体" w:eastAsia="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rPr>
              <w:t>设备设施、宣传、物料、货物、运输（含保险）、安装、调试、检验、技术服务、培训、通讯、邮寄、交通、差旅、食宿、</w:t>
            </w:r>
            <w:r>
              <w:rPr>
                <w:rFonts w:hint="eastAsia" w:ascii="Times New Roman" w:hAnsi="Times New Roman" w:eastAsia="宋体" w:cs="Times New Roman"/>
                <w:color w:val="auto"/>
                <w:highlight w:val="none"/>
              </w:rPr>
              <w:t>各项保险、</w:t>
            </w:r>
            <w:r>
              <w:rPr>
                <w:rFonts w:hint="eastAsia" w:ascii="宋体" w:hAnsi="宋体" w:eastAsia="宋体" w:cs="Times New Roman"/>
                <w:color w:val="auto"/>
                <w:kern w:val="2"/>
                <w:sz w:val="21"/>
                <w:szCs w:val="21"/>
                <w:highlight w:val="none"/>
              </w:rPr>
              <w:t>税</w:t>
            </w:r>
            <w:r>
              <w:rPr>
                <w:rFonts w:hint="eastAsia" w:ascii="宋体" w:hAnsi="宋体" w:eastAsia="宋体" w:cs="Times New Roman"/>
                <w:color w:val="auto"/>
                <w:kern w:val="2"/>
                <w:sz w:val="21"/>
                <w:szCs w:val="21"/>
                <w:highlight w:val="none"/>
                <w:lang w:val="en-US" w:eastAsia="zh-CN"/>
              </w:rPr>
              <w:t>金</w:t>
            </w:r>
            <w:r>
              <w:rPr>
                <w:rFonts w:ascii="宋体" w:hAnsi="宋体" w:eastAsia="宋体" w:cs="Times New Roman"/>
                <w:color w:val="auto"/>
                <w:kern w:val="2"/>
                <w:sz w:val="21"/>
                <w:szCs w:val="21"/>
                <w:highlight w:val="none"/>
              </w:rPr>
              <w:t>等</w:t>
            </w:r>
            <w:r>
              <w:rPr>
                <w:rFonts w:hint="eastAsia" w:ascii="宋体" w:hAnsi="宋体" w:eastAsia="宋体" w:cs="Times New Roman"/>
                <w:color w:val="auto"/>
                <w:kern w:val="2"/>
                <w:sz w:val="21"/>
                <w:szCs w:val="21"/>
                <w:highlight w:val="none"/>
                <w:lang w:val="en-US" w:eastAsia="zh-CN"/>
              </w:rPr>
              <w:t>供应商</w:t>
            </w:r>
            <w:r>
              <w:rPr>
                <w:rFonts w:ascii="宋体" w:hAnsi="宋体" w:eastAsia="宋体" w:cs="Times New Roman"/>
                <w:color w:val="auto"/>
                <w:kern w:val="2"/>
                <w:sz w:val="21"/>
                <w:szCs w:val="21"/>
                <w:highlight w:val="none"/>
              </w:rPr>
              <w:t>为履行合同义务而发生的所有费用总和，</w:t>
            </w:r>
            <w:r>
              <w:rPr>
                <w:rFonts w:hint="eastAsia" w:ascii="宋体" w:hAnsi="宋体" w:eastAsia="宋体" w:cs="Times New Roman"/>
                <w:color w:val="auto"/>
                <w:kern w:val="2"/>
                <w:sz w:val="21"/>
                <w:szCs w:val="21"/>
                <w:highlight w:val="none"/>
                <w:lang w:val="en-US" w:eastAsia="zh-CN"/>
              </w:rPr>
              <w:t>供应商</w:t>
            </w:r>
            <w:r>
              <w:rPr>
                <w:rFonts w:ascii="宋体" w:hAnsi="宋体" w:eastAsia="宋体" w:cs="Times New Roman"/>
                <w:color w:val="auto"/>
                <w:kern w:val="2"/>
                <w:sz w:val="21"/>
                <w:szCs w:val="21"/>
                <w:highlight w:val="none"/>
              </w:rPr>
              <w:t>承诺不再向甲方收取其他任何费用。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b/>
                <w:color w:val="auto"/>
                <w:highlight w:val="none"/>
              </w:rPr>
              <w:t>▲付款方式</w:t>
            </w:r>
          </w:p>
        </w:tc>
        <w:tc>
          <w:tcPr>
            <w:tcW w:w="7947" w:type="dxa"/>
            <w:gridSpan w:val="2"/>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本项目预付款在合同生效以及具备实施条件，并经</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审核确认后15日内支付，预付款比例为合同金额的50%，完成35场线下招聘会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服务期限满且服务成果经</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全部验收合格后七天内支付总额的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每次付款前应开具等额、合法有效且符合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要求的增值税发票，否则付款时间相应顺延，且</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不必承担延迟付款的责任。</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0F31"/>
    <w:multiLevelType w:val="singleLevel"/>
    <w:tmpl w:val="E9290F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2U5ZGE5MjdkNjI3MTE3Yjc0ODhiMGJiOTA4YTMifQ=="/>
  </w:docVars>
  <w:rsids>
    <w:rsidRoot w:val="2DDF0B26"/>
    <w:rsid w:val="2DDF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2025-11-03T07:18:00Z</dcterms:created>
  <dc:creator>欧明聪</dc:creator>
  <cp:lastModifiedBy>欧明聪</cp:lastModifiedBy>
  <dcterms:modified xsi:type="dcterms:W3CDTF">2025-11-03T07:18:27Z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9A19B59894DC42C1B5A6DF47FB50B9D3_11</vt:lpwstr>
  </property>
</Properties>
</file>