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highlight w:val="none"/>
        </w:rPr>
        <w:t>第三章</w:t>
      </w:r>
      <w:r>
        <w:rPr>
          <w:rFonts w:hint="eastAsia" w:ascii="仿宋" w:hAnsi="仿宋" w:eastAsia="仿宋" w:cs="仿宋"/>
          <w:color w:val="auto"/>
          <w:highlight w:val="none"/>
          <w:lang w:val="en-US" w:eastAsia="zh-CN"/>
        </w:rPr>
        <w:t>货物需求一览表</w:t>
      </w:r>
    </w:p>
    <w:p>
      <w:pPr>
        <w:spacing w:line="360" w:lineRule="auto"/>
        <w:jc w:val="left"/>
        <w:rPr>
          <w:rFonts w:hint="eastAsia" w:ascii="仿宋" w:hAnsi="仿宋" w:eastAsia="仿宋" w:cs="仿宋"/>
          <w:b/>
          <w:color w:val="auto"/>
          <w:szCs w:val="21"/>
          <w:highlight w:val="none"/>
        </w:rPr>
      </w:pPr>
      <w:bookmarkStart w:id="0" w:name="_Toc254970631"/>
      <w:bookmarkStart w:id="1" w:name="_Toc254970490"/>
      <w:r>
        <w:rPr>
          <w:rFonts w:hint="eastAsia" w:ascii="仿宋" w:hAnsi="仿宋" w:eastAsia="仿宋" w:cs="仿宋"/>
          <w:b/>
          <w:color w:val="auto"/>
          <w:szCs w:val="21"/>
          <w:highlight w:val="none"/>
        </w:rPr>
        <w:t>说明：</w:t>
      </w:r>
    </w:p>
    <w:p>
      <w:pPr>
        <w:spacing w:line="360" w:lineRule="exact"/>
        <w:ind w:left="-10" w:leftChars="-5" w:right="2" w:rightChars="1"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中的技术要求。</w:t>
      </w:r>
    </w:p>
    <w:p>
      <w:pPr>
        <w:spacing w:line="360" w:lineRule="exact"/>
        <w:ind w:left="-10" w:leftChars="-5" w:right="2" w:rightChars="1"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2、凡在“技术要求”中表述为“标配”或“标准配置”的设备，投标人应在投标设备性能配置清单中将其标配参数详细列明。</w:t>
      </w:r>
    </w:p>
    <w:p>
      <w:pPr>
        <w:spacing w:line="360" w:lineRule="exact"/>
        <w:ind w:left="-10" w:leftChars="-5" w:right="2" w:rightChars="1"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pPr>
        <w:spacing w:line="360" w:lineRule="exact"/>
        <w:ind w:left="-10" w:leftChars="-5" w:right="2" w:rightChars="1"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4、如投标人投标产品存在侵犯他人的知识产权或者专利成果行为的，由投标人自行承担相应法律责任。</w:t>
      </w:r>
    </w:p>
    <w:p>
      <w:pPr>
        <w:spacing w:line="360" w:lineRule="exact"/>
        <w:ind w:left="-10" w:leftChars="-5" w:right="2" w:rightChars="1"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5、“实质性要求”是指招标文件中已经指明不满足则投标无效的条款，或者不能负偏离的条款，或者采购需求中带“▲”的条款。</w:t>
      </w:r>
    </w:p>
    <w:p>
      <w:pPr>
        <w:spacing w:line="360" w:lineRule="auto"/>
        <w:ind w:firstLine="310" w:firstLineChars="147"/>
        <w:jc w:val="left"/>
        <w:rPr>
          <w:rFonts w:hint="eastAsia" w:ascii="仿宋" w:hAnsi="仿宋" w:eastAsia="仿宋" w:cs="仿宋"/>
          <w:bCs/>
          <w:color w:val="auto"/>
          <w:szCs w:val="21"/>
          <w:highlight w:val="none"/>
          <w:u w:val="single"/>
        </w:rPr>
      </w:pPr>
      <w:r>
        <w:rPr>
          <w:rFonts w:hint="eastAsia" w:ascii="仿宋" w:hAnsi="仿宋" w:eastAsia="仿宋" w:cs="仿宋"/>
          <w:b/>
          <w:color w:val="auto"/>
          <w:szCs w:val="21"/>
          <w:highlight w:val="none"/>
        </w:rPr>
        <w:t>6、采购预算：</w:t>
      </w:r>
      <w:r>
        <w:rPr>
          <w:rFonts w:hint="eastAsia" w:ascii="仿宋" w:hAnsi="仿宋" w:eastAsia="仿宋" w:cs="仿宋"/>
          <w:b/>
          <w:color w:val="auto"/>
          <w:szCs w:val="21"/>
          <w:highlight w:val="none"/>
          <w:lang w:val="en-US" w:eastAsia="zh-CN"/>
        </w:rPr>
        <w:t>197.94</w:t>
      </w:r>
      <w:r>
        <w:rPr>
          <w:rFonts w:hint="eastAsia" w:ascii="仿宋" w:hAnsi="仿宋" w:eastAsia="仿宋" w:cs="仿宋"/>
          <w:b/>
          <w:color w:val="auto"/>
          <w:szCs w:val="21"/>
          <w:highlight w:val="none"/>
          <w:u w:val="none"/>
        </w:rPr>
        <w:t>万元</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本分标的核心产品为下表的第</w:t>
      </w:r>
      <w:r>
        <w:rPr>
          <w:rFonts w:hint="eastAsia" w:ascii="仿宋" w:hAnsi="仿宋" w:eastAsia="仿宋" w:cs="仿宋"/>
          <w:b/>
          <w:color w:val="auto"/>
          <w:szCs w:val="21"/>
          <w:highlight w:val="none"/>
          <w:u w:val="single"/>
        </w:rPr>
        <w:t xml:space="preserve"> 1 </w:t>
      </w:r>
      <w:r>
        <w:rPr>
          <w:rFonts w:hint="eastAsia" w:ascii="仿宋" w:hAnsi="仿宋" w:eastAsia="仿宋" w:cs="仿宋"/>
          <w:b/>
          <w:color w:val="auto"/>
          <w:szCs w:val="21"/>
          <w:highlight w:val="none"/>
        </w:rPr>
        <w:t>项产品。</w:t>
      </w:r>
    </w:p>
    <w:bookmarkEnd w:id="0"/>
    <w:bookmarkEnd w:id="1"/>
    <w:tbl>
      <w:tblPr>
        <w:tblStyle w:val="6"/>
        <w:tblW w:w="9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3"/>
        <w:gridCol w:w="737"/>
        <w:gridCol w:w="469"/>
        <w:gridCol w:w="254"/>
        <w:gridCol w:w="873"/>
        <w:gridCol w:w="1313"/>
        <w:gridCol w:w="5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593" w:type="dxa"/>
            <w:noWrap w:val="0"/>
            <w:vAlign w:val="center"/>
          </w:tcPr>
          <w:p>
            <w:pPr>
              <w:tabs>
                <w:tab w:val="left" w:pos="180"/>
                <w:tab w:val="left" w:pos="1620"/>
              </w:tabs>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737" w:type="dxa"/>
            <w:noWrap w:val="0"/>
            <w:vAlign w:val="center"/>
          </w:tcPr>
          <w:p>
            <w:pPr>
              <w:tabs>
                <w:tab w:val="left" w:pos="180"/>
                <w:tab w:val="left" w:pos="1620"/>
              </w:tabs>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标的的名称</w:t>
            </w:r>
          </w:p>
        </w:tc>
        <w:tc>
          <w:tcPr>
            <w:tcW w:w="723" w:type="dxa"/>
            <w:gridSpan w:val="2"/>
            <w:noWrap w:val="0"/>
            <w:vAlign w:val="top"/>
          </w:tcPr>
          <w:p>
            <w:pPr>
              <w:tabs>
                <w:tab w:val="left" w:pos="180"/>
                <w:tab w:val="left" w:pos="1620"/>
              </w:tabs>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数量及单位</w:t>
            </w:r>
          </w:p>
        </w:tc>
        <w:tc>
          <w:tcPr>
            <w:tcW w:w="873" w:type="dxa"/>
            <w:noWrap w:val="0"/>
            <w:vAlign w:val="center"/>
          </w:tcPr>
          <w:p>
            <w:pPr>
              <w:tabs>
                <w:tab w:val="left" w:pos="180"/>
                <w:tab w:val="left" w:pos="1620"/>
              </w:tabs>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所属行业</w:t>
            </w:r>
          </w:p>
        </w:tc>
        <w:tc>
          <w:tcPr>
            <w:tcW w:w="1313" w:type="dxa"/>
            <w:noWrap w:val="0"/>
            <w:vAlign w:val="center"/>
          </w:tcPr>
          <w:p>
            <w:pPr>
              <w:tabs>
                <w:tab w:val="left" w:pos="180"/>
                <w:tab w:val="left" w:pos="1620"/>
              </w:tabs>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预算单价</w:t>
            </w:r>
          </w:p>
          <w:p>
            <w:pPr>
              <w:tabs>
                <w:tab w:val="left" w:pos="180"/>
                <w:tab w:val="left" w:pos="1620"/>
              </w:tabs>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万</w:t>
            </w:r>
            <w:r>
              <w:rPr>
                <w:rFonts w:hint="eastAsia" w:ascii="仿宋" w:hAnsi="仿宋" w:eastAsia="仿宋" w:cs="仿宋"/>
                <w:color w:val="auto"/>
                <w:sz w:val="21"/>
                <w:szCs w:val="21"/>
                <w:highlight w:val="none"/>
              </w:rPr>
              <w:t>元）</w:t>
            </w:r>
          </w:p>
        </w:tc>
        <w:tc>
          <w:tcPr>
            <w:tcW w:w="5037" w:type="dxa"/>
            <w:noWrap w:val="0"/>
            <w:vAlign w:val="center"/>
          </w:tcPr>
          <w:p>
            <w:pPr>
              <w:tabs>
                <w:tab w:val="left" w:pos="180"/>
                <w:tab w:val="left" w:pos="1620"/>
              </w:tabs>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93" w:type="dxa"/>
            <w:noWrap w:val="0"/>
            <w:vAlign w:val="center"/>
          </w:tcPr>
          <w:p>
            <w:pPr>
              <w:tabs>
                <w:tab w:val="left" w:pos="180"/>
                <w:tab w:val="left" w:pos="1620"/>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37" w:type="dxa"/>
            <w:noWrap w:val="0"/>
            <w:vAlign w:val="center"/>
          </w:tcPr>
          <w:p>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双活存储</w:t>
            </w:r>
          </w:p>
        </w:tc>
        <w:tc>
          <w:tcPr>
            <w:tcW w:w="723" w:type="dxa"/>
            <w:gridSpan w:val="2"/>
            <w:noWrap w:val="0"/>
            <w:vAlign w:val="center"/>
          </w:tcPr>
          <w:p>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2套</w:t>
            </w:r>
          </w:p>
        </w:tc>
        <w:tc>
          <w:tcPr>
            <w:tcW w:w="873" w:type="dxa"/>
            <w:noWrap w:val="0"/>
            <w:vAlign w:val="center"/>
          </w:tcPr>
          <w:p>
            <w:pPr>
              <w:pStyle w:val="3"/>
              <w:spacing w:line="360" w:lineRule="auto"/>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工业</w:t>
            </w:r>
          </w:p>
        </w:tc>
        <w:tc>
          <w:tcPr>
            <w:tcW w:w="1313" w:type="dxa"/>
            <w:noWrap w:val="0"/>
            <w:vAlign w:val="center"/>
          </w:tcPr>
          <w:p>
            <w:pPr>
              <w:pStyle w:val="3"/>
              <w:spacing w:line="360" w:lineRule="auto"/>
              <w:jc w:val="center"/>
              <w:rPr>
                <w:rFonts w:hint="default"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79.3</w:t>
            </w:r>
          </w:p>
        </w:tc>
        <w:tc>
          <w:tcPr>
            <w:tcW w:w="5037" w:type="dxa"/>
            <w:noWrap w:val="0"/>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主要技术参数、性能及配置：</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一、存储技术参数、性能及配置要求:</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1、存储要求配置为全闪存储阵列，支持NVMe SSD盘；多控架构，最大可扩展控制器≥8个控制器，控制器互联协议采用PCI-E或IB或RDMA等协议；本次配置双控制器，两个控制器采用Active-Active架构，业务负载均衡到所有控制器；不接受配置机械硬盘的融合存储。</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2、存储采用2U盘控一体架构，控制器框提供≥24个硬盘槽位。</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3、▲存储控制器的处理器采用企业级多核处理器，存储要求实配控制器的总物理核心数≥64核（不包含ASCI专用芯片核数），主频≥2.4GHz。（必须提供相关证明材料，包括但不限于彩页、官网和功能截图等）</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4、▲存储系统双控制器缓存容量配置≥256GB（不含任何性能加速模块、FlashCache、PAM卡，SSD Cache等），缓存具备UPS断电保护功能，在出现电源故障时，可提供充足的电源，将高速缓存内容转储至非易失性内部存储设备上（非通用服务器架构）。</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5、存储支持8/16/32Gbps FC、10/25/40/100Gbps接口。具备控制器在线主机接口IO模块热拔插功能，双控制器最大支持6个热插拔I\O模块数。（提供相关证明材料，包括但不限于彩页、官网和功能截图等）</w:t>
            </w:r>
          </w:p>
          <w:p>
            <w:pP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kern w:val="0"/>
                <w:sz w:val="21"/>
                <w:szCs w:val="21"/>
                <w:highlight w:val="none"/>
              </w:rPr>
              <w:t>本次存储配置8个1GE接口,8个10GE SFP+接口，8个16G FC接口；配置18块3.84T NVME SSD硬盘且在RAID 5低热备策略情况下，提供≥45TB物理可用容量（非重删压缩后容量）。在业务模型为关系型数据库、数据IO大小为8K的前提下，开启重删压缩功能时可得容量≥100T。</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7、单控制框最大支持NVME SSD硬盘数量≥150块，便于后续容量扩展。（必须提供相关证明材料，包括但不限于彩页、官网和功能截图等）</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8、存储SSD硬盘支持全局磨损均衡技术，把业务负载均衡到所有SSD，延长单块SSD寿命；支持反磨损均衡技术，避免多盘集体失效，提升整系统的可靠性。</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9、▲配置克隆、快照、异构虚拟化、持续数据保护功能、远程复制功能和自动精简配置；配置数据销毁功能和存储瘦分配功能，以实现存储空间的名义超分配，提高存储空间的利用效率。</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10、支持RAID5、RAID6和容忍三盘失效；在同一个RAID组内容忍任意3盘同时失效，数据不丢失业务不中断业务。</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11、支持QoS功能，能够按照IOPS、吞吐量、响应时间等维度进行策略调整；支持服务质量管理按优先级控制功能。</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12、支持 SSD寿命监控技术，并在存储系统中显示每一块SSD硬盘的磨损度以及预估剩余寿命。</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13、本次存储支持SAN和NAS一体化免网关AA双活功能，无需增加网关实现业务的高可用保护。</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14、全闪存支持多个主流国产操作系统。</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15、存储厂商提供专有多路径（非操作系统自带多路径）软件，提供故障切换和负载均衡功能，支持Windows\Linux。（提供相关证明材料，包括但不限于彩页、官网和功能截图等</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16、为保证业务可靠性，存储需支持单链路软件升级，升级过程IO跌零≤1s。（必须提供相关证明材料，包括但不限于彩页、官网和功能截图等）</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本次采购为核心关键业务存储，双活存储功能需支持以下功能：1）提供A-A免网关双活架构，实现两套核心存储数据双活（主机能够并发读写同一双活卷），任何一套设备宕机均不影响上层业务系统运行；2）双活引擎采用集群冗余架构，双活引擎数据传送必须采用FC/IP协议和链路双活；3）双活架构支持独立的第三方仲裁设备。仲裁设备故障时，不影响业务运行，同时双活卷仍能保持数据实时一致；4）一个站点发生故障后，另一个站点可自动快速拉起业务（秒级）；一个站点故障恢复后，双活关系可自动恢复。</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二、存储服务及其他要求：</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▲软件须具备主自知识产权；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593" w:type="dxa"/>
            <w:noWrap w:val="0"/>
            <w:vAlign w:val="center"/>
          </w:tcPr>
          <w:p>
            <w:pPr>
              <w:tabs>
                <w:tab w:val="left" w:pos="180"/>
                <w:tab w:val="left" w:pos="1620"/>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37" w:type="dxa"/>
            <w:noWrap w:val="0"/>
            <w:vAlign w:val="center"/>
          </w:tcPr>
          <w:p>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数据库脱敏系统</w:t>
            </w:r>
          </w:p>
        </w:tc>
        <w:tc>
          <w:tcPr>
            <w:tcW w:w="723" w:type="dxa"/>
            <w:gridSpan w:val="2"/>
            <w:noWrap w:val="0"/>
            <w:vAlign w:val="center"/>
          </w:tcPr>
          <w:p>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1套</w:t>
            </w:r>
          </w:p>
        </w:tc>
        <w:tc>
          <w:tcPr>
            <w:tcW w:w="873" w:type="dxa"/>
            <w:noWrap w:val="0"/>
            <w:vAlign w:val="center"/>
          </w:tcPr>
          <w:p>
            <w:pPr>
              <w:pStyle w:val="3"/>
              <w:spacing w:line="360" w:lineRule="auto"/>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软件和信息技术服务</w:t>
            </w:r>
          </w:p>
        </w:tc>
        <w:tc>
          <w:tcPr>
            <w:tcW w:w="1313" w:type="dxa"/>
            <w:noWrap w:val="0"/>
            <w:vAlign w:val="center"/>
          </w:tcPr>
          <w:p>
            <w:pPr>
              <w:pStyle w:val="3"/>
              <w:spacing w:line="360" w:lineRule="auto"/>
              <w:jc w:val="center"/>
              <w:rPr>
                <w:rFonts w:hint="default"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11.16</w:t>
            </w:r>
          </w:p>
        </w:tc>
        <w:tc>
          <w:tcPr>
            <w:tcW w:w="5037" w:type="dxa"/>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主要技术参数、性能及配置：</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1、性能参数：单表单任务执行脱敏性能≥20MB/s，建议配置环境：操作系统CentOS7.6；CPU≥8核，内存≥32G，硬盘≥500G。</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2、支持数据源类别：MYSQL、ORACLE、MSSQL、DB2、POSTGRESQL、GREENPLUM、INFORMIX、MARIADB、SYBASE、CACHEDB、HANA。</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3、支持以数据资产目录形式对于数据源对应的元数据信息进行查看，同时支持同步分类分级的结果，以及对于敏感数据列进行手动标记。（提供相关证明材料，包括但不限于彩页、官网和功能截图等）</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4、支持对于敏感标签对应的发现规则进行配置，配置内容包括：判断主体、发现条件，并支持对于发现效果进行测试。</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5、支持对于发现任务提供可视化监控，监控信息包括：任务状态、开始运行时间、耗时、已处理表格数、剩余表格数、发现敏感字段数、正在处理表格清单、详细运行日志，并支持原始日志的下载。</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6、支持对于word文件进行敏感数据发现任务的创建，同时支持以可视化方式对于发现结果进行展示并进行人工单个及批量确认,（提供相关证明材料，包括但不限于彩页、官网和功能截图等）</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7、支持对于脱敏任务的基础信息及对应的脱敏规则进行配置，基础信息包括任务名称、数据流向、输入源、对象同步、脱敏表格、增量配置、数据筛选、输出目标、Schema映射、数据覆盖方式。</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数据脱敏任务运行以实例方式进行管理，并提供可视化监控，监控信息包括：任务状态、开始运行时间、耗时、处理速度、已处理表格数、剩余表格数、正在处理表格清单、详细运行日志、表格处理明细、对象同步明细。</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9、支持脱敏水印、内容修改水印、伪行水印、伪列水印4种水印算法对于数据打上水印信息，并提供对应的可视化配置页面。</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10、支持在同一个任务中先进行数据脱敏处理，再进行水印处理，以同时满足脱敏和水印要求，并大幅减少处理耗时。（提供相关证明材料，包括但不限于彩页、官网和功能截图等）</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11、支持与分类分级平台对接，用户可对同一类不同级别的数据灵活配置脱敏算法。</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12、提供管理用户登录相关的安全配置，包括密码尝试次数、锁定时长、重置计数器、密码有效期、页面超时设置、强密码校验、IP黑白名单、数据权限开关。</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13、支持页面方式对于系统日志通过syslog进行外发配置，包括是否启用、syslog服务器、端口号。</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14、支持分布重建：根据指定的直方图的数量对原数据分布进行估计和采样重建。本算法可以使得脱敏后的数据保留原数据的高阶统计特征。</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支持以API形式将数据脱敏与数据水印能力进行对外提供，具体包括接口包括：数据源清单接口、查询水印算法可用列表接口、水印列表接口、新增水印接口、批量删除水印接口、数据水印处理接口、查询脱敏算法可用列表接口、脱敏算法测试接口、数据脱敏接口。（必须提供相关证明材料，包括但不限于彩页、官网和功能截图等）</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16、支持脱敏水印、内容修改水印、伪行水印、伪列水印4种水印算法对于数据打上水印信息，并提供对应的可视化配置页面。</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17、▲产品软件须具备主自知识产权证明件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2" w:hRule="atLeast"/>
          <w:jc w:val="center"/>
        </w:trPr>
        <w:tc>
          <w:tcPr>
            <w:tcW w:w="593" w:type="dxa"/>
            <w:noWrap w:val="0"/>
            <w:vAlign w:val="center"/>
          </w:tcPr>
          <w:p>
            <w:pPr>
              <w:tabs>
                <w:tab w:val="left" w:pos="180"/>
                <w:tab w:val="left" w:pos="1620"/>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37" w:type="dxa"/>
            <w:noWrap w:val="0"/>
            <w:vAlign w:val="center"/>
          </w:tcPr>
          <w:p>
            <w:pPr>
              <w:snapToGrid w:val="0"/>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实施技术服务</w:t>
            </w:r>
          </w:p>
        </w:tc>
        <w:tc>
          <w:tcPr>
            <w:tcW w:w="723" w:type="dxa"/>
            <w:gridSpan w:val="2"/>
            <w:noWrap w:val="0"/>
            <w:vAlign w:val="center"/>
          </w:tcPr>
          <w:p>
            <w:pPr>
              <w:snapToGrid w:val="0"/>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1项</w:t>
            </w:r>
          </w:p>
        </w:tc>
        <w:tc>
          <w:tcPr>
            <w:tcW w:w="873" w:type="dxa"/>
            <w:noWrap w:val="0"/>
            <w:vAlign w:val="center"/>
          </w:tcPr>
          <w:p>
            <w:pPr>
              <w:pStyle w:val="3"/>
              <w:spacing w:line="320" w:lineRule="exact"/>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软件和信息技术服务</w:t>
            </w:r>
          </w:p>
        </w:tc>
        <w:tc>
          <w:tcPr>
            <w:tcW w:w="1313" w:type="dxa"/>
            <w:noWrap w:val="0"/>
            <w:vAlign w:val="center"/>
          </w:tcPr>
          <w:p>
            <w:pPr>
              <w:pStyle w:val="3"/>
              <w:spacing w:line="320" w:lineRule="exact"/>
              <w:jc w:val="center"/>
              <w:rPr>
                <w:rFonts w:hint="default"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11.74</w:t>
            </w:r>
          </w:p>
        </w:tc>
        <w:tc>
          <w:tcPr>
            <w:tcW w:w="5037" w:type="dxa"/>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主要技术参数、性能及配置：</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1、提供存储设备的规划设计及实施服务。</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2、提供双活存储的规划设计及实施服务。</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3、交钥匙模式的专业技术服务。</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4、完成主机端的存储空间分配。</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5、拓扑更新、实施维护文档交付服务。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593" w:type="dxa"/>
            <w:noWrap w:val="0"/>
            <w:vAlign w:val="center"/>
          </w:tcPr>
          <w:p>
            <w:pPr>
              <w:tabs>
                <w:tab w:val="left" w:pos="180"/>
                <w:tab w:val="left" w:pos="1620"/>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37" w:type="dxa"/>
            <w:noWrap w:val="0"/>
            <w:vAlign w:val="center"/>
          </w:tcPr>
          <w:p>
            <w:pPr>
              <w:snapToGrid w:val="0"/>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数据迁移服务</w:t>
            </w:r>
          </w:p>
        </w:tc>
        <w:tc>
          <w:tcPr>
            <w:tcW w:w="723" w:type="dxa"/>
            <w:gridSpan w:val="2"/>
            <w:noWrap w:val="0"/>
            <w:vAlign w:val="center"/>
          </w:tcPr>
          <w:p>
            <w:pPr>
              <w:snapToGrid w:val="0"/>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1项</w:t>
            </w:r>
          </w:p>
        </w:tc>
        <w:tc>
          <w:tcPr>
            <w:tcW w:w="873" w:type="dxa"/>
            <w:noWrap w:val="0"/>
            <w:vAlign w:val="center"/>
          </w:tcPr>
          <w:p>
            <w:pPr>
              <w:pStyle w:val="3"/>
              <w:spacing w:line="320" w:lineRule="exact"/>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软件和信息技术服务</w:t>
            </w:r>
          </w:p>
        </w:tc>
        <w:tc>
          <w:tcPr>
            <w:tcW w:w="1313" w:type="dxa"/>
            <w:noWrap w:val="0"/>
            <w:vAlign w:val="center"/>
          </w:tcPr>
          <w:p>
            <w:pPr>
              <w:pStyle w:val="3"/>
              <w:spacing w:line="320" w:lineRule="exact"/>
              <w:jc w:val="center"/>
              <w:rPr>
                <w:rFonts w:hint="default"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16.44</w:t>
            </w:r>
          </w:p>
        </w:tc>
        <w:tc>
          <w:tcPr>
            <w:tcW w:w="5037" w:type="dxa"/>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主要技术参数、性能及配置：</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提供将现有存储45TB数据的迁移规划及实施服务。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27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质保期</w:t>
            </w:r>
          </w:p>
        </w:tc>
        <w:tc>
          <w:tcPr>
            <w:tcW w:w="747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1.按国家有关产品“三包”规定执行“三包”，交付验收合格上线并通过终验之日起，质保期≥3年，终身有偿维护升级。质保期内非人为损坏免费更换。</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2.质保期所更换的零配件必须是原厂全新的零配件，满足设备运行要求。</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3.质量保证期承诺优于国家“三包”规定的，或优于采购文件规定的，按投标人实际承诺执行。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售后服务要求</w:t>
            </w:r>
          </w:p>
        </w:tc>
        <w:tc>
          <w:tcPr>
            <w:tcW w:w="747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1、免费送货上门、安装调试，免费培训，安装完成后成交供应商负责清理产生的木箱等垃圾；</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2、投标人应提出可行的售后服务承诺书；</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3、投标报价包括货物的所有费用，包括采购、运输、安装、劳务、管理、利润、税金、保险、协调、培训、售后服务、配送产品以及所有的不定因素的风险等；</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4、备件、技术及维修服务，培训要求及其它：</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（1）备件要求：投标人或厂家应在用户当地或省会中心城市设置备件库，存入所有必须的备件，保证必要时可以及时供应；</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（2）技术及维修服务：在用户当地或省会中心城市，投标人或厂家应配置多名工程技术人员，随时提供开箱验货、安装、调试或维修等服务；</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（3）技术培训要求：在用户当地或省会中心城市，投标人或厂家应配置专业技术人员提供现场技术培训，保证使用人员正常操作设备的各种功能；</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质保期内设备发生故障时，现场响应时间24小时以内，维修响应时间小于24小时，工程师到场时间小于36小时，维修中所需要零配件供应最长时间不超过7天。特殊情况无法到达须提前与科室或设备主管科室沟通。如需更换配件，则小配件7个工作日内更换完毕，大配件15个工作日内更换完毕，当配件等待周期大于15个工作日时，成交供应商应按照科室要求提供备用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交货时间及地点</w:t>
            </w:r>
          </w:p>
        </w:tc>
        <w:tc>
          <w:tcPr>
            <w:tcW w:w="747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1.交货时间：自签订合同之日起30天内交货并安装调试完毕。</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付款条件</w:t>
            </w:r>
          </w:p>
        </w:tc>
        <w:tc>
          <w:tcPr>
            <w:tcW w:w="747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本项目无预付款，项目验收合格交付使用后30日内支付第一笔合同款的50%，第二笔合同款在验收合格交付使用6个月后的15个工作日内支付合同款的45%，第三笔剩余5%的合同款，在验收合格交付使用12个月后的15个工作日内支付（无息）。中标人在采购人付款前开具完税发票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报价及其他要求</w:t>
            </w:r>
          </w:p>
        </w:tc>
        <w:tc>
          <w:tcPr>
            <w:tcW w:w="747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1.要求投标货物是全新的、未经改装的、合格的、满足本项目技术需求及要求的货物。所有零部件、配件必须是未经使用的全新的并符合国家有关质量安全标准的产品。</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2.投标报价包含设备及服务需求要求所需的一切费用总和，除另有约定外，中标价不因任何因素而调整：</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（1）货物采购包括货款、标准附件、备品备件、专用工具、包装、运输、装卸、保险、税金、货到就位以及安装、调试、培训、保修等一切税金和费用；</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（2）服务采购包括整体服务价格以及安装调试、培训、维护等一切税金和费用。</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（3）项目验收、人员服务等费用。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其他要求</w:t>
            </w:r>
          </w:p>
        </w:tc>
        <w:tc>
          <w:tcPr>
            <w:tcW w:w="747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57"/>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1、中标供应商保证向采购人提供的货物是全新、完整、未使用过的。</w:t>
            </w:r>
          </w:p>
          <w:p>
            <w:pPr>
              <w:spacing w:line="360" w:lineRule="exact"/>
              <w:ind w:right="-57"/>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2、采购人设备主管科室对本合同质保服务内容进行全程对接和监督，并对服务情况进行客观记录，在每个合同年度期结束时，由设备主管科室根据合同约定的服务内容、响应情况、服务态度及过程记录。</w:t>
            </w:r>
          </w:p>
          <w:p>
            <w:pPr>
              <w:spacing w:line="360" w:lineRule="exact"/>
              <w:ind w:right="-57"/>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采购人在货物交货验收阶段发现货物的技术参数指标达不到采购文件该货物技术参数要求的，属虚假应标行为，采购人将终止合同拒收货物，追究该成交单位违约责任，赔偿采购人因采购时间延长造成采购人经济等方面损失。</w:t>
            </w:r>
          </w:p>
          <w:p>
            <w:pPr>
              <w:spacing w:line="360" w:lineRule="exact"/>
              <w:ind w:right="-57"/>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最终报价时，供应商须在规定的报价时限内在</w:t>
            </w:r>
            <w:r>
              <w:rPr>
                <w:rFonts w:hint="eastAsia" w:ascii="仿宋" w:hAnsi="仿宋" w:eastAsia="仿宋" w:cs="仿宋"/>
                <w:b/>
                <w:bCs/>
                <w:color w:val="auto"/>
                <w:sz w:val="21"/>
                <w:szCs w:val="21"/>
                <w:highlight w:val="none"/>
                <w:lang w:val="en-US" w:eastAsia="zh-CN"/>
              </w:rPr>
              <w:t>广西政府采购云平台</w:t>
            </w:r>
            <w:r>
              <w:rPr>
                <w:rFonts w:hint="eastAsia" w:ascii="仿宋" w:hAnsi="仿宋" w:eastAsia="仿宋" w:cs="仿宋"/>
                <w:b/>
                <w:bCs/>
                <w:color w:val="auto"/>
                <w:sz w:val="21"/>
                <w:szCs w:val="21"/>
                <w:highlight w:val="none"/>
              </w:rPr>
              <w:t>系统填报总价，并提供最终报价的报价明细表（格式自拟）作为附件（附件需要CA签章</w:t>
            </w:r>
            <w:r>
              <w:rPr>
                <w:rFonts w:hint="eastAsia" w:ascii="仿宋" w:hAnsi="仿宋" w:eastAsia="仿宋" w:cs="仿宋"/>
                <w:b/>
                <w:bCs/>
                <w:color w:val="auto"/>
                <w:sz w:val="21"/>
                <w:szCs w:val="21"/>
                <w:highlight w:val="none"/>
                <w:lang w:val="en-US" w:eastAsia="zh-CN"/>
              </w:rPr>
              <w:t>或加盖公章</w:t>
            </w:r>
            <w:r>
              <w:rPr>
                <w:rFonts w:hint="eastAsia" w:ascii="仿宋" w:hAnsi="仿宋" w:eastAsia="仿宋" w:cs="仿宋"/>
                <w:b/>
                <w:bCs/>
                <w:color w:val="auto"/>
                <w:sz w:val="21"/>
                <w:szCs w:val="21"/>
                <w:highlight w:val="none"/>
              </w:rPr>
              <w:t>）。</w:t>
            </w:r>
          </w:p>
          <w:p>
            <w:pPr>
              <w:spacing w:line="360" w:lineRule="exact"/>
              <w:ind w:right="-57"/>
              <w:jc w:val="left"/>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5、为保证供货产品质量及售后服务，中标方在供货时提供原厂授权函、售后服务承诺函和产品原厂供货证明函原件。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7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资料要求</w:t>
            </w:r>
          </w:p>
        </w:tc>
        <w:tc>
          <w:tcPr>
            <w:tcW w:w="747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当响应文件提供的设备性能参数与该生产商提供的性能参数不符合时，以生产商资料为准。</w:t>
            </w:r>
            <w:r>
              <w:rPr>
                <w:rFonts w:hint="eastAsia" w:ascii="仿宋" w:hAnsi="仿宋" w:eastAsia="仿宋" w:cs="仿宋"/>
                <w:b/>
                <w:color w:val="auto"/>
                <w:sz w:val="21"/>
                <w:szCs w:val="21"/>
                <w:highlight w:val="none"/>
              </w:rPr>
              <w:t>（“项目需要及技术需求”有要求的则按其要求）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9276"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276"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本项目整机不接受进口产品（即通过中国海关报关验放进入中国境内且产自关境外的产品）参与投标，如有此类产品参与投标的投标无效</w:t>
            </w:r>
            <w:r>
              <w:rPr>
                <w:rFonts w:hint="eastAsia" w:ascii="仿宋" w:hAnsi="仿宋" w:eastAsia="仿宋" w:cs="仿宋"/>
                <w:color w:val="auto"/>
                <w:sz w:val="21"/>
                <w:szCs w:val="21"/>
                <w:highlight w:val="none"/>
              </w:rPr>
              <w:t>。</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N2VhZDA4ZjkxNTE5ZGQ3MTRhM2E4YTAzNGYyNTYifQ=="/>
  </w:docVars>
  <w:rsids>
    <w:rsidRoot w:val="70B3106E"/>
    <w:rsid w:val="0EF050F2"/>
    <w:rsid w:val="1231409A"/>
    <w:rsid w:val="248F1143"/>
    <w:rsid w:val="44901E7E"/>
    <w:rsid w:val="68227834"/>
    <w:rsid w:val="6C5F7A0D"/>
    <w:rsid w:val="70B3106E"/>
    <w:rsid w:val="70E5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Arial"/>
      <w:kern w:val="2"/>
      <w:sz w:val="21"/>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rFonts w:cs="Times New Roman"/>
    </w:rPr>
  </w:style>
  <w:style w:type="paragraph" w:styleId="5">
    <w:name w:val="index 4"/>
    <w:basedOn w:val="1"/>
    <w:next w:val="1"/>
    <w:autoRedefine/>
    <w:unhideWhenUsed/>
    <w:qFormat/>
    <w:uiPriority w:val="99"/>
    <w:rPr>
      <w:b/>
      <w:sz w:val="24"/>
      <w:lang w:val="zh-CN"/>
    </w:rPr>
  </w:style>
  <w:style w:type="paragraph" w:customStyle="1" w:styleId="8">
    <w:name w:val="大目录"/>
    <w:basedOn w:val="1"/>
    <w:autoRedefine/>
    <w:qFormat/>
    <w:uiPriority w:val="0"/>
    <w:pPr>
      <w:spacing w:line="540" w:lineRule="exact"/>
      <w:jc w:val="center"/>
    </w:pPr>
    <w:rPr>
      <w:b/>
      <w:sz w:val="48"/>
      <w:szCs w:val="48"/>
    </w:rPr>
  </w:style>
  <w:style w:type="paragraph" w:styleId="9">
    <w:name w:val="List Paragraph"/>
    <w:basedOn w:val="1"/>
    <w:autoRedefine/>
    <w:qFormat/>
    <w:uiPriority w:val="34"/>
    <w:pPr>
      <w:ind w:firstLine="420" w:firstLineChars="200"/>
    </w:pPr>
    <w:rPr>
      <w:rFonts w:ascii="Calibri" w:hAnsi="Calibri"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2023-12-07T09:18:00Z</dcterms:created>
  <dc:creator>池塘</dc:creator>
  <cp:lastModifiedBy>池塘</cp:lastModifiedBy>
  <dcterms:modified xsi:type="dcterms:W3CDTF">2024-05-11T09:45:05Z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E2DF2AAA7FD7416CA9971F6B6AB959F8_13</vt:lpwstr>
  </property>
</Properties>
</file>