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28B41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79133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功能定位</w:t>
      </w:r>
    </w:p>
    <w:p w14:paraId="6FE04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蓉峰湖清淤的功能定位主要包括以下几个方面：</w:t>
      </w:r>
    </w:p>
    <w:p w14:paraId="7589A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1、恢复水生态：河塘清淤是恢复水生态的重要措施。通过清理河道内的淤泥和杂物，可以提高水体的清洁度和透明度，改善水质，促进水体的自净能力，从而维护水生态平衡。</w:t>
      </w:r>
    </w:p>
    <w:p w14:paraId="6070C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2、防洪排涝：河道淤积会导致洪水排泄不畅，降低河道的排涝能力，增加洪涝灾害的风险。河塘清淤可以恢复河道的行洪能力，提高河道的通行能力，减少水患的发生，保障人民生命财产的安全。</w:t>
      </w:r>
    </w:p>
    <w:p w14:paraId="5B42D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3、提升蓉峰湖形象：干净的湖水和美丽的湖岸线是蓉峰湖形象的重要组成部分。河塘清淤可以改善河道环境，提升城市形象，提高市民的生活质量。</w:t>
      </w:r>
    </w:p>
    <w:p w14:paraId="71051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4、保护生态环境：河塘清淤可以保持河道的生态系统平衡，保护生态环境，维护生态平衡。通过清理河道内的污染物和淤积物，可以减少对水生生物和环境的负面影响。</w:t>
      </w:r>
    </w:p>
    <w:p w14:paraId="68AA6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、助力特色养殖基地发展：特色养殖基地是指针对特定种类或具有地方特色的动物、植物或微生物等生物资源，进行规模化、集约化、专业化的养殖和繁育的场所。这些基地通常具备一定的技术创新和产业升级能力，致力于提高养殖效益、优化养殖结构、推动相关产业的发展，并为当地居民提供就业机会。</w:t>
      </w:r>
    </w:p>
    <w:p w14:paraId="3648D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特色养殖基地的建设和发展，有助于保护和利用地方特色生物资源，促进农业、畜牧业和渔业的转型升级，提高农产品的附加值和市场竞争力。同时，特色养殖基地也是推动乡村振兴和区域经济发展的重要力量，可以带动相关产业链的发展，提高农民收入，改善农村生态环境。</w:t>
      </w:r>
    </w:p>
    <w:p w14:paraId="55A5F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在特色养殖基地的建设中，应注重科学规划、合理布局、生态环保、技术创新等方面的工作。同时，还需要加强政策扶持、资金投入、人才培养等方面的工作，为特色养殖基地的可持续发展提供有力保障。</w:t>
      </w:r>
    </w:p>
    <w:p w14:paraId="459EC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总之，特色养殖基地是推动农业现代化、促进农村经济发展和生态保护的重要载体，具有重要的战略意义和现实意义。</w:t>
      </w:r>
    </w:p>
    <w:p w14:paraId="61B56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 w:eastAsia="宋体"/>
          <w:lang w:val="en-US" w:eastAsia="zh-CN"/>
        </w:rPr>
        <w:t>综上所述，清淤的功能定位是恢复水生态、防洪排涝、提升城市形象和保护生态环境。这些功能的实现需要采用科学合理的清淤方法和技术手段，如机械清淤、环保清淤和生态护岸等，以有效解决河塘的污染和淤积问题，促进水环境的改善和水生态的恢复。</w:t>
      </w:r>
    </w:p>
    <w:p w14:paraId="25D0B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建设条件</w:t>
      </w:r>
    </w:p>
    <w:p w14:paraId="54F3F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1、蓉峰湖湖内水已经抽干。</w:t>
      </w:r>
    </w:p>
    <w:p w14:paraId="0C1C3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2、施工便道已具备运输条件。</w:t>
      </w:r>
    </w:p>
    <w:p w14:paraId="1C49F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3、周边农田已协调妥当，淤泥挖除后将其推平至农田作为沃土使用。</w:t>
      </w:r>
    </w:p>
    <w:p w14:paraId="115A8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4、用地已解决。</w:t>
      </w:r>
    </w:p>
    <w:p w14:paraId="3ADE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工程地质</w:t>
      </w:r>
    </w:p>
    <w:p w14:paraId="6CDEB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 w:val="0"/>
        <w:snapToGrid w:val="0"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>场地岩土层分布及特征</w:t>
      </w:r>
    </w:p>
    <w:p w14:paraId="25E3D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场地在本次勘探揭露深度范围内的岩土层主要有：第四系人工成因的素填土，第四系残积成因的粉土及粉质黏土。现自上而下分述如下：</w:t>
      </w:r>
    </w:p>
    <w:p w14:paraId="4196B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．素填土①1（Q4ml）：杂色，稍湿，松散状，土质不均匀，主要由黏性土、砂砾石及植物根系组成，局部含较多淤泥质黏土，根据调查，场地原为坡地，本填土来源主要为周边鱼塘回填而成，未经过分层压实，稍具湿陷性，回填时间为1～5年。该层场地内分布于ZK1～ZK35号钻孔，层厚为0.30～8.50m，平均厚度为2.01m，层面标高112.84～116.81m，层底标高107.27～116.24m。该层作标准贯入试验6次，实测锤击数3.0～9.0击，修正后平均锤击数N=4.1击，修正后标准锤击数N=2.3击。属高压缩性土。</w:t>
      </w:r>
    </w:p>
    <w:p w14:paraId="181E5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．素填土①2（Q4ml）：杂色，稍湿，稍密状，主要由黏性土回填为主，局部含砂砾石，回填时间约8年，根据调查，场地原为坡地，本填土来源主要为原道路回填而成，稍经初步压实，回填时间为8年。该层场地内分布于ZK37～ZK45号钻孔，层厚为0.50～4.00m，平均厚度为2.54m，层面标高113.85～118.77m，层底标高112.58～116.34m。该层作标准贯入试验6次，实测锤击数8.0～12.0击，修正后平均锤击数N=9.7击，修正后标准锤击数N=8.4击。属高压缩性土。</w:t>
      </w:r>
    </w:p>
    <w:p w14:paraId="2CEC0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eastAsia="zh-CN"/>
        </w:rPr>
      </w:pPr>
      <w:r>
        <w:rPr>
          <w:rFonts w:hint="eastAsia"/>
        </w:rPr>
        <w:t>3．粉质黏土②（Q3 el）：黄褐色，硬塑状，干强度高，韧性中等，黏性中等，刀切面稍光滑，无摇震反应，为泥质粉砂岩风化物，岩石的组织结构全部破坏，已风化成土状，局部相变为粉土。该层场地内均有分布，未揭穿，揭示层厚为3.40～8.70m，平均厚度为6.22m，层面标高107.27～116.34m，层底标高103.23～110.57m。该层作标准贯入试验20次，实测锤击数12.0～18.0击，修正后平均锤击数N=12.9击，修正后标准锤击数N=12.3击。属中等压缩性土。</w:t>
      </w:r>
    </w:p>
    <w:p w14:paraId="1BB84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二、挖方区技术要求:</w:t>
      </w:r>
    </w:p>
    <w:p w14:paraId="2741F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1.场地挖方 区为池塘内清淤。</w:t>
      </w:r>
    </w:p>
    <w:p w14:paraId="36B49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2.场地主要不 良地质为分布在池塘的软土分布在低洼处的软土，因为含水量大，且有高压缩、低强度等特性，不能作</w:t>
      </w:r>
    </w:p>
    <w:p w14:paraId="3FA15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为持力层或下卧层，必须对其进行处治。考虑到软土分布的数量较大，但深度不大，一般为2. 0眯以下，因此， 本设计采用</w:t>
      </w:r>
    </w:p>
    <w:p w14:paraId="74128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清除软士的方案处治。软土应彻底清除，要求基底持力层承载力在建筑基础相关区城，应结合结构专业基础困纸，按较高</w:t>
      </w:r>
    </w:p>
    <w:p w14:paraId="2C419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要求进行处理。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3.清除来的软土应集中堆放， 可利用为场地平整后的绿化用土。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三填方区技术要求:</w:t>
      </w:r>
    </w:p>
    <w:p w14:paraId="7C48F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5D224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5EE22972">
      <w:pPr>
        <w:pStyle w:val="2"/>
        <w:rPr>
          <w:rFonts w:hint="eastAsia"/>
        </w:rPr>
      </w:pPr>
    </w:p>
    <w:p w14:paraId="79DCB234">
      <w:pPr>
        <w:pStyle w:val="2"/>
        <w:rPr>
          <w:rFonts w:hint="eastAsia"/>
        </w:rPr>
      </w:pPr>
    </w:p>
    <w:p w14:paraId="6FEC72BF">
      <w:pPr>
        <w:pStyle w:val="2"/>
        <w:rPr>
          <w:rFonts w:hint="eastAsia"/>
        </w:rPr>
      </w:pPr>
    </w:p>
    <w:p w14:paraId="40504336">
      <w:pPr>
        <w:pStyle w:val="2"/>
        <w:rPr>
          <w:rFonts w:hint="eastAsia"/>
        </w:rPr>
      </w:pPr>
    </w:p>
    <w:p w14:paraId="4FBFD568">
      <w:pPr>
        <w:pStyle w:val="2"/>
        <w:rPr>
          <w:rFonts w:hint="eastAsia"/>
        </w:rPr>
      </w:pP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2"/>
        <w:gridCol w:w="2266"/>
        <w:gridCol w:w="2226"/>
        <w:gridCol w:w="1780"/>
        <w:gridCol w:w="1417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4D84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0" w:type="auto"/>
          </w:tcPr>
          <w:p w14:paraId="259D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399E2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051EA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69944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场地清表</w:t>
            </w:r>
          </w:p>
        </w:tc>
        <w:tc>
          <w:tcPr>
            <w:tcW w:w="0" w:type="auto"/>
          </w:tcPr>
          <w:p w14:paraId="41D43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2130.74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75998.46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0283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FD0E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6946E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2442.15</w:t>
            </w:r>
          </w:p>
        </w:tc>
        <w:tc>
          <w:tcPr>
            <w:tcW w:w="0" w:type="auto"/>
          </w:tcPr>
          <w:p w14:paraId="7778C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2442.15</w:t>
            </w:r>
          </w:p>
        </w:tc>
        <w:tc>
          <w:tcPr>
            <w:tcW w:w="0" w:type="auto"/>
          </w:tcPr>
          <w:p w14:paraId="30895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如意岛计算部分</w:t>
            </w:r>
          </w:p>
        </w:tc>
        <w:tc>
          <w:tcPr>
            <w:tcW w:w="0" w:type="auto"/>
          </w:tcPr>
          <w:p w14:paraId="0F0C7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4938.72</w:t>
            </w:r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78440.61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1,回填土取土运距按25KM计,回填土松散系数1.08;清表弃方及挖土方弃置运距按1KM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A6C6D67"/>
    <w:rsid w:val="1A9414C0"/>
    <w:rsid w:val="1BF40D6E"/>
    <w:rsid w:val="20C12696"/>
    <w:rsid w:val="3089127B"/>
    <w:rsid w:val="3A5B5E9E"/>
    <w:rsid w:val="3A9B4B37"/>
    <w:rsid w:val="53810D80"/>
    <w:rsid w:val="551769A9"/>
    <w:rsid w:val="5B1036BE"/>
    <w:rsid w:val="5CAE01B8"/>
    <w:rsid w:val="60B371BF"/>
    <w:rsid w:val="61BF548E"/>
    <w:rsid w:val="65432D72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2537</Words>
  <Characters>2825</Characters>
  <Lines>0</Lines>
  <Paragraphs>0</Paragraphs>
  <TotalTime>5</TotalTime>
  <ScaleCrop>false</ScaleCrop>
  <LinksUpToDate>false</LinksUpToDate>
  <CharactersWithSpaces>2843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2024-09-21T08:29:01Z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