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3" w:name="_GoBack"/>
      <w:bookmarkEnd w:id="3"/>
      <w:bookmarkStart w:id="0" w:name="OLE_LINK13"/>
      <w:bookmarkStart w:id="1" w:name="OLE_LINK14"/>
      <w:r>
        <w:rPr>
          <w:rFonts w:hint="eastAsia" w:asciiTheme="minorEastAsia" w:hAnsiTheme="minorEastAsia" w:eastAsiaTheme="minorEastAsia" w:cstheme="minorEastAsia"/>
          <w:b/>
          <w:color w:val="auto"/>
          <w:sz w:val="28"/>
          <w:szCs w:val="28"/>
          <w:highlight w:val="none"/>
          <w:lang w:eastAsia="zh-CN"/>
        </w:rPr>
        <w:t>广西崇善项目咨询有限公司</w:t>
      </w:r>
    </w:p>
    <w:p w14:paraId="3721E662">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关于天等县宁干乡宁干村果吉屯至龙盛村中片产业配套项目</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（项目编号：CZZC2025-C2-250168-GXCS）成交结果公告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：CZZC2025-C2-250168-GXCS；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天等县宁干乡宁干村果吉屯至龙盛村中片产业配套项目；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67DAB610">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供应商名称：广西旺崇建设工程有限公司（统一社会信用代码：91451425MA5Q1E6285）</w:t>
      </w:r>
    </w:p>
    <w:p w14:paraId="47509B0C">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供应商地址：广西壮族自治区崇左市天等县天等镇天宝南路002号天富商业广场25号楼09号房三楼</w:t>
      </w:r>
    </w:p>
    <w:p w14:paraId="5FED1B83">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成交金额：人民币贰佰玖拾玖万叁仟玖佰元整（¥2993900.00）。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val="0"/>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项目名称：天等县宁干乡宁干村果吉屯至龙盛村中片产业配套项目。</w:t>
            </w:r>
          </w:p>
          <w:p w14:paraId="1142FAEF">
            <w:pPr>
              <w:widowControl/>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施工范围：天等县宁干乡宁干村果吉屯至龙盛村中片产业配套项目拟建设渠道总长3715米，其中人行盖板50米建设1处有73处，及村庄附近(K2+587-K2+609)设置12处，共计85处；过路盖板涵K1+016处和圆管涵K2+207、K2+402处利用。盖板涵KO+688、K2+813、K3+186、K3+335、K3+710处拆除重建。手工闸设置在起点KO+000处，溢流坝设置在K0+889-K0+904处，具体以工程量清单和施工图为准。 </w:t>
            </w:r>
          </w:p>
          <w:p w14:paraId="67D029F2">
            <w:pPr>
              <w:widowControl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合同履行期限：150日历天。</w:t>
            </w:r>
          </w:p>
          <w:p w14:paraId="19B78409">
            <w:pPr>
              <w:widowControl w:val="0"/>
              <w:spacing w:line="360" w:lineRule="auto"/>
              <w:jc w:val="both"/>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 ：陈钧    执业证书信息：桂245121222533。</w:t>
            </w:r>
          </w:p>
        </w:tc>
      </w:tr>
    </w:tbl>
    <w:p w14:paraId="6F1E6130">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：黄琼满（组长）、陈伟、陆建彪（采购人代表）。</w:t>
      </w:r>
    </w:p>
    <w:p w14:paraId="6DBACDB3">
      <w:p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sz w:val="24"/>
          <w:szCs w:val="24"/>
          <w:highlight w:val="none"/>
          <w:lang w:val="en-US" w:eastAsia="zh-CN"/>
        </w:rPr>
        <w:t>根据有关收费规定并经双方商定， 采购代理服务费参照原国家发展计划委员会计价格[2002]1980号《招标代理服务费管理暂行办法》、原发改办价格[2003]857号、原发改价格[2011]534号按照标准进行收取，金额：23957.00元。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w:t>
      </w:r>
      <w:r>
        <w:rPr>
          <w:rFonts w:hint="eastAsia" w:asciiTheme="minorEastAsia" w:hAnsiTheme="minorEastAsia" w:eastAsiaTheme="minorEastAsia" w:cstheme="minorEastAsia"/>
          <w:i w:val="0"/>
          <w:iCs w:val="0"/>
          <w:color w:val="auto"/>
          <w:kern w:val="0"/>
          <w:sz w:val="24"/>
          <w:szCs w:val="24"/>
          <w:highlight w:val="none"/>
        </w:rPr>
        <w:t>89.28</w:t>
      </w:r>
      <w:r>
        <w:rPr>
          <w:rFonts w:hint="eastAsia" w:asciiTheme="minorEastAsia" w:hAnsiTheme="minorEastAsia" w:eastAsiaTheme="minorEastAsia" w:cstheme="minorEastAsia"/>
          <w:i w:val="0"/>
          <w:iCs w:val="0"/>
          <w:color w:val="auto"/>
          <w:kern w:val="0"/>
          <w:sz w:val="24"/>
          <w:szCs w:val="24"/>
          <w:highlight w:val="none"/>
          <w:lang w:val="en-US" w:eastAsia="zh-CN"/>
        </w:rPr>
        <w:t>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60D2A8F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称：天等县农业农村局</w:t>
      </w: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址：天等县天等镇和平路9号县人民政府大院会议楼1楼乡村建设组办公室</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联系人及电话：李志燕   0771-3533625</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5"/>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6"/>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采购单位：天等县农业农村局</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日期：2025年9月29日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0"/>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1" w:cryptProviderType="rsaFull" w:cryptAlgorithmClass="hash" w:cryptAlgorithmType="typeAny" w:cryptAlgorithmSid="4" w:cryptSpinCount="0" w:hash="WVfEmmvL1NW9S8tsSGrV2FPQD4g=" w:salt="f+rnR0u6u42vdxjQ4TQtWw=="/>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C939D3"/>
    <w:rsid w:val="03634626"/>
    <w:rsid w:val="03CE5F43"/>
    <w:rsid w:val="045B2529"/>
    <w:rsid w:val="046D2918"/>
    <w:rsid w:val="047C3F44"/>
    <w:rsid w:val="04B77ABB"/>
    <w:rsid w:val="04FA3D1E"/>
    <w:rsid w:val="04FD0162"/>
    <w:rsid w:val="051A0D14"/>
    <w:rsid w:val="05562A2F"/>
    <w:rsid w:val="05745EE8"/>
    <w:rsid w:val="05D26727"/>
    <w:rsid w:val="063B076D"/>
    <w:rsid w:val="06616D34"/>
    <w:rsid w:val="066F7B01"/>
    <w:rsid w:val="068154EF"/>
    <w:rsid w:val="07BF007D"/>
    <w:rsid w:val="07DA7459"/>
    <w:rsid w:val="07F239B4"/>
    <w:rsid w:val="080E6381"/>
    <w:rsid w:val="083E16CE"/>
    <w:rsid w:val="0842480A"/>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CC482C"/>
    <w:rsid w:val="0C1D4364"/>
    <w:rsid w:val="0C2A2FCA"/>
    <w:rsid w:val="0C317150"/>
    <w:rsid w:val="0C643391"/>
    <w:rsid w:val="0CAC0DEC"/>
    <w:rsid w:val="0CF1398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855448"/>
    <w:rsid w:val="10A336A6"/>
    <w:rsid w:val="112D2517"/>
    <w:rsid w:val="113220A0"/>
    <w:rsid w:val="11707DA9"/>
    <w:rsid w:val="118B6A83"/>
    <w:rsid w:val="11C17A90"/>
    <w:rsid w:val="123C25DA"/>
    <w:rsid w:val="124A0097"/>
    <w:rsid w:val="1253014A"/>
    <w:rsid w:val="125F10C0"/>
    <w:rsid w:val="12BC449A"/>
    <w:rsid w:val="12C02EFB"/>
    <w:rsid w:val="134602BC"/>
    <w:rsid w:val="137D464E"/>
    <w:rsid w:val="138118D1"/>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920A29"/>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856220"/>
    <w:rsid w:val="1C99662C"/>
    <w:rsid w:val="1C9B5BB3"/>
    <w:rsid w:val="1D48702D"/>
    <w:rsid w:val="1D5F77B4"/>
    <w:rsid w:val="1DC262E4"/>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BC4A22"/>
    <w:rsid w:val="334123D9"/>
    <w:rsid w:val="33827F3E"/>
    <w:rsid w:val="33D22636"/>
    <w:rsid w:val="33DE36B0"/>
    <w:rsid w:val="34BB30CA"/>
    <w:rsid w:val="35112233"/>
    <w:rsid w:val="353663FD"/>
    <w:rsid w:val="35503F8F"/>
    <w:rsid w:val="359939AE"/>
    <w:rsid w:val="35B34777"/>
    <w:rsid w:val="35B8321C"/>
    <w:rsid w:val="35C91817"/>
    <w:rsid w:val="35DC154A"/>
    <w:rsid w:val="362519F9"/>
    <w:rsid w:val="362726F1"/>
    <w:rsid w:val="36C22E36"/>
    <w:rsid w:val="36E97FA5"/>
    <w:rsid w:val="37C30C14"/>
    <w:rsid w:val="38241E52"/>
    <w:rsid w:val="386A5BB9"/>
    <w:rsid w:val="38CC1D4A"/>
    <w:rsid w:val="38EA6674"/>
    <w:rsid w:val="39A429A6"/>
    <w:rsid w:val="39B2330E"/>
    <w:rsid w:val="39E15381"/>
    <w:rsid w:val="39F96B54"/>
    <w:rsid w:val="3A7252D2"/>
    <w:rsid w:val="3A8F44F9"/>
    <w:rsid w:val="3AAC45AF"/>
    <w:rsid w:val="3ADC48A5"/>
    <w:rsid w:val="3B1C6E4F"/>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2256D94"/>
    <w:rsid w:val="426C1EA8"/>
    <w:rsid w:val="42D5192F"/>
    <w:rsid w:val="42EF5839"/>
    <w:rsid w:val="431556B3"/>
    <w:rsid w:val="43223183"/>
    <w:rsid w:val="43274FD6"/>
    <w:rsid w:val="435C52A0"/>
    <w:rsid w:val="44A746C3"/>
    <w:rsid w:val="44BD1F0F"/>
    <w:rsid w:val="44D374C3"/>
    <w:rsid w:val="454E1449"/>
    <w:rsid w:val="45943BEF"/>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5170DA"/>
    <w:rsid w:val="4E5C54C6"/>
    <w:rsid w:val="4E8B5050"/>
    <w:rsid w:val="4EA93CB2"/>
    <w:rsid w:val="4F087DA4"/>
    <w:rsid w:val="4F197D32"/>
    <w:rsid w:val="4F6E40E9"/>
    <w:rsid w:val="4F986A2D"/>
    <w:rsid w:val="500B4ABE"/>
    <w:rsid w:val="50591456"/>
    <w:rsid w:val="50601B75"/>
    <w:rsid w:val="506F7733"/>
    <w:rsid w:val="51742805"/>
    <w:rsid w:val="51764AF1"/>
    <w:rsid w:val="51864D34"/>
    <w:rsid w:val="51970863"/>
    <w:rsid w:val="51C848AD"/>
    <w:rsid w:val="51DE2A6B"/>
    <w:rsid w:val="52142B51"/>
    <w:rsid w:val="52191BF2"/>
    <w:rsid w:val="52445767"/>
    <w:rsid w:val="52A07B61"/>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E57D12"/>
    <w:rsid w:val="5EF31D63"/>
    <w:rsid w:val="5EF726E5"/>
    <w:rsid w:val="5F74474D"/>
    <w:rsid w:val="5F9E4A44"/>
    <w:rsid w:val="60060CD2"/>
    <w:rsid w:val="60193217"/>
    <w:rsid w:val="6033538C"/>
    <w:rsid w:val="60566219"/>
    <w:rsid w:val="6090329E"/>
    <w:rsid w:val="6094289E"/>
    <w:rsid w:val="60D56845"/>
    <w:rsid w:val="61015C2A"/>
    <w:rsid w:val="61212315"/>
    <w:rsid w:val="6124616D"/>
    <w:rsid w:val="61497B2C"/>
    <w:rsid w:val="61700C15"/>
    <w:rsid w:val="61DD6D85"/>
    <w:rsid w:val="61E635CD"/>
    <w:rsid w:val="62487DE4"/>
    <w:rsid w:val="624D4A2C"/>
    <w:rsid w:val="624F2F20"/>
    <w:rsid w:val="625A70E9"/>
    <w:rsid w:val="6284074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451B01"/>
    <w:rsid w:val="6AA06A0F"/>
    <w:rsid w:val="6AC123AB"/>
    <w:rsid w:val="6ACC1D6D"/>
    <w:rsid w:val="6AD42215"/>
    <w:rsid w:val="6AE6715C"/>
    <w:rsid w:val="6B3726F6"/>
    <w:rsid w:val="6B467C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505F"/>
    <w:rsid w:val="75963A07"/>
    <w:rsid w:val="75E82090"/>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0671A"/>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heme="minorBidi"/>
      <w:sz w:val="21"/>
      <w:szCs w:val="21"/>
      <w:lang w:val="en-US" w:eastAsia="zh-CN" w:bidi="ar-SA"/>
    </w:rPr>
  </w:style>
  <w:style w:type="paragraph" w:styleId="2">
    <w:name w:val="heading 1"/>
    <w:basedOn w:val="1"/>
    <w:next w:val="1"/>
    <w:autoRedefine/>
    <w:qFormat/>
    <w:uiPriority w:val="7"/>
    <w:pPr>
      <w:outlineLvl w:val="0"/>
    </w:pPr>
    <w:rPr>
      <w:rFonts w:ascii="Times New Roman" w:hAnsi="Times New Roman" w:eastAsia="Times New Roman"/>
      <w:sz w:val="28"/>
      <w:szCs w:val="28"/>
    </w:rPr>
  </w:style>
  <w:style w:type="paragraph" w:styleId="3">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4">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5">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spacing w:line="200" w:lineRule="exact"/>
      <w:ind w:firstLine="301"/>
    </w:pPr>
    <w:rPr>
      <w:rFonts w:ascii="宋体" w:hAnsi="Courier New"/>
      <w:spacing w:val="-4"/>
      <w:sz w:val="18"/>
      <w:szCs w:val="20"/>
    </w:rPr>
  </w:style>
  <w:style w:type="paragraph" w:styleId="15">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6">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7">
    <w:name w:val="Plain Text"/>
    <w:basedOn w:val="1"/>
    <w:autoRedefine/>
    <w:qFormat/>
    <w:uiPriority w:val="0"/>
    <w:rPr>
      <w:rFonts w:ascii="宋体" w:hAnsi="宋体" w:eastAsia="Courier New"/>
      <w:sz w:val="20"/>
      <w:szCs w:val="20"/>
    </w:rPr>
  </w:style>
  <w:style w:type="paragraph" w:styleId="18">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19">
    <w:name w:val="Balloon Text"/>
    <w:basedOn w:val="1"/>
    <w:link w:val="59"/>
    <w:autoRedefine/>
    <w:qFormat/>
    <w:uiPriority w:val="0"/>
    <w:rPr>
      <w:sz w:val="18"/>
      <w:szCs w:val="18"/>
    </w:rPr>
  </w:style>
  <w:style w:type="paragraph" w:styleId="20">
    <w:name w:val="footer"/>
    <w:basedOn w:val="1"/>
    <w:autoRedefine/>
    <w:qFormat/>
    <w:uiPriority w:val="0"/>
    <w:pPr>
      <w:tabs>
        <w:tab w:val="center" w:pos="4153"/>
        <w:tab w:val="right" w:pos="8306"/>
      </w:tabs>
    </w:pPr>
    <w:rPr>
      <w:sz w:val="18"/>
      <w:szCs w:val="18"/>
    </w:rPr>
  </w:style>
  <w:style w:type="paragraph" w:styleId="21">
    <w:name w:val="header"/>
    <w:basedOn w:val="1"/>
    <w:autoRedefine/>
    <w:qFormat/>
    <w:uiPriority w:val="0"/>
    <w:pPr>
      <w:tabs>
        <w:tab w:val="center" w:pos="4153"/>
        <w:tab w:val="right" w:pos="8306"/>
      </w:tabs>
    </w:pPr>
    <w:rPr>
      <w:sz w:val="18"/>
      <w:szCs w:val="18"/>
    </w:rPr>
  </w:style>
  <w:style w:type="paragraph" w:styleId="22">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3">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4">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5">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6">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7">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8">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0"/>
    <w:rPr>
      <w:b/>
      <w:w w:val="100"/>
      <w:sz w:val="21"/>
      <w:szCs w:val="21"/>
      <w:shd w:val="clear" w:color="auto" w:fill="auto"/>
    </w:rPr>
  </w:style>
  <w:style w:type="character" w:styleId="33">
    <w:name w:val="page number"/>
    <w:basedOn w:val="31"/>
    <w:autoRedefine/>
    <w:qFormat/>
    <w:uiPriority w:val="0"/>
  </w:style>
  <w:style w:type="character" w:styleId="34">
    <w:name w:val="FollowedHyperlink"/>
    <w:basedOn w:val="31"/>
    <w:autoRedefine/>
    <w:qFormat/>
    <w:uiPriority w:val="0"/>
    <w:rPr>
      <w:color w:val="000000"/>
      <w:u w:val="none"/>
    </w:rPr>
  </w:style>
  <w:style w:type="character" w:styleId="35">
    <w:name w:val="Emphasis"/>
    <w:autoRedefine/>
    <w:qFormat/>
    <w:uiPriority w:val="18"/>
    <w:rPr>
      <w:i/>
      <w:w w:val="100"/>
      <w:sz w:val="21"/>
      <w:szCs w:val="21"/>
      <w:shd w:val="clear" w:color="auto" w:fill="auto"/>
    </w:rPr>
  </w:style>
  <w:style w:type="character" w:styleId="36">
    <w:name w:val="HTML Definition"/>
    <w:basedOn w:val="31"/>
    <w:autoRedefine/>
    <w:qFormat/>
    <w:uiPriority w:val="0"/>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0"/>
    <w:rPr>
      <w:color w:val="000000"/>
      <w:u w:val="none"/>
    </w:rPr>
  </w:style>
  <w:style w:type="character" w:styleId="40">
    <w:name w:val="HTML Code"/>
    <w:basedOn w:val="31"/>
    <w:autoRedefine/>
    <w:qFormat/>
    <w:uiPriority w:val="0"/>
    <w:rPr>
      <w:rFonts w:ascii="Courier New" w:hAnsi="Courier New"/>
      <w:sz w:val="20"/>
    </w:rPr>
  </w:style>
  <w:style w:type="character" w:styleId="41">
    <w:name w:val="annotation reference"/>
    <w:basedOn w:val="31"/>
    <w:autoRedefine/>
    <w:qFormat/>
    <w:uiPriority w:val="0"/>
    <w:rPr>
      <w:sz w:val="21"/>
      <w:szCs w:val="21"/>
    </w:rPr>
  </w:style>
  <w:style w:type="character" w:styleId="42">
    <w:name w:val="HTML Cite"/>
    <w:basedOn w:val="31"/>
    <w:autoRedefine/>
    <w:qFormat/>
    <w:uiPriority w:val="0"/>
  </w:style>
  <w:style w:type="paragraph" w:customStyle="1" w:styleId="43">
    <w:name w:val="Normal Indent1"/>
    <w:basedOn w:val="1"/>
    <w:autoRedefine/>
    <w:qFormat/>
    <w:uiPriority w:val="0"/>
    <w:pPr>
      <w:spacing w:line="660" w:lineRule="exact"/>
      <w:ind w:firstLine="720"/>
    </w:pPr>
    <w:rPr>
      <w:rFonts w:eastAsia="Cambria Math"/>
      <w:sz w:val="36"/>
      <w:szCs w:val="36"/>
    </w:rPr>
  </w:style>
  <w:style w:type="paragraph" w:customStyle="1" w:styleId="44">
    <w:name w:val="BodyText1I2"/>
    <w:basedOn w:val="45"/>
    <w:autoRedefine/>
    <w:qFormat/>
    <w:uiPriority w:val="0"/>
    <w:pPr>
      <w:ind w:firstLine="200" w:firstLineChars="200"/>
    </w:pPr>
  </w:style>
  <w:style w:type="paragraph" w:customStyle="1" w:styleId="45">
    <w:name w:val="BodyTextIndent"/>
    <w:basedOn w:val="1"/>
    <w:autoRedefine/>
    <w:qFormat/>
    <w:uiPriority w:val="0"/>
    <w:pPr>
      <w:spacing w:after="120"/>
      <w:ind w:left="420" w:leftChars="200"/>
    </w:pPr>
  </w:style>
  <w:style w:type="paragraph" w:customStyle="1" w:styleId="46">
    <w:name w:val="表格文字"/>
    <w:basedOn w:val="1"/>
    <w:autoRedefine/>
    <w:qFormat/>
    <w:uiPriority w:val="0"/>
    <w:pPr>
      <w:jc w:val="left"/>
    </w:pPr>
    <w:rPr>
      <w:bCs/>
      <w:spacing w:val="10"/>
      <w:sz w:val="24"/>
    </w:rPr>
  </w:style>
  <w:style w:type="paragraph" w:customStyle="1" w:styleId="4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1"/>
    <w:link w:val="19"/>
    <w:autoRedefine/>
    <w:qFormat/>
    <w:uiPriority w:val="0"/>
    <w:rPr>
      <w:rFonts w:ascii="Calibri" w:hAnsi="Calibri" w:cstheme="minorBidi"/>
      <w:sz w:val="18"/>
      <w:szCs w:val="18"/>
    </w:rPr>
  </w:style>
  <w:style w:type="character" w:customStyle="1" w:styleId="60">
    <w:name w:val="hover5"/>
    <w:basedOn w:val="31"/>
    <w:autoRedefine/>
    <w:qFormat/>
    <w:uiPriority w:val="0"/>
    <w:rPr>
      <w:color w:val="0063BA"/>
    </w:rPr>
  </w:style>
  <w:style w:type="character" w:customStyle="1" w:styleId="61">
    <w:name w:val="before"/>
    <w:basedOn w:val="31"/>
    <w:autoRedefine/>
    <w:qFormat/>
    <w:uiPriority w:val="0"/>
    <w:rPr>
      <w:shd w:val="clear" w:fill="E22323"/>
    </w:rPr>
  </w:style>
  <w:style w:type="character" w:customStyle="1" w:styleId="62">
    <w:name w:val="hover"/>
    <w:basedOn w:val="31"/>
    <w:autoRedefine/>
    <w:qFormat/>
    <w:uiPriority w:val="0"/>
    <w:rPr>
      <w:color w:val="0063BA"/>
    </w:rPr>
  </w:style>
  <w:style w:type="character" w:customStyle="1" w:styleId="63">
    <w:name w:val="hover4"/>
    <w:basedOn w:val="31"/>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867</Words>
  <Characters>1128</Characters>
  <Lines>9</Lines>
  <Paragraphs>2</Paragraphs>
  <TotalTime>3</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2025-07-28T09:10:00Z</cp:lastPrinted>
  <dcterms:modified xsi:type="dcterms:W3CDTF">2025-09-29T07:08:21Z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