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05961">
      <w:pPr>
        <w:spacing w:line="360" w:lineRule="auto"/>
        <w:ind w:left="8" w:leftChars="0" w:right="-218" w:rightChars="-104" w:hanging="8" w:firstLineChars="0"/>
        <w:jc w:val="center"/>
        <w:rPr>
          <w:rFonts w:hint="eastAsia" w:asciiTheme="minorEastAsia" w:hAnsiTheme="minorEastAsia" w:eastAsiaTheme="minorEastAsia" w:cstheme="minorEastAsia"/>
          <w:b/>
          <w:color w:val="auto"/>
          <w:sz w:val="28"/>
          <w:szCs w:val="28"/>
          <w:highlight w:val="none"/>
          <w:lang w:eastAsia="zh-CN"/>
        </w:rPr>
      </w:pPr>
      <w:bookmarkStart w:id="12" w:name="_GoBack"/>
      <w:bookmarkEnd w:id="12"/>
      <w:bookmarkStart w:id="0" w:name="OLE_LINK13"/>
      <w:bookmarkStart w:id="1" w:name="OLE_LINK14"/>
      <w:r>
        <w:rPr>
          <w:rFonts w:hint="eastAsia" w:asciiTheme="minorEastAsia" w:hAnsiTheme="minorEastAsia" w:eastAsiaTheme="minorEastAsia" w:cstheme="minorEastAsia"/>
          <w:b/>
          <w:color w:val="auto"/>
          <w:sz w:val="28"/>
          <w:szCs w:val="28"/>
          <w:highlight w:val="none"/>
          <w:lang w:eastAsia="zh-CN"/>
        </w:rPr>
        <w:t>广西崇善项目咨询有限公司</w:t>
      </w:r>
    </w:p>
    <w:p w14:paraId="708BE601">
      <w:pPr>
        <w:spacing w:line="360" w:lineRule="auto"/>
        <w:ind w:left="8" w:leftChars="0" w:right="-218" w:rightChars="-104"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关于大新县2024年森林草原湿地荒漠化普查工作服务（项目编号：CZZC2025-C3-240079-GXCS）成交结果公告</w:t>
      </w:r>
    </w:p>
    <w:p w14:paraId="3FA755FE">
      <w:pPr>
        <w:numPr>
          <w:ilvl w:val="0"/>
          <w:numId w:val="0"/>
        </w:num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sz w:val="24"/>
          <w:szCs w:val="24"/>
          <w:highlight w:val="none"/>
          <w:lang w:eastAsia="zh-CN"/>
        </w:rPr>
        <w:t>一、</w:t>
      </w:r>
      <w:r>
        <w:rPr>
          <w:rFonts w:hint="eastAsia" w:asciiTheme="minorEastAsia" w:hAnsiTheme="minorEastAsia" w:eastAsiaTheme="minorEastAsia" w:cstheme="minorEastAsia"/>
          <w:b/>
          <w:bCs/>
          <w:i w:val="0"/>
          <w:iCs w:val="0"/>
          <w:color w:val="auto"/>
          <w:sz w:val="24"/>
          <w:szCs w:val="24"/>
          <w:highlight w:val="none"/>
        </w:rPr>
        <w:t>项目编号：</w:t>
      </w:r>
      <w:r>
        <w:rPr>
          <w:rFonts w:hint="eastAsia" w:ascii="宋体" w:hAnsi="宋体" w:cs="宋体"/>
          <w:b w:val="0"/>
          <w:bCs w:val="0"/>
          <w:color w:val="auto"/>
          <w:sz w:val="24"/>
          <w:szCs w:val="24"/>
          <w:highlight w:val="none"/>
          <w:u w:val="none"/>
          <w:lang w:val="en-US" w:eastAsia="zh-CN" w:bidi="ar-SA"/>
        </w:rPr>
        <w:t>CZZC2025-C3-240079-GXCS</w:t>
      </w:r>
      <w:r>
        <w:rPr>
          <w:rFonts w:hint="eastAsia" w:ascii="宋体" w:hAnsi="宋体" w:eastAsia="宋体" w:cs="宋体"/>
          <w:b w:val="0"/>
          <w:bCs w:val="0"/>
          <w:color w:val="auto"/>
          <w:sz w:val="24"/>
          <w:szCs w:val="24"/>
          <w:highlight w:val="none"/>
          <w:u w:val="none"/>
          <w:lang w:val="en-US" w:eastAsia="zh-CN" w:bidi="ar-SA"/>
        </w:rPr>
        <w:t>；</w:t>
      </w:r>
    </w:p>
    <w:p w14:paraId="6F75BB48">
      <w:pPr>
        <w:numPr>
          <w:ilvl w:val="0"/>
          <w:numId w:val="0"/>
        </w:num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二、</w:t>
      </w:r>
      <w:r>
        <w:rPr>
          <w:rFonts w:hint="eastAsia" w:asciiTheme="minorEastAsia" w:hAnsiTheme="minorEastAsia" w:eastAsiaTheme="minorEastAsia" w:cstheme="minorEastAsia"/>
          <w:b/>
          <w:bCs/>
          <w:i w:val="0"/>
          <w:i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u w:val="none"/>
          <w:lang w:val="en-US" w:eastAsia="zh-CN" w:bidi="ar-SA"/>
        </w:rPr>
        <w:t>：</w:t>
      </w:r>
      <w:r>
        <w:rPr>
          <w:rFonts w:hint="eastAsia" w:ascii="宋体" w:hAnsi="宋体" w:cs="宋体"/>
          <w:b w:val="0"/>
          <w:bCs w:val="0"/>
          <w:color w:val="auto"/>
          <w:sz w:val="24"/>
          <w:szCs w:val="24"/>
          <w:highlight w:val="none"/>
          <w:u w:val="none"/>
          <w:lang w:val="en-US" w:eastAsia="zh-CN" w:bidi="ar-SA"/>
        </w:rPr>
        <w:t>大新县2024年森林草原湿地荒漠化普查工作服务</w:t>
      </w:r>
      <w:r>
        <w:rPr>
          <w:rFonts w:hint="eastAsia" w:ascii="宋体" w:hAnsi="宋体" w:eastAsia="宋体" w:cs="宋体"/>
          <w:b w:val="0"/>
          <w:bCs w:val="0"/>
          <w:color w:val="auto"/>
          <w:sz w:val="24"/>
          <w:szCs w:val="24"/>
          <w:highlight w:val="none"/>
          <w:u w:val="none"/>
          <w:lang w:val="en-US" w:eastAsia="zh-CN" w:bidi="ar-SA"/>
        </w:rPr>
        <w:t>；</w:t>
      </w:r>
    </w:p>
    <w:p w14:paraId="5E936332">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三、成交信息</w:t>
      </w:r>
      <w:r>
        <w:rPr>
          <w:rFonts w:hint="eastAsia" w:asciiTheme="minorEastAsia" w:hAnsiTheme="minorEastAsia" w:eastAsiaTheme="minorEastAsia" w:cstheme="minorEastAsia"/>
          <w:b/>
          <w:bCs/>
          <w:i w:val="0"/>
          <w:iCs w:val="0"/>
          <w:color w:val="auto"/>
          <w:sz w:val="24"/>
          <w:szCs w:val="24"/>
          <w:highlight w:val="none"/>
          <w:lang w:eastAsia="zh-CN"/>
        </w:rPr>
        <w:t>：</w:t>
      </w:r>
    </w:p>
    <w:p w14:paraId="3027A125">
      <w:pPr>
        <w:numPr>
          <w:ilvl w:val="0"/>
          <w:numId w:val="0"/>
        </w:numPr>
        <w:spacing w:line="360" w:lineRule="auto"/>
        <w:rPr>
          <w:rFonts w:hint="eastAsia" w:ascii="宋体" w:hAnsi="宋体" w:cs="宋体"/>
          <w:b w:val="0"/>
          <w:bCs w:val="0"/>
          <w:color w:val="auto"/>
          <w:sz w:val="24"/>
          <w:szCs w:val="24"/>
          <w:highlight w:val="none"/>
          <w:u w:val="none"/>
          <w:lang w:val="en-US" w:eastAsia="zh-CN" w:bidi="ar-SA"/>
        </w:rPr>
      </w:pPr>
      <w:r>
        <w:rPr>
          <w:rFonts w:hint="eastAsia" w:ascii="宋体" w:hAnsi="宋体" w:cs="宋体"/>
          <w:b w:val="0"/>
          <w:bCs w:val="0"/>
          <w:color w:val="auto"/>
          <w:sz w:val="24"/>
          <w:szCs w:val="24"/>
          <w:highlight w:val="none"/>
          <w:u w:val="none"/>
          <w:lang w:val="en-US" w:eastAsia="zh-CN" w:bidi="ar-SA"/>
        </w:rPr>
        <w:t>供应商名称：广西南宁林业勘测设计院有限公司（统一社会信用代码：914501077537459204）</w:t>
      </w:r>
    </w:p>
    <w:p w14:paraId="0E9666DF">
      <w:pPr>
        <w:numPr>
          <w:ilvl w:val="0"/>
          <w:numId w:val="0"/>
        </w:numPr>
        <w:spacing w:line="360" w:lineRule="auto"/>
        <w:rPr>
          <w:rFonts w:hint="eastAsia" w:ascii="宋体" w:hAnsi="宋体" w:cs="宋体"/>
          <w:b w:val="0"/>
          <w:bCs w:val="0"/>
          <w:color w:val="auto"/>
          <w:sz w:val="24"/>
          <w:szCs w:val="24"/>
          <w:highlight w:val="none"/>
          <w:u w:val="none"/>
          <w:lang w:val="en-US" w:eastAsia="zh-CN" w:bidi="ar-SA"/>
        </w:rPr>
      </w:pPr>
      <w:r>
        <w:rPr>
          <w:rFonts w:hint="eastAsia" w:ascii="宋体" w:hAnsi="宋体" w:cs="宋体"/>
          <w:b w:val="0"/>
          <w:bCs w:val="0"/>
          <w:color w:val="auto"/>
          <w:sz w:val="24"/>
          <w:szCs w:val="24"/>
          <w:highlight w:val="none"/>
          <w:u w:val="none"/>
          <w:lang w:val="en-US" w:eastAsia="zh-CN" w:bidi="ar-SA"/>
        </w:rPr>
        <w:t>供应商地址：南宁市北湖北路33号动物疫控中心办公楼</w:t>
      </w:r>
    </w:p>
    <w:p w14:paraId="42F80D5E">
      <w:pPr>
        <w:numPr>
          <w:ilvl w:val="0"/>
          <w:numId w:val="0"/>
        </w:numPr>
        <w:spacing w:line="360" w:lineRule="auto"/>
        <w:rPr>
          <w:rFonts w:hint="eastAsia" w:ascii="宋体" w:hAnsi="宋体" w:cs="宋体"/>
          <w:b w:val="0"/>
          <w:bCs w:val="0"/>
          <w:color w:val="auto"/>
          <w:sz w:val="24"/>
          <w:szCs w:val="24"/>
          <w:highlight w:val="none"/>
          <w:u w:val="none"/>
          <w:lang w:val="en-US" w:eastAsia="zh-CN" w:bidi="ar-SA"/>
        </w:rPr>
      </w:pPr>
      <w:r>
        <w:rPr>
          <w:rFonts w:hint="eastAsia" w:ascii="宋体" w:hAnsi="宋体" w:cs="宋体"/>
          <w:b w:val="0"/>
          <w:bCs w:val="0"/>
          <w:color w:val="auto"/>
          <w:sz w:val="24"/>
          <w:szCs w:val="24"/>
          <w:highlight w:val="none"/>
          <w:u w:val="none"/>
          <w:lang w:val="en-US" w:eastAsia="zh-CN" w:bidi="ar-SA"/>
        </w:rPr>
        <w:t>成交金额：人民币壹佰肆拾万元整（¥1400000.00）</w:t>
      </w:r>
    </w:p>
    <w:p w14:paraId="6C10DC54">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四、主要标的信息</w:t>
      </w:r>
      <w:r>
        <w:rPr>
          <w:rFonts w:hint="eastAsia" w:asciiTheme="minorEastAsia" w:hAnsiTheme="minorEastAsia" w:eastAsiaTheme="minorEastAsia" w:cstheme="minorEastAsia"/>
          <w:b/>
          <w:bCs/>
          <w:i w:val="0"/>
          <w:iCs w:val="0"/>
          <w:color w:val="auto"/>
          <w:sz w:val="24"/>
          <w:szCs w:val="24"/>
          <w:highlight w:val="none"/>
          <w:lang w:eastAsia="zh-CN"/>
        </w:rPr>
        <w:t>：</w:t>
      </w:r>
    </w:p>
    <w:tbl>
      <w:tblPr>
        <w:tblStyle w:val="3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3948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78" w:type="dxa"/>
          </w:tcPr>
          <w:p w14:paraId="7EF9631D">
            <w:pPr>
              <w:widowControl w:val="0"/>
              <w:numPr>
                <w:ilvl w:val="0"/>
                <w:numId w:val="0"/>
              </w:numPr>
              <w:spacing w:line="360" w:lineRule="auto"/>
              <w:jc w:val="center"/>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服务类</w:t>
            </w:r>
          </w:p>
        </w:tc>
      </w:tr>
      <w:tr w14:paraId="149C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8878" w:type="dxa"/>
          </w:tcPr>
          <w:p w14:paraId="415E857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项目名称：大新县2024年森林草原湿地荒漠化普查工作服务。</w:t>
            </w:r>
          </w:p>
          <w:p w14:paraId="3F18243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服务范围：按照《广西壮族自治区林业局、广西壮族自治区自然资源厅关于印发&lt;广西森林草原湿地荒漠化普查工作方案&gt;的通知》(桂林资发〔2024〕31号)要求和根据《大新县自然资源局关于印发大新县森林草地湿地荒漠化普查工作方案的通知》，开展大新县2024年森林草原湿地荒漠化普查工作，主要普查涉及42177个国家下发的林地不一致图斑重新确定地类以及271万亩林草湿图斑监测等主要工作，如需进一步了解详细内容，具体详见竞争性磋商文件。</w:t>
            </w:r>
          </w:p>
          <w:p w14:paraId="30CDB7F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服务要求：详见采购文件。</w:t>
            </w:r>
          </w:p>
          <w:p w14:paraId="29B2555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服务时间：自签订合同之日起60日内完成监测服务工作并通过验收。</w:t>
            </w:r>
          </w:p>
          <w:p w14:paraId="109C47DD">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服务标准：详见第三章采购需求。</w:t>
            </w:r>
          </w:p>
        </w:tc>
      </w:tr>
    </w:tbl>
    <w:p w14:paraId="4D407A5D">
      <w:pPr>
        <w:numPr>
          <w:ilvl w:val="0"/>
          <w:numId w:val="0"/>
        </w:num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sz w:val="24"/>
          <w:szCs w:val="24"/>
          <w:highlight w:val="none"/>
          <w:lang w:val="en-US" w:eastAsia="zh-CN"/>
        </w:rPr>
        <w:t>五、评审专家名单</w:t>
      </w:r>
      <w:r>
        <w:rPr>
          <w:rFonts w:hint="eastAsia" w:ascii="宋体" w:hAnsi="宋体" w:eastAsia="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u w:val="none"/>
          <w:lang w:val="en-US" w:eastAsia="zh-CN" w:bidi="ar-SA"/>
        </w:rPr>
        <w:t>刘旭（组长）、曾庆春、向筱慧(采购人代表）。</w:t>
      </w:r>
    </w:p>
    <w:p w14:paraId="165F5C6C">
      <w:p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Theme="majorEastAsia" w:hAnsiTheme="majorEastAsia" w:eastAsiaTheme="majorEastAsia" w:cstheme="majorEastAsia"/>
          <w:b/>
          <w:bCs/>
          <w:i w:val="0"/>
          <w:iCs w:val="0"/>
          <w:color w:val="auto"/>
          <w:sz w:val="24"/>
          <w:szCs w:val="24"/>
          <w:highlight w:val="none"/>
        </w:rPr>
        <w:t>六、代理服务收费标准及金额：</w:t>
      </w:r>
      <w:r>
        <w:rPr>
          <w:rFonts w:hint="eastAsia" w:ascii="宋体" w:hAnsi="宋体" w:eastAsia="宋体" w:cs="宋体"/>
          <w:b w:val="0"/>
          <w:bCs w:val="0"/>
          <w:color w:val="auto"/>
          <w:sz w:val="24"/>
          <w:szCs w:val="24"/>
          <w:highlight w:val="none"/>
          <w:u w:val="none"/>
          <w:lang w:val="en-US" w:eastAsia="zh-CN" w:bidi="ar-SA"/>
        </w:rPr>
        <w:t>按国家发展改革委《关于进一步放开建设项目专业服务价格的通知 》发改价格〔2015〕299号文执行，参照原国家发展计划委员会计价格[2002]1980号《招标代理服务费管理暂行办法》、原发改办价格[2003]857号、原发改价格[2011]534号按照标准进行收取，</w:t>
      </w:r>
      <w:r>
        <w:rPr>
          <w:rFonts w:hint="eastAsia" w:asciiTheme="minorEastAsia" w:hAnsiTheme="minorEastAsia" w:eastAsiaTheme="minorEastAsia" w:cstheme="minorEastAsia"/>
          <w:i w:val="0"/>
          <w:iCs w:val="0"/>
          <w:color w:val="auto"/>
          <w:kern w:val="0"/>
          <w:sz w:val="24"/>
          <w:szCs w:val="24"/>
          <w:highlight w:val="none"/>
          <w:lang w:val="en-US" w:eastAsia="zh-CN"/>
        </w:rPr>
        <w:t>金</w:t>
      </w:r>
      <w:r>
        <w:rPr>
          <w:rFonts w:hint="eastAsia" w:ascii="宋体" w:hAnsi="宋体" w:eastAsia="宋体" w:cs="宋体"/>
          <w:b w:val="0"/>
          <w:bCs w:val="0"/>
          <w:color w:val="auto"/>
          <w:sz w:val="24"/>
          <w:szCs w:val="24"/>
          <w:highlight w:val="none"/>
          <w:u w:val="none"/>
          <w:lang w:val="en-US" w:eastAsia="zh-CN" w:bidi="ar-SA"/>
        </w:rPr>
        <w:t>额：18200.00元。</w:t>
      </w:r>
    </w:p>
    <w:p w14:paraId="4DA56FB0">
      <w:pPr>
        <w:spacing w:line="360" w:lineRule="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七</w:t>
      </w:r>
      <w:r>
        <w:rPr>
          <w:rFonts w:hint="eastAsia" w:asciiTheme="minorEastAsia" w:hAnsiTheme="minorEastAsia" w:eastAsiaTheme="minorEastAsia" w:cstheme="minorEastAsia"/>
          <w:b/>
          <w:bCs/>
          <w:i w:val="0"/>
          <w:iCs w:val="0"/>
          <w:color w:val="auto"/>
          <w:sz w:val="24"/>
          <w:szCs w:val="24"/>
          <w:highlight w:val="none"/>
        </w:rPr>
        <w:t>、公告期限</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rPr>
        <w:t>自本公告发布之日起1个工作日。</w:t>
      </w:r>
    </w:p>
    <w:p w14:paraId="21F1EDD5">
      <w:pPr>
        <w:spacing w:line="360" w:lineRule="auto"/>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lang w:val="en-US" w:eastAsia="zh-CN"/>
        </w:rPr>
        <w:t>八</w:t>
      </w:r>
      <w:r>
        <w:rPr>
          <w:rFonts w:hint="eastAsia" w:asciiTheme="minorEastAsia" w:hAnsiTheme="minorEastAsia" w:eastAsiaTheme="minorEastAsia" w:cstheme="minorEastAsia"/>
          <w:b/>
          <w:bCs/>
          <w:i w:val="0"/>
          <w:iCs w:val="0"/>
          <w:color w:val="auto"/>
          <w:sz w:val="24"/>
          <w:szCs w:val="24"/>
          <w:highlight w:val="none"/>
        </w:rPr>
        <w:t>、其他补充事宜</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eastAsia="宋体"/>
          <w:color w:val="auto"/>
          <w:sz w:val="24"/>
          <w:szCs w:val="24"/>
          <w:highlight w:val="none"/>
          <w:lang w:val="en-US" w:eastAsia="zh-CN"/>
        </w:rPr>
        <w:t>1</w:t>
      </w:r>
      <w:r>
        <w:rPr>
          <w:rFonts w:hint="eastAsia" w:asciiTheme="minorEastAsia" w:hAnsiTheme="minorEastAsia" w:eastAsiaTheme="minorEastAsia" w:cstheme="minorEastAsia"/>
          <w:i w:val="0"/>
          <w:iCs w:val="0"/>
          <w:color w:val="auto"/>
          <w:kern w:val="0"/>
          <w:sz w:val="24"/>
          <w:szCs w:val="24"/>
          <w:highlight w:val="none"/>
          <w:lang w:val="en-US" w:eastAsia="zh-CN"/>
        </w:rPr>
        <w:t>、成交供应商评审得分：80分</w:t>
      </w:r>
      <w:r>
        <w:rPr>
          <w:rFonts w:hint="eastAsia" w:ascii="宋体" w:hAnsi="宋体" w:eastAsia="宋体" w:cs="宋体"/>
          <w:b w:val="0"/>
          <w:bCs w:val="0"/>
          <w:color w:val="auto"/>
          <w:sz w:val="24"/>
          <w:szCs w:val="24"/>
          <w:highlight w:val="none"/>
          <w:u w:val="none"/>
          <w:lang w:val="en-US" w:eastAsia="zh-CN" w:bidi="ar-SA"/>
        </w:rPr>
        <w:t>。</w:t>
      </w:r>
    </w:p>
    <w:p w14:paraId="57343F1E">
      <w:pPr>
        <w:spacing w:line="360" w:lineRule="auto"/>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lang w:val="en-US" w:eastAsia="zh-CN"/>
        </w:rPr>
        <w:t>2.本公告同时在中国政府采购网和广西壮族自治区政府采购网上发布。</w:t>
      </w:r>
    </w:p>
    <w:p w14:paraId="6711D19F">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九</w:t>
      </w:r>
      <w:r>
        <w:rPr>
          <w:rFonts w:hint="eastAsia" w:asciiTheme="minorEastAsia" w:hAnsiTheme="minorEastAsia" w:eastAsiaTheme="minorEastAsia" w:cstheme="minorEastAsia"/>
          <w:b/>
          <w:bCs/>
          <w:i w:val="0"/>
          <w:iCs w:val="0"/>
          <w:color w:val="auto"/>
          <w:kern w:val="0"/>
          <w:sz w:val="24"/>
          <w:szCs w:val="24"/>
          <w:highlight w:val="none"/>
        </w:rPr>
        <w:t>、凡对本次公告内容提出询问，请按以下方式联系</w:t>
      </w:r>
      <w:r>
        <w:rPr>
          <w:rFonts w:hint="eastAsia" w:asciiTheme="minorEastAsia" w:hAnsiTheme="minorEastAsia" w:eastAsiaTheme="minorEastAsia" w:cstheme="minorEastAsia"/>
          <w:b/>
          <w:bCs/>
          <w:i w:val="0"/>
          <w:iCs w:val="0"/>
          <w:color w:val="auto"/>
          <w:kern w:val="0"/>
          <w:sz w:val="24"/>
          <w:szCs w:val="24"/>
          <w:highlight w:val="none"/>
          <w:lang w:eastAsia="zh-CN"/>
        </w:rPr>
        <w:t>：</w:t>
      </w:r>
    </w:p>
    <w:p w14:paraId="56644DF3">
      <w:pPr>
        <w:keepNext w:val="0"/>
        <w:keepLines w:val="0"/>
        <w:pageBreakBefore w:val="0"/>
        <w:widowControl/>
        <w:kinsoku/>
        <w:wordWrap/>
        <w:overflowPunct/>
        <w:topLinePunct w:val="0"/>
        <w:autoSpaceDE/>
        <w:autoSpaceDN/>
        <w:bidi w:val="0"/>
        <w:adjustRightInd/>
        <w:snapToGrid/>
        <w:spacing w:line="332" w:lineRule="auto"/>
        <w:ind w:firstLine="480" w:firstLineChars="200"/>
        <w:textAlignment w:val="auto"/>
        <w:outlineLvl w:val="0"/>
        <w:rPr>
          <w:rFonts w:hint="eastAsia" w:ascii="宋体" w:hAnsi="宋体" w:cs="宋体"/>
          <w:color w:val="auto"/>
          <w:sz w:val="24"/>
          <w:szCs w:val="24"/>
          <w:highlight w:val="none"/>
        </w:rPr>
      </w:pPr>
      <w:bookmarkStart w:id="2" w:name="_Toc543"/>
      <w:bookmarkStart w:id="3" w:name="_Toc2920_WPSOffice_Level1"/>
      <w:bookmarkStart w:id="4" w:name="_Toc28812_WPSOffice_Level1"/>
      <w:r>
        <w:rPr>
          <w:rFonts w:hint="eastAsia" w:ascii="宋体" w:hAnsi="宋体" w:cs="宋体"/>
          <w:color w:val="auto"/>
          <w:sz w:val="24"/>
          <w:szCs w:val="24"/>
          <w:highlight w:val="none"/>
        </w:rPr>
        <w:t>1.采购人信息</w:t>
      </w:r>
      <w:bookmarkEnd w:id="2"/>
    </w:p>
    <w:p w14:paraId="591F3744">
      <w:pPr>
        <w:keepNext w:val="0"/>
        <w:keepLines w:val="0"/>
        <w:pageBreakBefore w:val="0"/>
        <w:widowControl/>
        <w:kinsoku/>
        <w:wordWrap/>
        <w:overflowPunct/>
        <w:topLinePunct w:val="0"/>
        <w:autoSpaceDE/>
        <w:autoSpaceDN/>
        <w:bidi w:val="0"/>
        <w:adjustRightInd/>
        <w:snapToGrid/>
        <w:spacing w:line="332" w:lineRule="auto"/>
        <w:ind w:firstLine="480" w:firstLineChars="200"/>
        <w:textAlignment w:val="auto"/>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eastAsia="宋体" w:cs="宋体"/>
          <w:color w:val="auto"/>
          <w:sz w:val="24"/>
          <w:szCs w:val="24"/>
          <w:highlight w:val="none"/>
          <w:lang w:eastAsia="zh-CN"/>
        </w:rPr>
        <w:t>大新县林业技术推广站　　　　　　　　　　　</w:t>
      </w:r>
    </w:p>
    <w:p w14:paraId="743515E5">
      <w:pPr>
        <w:keepNext w:val="0"/>
        <w:keepLines w:val="0"/>
        <w:pageBreakBefore w:val="0"/>
        <w:widowControl/>
        <w:kinsoku/>
        <w:wordWrap/>
        <w:overflowPunct/>
        <w:topLinePunct w:val="0"/>
        <w:autoSpaceDE/>
        <w:autoSpaceDN/>
        <w:bidi w:val="0"/>
        <w:adjustRightInd/>
        <w:snapToGrid/>
        <w:spacing w:line="332" w:lineRule="auto"/>
        <w:ind w:firstLine="480" w:firstLineChars="2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地址：大新县桃城镇富康路96号</w:t>
      </w:r>
    </w:p>
    <w:p w14:paraId="3D2DDBA3">
      <w:pPr>
        <w:keepNext w:val="0"/>
        <w:keepLines w:val="0"/>
        <w:pageBreakBefore w:val="0"/>
        <w:widowControl/>
        <w:kinsoku/>
        <w:wordWrap/>
        <w:overflowPunct/>
        <w:topLinePunct w:val="0"/>
        <w:autoSpaceDE/>
        <w:autoSpaceDN/>
        <w:bidi w:val="0"/>
        <w:adjustRightInd/>
        <w:snapToGrid/>
        <w:spacing w:line="332"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w:t>
      </w:r>
      <w:bookmarkStart w:id="5" w:name="_Toc32216"/>
      <w:bookmarkStart w:id="6" w:name="_Toc28359086"/>
      <w:bookmarkStart w:id="7" w:name="_Toc28359009"/>
      <w:r>
        <w:rPr>
          <w:rFonts w:hint="eastAsia" w:ascii="宋体" w:hAnsi="宋体" w:eastAsia="宋体" w:cs="宋体"/>
          <w:color w:val="auto"/>
          <w:sz w:val="24"/>
          <w:szCs w:val="24"/>
          <w:highlight w:val="none"/>
          <w:lang w:eastAsia="zh-CN"/>
        </w:rPr>
        <w:t>：潘增恪</w:t>
      </w:r>
      <w:r>
        <w:rPr>
          <w:rFonts w:hint="eastAsia" w:ascii="宋体" w:hAnsi="宋体" w:eastAsia="宋体" w:cs="宋体"/>
          <w:color w:val="auto"/>
          <w:sz w:val="24"/>
          <w:szCs w:val="24"/>
          <w:highlight w:val="none"/>
          <w:lang w:val="en-US" w:eastAsia="zh-CN"/>
        </w:rPr>
        <w:t xml:space="preserve"> </w:t>
      </w:r>
    </w:p>
    <w:p w14:paraId="15630E15">
      <w:pPr>
        <w:keepNext w:val="0"/>
        <w:keepLines w:val="0"/>
        <w:pageBreakBefore w:val="0"/>
        <w:widowControl/>
        <w:kinsoku/>
        <w:wordWrap/>
        <w:overflowPunct/>
        <w:topLinePunct w:val="0"/>
        <w:autoSpaceDE/>
        <w:autoSpaceDN/>
        <w:bidi w:val="0"/>
        <w:adjustRightInd/>
        <w:snapToGrid/>
        <w:spacing w:line="332"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项目联系方式：</w:t>
      </w:r>
      <w:r>
        <w:rPr>
          <w:rFonts w:hint="eastAsia" w:ascii="宋体" w:hAnsi="宋体" w:eastAsia="宋体" w:cs="宋体"/>
          <w:color w:val="auto"/>
          <w:sz w:val="24"/>
          <w:szCs w:val="24"/>
          <w:highlight w:val="none"/>
          <w:lang w:eastAsia="zh-CN"/>
        </w:rPr>
        <w:t xml:space="preserve">0771-3622900 </w:t>
      </w:r>
    </w:p>
    <w:p w14:paraId="39DD81B2">
      <w:pPr>
        <w:keepNext w:val="0"/>
        <w:keepLines w:val="0"/>
        <w:pageBreakBefore w:val="0"/>
        <w:widowControl/>
        <w:kinsoku/>
        <w:wordWrap/>
        <w:overflowPunct/>
        <w:topLinePunct w:val="0"/>
        <w:autoSpaceDE/>
        <w:autoSpaceDN/>
        <w:bidi w:val="0"/>
        <w:adjustRightInd/>
        <w:snapToGrid/>
        <w:spacing w:line="332"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5"/>
      <w:bookmarkEnd w:id="6"/>
      <w:bookmarkEnd w:id="7"/>
      <w:r>
        <w:rPr>
          <w:rFonts w:hint="eastAsia" w:ascii="宋体" w:hAnsi="宋体" w:eastAsia="宋体" w:cs="宋体"/>
          <w:color w:val="auto"/>
          <w:sz w:val="24"/>
          <w:szCs w:val="24"/>
          <w:highlight w:val="none"/>
        </w:rPr>
        <w:t xml:space="preserve"> </w:t>
      </w:r>
    </w:p>
    <w:p w14:paraId="4F57A7A0">
      <w:pPr>
        <w:keepNext w:val="0"/>
        <w:keepLines w:val="0"/>
        <w:pageBreakBefore w:val="0"/>
        <w:widowControl/>
        <w:kinsoku/>
        <w:wordWrap/>
        <w:overflowPunct/>
        <w:topLinePunct w:val="0"/>
        <w:autoSpaceDE/>
        <w:autoSpaceDN/>
        <w:bidi w:val="0"/>
        <w:adjustRightInd/>
        <w:snapToGrid/>
        <w:spacing w:line="33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bookmarkStart w:id="8" w:name="_Toc28359087"/>
      <w:bookmarkStart w:id="9" w:name="_Toc28359010"/>
      <w:r>
        <w:rPr>
          <w:rFonts w:hint="eastAsia" w:ascii="宋体" w:hAnsi="宋体" w:cs="宋体"/>
          <w:color w:val="auto"/>
          <w:sz w:val="24"/>
          <w:szCs w:val="24"/>
          <w:highlight w:val="none"/>
          <w:lang w:eastAsia="zh-CN"/>
        </w:rPr>
        <w:t>广西崇善项目咨询有限公司</w:t>
      </w:r>
    </w:p>
    <w:p w14:paraId="165CD2F1">
      <w:pPr>
        <w:keepNext w:val="0"/>
        <w:keepLines w:val="0"/>
        <w:pageBreakBefore w:val="0"/>
        <w:widowControl/>
        <w:kinsoku/>
        <w:wordWrap/>
        <w:overflowPunct/>
        <w:topLinePunct w:val="0"/>
        <w:autoSpaceDE/>
        <w:autoSpaceDN/>
        <w:bidi w:val="0"/>
        <w:adjustRightInd/>
        <w:snapToGrid/>
        <w:spacing w:line="332"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崇左市江州区城南区新城路西段南侧（阳光名邸）第C4栋103号</w:t>
      </w:r>
    </w:p>
    <w:p w14:paraId="4E85B798">
      <w:pPr>
        <w:keepNext w:val="0"/>
        <w:keepLines w:val="0"/>
        <w:pageBreakBefore w:val="0"/>
        <w:widowControl/>
        <w:kinsoku/>
        <w:wordWrap/>
        <w:overflowPunct/>
        <w:topLinePunct w:val="0"/>
        <w:autoSpaceDE/>
        <w:autoSpaceDN/>
        <w:bidi w:val="0"/>
        <w:adjustRightInd/>
        <w:snapToGrid/>
        <w:spacing w:line="33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庞青青</w:t>
      </w:r>
      <w:r>
        <w:rPr>
          <w:rFonts w:hint="eastAsia" w:ascii="宋体" w:hAnsi="宋体" w:cs="宋体"/>
          <w:color w:val="auto"/>
          <w:sz w:val="24"/>
          <w:szCs w:val="24"/>
          <w:highlight w:val="none"/>
        </w:rPr>
        <w:t xml:space="preserve">   </w:t>
      </w:r>
    </w:p>
    <w:p w14:paraId="61223341">
      <w:pPr>
        <w:keepNext w:val="0"/>
        <w:keepLines w:val="0"/>
        <w:pageBreakBefore w:val="0"/>
        <w:widowControl/>
        <w:kinsoku/>
        <w:wordWrap/>
        <w:overflowPunct/>
        <w:topLinePunct w:val="0"/>
        <w:autoSpaceDE/>
        <w:autoSpaceDN/>
        <w:bidi w:val="0"/>
        <w:adjustRightInd/>
        <w:snapToGrid/>
        <w:spacing w:line="33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项目联系方式：</w:t>
      </w:r>
      <w:r>
        <w:rPr>
          <w:rFonts w:hint="eastAsia" w:ascii="宋体" w:hAnsi="宋体" w:cs="宋体"/>
          <w:color w:val="auto"/>
          <w:sz w:val="24"/>
          <w:szCs w:val="24"/>
          <w:highlight w:val="none"/>
        </w:rPr>
        <w:t>0771-</w:t>
      </w:r>
      <w:r>
        <w:rPr>
          <w:rFonts w:hint="eastAsia" w:ascii="宋体" w:hAnsi="宋体" w:cs="宋体"/>
          <w:color w:val="auto"/>
          <w:sz w:val="24"/>
          <w:szCs w:val="24"/>
          <w:highlight w:val="none"/>
          <w:lang w:eastAsia="zh-CN"/>
        </w:rPr>
        <w:t>5945100</w:t>
      </w:r>
      <w:r>
        <w:rPr>
          <w:rFonts w:hint="eastAsia" w:ascii="宋体" w:hAnsi="宋体" w:cs="宋体"/>
          <w:color w:val="auto"/>
          <w:sz w:val="24"/>
          <w:szCs w:val="24"/>
          <w:highlight w:val="none"/>
        </w:rPr>
        <w:t>　　　　　　　　　　　</w:t>
      </w:r>
    </w:p>
    <w:p w14:paraId="65A0FF76">
      <w:pPr>
        <w:keepNext w:val="0"/>
        <w:keepLines w:val="0"/>
        <w:pageBreakBefore w:val="0"/>
        <w:widowControl/>
        <w:numPr>
          <w:ilvl w:val="0"/>
          <w:numId w:val="1"/>
        </w:numPr>
        <w:kinsoku/>
        <w:wordWrap/>
        <w:overflowPunct/>
        <w:topLinePunct w:val="0"/>
        <w:autoSpaceDE/>
        <w:autoSpaceDN/>
        <w:bidi w:val="0"/>
        <w:adjustRightInd/>
        <w:snapToGrid/>
        <w:spacing w:line="332" w:lineRule="auto"/>
        <w:ind w:firstLine="480" w:firstLineChars="200"/>
        <w:textAlignment w:val="auto"/>
        <w:outlineLvl w:val="0"/>
        <w:rPr>
          <w:rFonts w:hint="eastAsia" w:ascii="宋体" w:hAnsi="宋体" w:cs="宋体"/>
          <w:color w:val="auto"/>
          <w:sz w:val="24"/>
          <w:szCs w:val="24"/>
          <w:highlight w:val="none"/>
        </w:rPr>
      </w:pPr>
      <w:bookmarkStart w:id="10" w:name="_Toc17394"/>
      <w:r>
        <w:rPr>
          <w:rFonts w:hint="eastAsia" w:ascii="宋体" w:hAnsi="宋体" w:cs="宋体"/>
          <w:color w:val="auto"/>
          <w:sz w:val="24"/>
          <w:szCs w:val="24"/>
          <w:highlight w:val="none"/>
        </w:rPr>
        <w:t>项目联系方式</w:t>
      </w:r>
      <w:bookmarkEnd w:id="8"/>
      <w:bookmarkEnd w:id="9"/>
      <w:r>
        <w:rPr>
          <w:rFonts w:hint="eastAsia" w:ascii="宋体" w:hAnsi="宋体" w:cs="宋体"/>
          <w:color w:val="auto"/>
          <w:sz w:val="24"/>
          <w:szCs w:val="24"/>
          <w:highlight w:val="none"/>
        </w:rPr>
        <w:t>：</w:t>
      </w:r>
      <w:bookmarkEnd w:id="10"/>
    </w:p>
    <w:p w14:paraId="2371D888">
      <w:pPr>
        <w:keepNext w:val="0"/>
        <w:keepLines w:val="0"/>
        <w:pageBreakBefore w:val="0"/>
        <w:widowControl/>
        <w:numPr>
          <w:ilvl w:val="0"/>
          <w:numId w:val="0"/>
        </w:numPr>
        <w:kinsoku/>
        <w:wordWrap/>
        <w:overflowPunct/>
        <w:topLinePunct w:val="0"/>
        <w:autoSpaceDE/>
        <w:autoSpaceDN/>
        <w:bidi w:val="0"/>
        <w:adjustRightInd/>
        <w:snapToGrid/>
        <w:spacing w:line="332" w:lineRule="auto"/>
        <w:ind w:firstLine="480" w:firstLineChars="200"/>
        <w:textAlignment w:val="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eastAsia="zh-CN"/>
        </w:rPr>
        <w:t>庞青青</w:t>
      </w:r>
      <w:r>
        <w:rPr>
          <w:rFonts w:hint="eastAsia" w:ascii="宋体" w:hAnsi="宋体" w:cs="宋体"/>
          <w:color w:val="auto"/>
          <w:sz w:val="24"/>
          <w:szCs w:val="24"/>
          <w:highlight w:val="none"/>
        </w:rPr>
        <w:t xml:space="preserve">  　</w:t>
      </w:r>
    </w:p>
    <w:p w14:paraId="03B73EC6">
      <w:pPr>
        <w:keepNext w:val="0"/>
        <w:keepLines w:val="0"/>
        <w:pageBreakBefore w:val="0"/>
        <w:widowControl/>
        <w:numPr>
          <w:ilvl w:val="0"/>
          <w:numId w:val="0"/>
        </w:numPr>
        <w:kinsoku/>
        <w:wordWrap/>
        <w:overflowPunct/>
        <w:topLinePunct w:val="0"/>
        <w:autoSpaceDE/>
        <w:autoSpaceDN/>
        <w:bidi w:val="0"/>
        <w:adjustRightInd/>
        <w:snapToGrid/>
        <w:spacing w:line="332" w:lineRule="auto"/>
        <w:ind w:firstLine="480" w:firstLineChars="200"/>
        <w:textAlignment w:val="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项目联系方式：</w:t>
      </w:r>
      <w:r>
        <w:rPr>
          <w:rFonts w:hint="eastAsia" w:ascii="宋体" w:hAnsi="宋体" w:cs="宋体"/>
          <w:color w:val="auto"/>
          <w:sz w:val="24"/>
          <w:szCs w:val="24"/>
          <w:highlight w:val="none"/>
        </w:rPr>
        <w:t xml:space="preserve"> 0771-</w:t>
      </w:r>
      <w:r>
        <w:rPr>
          <w:rFonts w:hint="eastAsia" w:ascii="宋体" w:hAnsi="宋体" w:cs="宋体"/>
          <w:color w:val="auto"/>
          <w:sz w:val="24"/>
          <w:szCs w:val="24"/>
          <w:highlight w:val="none"/>
          <w:lang w:eastAsia="zh-CN"/>
        </w:rPr>
        <w:t>5945100</w:t>
      </w:r>
      <w:r>
        <w:rPr>
          <w:rFonts w:hint="eastAsia" w:ascii="宋体" w:hAnsi="宋体" w:cs="宋体"/>
          <w:color w:val="auto"/>
          <w:sz w:val="24"/>
          <w:szCs w:val="24"/>
          <w:highlight w:val="none"/>
        </w:rPr>
        <w:t>　</w:t>
      </w:r>
    </w:p>
    <w:p w14:paraId="7791DC9D">
      <w:pPr>
        <w:keepNext w:val="0"/>
        <w:keepLines w:val="0"/>
        <w:pageBreakBefore w:val="0"/>
        <w:widowControl/>
        <w:numPr>
          <w:ilvl w:val="0"/>
          <w:numId w:val="1"/>
        </w:numPr>
        <w:kinsoku/>
        <w:wordWrap/>
        <w:overflowPunct/>
        <w:topLinePunct w:val="0"/>
        <w:autoSpaceDE/>
        <w:autoSpaceDN/>
        <w:bidi w:val="0"/>
        <w:adjustRightInd/>
        <w:snapToGrid/>
        <w:spacing w:line="332" w:lineRule="auto"/>
        <w:ind w:firstLine="480" w:firstLineChars="200"/>
        <w:textAlignment w:val="auto"/>
        <w:outlineLvl w:val="0"/>
        <w:rPr>
          <w:rFonts w:hint="eastAsia" w:ascii="宋体" w:hAnsi="宋体" w:eastAsia="宋体" w:cs="宋体"/>
          <w:color w:val="auto"/>
          <w:sz w:val="24"/>
          <w:szCs w:val="24"/>
          <w:highlight w:val="none"/>
          <w:lang w:val="en-US" w:eastAsia="zh-CN"/>
        </w:rPr>
      </w:pPr>
      <w:bookmarkStart w:id="11" w:name="_Toc17345"/>
      <w:r>
        <w:rPr>
          <w:rFonts w:hint="eastAsia" w:ascii="宋体" w:hAnsi="宋体" w:cs="宋体"/>
          <w:color w:val="auto"/>
          <w:sz w:val="24"/>
          <w:szCs w:val="24"/>
          <w:highlight w:val="none"/>
        </w:rPr>
        <w:t>监督单</w:t>
      </w:r>
      <w:r>
        <w:rPr>
          <w:rFonts w:hint="eastAsia" w:ascii="宋体" w:hAnsi="宋体" w:eastAsia="宋体" w:cs="宋体"/>
          <w:color w:val="auto"/>
          <w:sz w:val="24"/>
          <w:szCs w:val="24"/>
          <w:highlight w:val="none"/>
          <w:lang w:eastAsia="zh-CN"/>
        </w:rPr>
        <w:t>位：</w:t>
      </w:r>
      <w:bookmarkEnd w:id="11"/>
      <w:r>
        <w:rPr>
          <w:rFonts w:hint="eastAsia" w:ascii="宋体" w:hAnsi="宋体" w:eastAsia="宋体" w:cs="宋体"/>
          <w:color w:val="auto"/>
          <w:sz w:val="24"/>
          <w:szCs w:val="24"/>
          <w:highlight w:val="none"/>
          <w:lang w:eastAsia="zh-CN"/>
        </w:rPr>
        <w:t>大新县财政局政府采购监督管理股</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电话：</w:t>
      </w:r>
      <w:bookmarkEnd w:id="3"/>
      <w:bookmarkEnd w:id="4"/>
      <w:r>
        <w:rPr>
          <w:rFonts w:hint="eastAsia" w:ascii="宋体" w:hAnsi="宋体" w:eastAsia="宋体" w:cs="宋体"/>
          <w:color w:val="auto"/>
          <w:sz w:val="24"/>
          <w:szCs w:val="24"/>
          <w:highlight w:val="none"/>
          <w:lang w:val="en-US" w:eastAsia="zh-CN"/>
        </w:rPr>
        <w:t>0771-3626646</w:t>
      </w:r>
    </w:p>
    <w:p w14:paraId="7BCC7BE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十、附件</w:t>
      </w:r>
    </w:p>
    <w:p w14:paraId="0C557326">
      <w:pPr>
        <w:spacing w:line="360" w:lineRule="auto"/>
        <w:ind w:firstLine="480" w:firstLineChars="200"/>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i w:val="0"/>
          <w:iCs w:val="0"/>
          <w:color w:val="auto"/>
          <w:kern w:val="0"/>
          <w:sz w:val="24"/>
          <w:szCs w:val="24"/>
        </w:rPr>
        <w:t>1.采购文件</w:t>
      </w:r>
    </w:p>
    <w:p w14:paraId="72EC7C4A">
      <w:pPr>
        <w:pStyle w:val="5"/>
        <w:ind w:left="0" w:leftChars="0" w:firstLine="480" w:firstLineChars="200"/>
        <w:rPr>
          <w:rFonts w:hint="default" w:asciiTheme="majorEastAsia" w:hAnsiTheme="majorEastAsia" w:eastAsiaTheme="majorEastAsia" w:cstheme="majorEastAsia"/>
          <w:b w:val="0"/>
          <w:i w:val="0"/>
          <w:iCs w:val="0"/>
          <w:color w:val="auto"/>
          <w:kern w:val="0"/>
          <w:sz w:val="24"/>
          <w:szCs w:val="24"/>
          <w:lang w:val="en-US" w:eastAsia="zh-CN" w:bidi="ar-SA"/>
        </w:rPr>
      </w:pPr>
      <w:r>
        <w:rPr>
          <w:rFonts w:hint="eastAsia" w:asciiTheme="majorEastAsia" w:hAnsiTheme="majorEastAsia" w:eastAsiaTheme="majorEastAsia" w:cstheme="majorEastAsia"/>
          <w:b w:val="0"/>
          <w:i w:val="0"/>
          <w:iCs w:val="0"/>
          <w:color w:val="auto"/>
          <w:kern w:val="0"/>
          <w:sz w:val="24"/>
          <w:szCs w:val="24"/>
          <w:lang w:val="en-US" w:eastAsia="zh-CN" w:bidi="ar-SA"/>
        </w:rPr>
        <w:t>2.中小企业声明函</w:t>
      </w:r>
    </w:p>
    <w:p w14:paraId="6D13D6AA">
      <w:pPr>
        <w:pStyle w:val="44"/>
        <w:rPr>
          <w:rFonts w:hint="default" w:eastAsiaTheme="majorEastAsia"/>
          <w:color w:val="auto"/>
          <w:lang w:val="en-US" w:eastAsia="zh-CN"/>
        </w:rPr>
      </w:pPr>
      <w:r>
        <w:rPr>
          <w:rFonts w:hint="eastAsia" w:asciiTheme="majorEastAsia" w:hAnsiTheme="majorEastAsia" w:eastAsiaTheme="majorEastAsia" w:cstheme="majorEastAsia"/>
          <w:i w:val="0"/>
          <w:iCs w:val="0"/>
          <w:color w:val="auto"/>
          <w:kern w:val="0"/>
          <w:sz w:val="24"/>
          <w:szCs w:val="24"/>
          <w:lang w:val="en-US" w:eastAsia="zh-CN"/>
        </w:rPr>
        <w:t xml:space="preserve">   </w:t>
      </w:r>
    </w:p>
    <w:p w14:paraId="4B6FD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p>
    <w:p w14:paraId="63106F22">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采购单位：大新县林业技术推广站 　   </w:t>
      </w:r>
    </w:p>
    <w:p w14:paraId="55F34D0C">
      <w:pPr>
        <w:keepNext w:val="0"/>
        <w:keepLines w:val="0"/>
        <w:pageBreakBefore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采购代理机构：广西崇善项目咨询有限公司</w:t>
      </w:r>
    </w:p>
    <w:p w14:paraId="5C0D00B1">
      <w:pPr>
        <w:pStyle w:val="44"/>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日期：2025年6月11日</w:t>
      </w:r>
      <w:bookmarkEnd w:id="0"/>
      <w:bookmarkEnd w:id="1"/>
    </w:p>
    <w:p w14:paraId="71EF22A3">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p>
    <w:sectPr>
      <w:footerReference r:id="rId3" w:type="default"/>
      <w:pgSz w:w="11906" w:h="16838"/>
      <w:pgMar w:top="1154" w:right="1486" w:bottom="598" w:left="1400" w:header="851" w:footer="992" w:gutter="0"/>
      <w:cols w:equalWidth="0" w:num="1">
        <w:col w:w="987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776CF">
    <w:pPr>
      <w:pStyle w:val="20"/>
      <w:snapToGrid w:val="0"/>
      <w:spacing w:after="160"/>
      <w:jc w:val="left"/>
      <w:rPr>
        <w:rFonts w:hAnsi="宋体"/>
      </w:rPr>
    </w:pPr>
    <w:r>
      <w:rPr>
        <w:sz w:val="20"/>
      </w:rPr>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CP47LRAAAAAgEAAA8AAAAAAAAA&#10;AQAgAAAAIgAAAGRycy9kb3ducmV2LnhtbFBLAQIUABQAAAAIAIdO4kCbFtG+GAIAAA8EAAAOAAAA&#10;AAAAAAEAIAAAACABAABkcnMvZTJvRG9jLnhtbFBLBQYAAAAABgAGAFkBAACqBQAAAAA=&#10;">
          <v:path/>
          <v:fill on="f" focussize="0,0"/>
          <v:stroke on="f" weight="0.5pt" joinstyle="miter"/>
          <v:imagedata o:title=""/>
          <o:lock v:ext="edit"/>
          <v:textbox inset="0mm,0mm,0mm,0mm" style="mso-fit-shape-to-text:t;">
            <w:txbxContent>
              <w:p w14:paraId="097C73C5">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742F2"/>
    <w:multiLevelType w:val="singleLevel"/>
    <w:tmpl w:val="44E742F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1" w:cryptProviderType="rsaFull" w:cryptAlgorithmClass="hash" w:cryptAlgorithmType="typeAny" w:cryptAlgorithmSid="4" w:cryptSpinCount="0" w:hash="e5Xa0+lIzJlCKIpc2oDzoWtDo5Y=" w:salt="FmqCGtqzH4dHckOmRTY7ug=="/>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BmMjdiOTExOTZiZGQxYWM0Y2ZlNWFjZmEyZTRjYTUifQ=="/>
  </w:docVars>
  <w:rsids>
    <w:rsidRoot w:val="00A76B41"/>
    <w:rsid w:val="003075FA"/>
    <w:rsid w:val="005472CC"/>
    <w:rsid w:val="005A7D62"/>
    <w:rsid w:val="009B2631"/>
    <w:rsid w:val="00A76B41"/>
    <w:rsid w:val="00B46918"/>
    <w:rsid w:val="00FA12B7"/>
    <w:rsid w:val="0197085F"/>
    <w:rsid w:val="020E69F3"/>
    <w:rsid w:val="02C939D3"/>
    <w:rsid w:val="045B2529"/>
    <w:rsid w:val="046D2918"/>
    <w:rsid w:val="047C3F44"/>
    <w:rsid w:val="04B77ABB"/>
    <w:rsid w:val="04FA3D1E"/>
    <w:rsid w:val="05745EE8"/>
    <w:rsid w:val="05D26727"/>
    <w:rsid w:val="063B076D"/>
    <w:rsid w:val="06616D34"/>
    <w:rsid w:val="06C42BC5"/>
    <w:rsid w:val="07333EE8"/>
    <w:rsid w:val="07DA7459"/>
    <w:rsid w:val="07F239B4"/>
    <w:rsid w:val="080E6381"/>
    <w:rsid w:val="083E16CE"/>
    <w:rsid w:val="08A2729E"/>
    <w:rsid w:val="08E566B9"/>
    <w:rsid w:val="099A7323"/>
    <w:rsid w:val="09B20A1F"/>
    <w:rsid w:val="09D04097"/>
    <w:rsid w:val="0A5D50CD"/>
    <w:rsid w:val="0AD15196"/>
    <w:rsid w:val="0AEB73DB"/>
    <w:rsid w:val="0B326AA7"/>
    <w:rsid w:val="0B513C34"/>
    <w:rsid w:val="0B521344"/>
    <w:rsid w:val="0B532BB1"/>
    <w:rsid w:val="0B6215B1"/>
    <w:rsid w:val="0B7B0792"/>
    <w:rsid w:val="0B7F7C58"/>
    <w:rsid w:val="0BE627D8"/>
    <w:rsid w:val="0C2A2FCA"/>
    <w:rsid w:val="0C317150"/>
    <w:rsid w:val="0C643391"/>
    <w:rsid w:val="0CF1398F"/>
    <w:rsid w:val="0D754BBF"/>
    <w:rsid w:val="0E0D6E85"/>
    <w:rsid w:val="0E1037BB"/>
    <w:rsid w:val="0E8F73B2"/>
    <w:rsid w:val="0E937E65"/>
    <w:rsid w:val="0F3A6F2A"/>
    <w:rsid w:val="0F5217FE"/>
    <w:rsid w:val="0FDF5034"/>
    <w:rsid w:val="0FE34D25"/>
    <w:rsid w:val="10093A9D"/>
    <w:rsid w:val="10855448"/>
    <w:rsid w:val="10A336A6"/>
    <w:rsid w:val="118B6A83"/>
    <w:rsid w:val="11C17A90"/>
    <w:rsid w:val="12026DD8"/>
    <w:rsid w:val="123C25DA"/>
    <w:rsid w:val="1253014A"/>
    <w:rsid w:val="125F10C0"/>
    <w:rsid w:val="12BC449A"/>
    <w:rsid w:val="134602BC"/>
    <w:rsid w:val="137D464E"/>
    <w:rsid w:val="138118D1"/>
    <w:rsid w:val="13D6674E"/>
    <w:rsid w:val="141111D3"/>
    <w:rsid w:val="142B2BA2"/>
    <w:rsid w:val="146E7ECF"/>
    <w:rsid w:val="14F27344"/>
    <w:rsid w:val="151B02ED"/>
    <w:rsid w:val="15580E96"/>
    <w:rsid w:val="15926D1A"/>
    <w:rsid w:val="15F836BD"/>
    <w:rsid w:val="16032714"/>
    <w:rsid w:val="163C4C77"/>
    <w:rsid w:val="16A50027"/>
    <w:rsid w:val="170079B2"/>
    <w:rsid w:val="17234876"/>
    <w:rsid w:val="172C352F"/>
    <w:rsid w:val="17510C30"/>
    <w:rsid w:val="17C665CB"/>
    <w:rsid w:val="17D8514C"/>
    <w:rsid w:val="18107DD8"/>
    <w:rsid w:val="183068B4"/>
    <w:rsid w:val="187F3E5C"/>
    <w:rsid w:val="189538D6"/>
    <w:rsid w:val="190A58BA"/>
    <w:rsid w:val="192B0748"/>
    <w:rsid w:val="1962270A"/>
    <w:rsid w:val="1A0C3AD5"/>
    <w:rsid w:val="1A646B08"/>
    <w:rsid w:val="1AE42F54"/>
    <w:rsid w:val="1AEC1BFB"/>
    <w:rsid w:val="1BA114CA"/>
    <w:rsid w:val="1BF712F4"/>
    <w:rsid w:val="1C19042F"/>
    <w:rsid w:val="1C856220"/>
    <w:rsid w:val="1C99662C"/>
    <w:rsid w:val="1D0205B4"/>
    <w:rsid w:val="1D48702D"/>
    <w:rsid w:val="1DC262E4"/>
    <w:rsid w:val="1E4D585F"/>
    <w:rsid w:val="1EA15035"/>
    <w:rsid w:val="1EB7407E"/>
    <w:rsid w:val="1FF26D7A"/>
    <w:rsid w:val="204E6908"/>
    <w:rsid w:val="209F3F45"/>
    <w:rsid w:val="20A27815"/>
    <w:rsid w:val="214931F1"/>
    <w:rsid w:val="2237609D"/>
    <w:rsid w:val="22516A83"/>
    <w:rsid w:val="22C1532E"/>
    <w:rsid w:val="23177713"/>
    <w:rsid w:val="23415BF2"/>
    <w:rsid w:val="23F364BF"/>
    <w:rsid w:val="23F4334A"/>
    <w:rsid w:val="24282A58"/>
    <w:rsid w:val="248E6663"/>
    <w:rsid w:val="24A438C3"/>
    <w:rsid w:val="24A944FA"/>
    <w:rsid w:val="24E902DE"/>
    <w:rsid w:val="24EE0AFB"/>
    <w:rsid w:val="253E1390"/>
    <w:rsid w:val="2619712E"/>
    <w:rsid w:val="265B7FFA"/>
    <w:rsid w:val="26765186"/>
    <w:rsid w:val="2782294A"/>
    <w:rsid w:val="28A823E0"/>
    <w:rsid w:val="28E1568B"/>
    <w:rsid w:val="296642AE"/>
    <w:rsid w:val="2A8212ED"/>
    <w:rsid w:val="2A966DF8"/>
    <w:rsid w:val="2AAB1BFB"/>
    <w:rsid w:val="2B500585"/>
    <w:rsid w:val="2C9D5C03"/>
    <w:rsid w:val="2CB110B1"/>
    <w:rsid w:val="2CD944E4"/>
    <w:rsid w:val="2D403FD7"/>
    <w:rsid w:val="2D5A09FF"/>
    <w:rsid w:val="2D8B59E0"/>
    <w:rsid w:val="2DC71EBE"/>
    <w:rsid w:val="2DE12F1B"/>
    <w:rsid w:val="2E9D4519"/>
    <w:rsid w:val="2F88095A"/>
    <w:rsid w:val="2FC01D62"/>
    <w:rsid w:val="30303300"/>
    <w:rsid w:val="30AD43F6"/>
    <w:rsid w:val="30BC6FA0"/>
    <w:rsid w:val="319E14BC"/>
    <w:rsid w:val="31C34F5A"/>
    <w:rsid w:val="31C6506E"/>
    <w:rsid w:val="322A78A8"/>
    <w:rsid w:val="32BC4A22"/>
    <w:rsid w:val="33DE36B0"/>
    <w:rsid w:val="35112233"/>
    <w:rsid w:val="353663FD"/>
    <w:rsid w:val="35503F8F"/>
    <w:rsid w:val="35B34777"/>
    <w:rsid w:val="362519F9"/>
    <w:rsid w:val="362726F1"/>
    <w:rsid w:val="38241E52"/>
    <w:rsid w:val="39B2330E"/>
    <w:rsid w:val="39F96B54"/>
    <w:rsid w:val="3A8F44F9"/>
    <w:rsid w:val="3ADC48A5"/>
    <w:rsid w:val="3B1C6E4F"/>
    <w:rsid w:val="3B3760F2"/>
    <w:rsid w:val="3B70321E"/>
    <w:rsid w:val="3B7F12F6"/>
    <w:rsid w:val="3C461179"/>
    <w:rsid w:val="3C5E0F0B"/>
    <w:rsid w:val="3CB23196"/>
    <w:rsid w:val="3CD940B2"/>
    <w:rsid w:val="3D6D0374"/>
    <w:rsid w:val="3E2E297F"/>
    <w:rsid w:val="3E3127CE"/>
    <w:rsid w:val="3E4A7022"/>
    <w:rsid w:val="3EB3718E"/>
    <w:rsid w:val="3F100466"/>
    <w:rsid w:val="3F112E3C"/>
    <w:rsid w:val="3F4C33BE"/>
    <w:rsid w:val="3FFA08D7"/>
    <w:rsid w:val="40894B10"/>
    <w:rsid w:val="40C10A5A"/>
    <w:rsid w:val="40E467DB"/>
    <w:rsid w:val="419C0BCE"/>
    <w:rsid w:val="41E864D0"/>
    <w:rsid w:val="42256D94"/>
    <w:rsid w:val="42D5192F"/>
    <w:rsid w:val="42EF5839"/>
    <w:rsid w:val="431556B3"/>
    <w:rsid w:val="43223183"/>
    <w:rsid w:val="43352B14"/>
    <w:rsid w:val="435C52A0"/>
    <w:rsid w:val="44A746C3"/>
    <w:rsid w:val="44BD1F0F"/>
    <w:rsid w:val="44D374C3"/>
    <w:rsid w:val="454E1449"/>
    <w:rsid w:val="46630F78"/>
    <w:rsid w:val="46642FD5"/>
    <w:rsid w:val="46905EC3"/>
    <w:rsid w:val="46F4390A"/>
    <w:rsid w:val="470630D7"/>
    <w:rsid w:val="47D72FAB"/>
    <w:rsid w:val="47E14729"/>
    <w:rsid w:val="48054C31"/>
    <w:rsid w:val="480B4458"/>
    <w:rsid w:val="48DB1B35"/>
    <w:rsid w:val="48F75326"/>
    <w:rsid w:val="48FC4C39"/>
    <w:rsid w:val="49822B9F"/>
    <w:rsid w:val="49883EA2"/>
    <w:rsid w:val="498B4601"/>
    <w:rsid w:val="49DD0584"/>
    <w:rsid w:val="4A3340CA"/>
    <w:rsid w:val="4B1827AB"/>
    <w:rsid w:val="4B460AD8"/>
    <w:rsid w:val="4BD272E3"/>
    <w:rsid w:val="4BE945A7"/>
    <w:rsid w:val="4CFF2296"/>
    <w:rsid w:val="4DE01951"/>
    <w:rsid w:val="4E5170DA"/>
    <w:rsid w:val="4E8B5050"/>
    <w:rsid w:val="4EA93CB2"/>
    <w:rsid w:val="4F087DA4"/>
    <w:rsid w:val="4F197D32"/>
    <w:rsid w:val="4F6E40E9"/>
    <w:rsid w:val="500B4ABE"/>
    <w:rsid w:val="50591456"/>
    <w:rsid w:val="50601B75"/>
    <w:rsid w:val="51742805"/>
    <w:rsid w:val="51C848AD"/>
    <w:rsid w:val="51DE2A6B"/>
    <w:rsid w:val="52142B51"/>
    <w:rsid w:val="52191BF2"/>
    <w:rsid w:val="52445767"/>
    <w:rsid w:val="52EA5C25"/>
    <w:rsid w:val="53057AF2"/>
    <w:rsid w:val="53235A75"/>
    <w:rsid w:val="532E1C22"/>
    <w:rsid w:val="533153C4"/>
    <w:rsid w:val="537A7104"/>
    <w:rsid w:val="53C26FD3"/>
    <w:rsid w:val="541D6E71"/>
    <w:rsid w:val="54301456"/>
    <w:rsid w:val="543A318D"/>
    <w:rsid w:val="54487F79"/>
    <w:rsid w:val="544D4A01"/>
    <w:rsid w:val="54856B34"/>
    <w:rsid w:val="54C47662"/>
    <w:rsid w:val="554E4232"/>
    <w:rsid w:val="55DE082D"/>
    <w:rsid w:val="55FB150F"/>
    <w:rsid w:val="566C2DC2"/>
    <w:rsid w:val="56D92F6E"/>
    <w:rsid w:val="56E46F1C"/>
    <w:rsid w:val="57CD56A1"/>
    <w:rsid w:val="58294442"/>
    <w:rsid w:val="58CC7859"/>
    <w:rsid w:val="59114EF7"/>
    <w:rsid w:val="595A737F"/>
    <w:rsid w:val="59604DB1"/>
    <w:rsid w:val="59A01A77"/>
    <w:rsid w:val="5A04543F"/>
    <w:rsid w:val="5A794951"/>
    <w:rsid w:val="5A8D097B"/>
    <w:rsid w:val="5AA87252"/>
    <w:rsid w:val="5AAC1C92"/>
    <w:rsid w:val="5B56582C"/>
    <w:rsid w:val="5BFC234D"/>
    <w:rsid w:val="5C7A7619"/>
    <w:rsid w:val="5C997422"/>
    <w:rsid w:val="5CB25F54"/>
    <w:rsid w:val="5D2D2B96"/>
    <w:rsid w:val="5D907A45"/>
    <w:rsid w:val="5DB10ADD"/>
    <w:rsid w:val="5DB30067"/>
    <w:rsid w:val="5DF32438"/>
    <w:rsid w:val="5E0513DA"/>
    <w:rsid w:val="5E0C4D48"/>
    <w:rsid w:val="5E245091"/>
    <w:rsid w:val="5E64151B"/>
    <w:rsid w:val="5EE57D12"/>
    <w:rsid w:val="5EF726E5"/>
    <w:rsid w:val="5F1D017D"/>
    <w:rsid w:val="5F74474D"/>
    <w:rsid w:val="5F9E4A44"/>
    <w:rsid w:val="60060CD2"/>
    <w:rsid w:val="6033538C"/>
    <w:rsid w:val="606171FC"/>
    <w:rsid w:val="61015C2A"/>
    <w:rsid w:val="61212315"/>
    <w:rsid w:val="6124616D"/>
    <w:rsid w:val="61700C15"/>
    <w:rsid w:val="61DD6D85"/>
    <w:rsid w:val="624D4A2C"/>
    <w:rsid w:val="625A70E9"/>
    <w:rsid w:val="62E02795"/>
    <w:rsid w:val="6365652E"/>
    <w:rsid w:val="636F5D78"/>
    <w:rsid w:val="63D6185D"/>
    <w:rsid w:val="644B55F3"/>
    <w:rsid w:val="645E5FB7"/>
    <w:rsid w:val="64742B72"/>
    <w:rsid w:val="64E646C9"/>
    <w:rsid w:val="655139C5"/>
    <w:rsid w:val="65A43EF2"/>
    <w:rsid w:val="66334AEE"/>
    <w:rsid w:val="66485827"/>
    <w:rsid w:val="668E6377"/>
    <w:rsid w:val="66A45145"/>
    <w:rsid w:val="66AF4004"/>
    <w:rsid w:val="66C31962"/>
    <w:rsid w:val="67205D2E"/>
    <w:rsid w:val="67327086"/>
    <w:rsid w:val="675B42D8"/>
    <w:rsid w:val="678B24B0"/>
    <w:rsid w:val="67E95F1A"/>
    <w:rsid w:val="68064081"/>
    <w:rsid w:val="681E61C6"/>
    <w:rsid w:val="68494D96"/>
    <w:rsid w:val="68AF4868"/>
    <w:rsid w:val="68DB28B0"/>
    <w:rsid w:val="694621E7"/>
    <w:rsid w:val="695B3F54"/>
    <w:rsid w:val="6A0F748C"/>
    <w:rsid w:val="6A451B01"/>
    <w:rsid w:val="6AA32DCE"/>
    <w:rsid w:val="6AC123AB"/>
    <w:rsid w:val="6ACC1D6D"/>
    <w:rsid w:val="6AD42215"/>
    <w:rsid w:val="6AE6715C"/>
    <w:rsid w:val="6B3726F6"/>
    <w:rsid w:val="6B5409E2"/>
    <w:rsid w:val="6B6E46BD"/>
    <w:rsid w:val="6B7337B6"/>
    <w:rsid w:val="6BBF41E1"/>
    <w:rsid w:val="6BED530D"/>
    <w:rsid w:val="6CB6313A"/>
    <w:rsid w:val="6D5D08AB"/>
    <w:rsid w:val="6D7A21C0"/>
    <w:rsid w:val="6DA260DD"/>
    <w:rsid w:val="6DCD3829"/>
    <w:rsid w:val="6DEB257D"/>
    <w:rsid w:val="6E023365"/>
    <w:rsid w:val="6E867ECB"/>
    <w:rsid w:val="6EDE3E2B"/>
    <w:rsid w:val="6F51552C"/>
    <w:rsid w:val="6FB5060A"/>
    <w:rsid w:val="6FC07EC9"/>
    <w:rsid w:val="700A1DC2"/>
    <w:rsid w:val="701B7BAE"/>
    <w:rsid w:val="70371352"/>
    <w:rsid w:val="70CD3EDD"/>
    <w:rsid w:val="71732AFC"/>
    <w:rsid w:val="726C6DDB"/>
    <w:rsid w:val="72754FAE"/>
    <w:rsid w:val="72E202F0"/>
    <w:rsid w:val="72E667CD"/>
    <w:rsid w:val="73874F7B"/>
    <w:rsid w:val="740D2C3B"/>
    <w:rsid w:val="74973556"/>
    <w:rsid w:val="74B7369A"/>
    <w:rsid w:val="74DB2550"/>
    <w:rsid w:val="750202C6"/>
    <w:rsid w:val="750A5DF7"/>
    <w:rsid w:val="75585F67"/>
    <w:rsid w:val="758E505F"/>
    <w:rsid w:val="75E82090"/>
    <w:rsid w:val="763B655B"/>
    <w:rsid w:val="76742882"/>
    <w:rsid w:val="769D2EF8"/>
    <w:rsid w:val="76E073B2"/>
    <w:rsid w:val="76EF5A60"/>
    <w:rsid w:val="771670A9"/>
    <w:rsid w:val="775A1460"/>
    <w:rsid w:val="777C7EBC"/>
    <w:rsid w:val="77800FA4"/>
    <w:rsid w:val="78E57A8C"/>
    <w:rsid w:val="78FD74BC"/>
    <w:rsid w:val="79011F8F"/>
    <w:rsid w:val="799E0F55"/>
    <w:rsid w:val="7A612861"/>
    <w:rsid w:val="7AFE7DCC"/>
    <w:rsid w:val="7B0A1C83"/>
    <w:rsid w:val="7B704C94"/>
    <w:rsid w:val="7BB231F9"/>
    <w:rsid w:val="7C0E2816"/>
    <w:rsid w:val="7C0E727F"/>
    <w:rsid w:val="7C2E00FA"/>
    <w:rsid w:val="7C7D6705"/>
    <w:rsid w:val="7D0F49B0"/>
    <w:rsid w:val="7D197BC4"/>
    <w:rsid w:val="7D512677"/>
    <w:rsid w:val="7D781DD5"/>
    <w:rsid w:val="7D8C2452"/>
    <w:rsid w:val="7DA51645"/>
    <w:rsid w:val="7DC03E38"/>
    <w:rsid w:val="7DF51006"/>
    <w:rsid w:val="7E2768C4"/>
    <w:rsid w:val="7E52335B"/>
    <w:rsid w:val="7E7217E4"/>
    <w:rsid w:val="7FD53D9E"/>
    <w:rsid w:val="7FEC0AF4"/>
    <w:rsid w:val="7FED093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Calibri" w:hAnsi="Calibri" w:eastAsia="宋体" w:cstheme="minorBidi"/>
      <w:sz w:val="21"/>
      <w:szCs w:val="21"/>
      <w:lang w:val="en-US" w:eastAsia="zh-CN" w:bidi="ar-SA"/>
    </w:rPr>
  </w:style>
  <w:style w:type="paragraph" w:styleId="2">
    <w:name w:val="heading 1"/>
    <w:basedOn w:val="1"/>
    <w:next w:val="1"/>
    <w:autoRedefine/>
    <w:qFormat/>
    <w:uiPriority w:val="7"/>
    <w:pPr>
      <w:outlineLvl w:val="0"/>
    </w:pPr>
    <w:rPr>
      <w:rFonts w:ascii="Times New Roman" w:hAnsi="Times New Roman" w:eastAsia="Times New Roman"/>
      <w:sz w:val="28"/>
      <w:szCs w:val="28"/>
    </w:rPr>
  </w:style>
  <w:style w:type="paragraph" w:styleId="3">
    <w:name w:val="heading 2"/>
    <w:next w:val="1"/>
    <w:autoRedefine/>
    <w:qFormat/>
    <w:uiPriority w:val="8"/>
    <w:pPr>
      <w:jc w:val="both"/>
      <w:outlineLvl w:val="1"/>
    </w:pPr>
    <w:rPr>
      <w:rFonts w:ascii="Times New Roman" w:hAnsi="Times New Roman" w:eastAsia="Times New Roman" w:cstheme="minorBidi"/>
      <w:sz w:val="21"/>
      <w:szCs w:val="21"/>
      <w:lang w:val="en-US" w:eastAsia="zh-CN" w:bidi="ar-SA"/>
    </w:rPr>
  </w:style>
  <w:style w:type="paragraph" w:styleId="4">
    <w:name w:val="heading 3"/>
    <w:next w:val="1"/>
    <w:autoRedefine/>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5">
    <w:name w:val="heading 4"/>
    <w:basedOn w:val="1"/>
    <w:next w:val="1"/>
    <w:autoRedefine/>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6">
    <w:name w:val="heading 5"/>
    <w:next w:val="1"/>
    <w:autoRedefine/>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7">
    <w:name w:val="heading 6"/>
    <w:basedOn w:val="1"/>
    <w:next w:val="1"/>
    <w:autoRedefine/>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8">
    <w:name w:val="heading 7"/>
    <w:next w:val="1"/>
    <w:autoRedefine/>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9">
    <w:name w:val="heading 8"/>
    <w:next w:val="1"/>
    <w:autoRedefine/>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0">
    <w:name w:val="heading 9"/>
    <w:next w:val="1"/>
    <w:autoRedefine/>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oc 7"/>
    <w:next w:val="1"/>
    <w:autoRedefine/>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pPr>
      <w:spacing w:after="120"/>
    </w:pPr>
  </w:style>
  <w:style w:type="paragraph" w:styleId="14">
    <w:name w:val="Body Text Indent"/>
    <w:basedOn w:val="1"/>
    <w:autoRedefine/>
    <w:qFormat/>
    <w:uiPriority w:val="0"/>
    <w:pPr>
      <w:spacing w:line="200" w:lineRule="exact"/>
      <w:ind w:firstLine="301"/>
    </w:pPr>
    <w:rPr>
      <w:rFonts w:ascii="宋体" w:hAnsi="Courier New"/>
      <w:spacing w:val="-4"/>
      <w:sz w:val="18"/>
      <w:szCs w:val="20"/>
    </w:rPr>
  </w:style>
  <w:style w:type="paragraph" w:styleId="15">
    <w:name w:val="toc 5"/>
    <w:next w:val="1"/>
    <w:autoRedefine/>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6">
    <w:name w:val="toc 3"/>
    <w:next w:val="1"/>
    <w:autoRedefine/>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7">
    <w:name w:val="Plain Text"/>
    <w:basedOn w:val="1"/>
    <w:autoRedefine/>
    <w:qFormat/>
    <w:uiPriority w:val="0"/>
    <w:rPr>
      <w:rFonts w:ascii="宋体" w:hAnsi="宋体" w:eastAsia="Courier New"/>
      <w:sz w:val="20"/>
      <w:szCs w:val="20"/>
    </w:rPr>
  </w:style>
  <w:style w:type="paragraph" w:styleId="18">
    <w:name w:val="toc 8"/>
    <w:next w:val="1"/>
    <w:autoRedefine/>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19">
    <w:name w:val="Balloon Text"/>
    <w:basedOn w:val="1"/>
    <w:link w:val="57"/>
    <w:autoRedefine/>
    <w:qFormat/>
    <w:uiPriority w:val="0"/>
    <w:rPr>
      <w:sz w:val="18"/>
      <w:szCs w:val="18"/>
    </w:rPr>
  </w:style>
  <w:style w:type="paragraph" w:styleId="20">
    <w:name w:val="footer"/>
    <w:basedOn w:val="1"/>
    <w:autoRedefine/>
    <w:qFormat/>
    <w:uiPriority w:val="0"/>
    <w:pPr>
      <w:tabs>
        <w:tab w:val="center" w:pos="4153"/>
        <w:tab w:val="right" w:pos="8306"/>
      </w:tabs>
    </w:pPr>
    <w:rPr>
      <w:sz w:val="18"/>
      <w:szCs w:val="18"/>
    </w:rPr>
  </w:style>
  <w:style w:type="paragraph" w:styleId="21">
    <w:name w:val="header"/>
    <w:basedOn w:val="1"/>
    <w:autoRedefine/>
    <w:qFormat/>
    <w:uiPriority w:val="0"/>
    <w:pPr>
      <w:tabs>
        <w:tab w:val="center" w:pos="4153"/>
        <w:tab w:val="right" w:pos="8306"/>
      </w:tabs>
    </w:pPr>
    <w:rPr>
      <w:sz w:val="18"/>
      <w:szCs w:val="18"/>
    </w:rPr>
  </w:style>
  <w:style w:type="paragraph" w:styleId="22">
    <w:name w:val="toc 1"/>
    <w:next w:val="1"/>
    <w:autoRedefine/>
    <w:unhideWhenUsed/>
    <w:qFormat/>
    <w:uiPriority w:val="28"/>
    <w:pPr>
      <w:jc w:val="both"/>
    </w:pPr>
    <w:rPr>
      <w:rFonts w:ascii="Times New Roman" w:hAnsi="Times New Roman" w:eastAsia="Times New Roman" w:cstheme="minorBidi"/>
      <w:sz w:val="21"/>
      <w:szCs w:val="21"/>
      <w:lang w:val="en-US" w:eastAsia="zh-CN" w:bidi="ar-SA"/>
    </w:rPr>
  </w:style>
  <w:style w:type="paragraph" w:styleId="23">
    <w:name w:val="toc 4"/>
    <w:next w:val="1"/>
    <w:autoRedefine/>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4">
    <w:name w:val="Subtitle"/>
    <w:autoRedefine/>
    <w:qFormat/>
    <w:uiPriority w:val="16"/>
    <w:pPr>
      <w:jc w:val="center"/>
    </w:pPr>
    <w:rPr>
      <w:rFonts w:ascii="Times New Roman" w:hAnsi="Times New Roman" w:eastAsia="Times New Roman" w:cstheme="minorBidi"/>
      <w:sz w:val="24"/>
      <w:szCs w:val="24"/>
      <w:lang w:val="en-US" w:eastAsia="zh-CN" w:bidi="ar-SA"/>
    </w:rPr>
  </w:style>
  <w:style w:type="paragraph" w:styleId="25">
    <w:name w:val="toc 6"/>
    <w:next w:val="1"/>
    <w:autoRedefine/>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6">
    <w:name w:val="toc 2"/>
    <w:next w:val="1"/>
    <w:autoRedefine/>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7">
    <w:name w:val="toc 9"/>
    <w:next w:val="1"/>
    <w:autoRedefine/>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8">
    <w:name w:val="Title"/>
    <w:autoRedefine/>
    <w:qFormat/>
    <w:uiPriority w:val="6"/>
    <w:pPr>
      <w:jc w:val="center"/>
    </w:pPr>
    <w:rPr>
      <w:rFonts w:ascii="Times New Roman" w:hAnsi="Times New Roman" w:eastAsia="Times New Roman" w:cstheme="minorBidi"/>
      <w:b/>
      <w:sz w:val="32"/>
      <w:szCs w:val="32"/>
      <w:lang w:val="en-US" w:eastAsia="zh-CN" w:bidi="ar-SA"/>
    </w:rPr>
  </w:style>
  <w:style w:type="paragraph" w:styleId="29">
    <w:name w:val="Body Text First Indent 2"/>
    <w:basedOn w:val="14"/>
    <w:autoRedefine/>
    <w:qFormat/>
    <w:uiPriority w:val="0"/>
    <w:pPr>
      <w:spacing w:after="120"/>
      <w:ind w:left="420" w:leftChars="200" w:firstLine="420" w:firstLineChars="200"/>
    </w:pPr>
    <w:rPr>
      <w:lang w:val="en-US" w:eastAsia="zh-CN"/>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0"/>
    <w:rPr>
      <w:b/>
      <w:w w:val="100"/>
      <w:sz w:val="21"/>
      <w:szCs w:val="21"/>
      <w:shd w:val="clear" w:color="auto" w:fill="auto"/>
    </w:rPr>
  </w:style>
  <w:style w:type="character" w:styleId="34">
    <w:name w:val="page number"/>
    <w:basedOn w:val="32"/>
    <w:autoRedefine/>
    <w:qFormat/>
    <w:uiPriority w:val="0"/>
  </w:style>
  <w:style w:type="character" w:styleId="35">
    <w:name w:val="FollowedHyperlink"/>
    <w:basedOn w:val="32"/>
    <w:autoRedefine/>
    <w:qFormat/>
    <w:uiPriority w:val="0"/>
    <w:rPr>
      <w:color w:val="000000"/>
      <w:u w:val="none"/>
    </w:rPr>
  </w:style>
  <w:style w:type="character" w:styleId="36">
    <w:name w:val="Emphasis"/>
    <w:autoRedefine/>
    <w:qFormat/>
    <w:uiPriority w:val="18"/>
    <w:rPr>
      <w:i/>
      <w:w w:val="100"/>
      <w:sz w:val="21"/>
      <w:szCs w:val="21"/>
      <w:shd w:val="clear" w:color="auto" w:fill="auto"/>
    </w:rPr>
  </w:style>
  <w:style w:type="character" w:styleId="37">
    <w:name w:val="HTML Definition"/>
    <w:basedOn w:val="32"/>
    <w:autoRedefine/>
    <w:qFormat/>
    <w:uiPriority w:val="0"/>
  </w:style>
  <w:style w:type="character" w:styleId="38">
    <w:name w:val="HTML Acronym"/>
    <w:basedOn w:val="32"/>
    <w:autoRedefine/>
    <w:qFormat/>
    <w:uiPriority w:val="0"/>
  </w:style>
  <w:style w:type="character" w:styleId="39">
    <w:name w:val="HTML Variable"/>
    <w:basedOn w:val="32"/>
    <w:autoRedefine/>
    <w:qFormat/>
    <w:uiPriority w:val="0"/>
  </w:style>
  <w:style w:type="character" w:styleId="40">
    <w:name w:val="Hyperlink"/>
    <w:basedOn w:val="32"/>
    <w:autoRedefine/>
    <w:qFormat/>
    <w:uiPriority w:val="0"/>
    <w:rPr>
      <w:color w:val="000000"/>
      <w:u w:val="none"/>
    </w:rPr>
  </w:style>
  <w:style w:type="character" w:styleId="41">
    <w:name w:val="HTML Code"/>
    <w:basedOn w:val="32"/>
    <w:autoRedefine/>
    <w:qFormat/>
    <w:uiPriority w:val="0"/>
    <w:rPr>
      <w:rFonts w:ascii="Courier New" w:hAnsi="Courier New"/>
      <w:sz w:val="20"/>
    </w:rPr>
  </w:style>
  <w:style w:type="character" w:styleId="42">
    <w:name w:val="annotation reference"/>
    <w:basedOn w:val="32"/>
    <w:autoRedefine/>
    <w:qFormat/>
    <w:uiPriority w:val="0"/>
    <w:rPr>
      <w:sz w:val="21"/>
      <w:szCs w:val="21"/>
    </w:rPr>
  </w:style>
  <w:style w:type="character" w:styleId="43">
    <w:name w:val="HTML Cite"/>
    <w:basedOn w:val="32"/>
    <w:autoRedefine/>
    <w:qFormat/>
    <w:uiPriority w:val="0"/>
  </w:style>
  <w:style w:type="paragraph" w:customStyle="1" w:styleId="44">
    <w:name w:val="表格文字"/>
    <w:basedOn w:val="1"/>
    <w:autoRedefine/>
    <w:qFormat/>
    <w:uiPriority w:val="0"/>
    <w:pPr>
      <w:jc w:val="left"/>
    </w:pPr>
    <w:rPr>
      <w:bCs/>
      <w:spacing w:val="10"/>
      <w:sz w:val="24"/>
    </w:rPr>
  </w:style>
  <w:style w:type="paragraph" w:customStyle="1" w:styleId="4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目录 21"/>
    <w:basedOn w:val="1"/>
    <w:next w:val="1"/>
    <w:autoRedefine/>
    <w:qFormat/>
    <w:uiPriority w:val="0"/>
    <w:pPr>
      <w:spacing w:before="100" w:beforeAutospacing="1" w:after="100" w:afterAutospacing="1"/>
      <w:ind w:left="420" w:leftChars="200"/>
    </w:pPr>
  </w:style>
  <w:style w:type="paragraph" w:customStyle="1" w:styleId="47">
    <w:name w:val="无间隔1"/>
    <w:autoRedefine/>
    <w:qFormat/>
    <w:uiPriority w:val="5"/>
    <w:pPr>
      <w:jc w:val="both"/>
    </w:pPr>
    <w:rPr>
      <w:rFonts w:ascii="Times New Roman" w:hAnsi="Times New Roman" w:eastAsia="Times New Roman" w:cstheme="minorBidi"/>
      <w:sz w:val="21"/>
      <w:szCs w:val="21"/>
      <w:lang w:val="en-US" w:eastAsia="zh-CN" w:bidi="ar-SA"/>
    </w:rPr>
  </w:style>
  <w:style w:type="character" w:customStyle="1" w:styleId="48">
    <w:name w:val="不明显强调1"/>
    <w:autoRedefine/>
    <w:qFormat/>
    <w:uiPriority w:val="17"/>
    <w:rPr>
      <w:i/>
      <w:color w:val="404040"/>
      <w:w w:val="100"/>
      <w:sz w:val="21"/>
      <w:szCs w:val="21"/>
      <w:shd w:val="clear" w:color="auto" w:fill="auto"/>
    </w:rPr>
  </w:style>
  <w:style w:type="character" w:customStyle="1" w:styleId="49">
    <w:name w:val="明显强调1"/>
    <w:autoRedefine/>
    <w:qFormat/>
    <w:uiPriority w:val="19"/>
    <w:rPr>
      <w:i/>
      <w:color w:val="5B9BD5"/>
      <w:w w:val="100"/>
      <w:sz w:val="21"/>
      <w:szCs w:val="21"/>
      <w:shd w:val="clear" w:color="auto" w:fill="auto"/>
    </w:rPr>
  </w:style>
  <w:style w:type="paragraph" w:customStyle="1" w:styleId="50">
    <w:name w:val="引用1"/>
    <w:autoRedefin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51">
    <w:name w:val="明显引用1"/>
    <w:autoRedefin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2">
    <w:name w:val="不明显参考1"/>
    <w:autoRedefine/>
    <w:qFormat/>
    <w:uiPriority w:val="23"/>
    <w:rPr>
      <w:smallCaps/>
      <w:color w:val="5A5A5A"/>
      <w:w w:val="100"/>
      <w:sz w:val="21"/>
      <w:szCs w:val="21"/>
      <w:shd w:val="clear" w:color="auto" w:fill="auto"/>
    </w:rPr>
  </w:style>
  <w:style w:type="character" w:customStyle="1" w:styleId="53">
    <w:name w:val="明显参考1"/>
    <w:autoRedefine/>
    <w:qFormat/>
    <w:uiPriority w:val="24"/>
    <w:rPr>
      <w:b/>
      <w:smallCaps/>
      <w:color w:val="5B9BD5"/>
      <w:w w:val="100"/>
      <w:sz w:val="21"/>
      <w:szCs w:val="21"/>
      <w:shd w:val="clear" w:color="auto" w:fill="auto"/>
    </w:rPr>
  </w:style>
  <w:style w:type="character" w:customStyle="1" w:styleId="54">
    <w:name w:val="书籍标题1"/>
    <w:autoRedefine/>
    <w:qFormat/>
    <w:uiPriority w:val="25"/>
    <w:rPr>
      <w:b/>
      <w:i/>
      <w:w w:val="100"/>
      <w:sz w:val="21"/>
      <w:szCs w:val="21"/>
      <w:shd w:val="clear" w:color="auto" w:fill="auto"/>
    </w:rPr>
  </w:style>
  <w:style w:type="paragraph" w:customStyle="1" w:styleId="55">
    <w:name w:val="列出段落1"/>
    <w:autoRedefine/>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6">
    <w:name w:val="TOC 标题1"/>
    <w:autoRedefine/>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7">
    <w:name w:val="批注框文本 Char"/>
    <w:basedOn w:val="32"/>
    <w:link w:val="19"/>
    <w:autoRedefine/>
    <w:qFormat/>
    <w:uiPriority w:val="0"/>
    <w:rPr>
      <w:rFonts w:ascii="Calibri" w:hAnsi="Calibri" w:cstheme="minorBidi"/>
      <w:sz w:val="18"/>
      <w:szCs w:val="18"/>
    </w:rPr>
  </w:style>
  <w:style w:type="character" w:customStyle="1" w:styleId="58">
    <w:name w:val="hover5"/>
    <w:basedOn w:val="32"/>
    <w:autoRedefine/>
    <w:qFormat/>
    <w:uiPriority w:val="0"/>
    <w:rPr>
      <w:color w:val="0063BA"/>
    </w:rPr>
  </w:style>
  <w:style w:type="character" w:customStyle="1" w:styleId="59">
    <w:name w:val="before"/>
    <w:basedOn w:val="32"/>
    <w:autoRedefine/>
    <w:qFormat/>
    <w:uiPriority w:val="0"/>
    <w:rPr>
      <w:shd w:val="clear" w:fill="E22323"/>
    </w:rPr>
  </w:style>
  <w:style w:type="character" w:customStyle="1" w:styleId="60">
    <w:name w:val="hover"/>
    <w:basedOn w:val="32"/>
    <w:autoRedefine/>
    <w:qFormat/>
    <w:uiPriority w:val="0"/>
    <w:rPr>
      <w:color w:val="0063BA"/>
    </w:rPr>
  </w:style>
  <w:style w:type="character" w:customStyle="1" w:styleId="61">
    <w:name w:val="hover4"/>
    <w:basedOn w:val="32"/>
    <w:autoRedefine/>
    <w:qFormat/>
    <w:uiPriority w:val="0"/>
    <w:rPr>
      <w:color w:val="0063B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942</Words>
  <Characters>1131</Characters>
  <Lines>9</Lines>
  <Paragraphs>2</Paragraphs>
  <TotalTime>3</TotalTime>
  <ScaleCrop>false</ScaleCrop>
  <LinksUpToDate>false</LinksUpToDate>
  <CharactersWithSpaces>1264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2018-09-20T02:06:00Z</dcterms:created>
  <dc:creator>Administrator</dc:creator>
  <cp:lastModifiedBy>WPS_1602497377</cp:lastModifiedBy>
  <cp:lastPrinted>2024-11-11T03:43:00Z</cp:lastPrinted>
  <dcterms:modified xsi:type="dcterms:W3CDTF">2025-06-11T02:15:30Z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365DC00413424C7893DA4994970012E7</vt:lpwstr>
  </property>
  <property fmtid="{D5CDD505-2E9C-101B-9397-08002B2CF9AE}" pid="4" name="KSOTemplateDocerSaveRecord">
    <vt:lpwstr>eyJoZGlkIjoiOTBmMjdiOTExOTZiZGQxYWM0Y2ZlNWFjZmEyZTRjYTUiLCJ1c2VySWQiOiIxMTMwNTMyMTQ1In0=</vt:lpwstr>
  </property>
</Properties>
</file>