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738"/>
        <w:gridCol w:w="1380"/>
        <w:gridCol w:w="4544"/>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tabs>
                <w:tab w:val="left" w:pos="180"/>
                <w:tab w:val="left" w:pos="1620"/>
              </w:tabs>
              <w:spacing w:line="360" w:lineRule="exact"/>
              <w:jc w:val="center"/>
              <w:rPr>
                <w:rFonts w:hint="default" w:ascii="宋体" w:hAnsi="宋体" w:eastAsia="宋体" w:cs="宋体"/>
                <w:b/>
                <w:bCs/>
                <w:color w:val="auto"/>
                <w:szCs w:val="21"/>
                <w:lang w:val="en-US" w:eastAsia="zh-CN"/>
              </w:rPr>
            </w:pPr>
            <w:bookmarkStart w:id="0" w:name="OLE_LINK4"/>
            <w:r>
              <w:rPr>
                <w:rFonts w:hint="eastAsia" w:ascii="宋体" w:hAnsi="宋体" w:eastAsia="宋体" w:cs="宋体"/>
                <w:b/>
                <w:bCs/>
                <w:color w:val="auto"/>
                <w:szCs w:val="21"/>
                <w:lang w:val="en-US" w:eastAsia="zh-CN"/>
              </w:rPr>
              <w:t>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9" w:hRule="atLeast"/>
          <w:jc w:val="center"/>
        </w:trPr>
        <w:tc>
          <w:tcPr>
            <w:tcW w:w="426" w:type="dxa"/>
            <w:vAlign w:val="center"/>
          </w:tcPr>
          <w:p>
            <w:pPr>
              <w:tabs>
                <w:tab w:val="left" w:pos="180"/>
                <w:tab w:val="left" w:pos="1620"/>
              </w:tabs>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tabs>
                <w:tab w:val="left" w:pos="180"/>
                <w:tab w:val="left" w:pos="1620"/>
              </w:tabs>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tabs>
                <w:tab w:val="left" w:pos="180"/>
                <w:tab w:val="left" w:pos="1620"/>
              </w:tabs>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738" w:type="dxa"/>
            <w:vAlign w:val="center"/>
          </w:tcPr>
          <w:p>
            <w:pPr>
              <w:tabs>
                <w:tab w:val="left" w:pos="180"/>
                <w:tab w:val="left" w:pos="1620"/>
              </w:tabs>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380" w:type="dxa"/>
            <w:vAlign w:val="center"/>
          </w:tcPr>
          <w:p>
            <w:pPr>
              <w:tabs>
                <w:tab w:val="left" w:pos="180"/>
                <w:tab w:val="left" w:pos="1620"/>
              </w:tabs>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544" w:type="dxa"/>
            <w:vAlign w:val="center"/>
          </w:tcPr>
          <w:p>
            <w:pPr>
              <w:tabs>
                <w:tab w:val="left" w:pos="180"/>
                <w:tab w:val="left" w:pos="1620"/>
              </w:tabs>
              <w:spacing w:line="360" w:lineRule="exact"/>
              <w:jc w:val="center"/>
              <w:rPr>
                <w:rFonts w:hint="eastAsia" w:ascii="宋体" w:hAnsi="宋体" w:eastAsia="宋体" w:cs="宋体"/>
                <w:b/>
                <w:bCs/>
                <w:color w:val="auto"/>
                <w:szCs w:val="21"/>
              </w:rPr>
            </w:pPr>
            <w:bookmarkStart w:id="4" w:name="_GoBack"/>
            <w:bookmarkEnd w:id="4"/>
            <w:r>
              <w:rPr>
                <w:rFonts w:hint="eastAsia" w:ascii="宋体" w:hAnsi="宋体" w:eastAsia="宋体" w:cs="宋体"/>
                <w:b w:val="0"/>
                <w:bCs w:val="0"/>
                <w:color w:val="auto"/>
                <w:szCs w:val="21"/>
              </w:rPr>
              <w:t>技术要求</w:t>
            </w:r>
          </w:p>
        </w:tc>
        <w:tc>
          <w:tcPr>
            <w:tcW w:w="840" w:type="dxa"/>
            <w:vAlign w:val="center"/>
          </w:tcPr>
          <w:p>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bidi w:val="0"/>
              <w:rPr>
                <w:rFonts w:hint="eastAsia"/>
                <w:color w:val="auto"/>
              </w:rPr>
            </w:pPr>
            <w:r>
              <w:rPr>
                <w:rFonts w:hint="eastAsia"/>
                <w:color w:val="auto"/>
              </w:rPr>
              <w:t>1</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32位点扩增荧光检测试剂盒</w:t>
            </w:r>
          </w:p>
        </w:tc>
        <w:tc>
          <w:tcPr>
            <w:tcW w:w="837" w:type="dxa"/>
            <w:vAlign w:val="center"/>
          </w:tcPr>
          <w:p>
            <w:pPr>
              <w:keepNext w:val="0"/>
              <w:keepLines w:val="0"/>
              <w:widowControl/>
              <w:suppressLineNumbers w:val="0"/>
              <w:jc w:val="center"/>
              <w:textAlignment w:val="center"/>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200人份/盒</w:t>
            </w:r>
          </w:p>
        </w:tc>
        <w:tc>
          <w:tcPr>
            <w:tcW w:w="738" w:type="dxa"/>
            <w:vAlign w:val="center"/>
          </w:tcPr>
          <w:p>
            <w:pPr>
              <w:keepNext w:val="0"/>
              <w:keepLines w:val="0"/>
              <w:widowControl/>
              <w:suppressLineNumbers w:val="0"/>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35</w:t>
            </w:r>
          </w:p>
        </w:tc>
        <w:tc>
          <w:tcPr>
            <w:tcW w:w="1380" w:type="dxa"/>
            <w:vAlign w:val="center"/>
          </w:tcPr>
          <w:p>
            <w:pPr>
              <w:keepNext w:val="0"/>
              <w:keepLines w:val="0"/>
              <w:widowControl/>
              <w:suppressLineNumbers w:val="0"/>
              <w:jc w:val="center"/>
              <w:textAlignment w:val="center"/>
              <w:rPr>
                <w:rFonts w:hint="default" w:eastAsiaTheme="minorEastAsia"/>
                <w:color w:val="auto"/>
                <w:lang w:val="en-US" w:eastAsia="zh-CN"/>
              </w:rPr>
            </w:pPr>
            <w:r>
              <w:rPr>
                <w:rFonts w:hint="eastAsia" w:ascii="宋体" w:hAnsi="宋体" w:eastAsia="宋体" w:cs="宋体"/>
                <w:i w:val="0"/>
                <w:iCs w:val="0"/>
                <w:color w:val="auto"/>
                <w:kern w:val="0"/>
                <w:sz w:val="20"/>
                <w:szCs w:val="20"/>
                <w:u w:val="none"/>
                <w:lang w:val="en-US" w:eastAsia="zh-CN" w:bidi="ar"/>
              </w:rPr>
              <w:t xml:space="preserve">16,700.00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▲1、试剂盒采用六色荧光技术，符合公安部常规数据库和DNA打拐数据库要求，可同时检测以下30个常染色体基因座：D3S1358，TH01，D21S11，D18S51，Penta E，D19S253，D12S391，D6S1043，D2S1338，D15S659，D6S477，D5S818，D13S317，D7S820，D19S433，CSF1PO，Penta D，D2S441，vWA，D8S1179，TPOX，FGA，D4S2366,D3S3045，D16S539，D22S1045，D8S1132，D1S1656，D10S1248，D10S1435。</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2、试剂盒包含1个性别标记基因座以及1个Y染色体插入缺失片段。</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3、试剂盒最大扩增片段不超过500bp。</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4、试剂盒单次检测不得低于10微升反应体系。</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5、保证建库服务的准确性，建库服务所采用试剂盒实体bin数量不低于440个，实体bin和虚拟bin总数不低于550个。</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▲6、试剂盒名称和基因座位点信息已经收录国家数据库，数据可直接导入国家数据库。（响应文件中需提供相应证明文件材料复印件，并加盖供应商公章。）</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▲7、试剂盒须为符合国家质量标准的全新产品，须具有中国安全技术防范认证中心颁发的《中国公共安全产品认证证书》。（响应文件中需提供相应证明文件材料复印件</w:t>
            </w:r>
            <w:r>
              <w:rPr>
                <w:rFonts w:hint="eastAsia"/>
                <w:color w:val="auto"/>
                <w:lang w:eastAsia="zh-CN"/>
              </w:rPr>
              <w:t>，</w:t>
            </w:r>
            <w:r>
              <w:rPr>
                <w:rFonts w:hint="eastAsia" w:ascii="新宋体" w:hAnsi="新宋体" w:eastAsia="新宋体" w:cs="新宋体"/>
                <w:i w:val="0"/>
                <w:iCs w:val="0"/>
                <w:color w:val="auto"/>
                <w:kern w:val="0"/>
                <w:sz w:val="20"/>
                <w:szCs w:val="20"/>
                <w:u w:val="none"/>
                <w:lang w:val="en-US" w:eastAsia="zh-CN" w:bidi="ar"/>
              </w:rPr>
              <w:t>并加盖供应商公章。）</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 xml:space="preserve">8、试剂盒通过公安部刑事技术产品质量监督检验中心的检测，并录入全国公安机关DNA鉴定关键试剂耗材质检合格产品及制造商名录。                                                                                                                                                             </w:t>
            </w:r>
          </w:p>
        </w:tc>
        <w:tc>
          <w:tcPr>
            <w:tcW w:w="840" w:type="dxa"/>
            <w:vAlign w:val="center"/>
          </w:tcPr>
          <w:p>
            <w:pPr>
              <w:bidi w:val="0"/>
              <w:rPr>
                <w:rFonts w:hint="eastAsia"/>
                <w:color w:val="auto"/>
                <w:lang w:val="en-US" w:eastAsia="zh-CN"/>
              </w:rPr>
            </w:pPr>
            <w:bookmarkStart w:id="1" w:name="OLE_LINK1"/>
            <w:r>
              <w:rPr>
                <w:rFonts w:hint="eastAsia"/>
                <w:color w:val="auto"/>
                <w:lang w:val="en-US" w:eastAsia="zh-CN"/>
              </w:rPr>
              <w:t>工业</w:t>
            </w:r>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bidi w:val="0"/>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25位点DNA案件扩增试剂盒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30,000.00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1.与市面上常见试剂盒兼容，满足中国法医案件调查需求；</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2.适用于中国人群基因分型；</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▲3.包括24个STR 位点和一个插入缺失位点 Y-indel，两个内控质量参考（IQC）。D18S51、FGA、D21S11、D8S1179、VWA、D13S317、D16S539、D7S820、TH01、D3S1358、D5S818、CSF1PO、D2S1338、D19S433、D1S1656、D12S391、D2S441、D10S1248、TPOX、D22S1045、D6S1043、Penta E、Penta D、Amelogenin；</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4.试剂盒中包含的20个新 CODIS 核心位点，扩增片段长度小于425bp；</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5.扩增产物中须包含内控质量参考（IQC）标记物，可用于样品质量（如抑制物、降解）的快速评估；</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6.每个基因座有自己的滑移峰比例，并提供研究数据；</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7.扩增引物经过合成和纯化流程优化，可以生成清晰的电泳背景图；</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8.采用六色荧光技术，实现了一色荧光标记分子量内标，在维持扩增产物大小不变的条件下，有效提高单个泳道分辨的片段数。多色荧光标记，便于更清晰的分辨基因座的多态性信息。每种荧光标记基因座分配均衡，保证荧光电泳通道顺畅；</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9.在25ul扩增体系中，可按5微升～10微升扩增体系，可完成 500次～1000次检测反应；</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10.包含10个扩增长度小于250bp的Mini位点，便于降解样品信息的获取，对于降解DNA和疑难样品更容易得到完整DNA分型信息；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11.PCR扩增时间不超过76分钟；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12.与DNA数据库中基因座保持一致，便于数据进行高效的比对、交换和共享，避免基因座差异造成的潜在风险和成本增高。</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13.试剂盒经过严格质量监控，保证试剂盒内组分的生产批号全部可追溯，确保试剂的质保期；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▲14.为了保证产品质量安全；供货时提供产品的售后服务承诺函及供货证明原件。</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bidi w:val="0"/>
              <w:rPr>
                <w:rFonts w:hint="default"/>
                <w:color w:val="auto"/>
                <w:lang w:val="en-US" w:eastAsia="zh-CN"/>
              </w:rPr>
            </w:pPr>
            <w:r>
              <w:rPr>
                <w:rFonts w:hint="eastAsia"/>
                <w:color w:val="auto"/>
                <w:lang w:val="en-US" w:eastAsia="zh-CN"/>
              </w:rPr>
              <w:t>3</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32位点检案荧光检测试剂盒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试剂盒采用六色荧光技术，单管复合扩增32个位点，各基因座分散，Ladder距离清晰，以使在维持扩增产物大小不变的条件下，有效提高单色荧光分辨精度。必须包含如下位点：Amelogenin、D18S51、D21S11、D3S1358、FGA、D8S1179、vWA、CSF1PO、D16S539、D7S820、D13S317、D5S818、D2S1338、D19S433、TH01、TPOX、D6S1043、PentaD、PentaE、D12S391、D1S1656、D2S441、D22S1045、D10S1248、D8S1132、D15S659、D3S3045、D19S253、D6S477、D10S1435、D4S2366、Yindel；</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2、试剂盒包含扩增检测所需的全部试剂（热启动酶、引物、内标等），为保准分型准确，试剂盒采用分子量内标至少包含19个片段： 70，87，100，125，150，175，200，225，250，275，300，325，350，375，400，425，450，475，500；</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▲3、试剂盒10个基因座小于220bp，全部基因座小于500bp，以提高降解DNA模板中数据信息的获取；</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4、试剂盒适用于各类纯化后的 DNA样本，也可对直扩类样本直接检测，扩增时间小于90分钟；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▲5、为了满足特殊案件需要，供应商有能力提供</w:t>
            </w:r>
            <w:bookmarkStart w:id="2" w:name="OLE_LINK27"/>
            <w:r>
              <w:rPr>
                <w:rFonts w:hint="eastAsia" w:ascii="新宋体" w:hAnsi="新宋体" w:eastAsia="新宋体" w:cs="新宋体"/>
                <w:i w:val="0"/>
                <w:iCs w:val="0"/>
                <w:color w:val="auto"/>
                <w:kern w:val="0"/>
                <w:sz w:val="20"/>
                <w:szCs w:val="20"/>
                <w:u w:val="none"/>
                <w:lang w:val="en-US" w:eastAsia="zh-CN" w:bidi="ar"/>
              </w:rPr>
              <w:t>竞标产品同一厂家配置的</w:t>
            </w:r>
            <w:bookmarkEnd w:id="2"/>
            <w:r>
              <w:rPr>
                <w:rFonts w:hint="eastAsia" w:ascii="新宋体" w:hAnsi="新宋体" w:eastAsia="新宋体" w:cs="新宋体"/>
                <w:i w:val="0"/>
                <w:iCs w:val="0"/>
                <w:color w:val="auto"/>
                <w:kern w:val="0"/>
                <w:sz w:val="20"/>
                <w:szCs w:val="20"/>
                <w:u w:val="none"/>
                <w:lang w:val="en-US" w:eastAsia="zh-CN" w:bidi="ar"/>
              </w:rPr>
              <w:t>基因座的试剂盒，可同步检测不少于27个基因座，且必须包括D18S1364、D1S1656、D13S325、D3S3045、D5S2800、D9S1122、D6S477、D22S1045、D20S482、D8S1132、D7S3048、D2S441、D19S253、D10S1248、D4S2366、D3S1744、D12S391、D11S2368、D21S2055、D17S1301、D22-GATA198B05、D6S474、D14S1434、D15S659等中国人群高多态性基因座。</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bidi w:val="0"/>
              <w:rPr>
                <w:rFonts w:hint="default"/>
                <w:color w:val="auto"/>
                <w:lang w:val="en-US" w:eastAsia="zh-CN"/>
              </w:rPr>
            </w:pPr>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常染色体23个位点荧光检测试剂盒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1、为方便运输及保存，试剂盒为固态试剂形态，可常温运输无需冷藏。</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2、试剂盒为六色荧光技术，可检测 以下基因座：D8S1179、D21S11、D18S51、D2S1338、D2S441、D5S818、D7S820、D6S1043、PentaD、D3S1358、TH01、D19S433、D12S391、TPOX、D16S539、D13S317、FGA、CSF1PO、vWA、D1S1656、Penta E、DYS391、和 1 个性别基因座Amelogenin。</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▲3、为确保产品的准确性，产品实体 bin 数量不少于356个，bin 总数不少于449个。（响应文件中需提供相应证明文件材料复印件</w:t>
            </w:r>
            <w:r>
              <w:rPr>
                <w:rFonts w:hint="eastAsia"/>
                <w:color w:val="auto"/>
                <w:lang w:eastAsia="zh-CN"/>
              </w:rPr>
              <w:t>，</w:t>
            </w:r>
            <w:r>
              <w:rPr>
                <w:rFonts w:hint="eastAsia" w:ascii="新宋体" w:hAnsi="新宋体" w:eastAsia="新宋体" w:cs="新宋体"/>
                <w:i w:val="0"/>
                <w:iCs w:val="0"/>
                <w:color w:val="auto"/>
                <w:kern w:val="0"/>
                <w:sz w:val="20"/>
                <w:szCs w:val="20"/>
                <w:u w:val="none"/>
                <w:lang w:val="en-US" w:eastAsia="zh-CN" w:bidi="ar"/>
              </w:rPr>
              <w:t>并加盖供应商公章。）</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▲4、试剂盒所有基因座最大扩增片段不超过 400bp，其中不少于15个小于 250bp的基因座。（响应文件中需提供相应证明文件材料复印件</w:t>
            </w:r>
            <w:r>
              <w:rPr>
                <w:rFonts w:hint="eastAsia"/>
                <w:color w:val="auto"/>
                <w:lang w:eastAsia="zh-CN"/>
              </w:rPr>
              <w:t>，</w:t>
            </w:r>
            <w:r>
              <w:rPr>
                <w:rFonts w:hint="eastAsia" w:ascii="新宋体" w:hAnsi="新宋体" w:eastAsia="新宋体" w:cs="新宋体"/>
                <w:i w:val="0"/>
                <w:iCs w:val="0"/>
                <w:color w:val="auto"/>
                <w:kern w:val="0"/>
                <w:sz w:val="20"/>
                <w:szCs w:val="20"/>
                <w:u w:val="none"/>
                <w:lang w:val="en-US" w:eastAsia="zh-CN" w:bidi="ar"/>
              </w:rPr>
              <w:t>并加盖供应商公章。）</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 xml:space="preserve">5、试剂盒可采用全体系加样，提高极微量样本检出率。                                                                                                                                    </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426" w:type="dxa"/>
            <w:vAlign w:val="center"/>
          </w:tcPr>
          <w:p>
            <w:pPr>
              <w:keepNext w:val="0"/>
              <w:keepLines w:val="0"/>
              <w:widowControl/>
              <w:suppressLineNumbers w:val="0"/>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41位点Y试剂盒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31,500.00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1.规格：100人份/盒，采用六色荧光技术，在维持扩增产物大小不变的条件下，有效提高单个泳道分辨的片段数。多色荧光标记，便于更清晰的分辨基因座标记。</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▲2.单管同时扩增38个Y染色体基因座和3个Y-Indel遗传标记。DYS19， DYS385 a，DYS385b， DYF387S1 a，DYF387S1b， DYS389 I，DYS389II， DYS390， DYS391， DYS392， DYS393， DYS437， DYS438， DYS439， DYS444， DYS447， DYS448， DYS449， DYS456， DYS458， DYS460， DYS481， DYS518， DYS522， DYS527a，DYS527b, DYS533， DYS549， DYS557， DYS570， DYS576， DYS593， DYS596， DYS627， DYS635， DYS643， DYS645， GATA H4， 以及Y-indel rs199815934， rs759551978， rs771783753。</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3.最大检测片段小于535 bp，内含有11个Mini-STR (扩增子长度在250 bp以下) 有利于对案件样本中降解检材的检测, 可以获得更多Y染色体信息。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4.扩增产物中含3个Y-Indel遗传标记，Y-Indel遗传标记的突变率接近于0，Y-Indel位点具有稳定性好，多态性高及分型简单等特点，可以进行家系的初步排查。</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▲5.扩增产物中含有2个内部质量参考（IQC，Internal Quality Control），用于判定PCR扩增效能。</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6.应用快速扩增酶和高效缓冲体系，扩增时间不超过62分钟。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7.在25ul扩增体系中，试剂盒的检测灵敏度为125 pg DNA模板量。</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8.在具有高女性背景的情况下，如男性：女性=1:4000 （女性1ug摄入量）时，使用Yfiler Plus试剂盒检测都可分辨获得完整的Y-STR分型信息。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9.含有464个等位基因和218个虚拟Bin,增强等位基因的判读，有效降低OL的产生。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10.试剂盒产品具备其包含基因座stutter峰比率表。</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11.试剂盒经过严格质量监控，保证试剂盒内组分的生产批号全部可追溯，确保试剂的质保期。</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POP4胶-3500/384</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384人份/盒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2,700.00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1、适用于采购人使用单位目前现有3500系列DNA测序仪，供应商必须保证所提供产品能在该设备上良好运行，作为DNA片段分析电泳分离的介质。</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2、设计成即插即用型，进样即可运行的袋装。</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3、可检验384个样品（在3500系列DNA测序仪系统上最多进样16次）。</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4、具有RFID标签，实时监控毛细管使用信息。</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600-LIZ内标</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5,500.00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配套检测试剂盒使用，系6色荧光标记LIZ橙色荧光标记，内含36个长度各异的DNA片段，最长片段600bp，适用于6色荧光体系。</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阳极缓冲液</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4瓶/盒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1,500.00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1、适用于采购人使用单位目前现有3500系列DNA测序仪，供应商须保证所提供产品能在该设备上良好运行。</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2、槽中预装1×缓冲液来维持离子源，以及电泳中正确的pH。</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3、具有RFID标签，实时监控毛细管使用信息。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4、调解电泳系统的酸碱度，以维持在一个恒定的pH范围。</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阴极缓冲液</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4瓶/盒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1、适用于采购人使用单位目前现有3500系列DNA测序仪，供应商须保证所提供产品能在该设备上良好运行。</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2、槽中预装1×缓冲液来支持所有的电泳应用。</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3、具有RFID标签，实时监控毛细管使用信息。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4、调解电泳系统的酸碱度，以维持在一个恒定的pH范围。</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高纯甲酰胺</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5ml*4/盒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1,230.00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每瓶4*5ml/盒，用作化学变性，适用于3500系列基因分析仪。</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96孔反应板</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10块/盒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720.00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1、PCR扩增，板由单一刚性聚丙烯材料制成。</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2、用于PCR扩增及电泳，规格：10块/盒。</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无核酸酶水</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500ml/瓶</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850.00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500ml/瓶；用于实验室用水。</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调节试剂</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用于清洗胶泵；适用于3500系列基因分析仪。</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bookmarkStart w:id="3" w:name="OLE_LINK50" w:colFirst="4" w:colLast="4"/>
            <w:r>
              <w:rPr>
                <w:rFonts w:hint="eastAsia" w:ascii="宋体" w:hAnsi="宋体" w:eastAsia="宋体" w:cs="宋体"/>
                <w:i w:val="0"/>
                <w:iCs w:val="0"/>
                <w:color w:val="auto"/>
                <w:kern w:val="0"/>
                <w:sz w:val="20"/>
                <w:szCs w:val="20"/>
                <w:u w:val="none"/>
                <w:lang w:val="en-US" w:eastAsia="zh-CN" w:bidi="ar"/>
              </w:rPr>
              <w:t>14</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36cm毛细管-8</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8道/套</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8道/套；毛细管长度36cm，内径50um。</w:t>
            </w:r>
          </w:p>
        </w:tc>
        <w:tc>
          <w:tcPr>
            <w:tcW w:w="840" w:type="dxa"/>
            <w:vAlign w:val="center"/>
          </w:tcPr>
          <w:p>
            <w:pPr>
              <w:bidi w:val="0"/>
              <w:rPr>
                <w:rFonts w:hint="eastAsia"/>
                <w:color w:val="auto"/>
                <w:lang w:val="en-US" w:eastAsia="zh-CN"/>
              </w:rPr>
            </w:pPr>
            <w:r>
              <w:rPr>
                <w:rFonts w:hint="eastAsia"/>
                <w:color w:val="auto"/>
                <w:lang w:val="en-US" w:eastAsia="zh-CN"/>
              </w:rPr>
              <w:t>工业</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36cm毛细管-24</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24道/套</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24道/套；毛细管长度36cm，内径50um。</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液态蛋白酶K</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2ml/瓶</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1,025.00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用于生物样品中蛋白质的一般性消化，经纯化去除了DNA酶和RNA酶活性。</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小号脱落细胞粘取器</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100个/盒，10*10mm</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1、使用方法简单，配备专门撕膜镊使用更加方便</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2、提取膜片粘性强，膜片与胶本身不与市面上常见的DNA提取试剂发生反应</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3、无菌，无外源DNA的条件下生产，绝无外源DNA污染，规格10*10mm</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大号脱落细胞粘取器</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100个/盒，15*15mm</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900.00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1、使用方法简单，配备专门撕膜镊使用更加方便</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2、提取膜片粘性强，膜片与胶本身不与市面上常见的DNA提取试剂发生反应</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3、无菌，无外源DNA的条件下生产，绝无外源DNA污染，规格15*15mm</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生物物证提取棉签（III型）</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140.00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40份/盒；用于生物物证的提取与保存。</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PCR纯化试剂盒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5,200.00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1、250人份/盒，试剂盒包含离心柱、缓冲液和收集管，用于纯化100 bp以上的 PCR DNA 片段。</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2、通过快速、方便的结合-洗涤-洗脱步骤纯化10kb以内的DNA片段，洗脱体积为 30～50微升，适用于骨骼等检材的DNA提取。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超微量磁珠法DNA提取试剂盒（KingFisher Duo专用,S12）</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1,680.00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1、超微量磁珠法DNA提取试剂盒是通过低温消化方式进行DNA释放，释放效率更高，并通过高灵敏度磁珠进行DNA的吸附、洗涤和洗脱；</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▲2、该试剂盒需能够与本实验室现有的Kingfisher Duo提取纯化仪配套使用；</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3、FW-超微量磁珠法DNA提取试剂盒为一体式封装试剂，用于DNA提取的磁珠和各种试剂通过塑料膜密封在可与Kingfisher Duo提取纯化仪配套使用的塑料条内，使用时撕开密封用塑料膜置于Kingfisher Duo提取纯化仪中即可直接用于DNA的自动化提取；</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4、封装有试剂的8*6孔板，其中一排空白孔，其它孔分别封装有磁珠等试剂，一排为实现最小洗脱体积20微升的洗脱用方形孔；</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▲5、样本适用性：可用于血液(斑)、唾液(斑)、精液(斑)、毛发、组织等常规检材及陈旧、污染、降解和微量检材等疑难检材的DNA提取纯化。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超微量磁珠法DNA提取试剂盒（手工）</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2,650.00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1、超微量磁珠法DNA提取试剂盒是通过高温裂解方式进行DNA释放，细胞裂解快速、DNA 释放充分，大幅度缩短提取时间，并通过高灵敏度磁珠进行DNA的吸附、洗涤和洗脱，专用于各种疑难检材的DNA 提取。抗杂质干扰能力强，检材适用性广，适合各种复杂检材同检； </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2、该试剂盒为手工专用试剂盒，但可以适配各种开放式工作站，供应商需具备能够建立自动化工作站提取方案的技术能力；</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3、洗脱液EB，4℃可保存2个月不降解，可复检后再冻存；冻存DNA保存性能好，不分层；保存过程中，如洗脱产物蒸干，加入洗脱液EB复溶仍可有效检出。</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4、产品规格：100人份/盒；</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5、样本适用性：可用于血液(斑)、唾液(斑)、精液(斑)、毛发、组织等常规检材，尤其适合陈旧、污染、降解和微量检材等疑难检材的DNA提取纯化。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超微量磁珠法DNA提取试剂盒 （24道全自动专用，48次）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2,400.00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超微量磁珠法DNA提取试剂盒（全自动专用）为一体式封装试剂，用于DNA提取的磁珠和各种试剂通过塑料膜密封在可与全自动24道微量DNA提取工作站配套使用的塑料反应板内，使用时撕开密封膜置于全自动24道微量DNA提取工作站中即可直接用于全自动DNA的自动化提取；</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一个完整试剂盒包装含有封装试剂的反应板共有12块且均为48孔深孔板，另配有试剂相应数量的盒装吸头（吸头为封装好的盒装吸头，撕开外包装即可整盒放在工作站上使用），封装好的消化液（一次性使用，无需二次整体转移消化液，撕开封膜即可放在工作站上使用），12块8孔磁套及12块8孔空白洗脱板，洗脱板可以实现20ul小体积洗脱；</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3、完整试剂盒外另配和试剂盒规格相应数量的24孔离心套板，该24孔离心套板为嵌套反应板，上下部分可分离；</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4、专用洗脱液，可有效降低洗脱产物的，长期保存DNA保存性能好，不降解、不分层；</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5、产品规格：48次/盒</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6、样本适用性：配有在全自动24道微量DNA提取工作站上使用的浓缩、纯化及提取程序，可用于血液(斑)、唾液(斑)、精液(斑)、毛发、组织等常规检材及陈旧、污染、降解和微量检材等疑难检材的DNA提取纯化；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超微量磁珠法DNA提取试剂盒（24AT,96次））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96人份/盒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4,800.00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超微量磁珠法DNA提取试剂盒（全自动专用）为一体式封装试剂，用于DNA提取的磁珠和各种试剂通过塑料膜密封在可与全自动24道微量DNA提取工作站配套使用的塑料反应板内，使用时撕开密封膜置于全自动24道微量DNA提取工作站中即可直接用于全自动DNA的自动化提取；</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一个完整试剂盒包装含有封装试剂的反应板共有12块且均为48孔深孔板，另配有试剂相应数量的盒装吸头（吸头为封装好的盒装吸头，撕开外包装即可整盒放在工作站上使用），封装好的消化液（一次性使用，无需二次整体转移消化液，撕开封膜即可放在工作站上使用），12块8孔磁套及12块8孔空白洗脱板，洗脱板可以实现20ul小体积洗脱；</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3、完整试剂盒外另配和试剂盒规格相应数量的24孔离心套板，该24孔离心套板为嵌套反应板，上下部分可分离；</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4、专用洗脱液，可有效降低洗脱产物的，长期保存DNA保存性能好，不降解、不分层；</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5、产品规格：96次/盒；</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6、样本适用性：配有在全自动24道微量DNA提取工作站上使用的浓缩、纯化及提取程序，可用于血液(斑)、唾液(斑)、精液(斑)、毛发、组织等常规检材及陈旧、污染、降解和微量检材等疑难检材的DNA提取纯化；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全自动陈旧检材DNA提取试剂盒 （24道全自动专用，48次）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1、用于陈旧的血液(斑)、唾液(斑)、精液(斑)、毛发、组织等常规检材降解和微量检材等疑难检材的DNA提取纯化。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2、48次/盒；封装形式：8份/板*6板。</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全自动混合斑DNA提取试剂盒 （24道全自动专用，8次）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600.00 </w:t>
            </w:r>
          </w:p>
        </w:tc>
        <w:tc>
          <w:tcPr>
            <w:tcW w:w="4544" w:type="dxa"/>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全自动混合斑DNA提取试剂盒（全自动专用）为一体式封装、一次性产品，打开试剂耗材外包装即能使用，试剂无需人工配制及分装，专用于分离纯化性侵案件中混合斑检材；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全自动混合斑DNA提取试剂盒能与全自动24道微量DNA提取工作站配合使用，全程自动化操作，无需人工干预，3小时以内即能完成8份混合斑检材男女成分的分离和纯化，分离纯化效果能够达到手工精细化操作水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3、可按规格提供产品规格：8人份/盒（可分离纯化4男4女或8男）；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全自动混合斑DNA提取试剂盒需含有以下几部分，分别为封装试剂的48孔反应板，相应数量的封装盒装吸头，封装的消化液（能够消化女性成分，但不破坏精子细胞），封装的裂解液（无需手工另加DTT即能裂解精子细胞），磁套，洗脱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5、除完整试剂盒外，需配套有专用于处理混合斑检材的24孔离心套板、24孔空白收集板和洗脱液。其中处理混合斑检材的24孔离心套板需满足以下条件：</w:t>
            </w:r>
          </w:p>
          <w:p>
            <w:pPr>
              <w:keepNext w:val="0"/>
              <w:keepLines w:val="0"/>
              <w:widowControl/>
              <w:numPr>
                <w:ilvl w:val="0"/>
                <w:numId w:val="0"/>
              </w:numPr>
              <w:suppressLineNumbers w:val="0"/>
              <w:ind w:firstLine="200" w:firstLineChars="10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⑴为嵌套式反应板，上下部分可分离；</w:t>
            </w:r>
          </w:p>
          <w:p>
            <w:pPr>
              <w:keepNext w:val="0"/>
              <w:keepLines w:val="0"/>
              <w:widowControl/>
              <w:numPr>
                <w:ilvl w:val="0"/>
                <w:numId w:val="0"/>
              </w:numPr>
              <w:suppressLineNumbers w:val="0"/>
              <w:ind w:firstLine="200" w:firstLineChars="10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⑵ 能够满足消化后载体的固液分离；</w:t>
            </w:r>
          </w:p>
          <w:p>
            <w:pPr>
              <w:keepNext w:val="0"/>
              <w:keepLines w:val="0"/>
              <w:widowControl/>
              <w:numPr>
                <w:ilvl w:val="0"/>
                <w:numId w:val="0"/>
              </w:numPr>
              <w:suppressLineNumbers w:val="0"/>
              <w:ind w:firstLine="200" w:firstLineChars="10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⑶ 离心后，能够使精子细胞富集在膜表面，女性成分消化后产物滤过，可以达到男女成分分离的效果。</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抗人血试纸条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100条/盒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1,200.00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100条/盒，可检测样品中血红蛋白浓度40ng/ml；适用于特异性检测人血红蛋白，与其它动物如羊、猪、马、兔、鼠、牛等血红蛋白均无交叉反应；与胆汁、VitC、VitB 及过氧化物酶也无交叉反应。</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抗人精试纸条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100条/盒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1,200.00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100条/盒，可检测样本中前列腺抗原浓度5ng/ml；适用于特异性检测人精液中前列腺抗原，与其它动物如羊、猪、马、兔、鼠、牛等精液均无交叉反应；与胆汁、VitC、VitB及过氧化物酶也无交叉反应。</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0.2ml扩增管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1、管壁需薄且均匀，保证传热速度和样品受热均匀。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2、管盖较普通的PCR管盖更长，在热循环过程中可承受更大的压力及消除样品蒸发的危险。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3、规格:0.2ml；有很好的密封性，耐高温，适用于PCR扩增。</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0.6ml扩增管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1、管壁需薄且均匀，保证传热速度和样品受热均匀。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2、管盖较普通的PCR管盖更长，在热循环过程中可承受更大的压力及消除样品蒸发的危险。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3、规格:0.6ml；有很好的密封性，耐高温，适用于PCR扩增。</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1.5ml离心管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80.00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1、管壁需薄且均匀，保证传热速度和样品受热均匀。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2、管盖较普通的PCR管盖更长，在热循环过程中可承受更大的压力及消除样品蒸发的危险。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3、规格:1.5ml；有很好的密封性，耐高温，适用于PCR扩增。</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10ul袋装透明短吸头</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高质量的聚丙烯材料，耐高温，透明度好，洁净、疏水性表面使液体残留量降至最低，加工精度高，适用于10μl量程移液器。</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200ul袋装黄色吸头</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高质量的聚丙烯材料，耐高温，透明度好，洁净、疏水性表面使液体残留量降至最低，加工精度高，适用于200μl量程移液器。</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1000ul袋装蓝色吸头</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高质量的聚丙烯材料，耐高温，透明度好，洁净、疏水性表面使液体残留量降至最低，加工精度高，适用于1000μl量程移液器。</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chelex-100树脂</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100g/瓶</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2,250.00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1、包含配对亚氨基二乙酸离子（在结合多价金属离子过程中用作螯合基团）的苯乙烯二乙烯基苯共聚物。                                                                                                                     2、具有羧酸基团，能将其归为弱阳离子交换介质，具有高专一性的金属离子选择特性，以及异常高的键强度。</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半裙边96孔板</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50块/箱</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1,100.00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1、PCR板适用于各种pcr仪器。                                                          2、采用严格的工艺流程，适合多种工作场合使用。                                                3、半裙边96孔板、规格：50块/箱</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丁腈橡胶手套</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10盒/箱×100只/盒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720.00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丁腈手套.无粉.小号.蓝</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丁腈橡胶手套</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10盒/箱×100只/盒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720.00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丁腈手套.无粉.中号.蓝</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一次性口罩</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独立包装；20个/盒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18.00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一次性口罩，独立灭菌包装，防护用品。</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一次性使用鞋套</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8.00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一次性使用鞋套；实验室防护用品。</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一次性使用帽子</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一次性使用帽子；实验室防护用品。</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一次性垫巾（小）</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Style w:val="7"/>
                <w:color w:val="auto"/>
                <w:lang w:val="en-US" w:eastAsia="zh-CN" w:bidi="ar"/>
              </w:rPr>
              <w:t>50*60cm;10</w:t>
            </w:r>
            <w:r>
              <w:rPr>
                <w:rStyle w:val="8"/>
                <w:color w:val="auto"/>
                <w:lang w:val="en-US" w:eastAsia="zh-CN" w:bidi="ar"/>
              </w:rPr>
              <w:t>张</w:t>
            </w:r>
            <w:r>
              <w:rPr>
                <w:rStyle w:val="9"/>
                <w:rFonts w:eastAsia="宋体"/>
                <w:color w:val="auto"/>
                <w:lang w:val="en-US" w:eastAsia="zh-CN" w:bidi="ar"/>
              </w:rPr>
              <w:t>/</w:t>
            </w:r>
            <w:r>
              <w:rPr>
                <w:rStyle w:val="8"/>
                <w:color w:val="auto"/>
                <w:lang w:val="en-US" w:eastAsia="zh-CN" w:bidi="ar"/>
              </w:rPr>
              <w:t>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Style w:val="7"/>
                <w:color w:val="auto"/>
                <w:lang w:val="en-US" w:eastAsia="zh-CN" w:bidi="ar"/>
              </w:rPr>
              <w:t>50*60cm;10张/包</w:t>
            </w:r>
            <w:r>
              <w:rPr>
                <w:rStyle w:val="8"/>
                <w:color w:val="auto"/>
                <w:lang w:val="en-US" w:eastAsia="zh-CN" w:bidi="ar"/>
              </w:rPr>
              <w:t>；</w:t>
            </w:r>
            <w:r>
              <w:rPr>
                <w:rStyle w:val="7"/>
                <w:color w:val="auto"/>
                <w:lang w:val="en-US" w:eastAsia="zh-CN" w:bidi="ar"/>
              </w:rPr>
              <w:t>一次性垫巾，灭菌、防油、防水。</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一次性垫巾（大）</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100*200cm;10张/包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100*200cm;10张/包；一次性垫巾，灭菌、防油、防水。</w:t>
            </w:r>
          </w:p>
        </w:tc>
        <w:tc>
          <w:tcPr>
            <w:tcW w:w="840" w:type="dxa"/>
            <w:vAlign w:val="center"/>
          </w:tcPr>
          <w:p>
            <w:pPr>
              <w:bidi w:val="0"/>
              <w:rPr>
                <w:rFonts w:hint="eastAsia"/>
                <w:color w:val="auto"/>
                <w:lang w:val="en-US" w:eastAsia="zh-CN"/>
              </w:rPr>
            </w:pPr>
            <w:r>
              <w:rPr>
                <w:rFonts w:hint="eastAsia"/>
                <w:color w:val="auto"/>
                <w:lang w:val="en-US" w:eastAsia="zh-CN"/>
              </w:rPr>
              <w:t>工业</w:t>
            </w:r>
          </w:p>
        </w:tc>
      </w:tr>
      <w:bookmarkEnd w:id="0"/>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9680A"/>
    <w:multiLevelType w:val="singleLevel"/>
    <w:tmpl w:val="792968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11374"/>
    <w:rsid w:val="6BA11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Times New Roman" w:hAnsi="Times New Roman" w:eastAsia="宋体" w:cs="Times New Roman"/>
      <w:szCs w:val="24"/>
      <w:lang w:val="zh-CN"/>
    </w:rPr>
  </w:style>
  <w:style w:type="paragraph" w:styleId="3">
    <w:name w:val="Title"/>
    <w:basedOn w:val="1"/>
    <w:next w:val="1"/>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4">
    <w:name w:val="footer"/>
    <w:basedOn w:val="1"/>
    <w:next w:val="1"/>
    <w:unhideWhenUsed/>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character" w:customStyle="1" w:styleId="7">
    <w:name w:val="font31"/>
    <w:basedOn w:val="6"/>
    <w:qFormat/>
    <w:uiPriority w:val="0"/>
    <w:rPr>
      <w:rFonts w:hint="eastAsia" w:ascii="宋体" w:hAnsi="宋体" w:eastAsia="宋体" w:cs="宋体"/>
      <w:color w:val="000000"/>
      <w:sz w:val="22"/>
      <w:szCs w:val="22"/>
      <w:u w:val="none"/>
    </w:rPr>
  </w:style>
  <w:style w:type="character" w:customStyle="1" w:styleId="8">
    <w:name w:val="font61"/>
    <w:basedOn w:val="6"/>
    <w:qFormat/>
    <w:uiPriority w:val="0"/>
    <w:rPr>
      <w:rFonts w:hint="eastAsia" w:ascii="宋体" w:hAnsi="宋体" w:eastAsia="宋体" w:cs="宋体"/>
      <w:b/>
      <w:bCs/>
      <w:color w:val="000000"/>
      <w:sz w:val="22"/>
      <w:szCs w:val="22"/>
      <w:u w:val="none"/>
    </w:rPr>
  </w:style>
  <w:style w:type="character" w:customStyle="1" w:styleId="9">
    <w:name w:val="font51"/>
    <w:basedOn w:val="6"/>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2025-09-22T01:06:00Z</dcterms:created>
  <dc:creator>Administrator</dc:creator>
  <cp:lastModifiedBy>Administrator</cp:lastModifiedBy>
  <dcterms:modified xsi:type="dcterms:W3CDTF">2025-09-22T01:06:45Z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