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376E79">
      <w:pPr>
        <w:spacing w:line="360" w:lineRule="auto"/>
        <w:jc w:val="center"/>
        <w:outlineLvl w:val="1"/>
        <w:rPr>
          <w:rFonts w:hint="eastAsia" w:ascii="宋体" w:hAnsi="宋体" w:eastAsia="宋体" w:cs="宋体"/>
          <w:b/>
          <w:bCs/>
          <w:color w:val="auto"/>
          <w:sz w:val="30"/>
          <w:szCs w:val="30"/>
          <w:highlight w:val="none"/>
        </w:rPr>
      </w:pPr>
      <w:bookmarkStart w:id="0" w:name="_Toc31499"/>
      <w:bookmarkStart w:id="1" w:name="_Hlk37430271"/>
      <w:r>
        <w:rPr>
          <w:rFonts w:hint="eastAsia" w:ascii="宋体" w:hAnsi="宋体" w:eastAsia="宋体" w:cs="宋体"/>
          <w:b/>
          <w:bCs/>
          <w:color w:val="auto"/>
          <w:sz w:val="30"/>
          <w:szCs w:val="30"/>
          <w:highlight w:val="none"/>
          <w:lang w:eastAsia="zh-CN"/>
        </w:rPr>
        <w:t>广西旭达工程咨询有限公司</w:t>
      </w:r>
      <w:r>
        <w:rPr>
          <w:rFonts w:hint="eastAsia" w:ascii="宋体" w:hAnsi="宋体" w:eastAsia="宋体" w:cs="宋体"/>
          <w:b/>
          <w:bCs/>
          <w:color w:val="auto"/>
          <w:sz w:val="30"/>
          <w:szCs w:val="30"/>
          <w:highlight w:val="none"/>
        </w:rPr>
        <w:t>关于</w:t>
      </w:r>
      <w:r>
        <w:rPr>
          <w:rFonts w:hint="eastAsia" w:ascii="宋体" w:hAnsi="宋体" w:eastAsia="宋体" w:cs="宋体"/>
          <w:b/>
          <w:color w:val="auto"/>
          <w:sz w:val="30"/>
          <w:szCs w:val="30"/>
          <w:highlight w:val="none"/>
          <w:lang w:eastAsia="zh-CN"/>
        </w:rPr>
        <w:t>武宣东融产业园食品(农产品)加工区基础设施项目</w:t>
      </w:r>
      <w:r>
        <w:rPr>
          <w:rFonts w:hint="eastAsia" w:ascii="宋体" w:hAnsi="宋体" w:eastAsia="宋体" w:cs="宋体"/>
          <w:b/>
          <w:bCs/>
          <w:color w:val="auto"/>
          <w:sz w:val="30"/>
          <w:szCs w:val="30"/>
          <w:highlight w:val="none"/>
          <w:lang w:eastAsia="zh-CN"/>
        </w:rPr>
        <w:t>的</w:t>
      </w:r>
      <w:r>
        <w:rPr>
          <w:rFonts w:hint="eastAsia" w:ascii="宋体" w:hAnsi="宋体" w:eastAsia="宋体" w:cs="宋体"/>
          <w:b/>
          <w:bCs/>
          <w:color w:val="auto"/>
          <w:sz w:val="30"/>
          <w:szCs w:val="30"/>
          <w:highlight w:val="none"/>
        </w:rPr>
        <w:t>竞争性磋商公告</w:t>
      </w:r>
      <w:bookmarkEnd w:id="0"/>
    </w:p>
    <w:p w14:paraId="73B8239F">
      <w:pPr>
        <w:pBdr>
          <w:top w:val="single" w:color="auto" w:sz="4" w:space="1"/>
          <w:left w:val="single" w:color="auto" w:sz="4" w:space="4"/>
          <w:bottom w:val="single" w:color="auto" w:sz="4" w:space="1"/>
          <w:right w:val="single" w:color="auto" w:sz="4" w:space="4"/>
        </w:pBdr>
        <w:spacing w:line="4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项目概况</w:t>
      </w:r>
    </w:p>
    <w:p w14:paraId="0B4075FE">
      <w:pPr>
        <w:pBdr>
          <w:top w:val="single" w:color="auto" w:sz="4" w:space="1"/>
          <w:left w:val="single" w:color="auto" w:sz="4" w:space="4"/>
          <w:bottom w:val="single" w:color="auto" w:sz="4" w:space="1"/>
          <w:right w:val="single" w:color="auto" w:sz="4" w:space="4"/>
        </w:pBdr>
        <w:spacing w:line="420" w:lineRule="exact"/>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lang w:eastAsia="zh-CN"/>
        </w:rPr>
        <w:t>武宣东融产业园食品(农产品)加工区基础设施项目</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采购项目的潜在供应商应在广西政府采购云平台（</w:t>
      </w:r>
      <w:r>
        <w:rPr>
          <w:rFonts w:hint="eastAsia" w:ascii="宋体" w:hAnsi="宋体" w:eastAsia="宋体" w:cs="宋体"/>
          <w:snapToGrid w:val="0"/>
          <w:color w:val="auto"/>
          <w:sz w:val="24"/>
          <w:highlight w:val="none"/>
        </w:rPr>
        <w:t>https：//www.gcy.zfcg.gxzf.gov.cn/）获取（下载）竞争性磋商文件</w:t>
      </w:r>
      <w:r>
        <w:rPr>
          <w:rFonts w:hint="eastAsia" w:ascii="宋体" w:hAnsi="宋体" w:eastAsia="宋体" w:cs="宋体"/>
          <w:color w:val="auto"/>
          <w:sz w:val="24"/>
          <w:highlight w:val="none"/>
        </w:rPr>
        <w:t>，并于</w:t>
      </w:r>
      <w:r>
        <w:rPr>
          <w:rFonts w:hint="eastAsia" w:ascii="宋体" w:hAnsi="宋体" w:eastAsia="宋体" w:cs="宋体"/>
          <w:color w:val="auto"/>
          <w:sz w:val="24"/>
          <w:highlight w:val="none"/>
          <w:u w:val="single"/>
          <w:lang w:eastAsia="zh-CN"/>
        </w:rPr>
        <w:t>2025年</w:t>
      </w:r>
      <w:r>
        <w:rPr>
          <w:rFonts w:hint="eastAsia" w:ascii="宋体" w:hAnsi="宋体" w:eastAsia="宋体" w:cs="宋体"/>
          <w:color w:val="auto"/>
          <w:sz w:val="24"/>
          <w:highlight w:val="none"/>
          <w:u w:val="single"/>
          <w:lang w:val="en-US" w:eastAsia="zh-CN"/>
        </w:rPr>
        <w:t>11</w:t>
      </w:r>
      <w:r>
        <w:rPr>
          <w:rFonts w:hint="eastAsia" w:ascii="宋体" w:hAnsi="宋体" w:eastAsia="宋体" w:cs="宋体"/>
          <w:color w:val="auto"/>
          <w:sz w:val="24"/>
          <w:highlight w:val="none"/>
          <w:u w:val="single"/>
          <w:lang w:eastAsia="zh-CN"/>
        </w:rPr>
        <w:t>月</w:t>
      </w:r>
      <w:r>
        <w:rPr>
          <w:rFonts w:hint="eastAsia" w:ascii="宋体" w:hAnsi="宋体" w:eastAsia="宋体" w:cs="宋体"/>
          <w:color w:val="auto"/>
          <w:sz w:val="24"/>
          <w:highlight w:val="none"/>
          <w:u w:val="single"/>
          <w:lang w:val="en-US" w:eastAsia="zh-CN"/>
        </w:rPr>
        <w:t>14</w:t>
      </w:r>
      <w:r>
        <w:rPr>
          <w:rFonts w:hint="eastAsia" w:ascii="宋体" w:hAnsi="宋体" w:eastAsia="宋体" w:cs="宋体"/>
          <w:bCs/>
          <w:color w:val="auto"/>
          <w:sz w:val="24"/>
          <w:highlight w:val="none"/>
          <w:u w:val="single"/>
        </w:rPr>
        <w:t>日10时00分</w:t>
      </w:r>
      <w:r>
        <w:rPr>
          <w:rFonts w:hint="eastAsia" w:ascii="宋体" w:hAnsi="宋体" w:eastAsia="宋体" w:cs="宋体"/>
          <w:bCs/>
          <w:color w:val="auto"/>
          <w:sz w:val="24"/>
          <w:highlight w:val="none"/>
        </w:rPr>
        <w:t>（北京时间）前提交响应文件</w:t>
      </w:r>
      <w:r>
        <w:rPr>
          <w:rFonts w:hint="eastAsia" w:ascii="宋体" w:hAnsi="宋体" w:eastAsia="宋体" w:cs="宋体"/>
          <w:color w:val="auto"/>
          <w:sz w:val="24"/>
          <w:highlight w:val="none"/>
        </w:rPr>
        <w:t>。</w:t>
      </w:r>
    </w:p>
    <w:p w14:paraId="2E590495">
      <w:pPr>
        <w:pStyle w:val="3"/>
        <w:pageBreakBefore w:val="0"/>
        <w:kinsoku/>
        <w:wordWrap/>
        <w:overflowPunct/>
        <w:topLinePunct w:val="0"/>
        <w:autoSpaceDE/>
        <w:autoSpaceDN/>
        <w:bidi w:val="0"/>
        <w:adjustRightInd/>
        <w:spacing w:before="0" w:after="0" w:line="348" w:lineRule="auto"/>
        <w:rPr>
          <w:rFonts w:hint="eastAsia" w:ascii="宋体" w:hAnsi="宋体" w:eastAsia="宋体" w:cs="宋体"/>
          <w:bCs w:val="0"/>
          <w:color w:val="auto"/>
          <w:sz w:val="24"/>
          <w:szCs w:val="24"/>
          <w:highlight w:val="none"/>
        </w:rPr>
      </w:pPr>
      <w:bookmarkStart w:id="2" w:name="_Toc28359089"/>
      <w:bookmarkStart w:id="3" w:name="_Toc22421"/>
      <w:bookmarkStart w:id="4" w:name="_Toc11401"/>
      <w:bookmarkStart w:id="5" w:name="_Toc28359012"/>
      <w:bookmarkStart w:id="6" w:name="_Toc7697"/>
      <w:bookmarkStart w:id="7" w:name="_Toc7595"/>
      <w:bookmarkStart w:id="8" w:name="_Toc17141"/>
      <w:bookmarkStart w:id="9" w:name="_Toc9671"/>
      <w:bookmarkStart w:id="10" w:name="_Toc35393629"/>
      <w:bookmarkStart w:id="11" w:name="_Toc8893"/>
      <w:bookmarkStart w:id="12" w:name="_Toc35393798"/>
      <w:bookmarkStart w:id="13" w:name="_Toc44229878"/>
      <w:r>
        <w:rPr>
          <w:rFonts w:hint="eastAsia" w:ascii="宋体" w:hAnsi="宋体" w:eastAsia="宋体" w:cs="宋体"/>
          <w:bCs w:val="0"/>
          <w:color w:val="auto"/>
          <w:sz w:val="24"/>
          <w:szCs w:val="24"/>
          <w:highlight w:val="none"/>
        </w:rPr>
        <w:t>一、项目基本情况</w:t>
      </w:r>
      <w:bookmarkEnd w:id="2"/>
      <w:bookmarkEnd w:id="3"/>
      <w:bookmarkEnd w:id="4"/>
      <w:bookmarkEnd w:id="5"/>
      <w:bookmarkEnd w:id="6"/>
      <w:bookmarkEnd w:id="7"/>
      <w:bookmarkEnd w:id="8"/>
      <w:bookmarkEnd w:id="9"/>
      <w:bookmarkEnd w:id="10"/>
      <w:bookmarkEnd w:id="11"/>
      <w:bookmarkEnd w:id="12"/>
      <w:bookmarkEnd w:id="13"/>
    </w:p>
    <w:p w14:paraId="4DF5A839">
      <w:pPr>
        <w:pageBreakBefore w:val="0"/>
        <w:kinsoku/>
        <w:wordWrap/>
        <w:overflowPunct/>
        <w:topLinePunct w:val="0"/>
        <w:autoSpaceDE/>
        <w:autoSpaceDN/>
        <w:bidi w:val="0"/>
        <w:adjustRightInd/>
        <w:spacing w:line="348"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项目编号：LBZC2025-C2-230104-GXXD</w:t>
      </w:r>
      <w:r>
        <w:rPr>
          <w:rFonts w:hint="eastAsia" w:ascii="宋体" w:hAnsi="宋体" w:eastAsia="宋体" w:cs="宋体"/>
          <w:color w:val="auto"/>
          <w:sz w:val="24"/>
          <w:highlight w:val="none"/>
          <w:lang w:val="en-US" w:eastAsia="zh-CN"/>
        </w:rPr>
        <w:t xml:space="preserve"> </w:t>
      </w:r>
    </w:p>
    <w:p w14:paraId="40BF7CF5">
      <w:pPr>
        <w:pageBreakBefore w:val="0"/>
        <w:kinsoku/>
        <w:wordWrap/>
        <w:overflowPunct/>
        <w:topLinePunct w:val="0"/>
        <w:autoSpaceDE/>
        <w:autoSpaceDN/>
        <w:bidi w:val="0"/>
        <w:adjustRightInd/>
        <w:spacing w:line="348" w:lineRule="auto"/>
        <w:ind w:firstLine="480" w:firstLineChars="200"/>
        <w:rPr>
          <w:rFonts w:hint="eastAsia" w:ascii="宋体" w:hAnsi="宋体" w:eastAsia="宋体" w:cs="宋体"/>
          <w:color w:val="auto"/>
          <w:sz w:val="24"/>
          <w:highlight w:val="none"/>
          <w:u w:val="single"/>
          <w:lang w:eastAsia="zh-CN"/>
        </w:rPr>
      </w:pPr>
      <w:r>
        <w:rPr>
          <w:rFonts w:hint="eastAsia" w:ascii="宋体" w:hAnsi="宋体" w:eastAsia="宋体" w:cs="宋体"/>
          <w:color w:val="auto"/>
          <w:sz w:val="24"/>
          <w:highlight w:val="none"/>
        </w:rPr>
        <w:t>项目名称：</w:t>
      </w:r>
      <w:r>
        <w:rPr>
          <w:rFonts w:hint="eastAsia" w:ascii="宋体" w:hAnsi="宋体" w:eastAsia="宋体" w:cs="宋体"/>
          <w:color w:val="auto"/>
          <w:sz w:val="24"/>
          <w:highlight w:val="none"/>
          <w:lang w:eastAsia="zh-CN"/>
        </w:rPr>
        <w:t>武宣东融产业园食品(农产品)加工区基础设施项目</w:t>
      </w:r>
    </w:p>
    <w:p w14:paraId="2D544445">
      <w:pPr>
        <w:pageBreakBefore w:val="0"/>
        <w:kinsoku/>
        <w:wordWrap/>
        <w:overflowPunct/>
        <w:topLinePunct w:val="0"/>
        <w:autoSpaceDE/>
        <w:autoSpaceDN/>
        <w:bidi w:val="0"/>
        <w:adjustRightInd/>
        <w:spacing w:line="348"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采购方式：竞争性磋商</w:t>
      </w:r>
    </w:p>
    <w:p w14:paraId="5171CF3D">
      <w:pPr>
        <w:pageBreakBefore w:val="0"/>
        <w:kinsoku/>
        <w:wordWrap/>
        <w:overflowPunct/>
        <w:topLinePunct w:val="0"/>
        <w:autoSpaceDE/>
        <w:autoSpaceDN/>
        <w:bidi w:val="0"/>
        <w:adjustRightInd/>
        <w:spacing w:line="348"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预算金额：</w:t>
      </w:r>
      <w:r>
        <w:rPr>
          <w:rFonts w:hint="eastAsia" w:ascii="宋体" w:hAnsi="宋体" w:eastAsia="宋体" w:cs="宋体"/>
          <w:color w:val="auto"/>
          <w:sz w:val="24"/>
          <w:highlight w:val="none"/>
          <w:lang w:eastAsia="zh-CN"/>
        </w:rPr>
        <w:t>人民币</w:t>
      </w:r>
      <w:r>
        <w:rPr>
          <w:rFonts w:hint="eastAsia" w:ascii="宋体" w:hAnsi="宋体" w:eastAsia="宋体" w:cs="宋体"/>
          <w:color w:val="auto"/>
          <w:sz w:val="24"/>
          <w:highlight w:val="none"/>
          <w:lang w:val="en-US" w:eastAsia="zh-CN"/>
        </w:rPr>
        <w:t>贰佰陆拾万零捌仟捌佰捌拾元伍角叁分</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2608880.53</w:t>
      </w:r>
      <w:r>
        <w:rPr>
          <w:rFonts w:hint="eastAsia" w:ascii="宋体" w:hAnsi="宋体" w:eastAsia="宋体" w:cs="宋体"/>
          <w:color w:val="auto"/>
          <w:sz w:val="24"/>
          <w:highlight w:val="none"/>
          <w:lang w:eastAsia="zh-CN"/>
        </w:rPr>
        <w:t>），其中</w:t>
      </w:r>
      <w:r>
        <w:rPr>
          <w:rFonts w:hint="eastAsia" w:ascii="宋体" w:hAnsi="宋体" w:eastAsia="宋体" w:cs="宋体"/>
          <w:color w:val="auto"/>
          <w:sz w:val="24"/>
          <w:highlight w:val="none"/>
          <w:lang w:val="en-US" w:eastAsia="zh-CN"/>
        </w:rPr>
        <w:t>01标段：</w:t>
      </w:r>
      <w:r>
        <w:rPr>
          <w:rFonts w:hint="eastAsia" w:ascii="宋体" w:hAnsi="宋体" w:eastAsia="宋体" w:cs="宋体"/>
          <w:color w:val="auto"/>
          <w:sz w:val="24"/>
          <w:highlight w:val="none"/>
          <w:lang w:eastAsia="zh-CN"/>
        </w:rPr>
        <w:t>人民币捌拾玖万零伍佰伍拾贰元捌角肆分(¥</w:t>
      </w:r>
      <w:r>
        <w:rPr>
          <w:rFonts w:hint="eastAsia" w:ascii="宋体" w:hAnsi="宋体" w:eastAsia="宋体" w:cs="宋体"/>
          <w:color w:val="auto"/>
          <w:kern w:val="0"/>
          <w:sz w:val="24"/>
          <w:highlight w:val="none"/>
          <w:lang w:val="en-US" w:eastAsia="en-US"/>
        </w:rPr>
        <w:t>890552.84</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；02标段：</w:t>
      </w:r>
      <w:r>
        <w:rPr>
          <w:rFonts w:hint="eastAsia" w:ascii="宋体" w:hAnsi="宋体" w:eastAsia="宋体" w:cs="宋体"/>
          <w:color w:val="auto"/>
          <w:sz w:val="24"/>
          <w:highlight w:val="none"/>
          <w:lang w:eastAsia="zh-CN"/>
        </w:rPr>
        <w:t>人民币壹佰柒拾壹万捌仟叁佰贰拾柒元陆角玖分(¥</w:t>
      </w:r>
      <w:r>
        <w:rPr>
          <w:rFonts w:hint="eastAsia" w:ascii="宋体" w:hAnsi="宋体" w:eastAsia="宋体" w:cs="宋体"/>
          <w:color w:val="auto"/>
          <w:kern w:val="0"/>
          <w:sz w:val="24"/>
          <w:highlight w:val="none"/>
          <w:lang w:val="en-US" w:eastAsia="en-US"/>
        </w:rPr>
        <w:t>1718327.69</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 xml:space="preserve">         </w:t>
      </w:r>
    </w:p>
    <w:p w14:paraId="391C4872">
      <w:pPr>
        <w:pageBreakBefore w:val="0"/>
        <w:kinsoku/>
        <w:wordWrap/>
        <w:overflowPunct/>
        <w:topLinePunct w:val="0"/>
        <w:autoSpaceDE/>
        <w:autoSpaceDN/>
        <w:bidi w:val="0"/>
        <w:adjustRightInd/>
        <w:spacing w:line="348"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最高限价：</w:t>
      </w:r>
      <w:r>
        <w:rPr>
          <w:rFonts w:hint="eastAsia" w:ascii="宋体" w:hAnsi="宋体" w:eastAsia="宋体" w:cs="宋体"/>
          <w:color w:val="auto"/>
          <w:sz w:val="24"/>
          <w:highlight w:val="none"/>
          <w:lang w:eastAsia="zh-CN"/>
        </w:rPr>
        <w:t>人民币</w:t>
      </w:r>
      <w:r>
        <w:rPr>
          <w:rFonts w:hint="eastAsia" w:ascii="宋体" w:hAnsi="宋体" w:eastAsia="宋体" w:cs="宋体"/>
          <w:color w:val="auto"/>
          <w:sz w:val="24"/>
          <w:highlight w:val="none"/>
          <w:lang w:val="en-US" w:eastAsia="zh-CN"/>
        </w:rPr>
        <w:t>贰佰陆拾万零捌仟捌佰捌拾元伍角叁分</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2608880.53</w:t>
      </w:r>
      <w:r>
        <w:rPr>
          <w:rFonts w:hint="eastAsia" w:ascii="宋体" w:hAnsi="宋体" w:eastAsia="宋体" w:cs="宋体"/>
          <w:color w:val="auto"/>
          <w:sz w:val="24"/>
          <w:highlight w:val="none"/>
          <w:lang w:eastAsia="zh-CN"/>
        </w:rPr>
        <w:t>），其中</w:t>
      </w:r>
      <w:r>
        <w:rPr>
          <w:rFonts w:hint="eastAsia" w:ascii="宋体" w:hAnsi="宋体" w:eastAsia="宋体" w:cs="宋体"/>
          <w:color w:val="auto"/>
          <w:sz w:val="24"/>
          <w:highlight w:val="none"/>
          <w:lang w:val="en-US" w:eastAsia="zh-CN"/>
        </w:rPr>
        <w:t>01标段：</w:t>
      </w:r>
      <w:r>
        <w:rPr>
          <w:rFonts w:hint="eastAsia" w:ascii="宋体" w:hAnsi="宋体" w:eastAsia="宋体" w:cs="宋体"/>
          <w:color w:val="auto"/>
          <w:sz w:val="24"/>
          <w:highlight w:val="none"/>
          <w:lang w:eastAsia="zh-CN"/>
        </w:rPr>
        <w:t>人民币捌拾玖万零伍佰伍拾贰元捌角肆分(¥</w:t>
      </w:r>
      <w:r>
        <w:rPr>
          <w:rFonts w:hint="eastAsia" w:ascii="宋体" w:hAnsi="宋体" w:eastAsia="宋体" w:cs="宋体"/>
          <w:color w:val="auto"/>
          <w:kern w:val="0"/>
          <w:sz w:val="24"/>
          <w:highlight w:val="none"/>
          <w:lang w:val="en-US" w:eastAsia="en-US"/>
        </w:rPr>
        <w:t>890552.84</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；02标段：</w:t>
      </w:r>
      <w:r>
        <w:rPr>
          <w:rFonts w:hint="eastAsia" w:ascii="宋体" w:hAnsi="宋体" w:eastAsia="宋体" w:cs="宋体"/>
          <w:color w:val="auto"/>
          <w:sz w:val="24"/>
          <w:highlight w:val="none"/>
          <w:lang w:eastAsia="zh-CN"/>
        </w:rPr>
        <w:t>人民币壹佰柒拾壹万捌仟叁佰贰拾柒元陆角玖分(¥</w:t>
      </w:r>
      <w:r>
        <w:rPr>
          <w:rFonts w:hint="eastAsia" w:ascii="宋体" w:hAnsi="宋体" w:eastAsia="宋体" w:cs="宋体"/>
          <w:color w:val="auto"/>
          <w:kern w:val="0"/>
          <w:sz w:val="24"/>
          <w:highlight w:val="none"/>
          <w:lang w:val="en-US" w:eastAsia="en-US"/>
        </w:rPr>
        <w:t>1718327.69</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rPr>
        <w:t xml:space="preserve"> </w:t>
      </w:r>
    </w:p>
    <w:p w14:paraId="79DB1E13">
      <w:pPr>
        <w:pageBreakBefore w:val="0"/>
        <w:kinsoku/>
        <w:wordWrap/>
        <w:overflowPunct/>
        <w:topLinePunct w:val="0"/>
        <w:autoSpaceDE/>
        <w:autoSpaceDN/>
        <w:bidi w:val="0"/>
        <w:adjustRightInd/>
        <w:spacing w:line="348" w:lineRule="auto"/>
        <w:ind w:firstLine="480" w:firstLineChars="200"/>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采购需求：</w:t>
      </w:r>
    </w:p>
    <w:tbl>
      <w:tblPr>
        <w:tblStyle w:val="14"/>
        <w:tblW w:w="936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2"/>
        <w:gridCol w:w="1362"/>
        <w:gridCol w:w="729"/>
        <w:gridCol w:w="682"/>
        <w:gridCol w:w="1294"/>
        <w:gridCol w:w="2450"/>
        <w:gridCol w:w="1379"/>
        <w:gridCol w:w="638"/>
      </w:tblGrid>
      <w:tr w14:paraId="3A9515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5" w:hRule="atLeast"/>
        </w:trPr>
        <w:tc>
          <w:tcPr>
            <w:tcW w:w="832" w:type="dxa"/>
            <w:noWrap w:val="0"/>
            <w:vAlign w:val="center"/>
          </w:tcPr>
          <w:p w14:paraId="00834062">
            <w:pPr>
              <w:widowControl/>
              <w:spacing w:line="360" w:lineRule="auto"/>
              <w:contextualSpacing/>
              <w:jc w:val="center"/>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标段号</w:t>
            </w:r>
          </w:p>
        </w:tc>
        <w:tc>
          <w:tcPr>
            <w:tcW w:w="1362" w:type="dxa"/>
            <w:noWrap w:val="0"/>
            <w:vAlign w:val="center"/>
          </w:tcPr>
          <w:p w14:paraId="003B7014">
            <w:pPr>
              <w:widowControl/>
              <w:spacing w:line="360" w:lineRule="auto"/>
              <w:contextualSpacing/>
              <w:jc w:val="center"/>
              <w:rPr>
                <w:rFonts w:hint="eastAsia" w:ascii="宋体" w:hAnsi="宋体" w:eastAsia="宋体" w:cs="宋体"/>
                <w:color w:val="auto"/>
                <w:kern w:val="0"/>
                <w:sz w:val="24"/>
                <w:highlight w:val="none"/>
                <w:lang w:val="en-US" w:eastAsia="en-US"/>
              </w:rPr>
            </w:pPr>
            <w:r>
              <w:rPr>
                <w:rFonts w:hint="eastAsia" w:ascii="宋体" w:hAnsi="宋体" w:eastAsia="宋体" w:cs="宋体"/>
                <w:color w:val="auto"/>
                <w:kern w:val="0"/>
                <w:sz w:val="24"/>
                <w:highlight w:val="none"/>
                <w:lang w:val="en-US" w:eastAsia="en-US"/>
              </w:rPr>
              <w:t>名称</w:t>
            </w:r>
          </w:p>
        </w:tc>
        <w:tc>
          <w:tcPr>
            <w:tcW w:w="729" w:type="dxa"/>
            <w:noWrap w:val="0"/>
            <w:vAlign w:val="center"/>
          </w:tcPr>
          <w:p w14:paraId="46B8DFEC">
            <w:pPr>
              <w:widowControl/>
              <w:spacing w:line="360" w:lineRule="auto"/>
              <w:contextualSpacing/>
              <w:jc w:val="center"/>
              <w:rPr>
                <w:rFonts w:hint="eastAsia" w:ascii="宋体" w:hAnsi="宋体" w:eastAsia="宋体" w:cs="宋体"/>
                <w:color w:val="auto"/>
                <w:kern w:val="0"/>
                <w:sz w:val="24"/>
                <w:highlight w:val="none"/>
                <w:lang w:val="en-US" w:eastAsia="en-US"/>
              </w:rPr>
            </w:pPr>
            <w:r>
              <w:rPr>
                <w:rFonts w:hint="eastAsia" w:ascii="宋体" w:hAnsi="宋体" w:eastAsia="宋体" w:cs="宋体"/>
                <w:color w:val="auto"/>
                <w:kern w:val="0"/>
                <w:sz w:val="24"/>
                <w:highlight w:val="none"/>
                <w:lang w:val="en-US" w:eastAsia="en-US"/>
              </w:rPr>
              <w:t>数量</w:t>
            </w:r>
          </w:p>
        </w:tc>
        <w:tc>
          <w:tcPr>
            <w:tcW w:w="682" w:type="dxa"/>
            <w:noWrap w:val="0"/>
            <w:vAlign w:val="center"/>
          </w:tcPr>
          <w:p w14:paraId="6595282D">
            <w:pPr>
              <w:widowControl/>
              <w:spacing w:line="360" w:lineRule="auto"/>
              <w:contextualSpacing/>
              <w:jc w:val="center"/>
              <w:rPr>
                <w:rFonts w:hint="eastAsia" w:ascii="宋体" w:hAnsi="宋体" w:eastAsia="宋体" w:cs="宋体"/>
                <w:color w:val="auto"/>
                <w:kern w:val="0"/>
                <w:sz w:val="24"/>
                <w:highlight w:val="none"/>
                <w:lang w:val="en-US" w:eastAsia="en-US"/>
              </w:rPr>
            </w:pPr>
            <w:r>
              <w:rPr>
                <w:rFonts w:hint="eastAsia" w:ascii="宋体" w:hAnsi="宋体" w:eastAsia="宋体" w:cs="宋体"/>
                <w:color w:val="auto"/>
                <w:kern w:val="0"/>
                <w:sz w:val="24"/>
                <w:highlight w:val="none"/>
                <w:lang w:val="en-US" w:eastAsia="en-US"/>
              </w:rPr>
              <w:t>单 位</w:t>
            </w:r>
          </w:p>
        </w:tc>
        <w:tc>
          <w:tcPr>
            <w:tcW w:w="1294" w:type="dxa"/>
            <w:noWrap w:val="0"/>
            <w:vAlign w:val="center"/>
          </w:tcPr>
          <w:p w14:paraId="18124BF8">
            <w:pPr>
              <w:widowControl/>
              <w:spacing w:line="360" w:lineRule="auto"/>
              <w:contextualSpacing/>
              <w:jc w:val="center"/>
              <w:rPr>
                <w:rFonts w:hint="eastAsia" w:ascii="宋体" w:hAnsi="宋体" w:eastAsia="宋体" w:cs="宋体"/>
                <w:color w:val="auto"/>
                <w:kern w:val="0"/>
                <w:sz w:val="24"/>
                <w:highlight w:val="none"/>
                <w:lang w:val="en-US" w:eastAsia="en-US"/>
              </w:rPr>
            </w:pPr>
            <w:r>
              <w:rPr>
                <w:rFonts w:hint="eastAsia" w:ascii="宋体" w:hAnsi="宋体" w:eastAsia="宋体" w:cs="宋体"/>
                <w:color w:val="auto"/>
                <w:kern w:val="0"/>
                <w:sz w:val="24"/>
                <w:highlight w:val="none"/>
                <w:lang w:val="en-US" w:eastAsia="en-US"/>
              </w:rPr>
              <w:t>预算金额</w:t>
            </w:r>
          </w:p>
          <w:p w14:paraId="03A18E8B">
            <w:pPr>
              <w:widowControl/>
              <w:spacing w:line="360" w:lineRule="auto"/>
              <w:contextualSpacing/>
              <w:jc w:val="center"/>
              <w:rPr>
                <w:rFonts w:hint="eastAsia" w:ascii="宋体" w:hAnsi="宋体" w:eastAsia="宋体" w:cs="宋体"/>
                <w:color w:val="auto"/>
                <w:kern w:val="0"/>
                <w:sz w:val="24"/>
                <w:highlight w:val="none"/>
                <w:lang w:val="en-US" w:eastAsia="en-US"/>
              </w:rPr>
            </w:pPr>
            <w:r>
              <w:rPr>
                <w:rFonts w:hint="eastAsia" w:ascii="宋体" w:hAnsi="宋体" w:eastAsia="宋体" w:cs="宋体"/>
                <w:color w:val="auto"/>
                <w:kern w:val="0"/>
                <w:sz w:val="24"/>
                <w:highlight w:val="none"/>
                <w:lang w:val="en-US" w:eastAsia="en-US"/>
              </w:rPr>
              <w:t>(元)</w:t>
            </w:r>
          </w:p>
        </w:tc>
        <w:tc>
          <w:tcPr>
            <w:tcW w:w="2450" w:type="dxa"/>
            <w:noWrap w:val="0"/>
            <w:vAlign w:val="center"/>
          </w:tcPr>
          <w:p w14:paraId="1F9BCAFF">
            <w:pPr>
              <w:widowControl/>
              <w:spacing w:line="360" w:lineRule="auto"/>
              <w:contextualSpacing/>
              <w:jc w:val="center"/>
              <w:rPr>
                <w:rFonts w:hint="eastAsia" w:ascii="宋体" w:hAnsi="宋体" w:eastAsia="宋体" w:cs="宋体"/>
                <w:color w:val="auto"/>
                <w:kern w:val="0"/>
                <w:sz w:val="24"/>
                <w:highlight w:val="none"/>
                <w:lang w:val="en-US" w:eastAsia="en-US"/>
              </w:rPr>
            </w:pPr>
            <w:r>
              <w:rPr>
                <w:rFonts w:hint="eastAsia" w:ascii="宋体" w:hAnsi="宋体" w:eastAsia="宋体" w:cs="宋体"/>
                <w:color w:val="auto"/>
                <w:kern w:val="0"/>
                <w:sz w:val="24"/>
                <w:highlight w:val="none"/>
                <w:lang w:val="en-US" w:eastAsia="en-US"/>
              </w:rPr>
              <w:t>简要规格描述或分标基 本概况介绍</w:t>
            </w:r>
          </w:p>
        </w:tc>
        <w:tc>
          <w:tcPr>
            <w:tcW w:w="1379" w:type="dxa"/>
            <w:noWrap w:val="0"/>
            <w:vAlign w:val="center"/>
          </w:tcPr>
          <w:p w14:paraId="010EEE0A">
            <w:pPr>
              <w:widowControl/>
              <w:spacing w:line="360" w:lineRule="auto"/>
              <w:contextualSpacing/>
              <w:jc w:val="center"/>
              <w:rPr>
                <w:rFonts w:hint="eastAsia" w:ascii="宋体" w:hAnsi="宋体" w:eastAsia="宋体" w:cs="宋体"/>
                <w:color w:val="auto"/>
                <w:kern w:val="0"/>
                <w:sz w:val="24"/>
                <w:highlight w:val="none"/>
                <w:lang w:val="en-US" w:eastAsia="en-US"/>
              </w:rPr>
            </w:pPr>
            <w:r>
              <w:rPr>
                <w:rFonts w:hint="eastAsia" w:ascii="宋体" w:hAnsi="宋体" w:eastAsia="宋体" w:cs="宋体"/>
                <w:color w:val="auto"/>
                <w:kern w:val="0"/>
                <w:sz w:val="24"/>
                <w:highlight w:val="none"/>
                <w:lang w:val="en-US" w:eastAsia="en-US"/>
              </w:rPr>
              <w:t>最高限价</w:t>
            </w:r>
          </w:p>
          <w:p w14:paraId="37BA0DFA">
            <w:pPr>
              <w:widowControl/>
              <w:spacing w:line="360" w:lineRule="auto"/>
              <w:contextualSpacing/>
              <w:jc w:val="center"/>
              <w:rPr>
                <w:rFonts w:hint="eastAsia" w:ascii="宋体" w:hAnsi="宋体" w:eastAsia="宋体" w:cs="宋体"/>
                <w:color w:val="auto"/>
                <w:kern w:val="0"/>
                <w:sz w:val="24"/>
                <w:highlight w:val="none"/>
                <w:lang w:val="en-US" w:eastAsia="en-US"/>
              </w:rPr>
            </w:pPr>
            <w:r>
              <w:rPr>
                <w:rFonts w:hint="eastAsia" w:ascii="宋体" w:hAnsi="宋体" w:eastAsia="宋体" w:cs="宋体"/>
                <w:color w:val="auto"/>
                <w:kern w:val="0"/>
                <w:sz w:val="24"/>
                <w:highlight w:val="none"/>
                <w:lang w:val="en-US" w:eastAsia="en-US"/>
              </w:rPr>
              <w:t>(元)</w:t>
            </w:r>
          </w:p>
        </w:tc>
        <w:tc>
          <w:tcPr>
            <w:tcW w:w="638" w:type="dxa"/>
            <w:noWrap w:val="0"/>
            <w:textDirection w:val="tbRlV"/>
            <w:vAlign w:val="center"/>
          </w:tcPr>
          <w:p w14:paraId="3DE18317">
            <w:pPr>
              <w:widowControl/>
              <w:spacing w:line="360" w:lineRule="auto"/>
              <w:contextualSpacing/>
              <w:jc w:val="center"/>
              <w:rPr>
                <w:rFonts w:hint="eastAsia" w:ascii="宋体" w:hAnsi="宋体" w:eastAsia="宋体" w:cs="宋体"/>
                <w:color w:val="auto"/>
                <w:kern w:val="0"/>
                <w:sz w:val="24"/>
                <w:highlight w:val="none"/>
                <w:lang w:val="en-US" w:eastAsia="en-US"/>
              </w:rPr>
            </w:pPr>
            <w:r>
              <w:rPr>
                <w:rFonts w:hint="eastAsia" w:ascii="宋体" w:hAnsi="宋体" w:eastAsia="宋体" w:cs="宋体"/>
                <w:color w:val="auto"/>
                <w:kern w:val="0"/>
                <w:sz w:val="24"/>
                <w:highlight w:val="none"/>
                <w:lang w:val="en-US" w:eastAsia="en-US"/>
              </w:rPr>
              <w:t>备 注</w:t>
            </w:r>
          </w:p>
        </w:tc>
      </w:tr>
      <w:tr w14:paraId="0055DF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7" w:hRule="atLeast"/>
        </w:trPr>
        <w:tc>
          <w:tcPr>
            <w:tcW w:w="832" w:type="dxa"/>
            <w:noWrap w:val="0"/>
            <w:vAlign w:val="center"/>
          </w:tcPr>
          <w:p w14:paraId="4791B321">
            <w:pPr>
              <w:widowControl/>
              <w:spacing w:line="360" w:lineRule="auto"/>
              <w:contextualSpacing/>
              <w:jc w:val="center"/>
              <w:rPr>
                <w:rFonts w:hint="eastAsia" w:ascii="宋体" w:hAnsi="宋体" w:eastAsia="宋体" w:cs="宋体"/>
                <w:color w:val="auto"/>
                <w:kern w:val="0"/>
                <w:sz w:val="24"/>
                <w:highlight w:val="none"/>
                <w:lang w:val="en-US" w:eastAsia="en-US"/>
              </w:rPr>
            </w:pPr>
            <w:r>
              <w:rPr>
                <w:rFonts w:hint="eastAsia" w:ascii="宋体" w:hAnsi="宋体" w:eastAsia="宋体" w:cs="宋体"/>
                <w:color w:val="auto"/>
                <w:kern w:val="0"/>
                <w:sz w:val="24"/>
                <w:highlight w:val="none"/>
                <w:lang w:val="en-US" w:eastAsia="zh-CN"/>
              </w:rPr>
              <w:t>0</w:t>
            </w:r>
            <w:r>
              <w:rPr>
                <w:rFonts w:hint="eastAsia" w:ascii="宋体" w:hAnsi="宋体" w:eastAsia="宋体" w:cs="宋体"/>
                <w:color w:val="auto"/>
                <w:kern w:val="0"/>
                <w:sz w:val="24"/>
                <w:highlight w:val="none"/>
                <w:lang w:val="en-US" w:eastAsia="en-US"/>
              </w:rPr>
              <w:t>1</w:t>
            </w:r>
          </w:p>
        </w:tc>
        <w:tc>
          <w:tcPr>
            <w:tcW w:w="1362" w:type="dxa"/>
            <w:noWrap w:val="0"/>
            <w:vAlign w:val="center"/>
          </w:tcPr>
          <w:p w14:paraId="2064CB77">
            <w:pPr>
              <w:widowControl/>
              <w:spacing w:line="360" w:lineRule="auto"/>
              <w:contextualSpacing/>
              <w:jc w:val="center"/>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en-US"/>
              </w:rPr>
              <w:t>武宣东融产业园食品(农产品)加工区公共区域道路项目-横向道路</w:t>
            </w:r>
          </w:p>
        </w:tc>
        <w:tc>
          <w:tcPr>
            <w:tcW w:w="729" w:type="dxa"/>
            <w:noWrap w:val="0"/>
            <w:vAlign w:val="center"/>
          </w:tcPr>
          <w:p w14:paraId="723224F7">
            <w:pPr>
              <w:widowControl/>
              <w:spacing w:line="360" w:lineRule="auto"/>
              <w:contextualSpacing/>
              <w:jc w:val="center"/>
              <w:rPr>
                <w:rFonts w:hint="eastAsia" w:ascii="宋体" w:hAnsi="宋体" w:eastAsia="宋体" w:cs="宋体"/>
                <w:color w:val="auto"/>
                <w:kern w:val="0"/>
                <w:sz w:val="24"/>
                <w:highlight w:val="none"/>
                <w:lang w:val="en-US" w:eastAsia="en-US"/>
              </w:rPr>
            </w:pPr>
            <w:r>
              <w:rPr>
                <w:rFonts w:hint="eastAsia" w:ascii="宋体" w:hAnsi="宋体" w:eastAsia="宋体" w:cs="宋体"/>
                <w:color w:val="auto"/>
                <w:kern w:val="0"/>
                <w:sz w:val="24"/>
                <w:highlight w:val="none"/>
                <w:lang w:val="en-US" w:eastAsia="en-US"/>
              </w:rPr>
              <w:t>1</w:t>
            </w:r>
          </w:p>
        </w:tc>
        <w:tc>
          <w:tcPr>
            <w:tcW w:w="682" w:type="dxa"/>
            <w:noWrap w:val="0"/>
            <w:vAlign w:val="center"/>
          </w:tcPr>
          <w:p w14:paraId="696DF157">
            <w:pPr>
              <w:widowControl/>
              <w:spacing w:line="360" w:lineRule="auto"/>
              <w:contextualSpacing/>
              <w:jc w:val="center"/>
              <w:rPr>
                <w:rFonts w:hint="eastAsia" w:ascii="宋体" w:hAnsi="宋体" w:eastAsia="宋体" w:cs="宋体"/>
                <w:color w:val="auto"/>
                <w:kern w:val="0"/>
                <w:sz w:val="24"/>
                <w:highlight w:val="none"/>
                <w:lang w:val="en-US" w:eastAsia="en-US"/>
              </w:rPr>
            </w:pPr>
            <w:r>
              <w:rPr>
                <w:rFonts w:hint="eastAsia" w:ascii="宋体" w:hAnsi="宋体" w:eastAsia="宋体" w:cs="宋体"/>
                <w:color w:val="auto"/>
                <w:kern w:val="0"/>
                <w:sz w:val="24"/>
                <w:highlight w:val="none"/>
                <w:lang w:val="en-US" w:eastAsia="en-US"/>
              </w:rPr>
              <w:t>项</w:t>
            </w:r>
          </w:p>
        </w:tc>
        <w:tc>
          <w:tcPr>
            <w:tcW w:w="1294" w:type="dxa"/>
            <w:noWrap w:val="0"/>
            <w:vAlign w:val="center"/>
          </w:tcPr>
          <w:p w14:paraId="44E366B0">
            <w:pPr>
              <w:widowControl/>
              <w:spacing w:line="360" w:lineRule="auto"/>
              <w:contextualSpacing/>
              <w:jc w:val="center"/>
              <w:rPr>
                <w:rFonts w:hint="eastAsia" w:ascii="宋体" w:hAnsi="宋体" w:eastAsia="宋体" w:cs="宋体"/>
                <w:color w:val="auto"/>
                <w:kern w:val="0"/>
                <w:sz w:val="24"/>
                <w:highlight w:val="none"/>
                <w:lang w:val="en-US" w:eastAsia="en-US"/>
              </w:rPr>
            </w:pPr>
            <w:r>
              <w:rPr>
                <w:rFonts w:hint="eastAsia" w:ascii="宋体" w:hAnsi="宋体" w:eastAsia="宋体" w:cs="宋体"/>
                <w:color w:val="auto"/>
                <w:kern w:val="0"/>
                <w:sz w:val="24"/>
                <w:highlight w:val="none"/>
                <w:lang w:val="en-US" w:eastAsia="en-US"/>
              </w:rPr>
              <w:t>890552.84</w:t>
            </w:r>
          </w:p>
        </w:tc>
        <w:tc>
          <w:tcPr>
            <w:tcW w:w="2450" w:type="dxa"/>
            <w:noWrap w:val="0"/>
            <w:vAlign w:val="center"/>
          </w:tcPr>
          <w:p w14:paraId="1EC245DD">
            <w:pPr>
              <w:widowControl/>
              <w:spacing w:line="360" w:lineRule="auto"/>
              <w:contextualSpacing/>
              <w:jc w:val="left"/>
              <w:rPr>
                <w:rFonts w:hint="eastAsia" w:ascii="宋体" w:hAnsi="宋体" w:eastAsia="宋体" w:cs="宋体"/>
                <w:color w:val="auto"/>
                <w:kern w:val="0"/>
                <w:sz w:val="24"/>
                <w:highlight w:val="none"/>
                <w:lang w:val="en-US" w:eastAsia="en-US"/>
              </w:rPr>
            </w:pPr>
            <w:r>
              <w:rPr>
                <w:rFonts w:hint="eastAsia" w:ascii="宋体" w:hAnsi="宋体" w:eastAsia="宋体" w:cs="宋体"/>
                <w:color w:val="auto"/>
                <w:kern w:val="0"/>
                <w:sz w:val="24"/>
                <w:highlight w:val="none"/>
                <w:lang w:val="en-US" w:eastAsia="en-US"/>
              </w:rPr>
              <w:t>武宣东融产业园食品(农产品)加工区公共区域道路项目-横向道路，具体内容详见施工图纸</w:t>
            </w:r>
            <w:r>
              <w:rPr>
                <w:rFonts w:hint="eastAsia" w:ascii="宋体" w:hAnsi="宋体" w:eastAsia="宋体" w:cs="宋体"/>
                <w:color w:val="auto"/>
                <w:kern w:val="0"/>
                <w:sz w:val="24"/>
                <w:highlight w:val="none"/>
                <w:lang w:val="en-US" w:eastAsia="zh-CN"/>
              </w:rPr>
              <w:t>(如有)和</w:t>
            </w:r>
            <w:r>
              <w:rPr>
                <w:rFonts w:hint="eastAsia" w:ascii="宋体" w:hAnsi="宋体" w:eastAsia="宋体" w:cs="宋体"/>
                <w:color w:val="auto"/>
                <w:kern w:val="0"/>
                <w:sz w:val="24"/>
                <w:highlight w:val="none"/>
                <w:lang w:val="en-US" w:eastAsia="en-US"/>
              </w:rPr>
              <w:t>工程量清单。</w:t>
            </w:r>
          </w:p>
        </w:tc>
        <w:tc>
          <w:tcPr>
            <w:tcW w:w="1379" w:type="dxa"/>
            <w:noWrap w:val="0"/>
            <w:vAlign w:val="center"/>
          </w:tcPr>
          <w:p w14:paraId="66CF039D">
            <w:pPr>
              <w:widowControl/>
              <w:spacing w:line="360" w:lineRule="auto"/>
              <w:contextualSpacing/>
              <w:jc w:val="center"/>
              <w:rPr>
                <w:rFonts w:hint="eastAsia" w:ascii="宋体" w:hAnsi="宋体" w:eastAsia="宋体" w:cs="宋体"/>
                <w:color w:val="auto"/>
                <w:kern w:val="0"/>
                <w:sz w:val="24"/>
                <w:highlight w:val="none"/>
                <w:lang w:val="en-US" w:eastAsia="en-US"/>
              </w:rPr>
            </w:pPr>
            <w:r>
              <w:rPr>
                <w:rFonts w:hint="eastAsia" w:ascii="宋体" w:hAnsi="宋体" w:eastAsia="宋体" w:cs="宋体"/>
                <w:color w:val="auto"/>
                <w:kern w:val="0"/>
                <w:sz w:val="24"/>
                <w:highlight w:val="none"/>
                <w:lang w:val="en-US" w:eastAsia="en-US"/>
              </w:rPr>
              <w:t>890552.84</w:t>
            </w:r>
          </w:p>
        </w:tc>
        <w:tc>
          <w:tcPr>
            <w:tcW w:w="638" w:type="dxa"/>
            <w:noWrap w:val="0"/>
            <w:vAlign w:val="center"/>
          </w:tcPr>
          <w:p w14:paraId="07A6AC64">
            <w:pPr>
              <w:widowControl/>
              <w:spacing w:line="360" w:lineRule="auto"/>
              <w:contextualSpacing/>
              <w:jc w:val="center"/>
              <w:rPr>
                <w:rFonts w:hint="eastAsia" w:ascii="宋体" w:hAnsi="宋体" w:eastAsia="宋体" w:cs="宋体"/>
                <w:color w:val="auto"/>
                <w:kern w:val="0"/>
                <w:sz w:val="24"/>
                <w:highlight w:val="none"/>
                <w:lang w:val="en-US" w:eastAsia="en-US"/>
              </w:rPr>
            </w:pPr>
            <w:r>
              <w:rPr>
                <w:rFonts w:hint="eastAsia" w:ascii="宋体" w:hAnsi="宋体" w:eastAsia="宋体" w:cs="宋体"/>
                <w:color w:val="auto"/>
                <w:kern w:val="0"/>
                <w:sz w:val="24"/>
                <w:highlight w:val="none"/>
                <w:lang w:val="en-US" w:eastAsia="en-US"/>
              </w:rPr>
              <w:t>/</w:t>
            </w:r>
          </w:p>
        </w:tc>
      </w:tr>
      <w:tr w14:paraId="59237D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7" w:hRule="atLeast"/>
        </w:trPr>
        <w:tc>
          <w:tcPr>
            <w:tcW w:w="832" w:type="dxa"/>
            <w:noWrap w:val="0"/>
            <w:vAlign w:val="center"/>
          </w:tcPr>
          <w:p w14:paraId="1EF36B4F">
            <w:pPr>
              <w:widowControl/>
              <w:spacing w:line="360" w:lineRule="auto"/>
              <w:contextualSpacing/>
              <w:jc w:val="center"/>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02</w:t>
            </w:r>
          </w:p>
        </w:tc>
        <w:tc>
          <w:tcPr>
            <w:tcW w:w="1362" w:type="dxa"/>
            <w:noWrap w:val="0"/>
            <w:vAlign w:val="center"/>
          </w:tcPr>
          <w:p w14:paraId="1A37FE3A">
            <w:pPr>
              <w:widowControl/>
              <w:spacing w:line="360" w:lineRule="auto"/>
              <w:contextualSpacing/>
              <w:jc w:val="center"/>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en-US"/>
              </w:rPr>
              <w:t>武宣县东融产业园食品(农产品)加工区公共区域西侧排水工程</w:t>
            </w:r>
          </w:p>
        </w:tc>
        <w:tc>
          <w:tcPr>
            <w:tcW w:w="729" w:type="dxa"/>
            <w:noWrap w:val="0"/>
            <w:vAlign w:val="center"/>
          </w:tcPr>
          <w:p w14:paraId="1F1C2B96">
            <w:pPr>
              <w:widowControl/>
              <w:spacing w:line="360" w:lineRule="auto"/>
              <w:contextualSpacing/>
              <w:jc w:val="center"/>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1</w:t>
            </w:r>
          </w:p>
        </w:tc>
        <w:tc>
          <w:tcPr>
            <w:tcW w:w="682" w:type="dxa"/>
            <w:noWrap w:val="0"/>
            <w:vAlign w:val="center"/>
          </w:tcPr>
          <w:p w14:paraId="11EF031D">
            <w:pPr>
              <w:widowControl/>
              <w:spacing w:line="360" w:lineRule="auto"/>
              <w:contextualSpacing/>
              <w:jc w:val="center"/>
              <w:rPr>
                <w:rFonts w:hint="eastAsia" w:ascii="宋体" w:hAnsi="宋体" w:eastAsia="宋体" w:cs="宋体"/>
                <w:color w:val="auto"/>
                <w:kern w:val="0"/>
                <w:sz w:val="24"/>
                <w:highlight w:val="none"/>
                <w:lang w:val="en-US" w:eastAsia="en-US"/>
              </w:rPr>
            </w:pPr>
            <w:r>
              <w:rPr>
                <w:rFonts w:hint="eastAsia" w:ascii="宋体" w:hAnsi="宋体" w:eastAsia="宋体" w:cs="宋体"/>
                <w:color w:val="auto"/>
                <w:kern w:val="0"/>
                <w:sz w:val="24"/>
                <w:highlight w:val="none"/>
                <w:lang w:val="en-US" w:eastAsia="en-US"/>
              </w:rPr>
              <w:t>项</w:t>
            </w:r>
          </w:p>
        </w:tc>
        <w:tc>
          <w:tcPr>
            <w:tcW w:w="1294" w:type="dxa"/>
            <w:noWrap w:val="0"/>
            <w:vAlign w:val="center"/>
          </w:tcPr>
          <w:p w14:paraId="2530670C">
            <w:pPr>
              <w:widowControl/>
              <w:spacing w:line="360" w:lineRule="auto"/>
              <w:contextualSpacing/>
              <w:jc w:val="center"/>
              <w:rPr>
                <w:rFonts w:hint="eastAsia" w:ascii="宋体" w:hAnsi="宋体" w:eastAsia="宋体" w:cs="宋体"/>
                <w:color w:val="auto"/>
                <w:kern w:val="0"/>
                <w:sz w:val="24"/>
                <w:highlight w:val="none"/>
                <w:lang w:val="en-US" w:eastAsia="en-US"/>
              </w:rPr>
            </w:pPr>
            <w:r>
              <w:rPr>
                <w:rFonts w:hint="eastAsia" w:ascii="宋体" w:hAnsi="宋体" w:eastAsia="宋体" w:cs="宋体"/>
                <w:color w:val="auto"/>
                <w:kern w:val="0"/>
                <w:sz w:val="24"/>
                <w:highlight w:val="none"/>
                <w:lang w:val="en-US" w:eastAsia="en-US"/>
              </w:rPr>
              <w:t>1718327.69</w:t>
            </w:r>
          </w:p>
        </w:tc>
        <w:tc>
          <w:tcPr>
            <w:tcW w:w="2450" w:type="dxa"/>
            <w:noWrap w:val="0"/>
            <w:vAlign w:val="center"/>
          </w:tcPr>
          <w:p w14:paraId="18D0571C">
            <w:pPr>
              <w:widowControl/>
              <w:spacing w:line="360" w:lineRule="auto"/>
              <w:contextualSpacing/>
              <w:jc w:val="left"/>
              <w:rPr>
                <w:rFonts w:hint="eastAsia" w:ascii="宋体" w:hAnsi="宋体" w:eastAsia="宋体" w:cs="宋体"/>
                <w:color w:val="auto"/>
                <w:kern w:val="0"/>
                <w:sz w:val="24"/>
                <w:highlight w:val="none"/>
                <w:lang w:val="en-US" w:eastAsia="en-US"/>
              </w:rPr>
            </w:pPr>
            <w:r>
              <w:rPr>
                <w:rFonts w:hint="eastAsia" w:ascii="宋体" w:hAnsi="宋体" w:eastAsia="宋体" w:cs="宋体"/>
                <w:color w:val="auto"/>
                <w:kern w:val="0"/>
                <w:sz w:val="24"/>
                <w:highlight w:val="none"/>
                <w:lang w:val="en-US" w:eastAsia="en-US"/>
              </w:rPr>
              <w:t>武宣县东融产业园食品(农产品)加工区公共区域西侧排水工程</w:t>
            </w:r>
            <w:r>
              <w:rPr>
                <w:rFonts w:hint="eastAsia" w:ascii="宋体" w:hAnsi="宋体" w:eastAsia="宋体" w:cs="宋体"/>
                <w:color w:val="auto"/>
                <w:kern w:val="0"/>
                <w:sz w:val="24"/>
                <w:highlight w:val="none"/>
                <w:lang w:val="en-US" w:eastAsia="zh-CN"/>
              </w:rPr>
              <w:t>，</w:t>
            </w:r>
            <w:r>
              <w:rPr>
                <w:rFonts w:hint="eastAsia" w:ascii="宋体" w:hAnsi="宋体" w:eastAsia="宋体" w:cs="宋体"/>
                <w:color w:val="auto"/>
                <w:kern w:val="0"/>
                <w:sz w:val="24"/>
                <w:highlight w:val="none"/>
                <w:lang w:val="en-US" w:eastAsia="en-US"/>
              </w:rPr>
              <w:t>具体内容详见施工图纸</w:t>
            </w:r>
            <w:r>
              <w:rPr>
                <w:rFonts w:hint="eastAsia" w:ascii="宋体" w:hAnsi="宋体" w:eastAsia="宋体" w:cs="宋体"/>
                <w:color w:val="auto"/>
                <w:kern w:val="0"/>
                <w:sz w:val="24"/>
                <w:highlight w:val="none"/>
                <w:lang w:val="en-US" w:eastAsia="zh-CN"/>
              </w:rPr>
              <w:t>（如有)和</w:t>
            </w:r>
            <w:r>
              <w:rPr>
                <w:rFonts w:hint="eastAsia" w:ascii="宋体" w:hAnsi="宋体" w:eastAsia="宋体" w:cs="宋体"/>
                <w:color w:val="auto"/>
                <w:kern w:val="0"/>
                <w:sz w:val="24"/>
                <w:highlight w:val="none"/>
                <w:lang w:val="en-US" w:eastAsia="en-US"/>
              </w:rPr>
              <w:t>工程量清单。</w:t>
            </w:r>
          </w:p>
        </w:tc>
        <w:tc>
          <w:tcPr>
            <w:tcW w:w="1379" w:type="dxa"/>
            <w:noWrap w:val="0"/>
            <w:vAlign w:val="center"/>
          </w:tcPr>
          <w:p w14:paraId="2B593D07">
            <w:pPr>
              <w:widowControl/>
              <w:spacing w:line="360" w:lineRule="auto"/>
              <w:contextualSpacing/>
              <w:jc w:val="center"/>
              <w:rPr>
                <w:rFonts w:hint="eastAsia" w:ascii="宋体" w:hAnsi="宋体" w:eastAsia="宋体" w:cs="宋体"/>
                <w:color w:val="auto"/>
                <w:kern w:val="0"/>
                <w:sz w:val="24"/>
                <w:highlight w:val="none"/>
                <w:lang w:val="en-US" w:eastAsia="en-US"/>
              </w:rPr>
            </w:pPr>
            <w:r>
              <w:rPr>
                <w:rFonts w:hint="eastAsia" w:ascii="宋体" w:hAnsi="宋体" w:eastAsia="宋体" w:cs="宋体"/>
                <w:color w:val="auto"/>
                <w:kern w:val="0"/>
                <w:sz w:val="24"/>
                <w:highlight w:val="none"/>
                <w:lang w:val="en-US" w:eastAsia="en-US"/>
              </w:rPr>
              <w:t>1718327.69</w:t>
            </w:r>
          </w:p>
        </w:tc>
        <w:tc>
          <w:tcPr>
            <w:tcW w:w="638" w:type="dxa"/>
            <w:noWrap w:val="0"/>
            <w:vAlign w:val="center"/>
          </w:tcPr>
          <w:p w14:paraId="1E1492B0">
            <w:pPr>
              <w:widowControl/>
              <w:spacing w:line="360" w:lineRule="auto"/>
              <w:contextualSpacing/>
              <w:jc w:val="center"/>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w:t>
            </w:r>
          </w:p>
        </w:tc>
      </w:tr>
    </w:tbl>
    <w:p w14:paraId="1F64E06D">
      <w:pPr>
        <w:pageBreakBefore w:val="0"/>
        <w:kinsoku/>
        <w:wordWrap/>
        <w:overflowPunct/>
        <w:topLinePunct w:val="0"/>
        <w:autoSpaceDE/>
        <w:autoSpaceDN/>
        <w:bidi w:val="0"/>
        <w:adjustRightInd/>
        <w:spacing w:line="348"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合同签订期：自成交通知书发出之日起25日内。</w:t>
      </w:r>
    </w:p>
    <w:p w14:paraId="0A5F3CDC">
      <w:pPr>
        <w:pageBreakBefore w:val="0"/>
        <w:kinsoku/>
        <w:wordWrap/>
        <w:overflowPunct/>
        <w:topLinePunct w:val="0"/>
        <w:autoSpaceDE/>
        <w:autoSpaceDN/>
        <w:bidi w:val="0"/>
        <w:adjustRightInd/>
        <w:spacing w:line="348"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合同履行期限：</w:t>
      </w:r>
      <w:r>
        <w:rPr>
          <w:rFonts w:hint="eastAsia" w:ascii="宋体" w:hAnsi="宋体" w:eastAsia="宋体" w:cs="宋体"/>
          <w:color w:val="auto"/>
          <w:sz w:val="24"/>
          <w:highlight w:val="none"/>
          <w:lang w:val="en-US" w:eastAsia="zh-CN"/>
        </w:rPr>
        <w:t>01标段：45</w:t>
      </w:r>
      <w:r>
        <w:rPr>
          <w:rFonts w:hint="eastAsia" w:ascii="宋体" w:hAnsi="宋体" w:eastAsia="宋体" w:cs="宋体"/>
          <w:color w:val="auto"/>
          <w:sz w:val="24"/>
          <w:highlight w:val="none"/>
        </w:rPr>
        <w:t>日历天</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02标段：45</w:t>
      </w:r>
      <w:r>
        <w:rPr>
          <w:rFonts w:hint="eastAsia" w:ascii="宋体" w:hAnsi="宋体" w:eastAsia="宋体" w:cs="宋体"/>
          <w:color w:val="auto"/>
          <w:sz w:val="24"/>
          <w:highlight w:val="none"/>
        </w:rPr>
        <w:t>日历天</w:t>
      </w:r>
      <w:r>
        <w:rPr>
          <w:rFonts w:hint="eastAsia" w:ascii="宋体" w:hAnsi="宋体" w:eastAsia="宋体" w:cs="宋体"/>
          <w:color w:val="auto"/>
          <w:sz w:val="24"/>
          <w:highlight w:val="none"/>
          <w:lang w:val="en-US" w:eastAsia="zh-CN"/>
        </w:rPr>
        <w:t>。</w:t>
      </w:r>
    </w:p>
    <w:p w14:paraId="2B67370D">
      <w:pPr>
        <w:pageBreakBefore w:val="0"/>
        <w:kinsoku/>
        <w:wordWrap/>
        <w:overflowPunct/>
        <w:topLinePunct w:val="0"/>
        <w:autoSpaceDE/>
        <w:autoSpaceDN/>
        <w:bidi w:val="0"/>
        <w:adjustRightInd/>
        <w:spacing w:line="348"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本项目不接受联合体。</w:t>
      </w:r>
    </w:p>
    <w:p w14:paraId="453D9C44">
      <w:pPr>
        <w:pStyle w:val="3"/>
        <w:pageBreakBefore w:val="0"/>
        <w:kinsoku/>
        <w:wordWrap/>
        <w:overflowPunct/>
        <w:topLinePunct w:val="0"/>
        <w:autoSpaceDE/>
        <w:autoSpaceDN/>
        <w:bidi w:val="0"/>
        <w:adjustRightInd/>
        <w:spacing w:before="0" w:after="0" w:line="348" w:lineRule="auto"/>
        <w:rPr>
          <w:rFonts w:hint="eastAsia" w:ascii="宋体" w:hAnsi="宋体" w:eastAsia="宋体" w:cs="宋体"/>
          <w:bCs w:val="0"/>
          <w:color w:val="auto"/>
          <w:sz w:val="24"/>
          <w:szCs w:val="24"/>
          <w:highlight w:val="none"/>
        </w:rPr>
      </w:pPr>
      <w:bookmarkStart w:id="14" w:name="_Toc782"/>
      <w:bookmarkStart w:id="15" w:name="_Toc28359090"/>
      <w:bookmarkStart w:id="16" w:name="_Toc14128"/>
      <w:bookmarkStart w:id="17" w:name="_Toc14505"/>
      <w:bookmarkStart w:id="18" w:name="_Toc1722"/>
      <w:bookmarkStart w:id="19" w:name="_Toc11179"/>
      <w:bookmarkStart w:id="20" w:name="_Toc35393799"/>
      <w:bookmarkStart w:id="21" w:name="_Toc35393630"/>
      <w:bookmarkStart w:id="22" w:name="_Toc24914"/>
      <w:bookmarkStart w:id="23" w:name="_Toc44229879"/>
      <w:bookmarkStart w:id="24" w:name="_Toc21576"/>
      <w:bookmarkStart w:id="25" w:name="_Toc28359013"/>
      <w:r>
        <w:rPr>
          <w:rFonts w:hint="eastAsia" w:ascii="宋体" w:hAnsi="宋体" w:eastAsia="宋体" w:cs="宋体"/>
          <w:bCs w:val="0"/>
          <w:color w:val="auto"/>
          <w:sz w:val="24"/>
          <w:szCs w:val="24"/>
          <w:highlight w:val="none"/>
        </w:rPr>
        <w:t>二、申请人的资格要求：</w:t>
      </w:r>
      <w:bookmarkEnd w:id="14"/>
      <w:bookmarkEnd w:id="15"/>
      <w:bookmarkEnd w:id="16"/>
      <w:bookmarkEnd w:id="17"/>
      <w:bookmarkEnd w:id="18"/>
      <w:bookmarkEnd w:id="19"/>
      <w:bookmarkEnd w:id="20"/>
      <w:bookmarkEnd w:id="21"/>
      <w:bookmarkEnd w:id="22"/>
      <w:bookmarkEnd w:id="23"/>
      <w:bookmarkEnd w:id="24"/>
      <w:bookmarkEnd w:id="25"/>
    </w:p>
    <w:p w14:paraId="58489A98">
      <w:pPr>
        <w:pageBreakBefore w:val="0"/>
        <w:kinsoku/>
        <w:wordWrap/>
        <w:overflowPunct/>
        <w:topLinePunct w:val="0"/>
        <w:autoSpaceDE/>
        <w:autoSpaceDN/>
        <w:bidi w:val="0"/>
        <w:adjustRightInd/>
        <w:spacing w:line="348" w:lineRule="auto"/>
        <w:ind w:firstLine="480" w:firstLineChars="200"/>
        <w:outlineLvl w:val="2"/>
        <w:rPr>
          <w:rFonts w:hint="eastAsia" w:ascii="宋体" w:hAnsi="宋体" w:eastAsia="宋体" w:cs="宋体"/>
          <w:color w:val="auto"/>
          <w:sz w:val="24"/>
          <w:highlight w:val="none"/>
        </w:rPr>
      </w:pPr>
      <w:bookmarkStart w:id="26" w:name="_Toc19195"/>
      <w:bookmarkStart w:id="27" w:name="_Toc24165"/>
      <w:bookmarkStart w:id="28" w:name="_Toc14902"/>
      <w:bookmarkStart w:id="29" w:name="_Toc28359014"/>
      <w:bookmarkStart w:id="30" w:name="_Toc44229880"/>
      <w:bookmarkStart w:id="31" w:name="_Toc28359091"/>
      <w:bookmarkStart w:id="32" w:name="_Toc35393800"/>
      <w:bookmarkStart w:id="33" w:name="_Toc35393631"/>
      <w:r>
        <w:rPr>
          <w:rFonts w:hint="eastAsia" w:ascii="宋体" w:hAnsi="宋体" w:eastAsia="宋体" w:cs="宋体"/>
          <w:color w:val="auto"/>
          <w:sz w:val="24"/>
          <w:highlight w:val="none"/>
        </w:rPr>
        <w:t>1.满足《中华人民共和国政府采购法》第二十二条规定。</w:t>
      </w:r>
      <w:bookmarkEnd w:id="26"/>
      <w:bookmarkEnd w:id="27"/>
      <w:bookmarkEnd w:id="28"/>
    </w:p>
    <w:p w14:paraId="6859E3F4">
      <w:pPr>
        <w:pageBreakBefore w:val="0"/>
        <w:kinsoku/>
        <w:wordWrap/>
        <w:overflowPunct/>
        <w:topLinePunct w:val="0"/>
        <w:autoSpaceDE/>
        <w:autoSpaceDN/>
        <w:bidi w:val="0"/>
        <w:adjustRightInd/>
        <w:spacing w:line="348"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2.落实政府采购政策需满足的资格要求：</w:t>
      </w:r>
      <w:r>
        <w:rPr>
          <w:rFonts w:hint="eastAsia" w:ascii="宋体" w:hAnsi="宋体" w:eastAsia="宋体" w:cs="宋体"/>
          <w:b/>
          <w:bCs/>
          <w:color w:val="auto"/>
          <w:sz w:val="24"/>
          <w:highlight w:val="none"/>
        </w:rPr>
        <w:t>本项目属于专门面向中小企业采购的项目，供应商应为中小微企业或监狱企业或残疾人福利企业。</w:t>
      </w:r>
    </w:p>
    <w:p w14:paraId="01E18D96">
      <w:pPr>
        <w:pStyle w:val="9"/>
        <w:pageBreakBefore w:val="0"/>
        <w:widowControl/>
        <w:kinsoku/>
        <w:wordWrap/>
        <w:overflowPunct/>
        <w:topLinePunct w:val="0"/>
        <w:autoSpaceDE/>
        <w:autoSpaceDN/>
        <w:bidi w:val="0"/>
        <w:adjustRightInd/>
        <w:spacing w:before="75" w:after="75" w:line="348" w:lineRule="auto"/>
        <w:ind w:firstLine="564" w:firstLineChars="235"/>
        <w:jc w:val="left"/>
        <w:textAlignment w:val="baseline"/>
        <w:rPr>
          <w:rFonts w:hint="eastAsia" w:ascii="宋体" w:hAnsi="宋体" w:eastAsia="宋体" w:cs="宋体"/>
          <w:color w:val="auto"/>
          <w:kern w:val="2"/>
          <w:highlight w:val="none"/>
        </w:rPr>
      </w:pPr>
      <w:bookmarkStart w:id="34" w:name="_Toc12988"/>
      <w:r>
        <w:rPr>
          <w:rFonts w:hint="eastAsia" w:ascii="宋体" w:hAnsi="宋体" w:eastAsia="宋体" w:cs="宋体"/>
          <w:color w:val="auto"/>
          <w:sz w:val="24"/>
          <w:highlight w:val="none"/>
        </w:rPr>
        <w:t>3.本项目的</w:t>
      </w:r>
      <w:r>
        <w:rPr>
          <w:rFonts w:hint="eastAsia" w:ascii="宋体" w:hAnsi="宋体" w:eastAsia="宋体" w:cs="宋体"/>
          <w:color w:val="auto"/>
          <w:kern w:val="2"/>
          <w:sz w:val="24"/>
          <w:szCs w:val="24"/>
          <w:highlight w:val="none"/>
          <w:lang w:eastAsia="zh-CN"/>
        </w:rPr>
        <w:t>特定资格要求：</w:t>
      </w:r>
      <w:r>
        <w:rPr>
          <w:rFonts w:hint="eastAsia" w:ascii="宋体" w:hAnsi="宋体" w:eastAsia="宋体" w:cs="宋体"/>
          <w:color w:val="auto"/>
          <w:sz w:val="24"/>
          <w:szCs w:val="24"/>
          <w:highlight w:val="none"/>
          <w:lang w:eastAsia="zh-CN"/>
        </w:rPr>
        <w:t>具备建设行政主管部门颁发的</w:t>
      </w:r>
      <w:r>
        <w:rPr>
          <w:rFonts w:hint="eastAsia" w:ascii="宋体" w:hAnsi="宋体" w:eastAsia="宋体" w:cs="宋体"/>
          <w:color w:val="auto"/>
          <w:sz w:val="24"/>
          <w:szCs w:val="24"/>
          <w:highlight w:val="none"/>
          <w:u w:val="single"/>
          <w:lang w:eastAsia="zh-CN"/>
        </w:rPr>
        <w:t>市政公用工程施工总承包叁级以上（含叁级）</w:t>
      </w:r>
      <w:r>
        <w:rPr>
          <w:rFonts w:hint="eastAsia" w:ascii="宋体" w:hAnsi="宋体" w:eastAsia="宋体" w:cs="宋体"/>
          <w:color w:val="auto"/>
          <w:sz w:val="24"/>
          <w:szCs w:val="24"/>
          <w:highlight w:val="none"/>
          <w:lang w:eastAsia="zh-CN"/>
        </w:rPr>
        <w:t>资质的施工企业，并在人员、设备、资金等方面具有相应施工能力。拟投入本项目的项目经理必须是具备</w:t>
      </w:r>
      <w:r>
        <w:rPr>
          <w:rFonts w:hint="eastAsia" w:ascii="宋体" w:hAnsi="宋体" w:eastAsia="宋体" w:cs="宋体"/>
          <w:color w:val="auto"/>
          <w:sz w:val="24"/>
          <w:szCs w:val="24"/>
          <w:highlight w:val="none"/>
          <w:u w:val="single"/>
          <w:lang w:eastAsia="zh-CN"/>
        </w:rPr>
        <w:t>贰级以上（含贰级）的市政公用工程专业注册建造师资格</w:t>
      </w:r>
      <w:r>
        <w:rPr>
          <w:rFonts w:hint="eastAsia" w:ascii="宋体" w:hAnsi="宋体" w:eastAsia="宋体" w:cs="宋体"/>
          <w:color w:val="auto"/>
          <w:sz w:val="24"/>
          <w:szCs w:val="24"/>
          <w:highlight w:val="none"/>
          <w:lang w:eastAsia="zh-CN"/>
        </w:rPr>
        <w:t>，具备有效的安全生产考核合格证书（B类），并为本单位员工。本项目不接受有在建、已中标未开工或已列为其他项目中标候选人第一名的建造师作为项目经理</w:t>
      </w:r>
      <w:r>
        <w:rPr>
          <w:rFonts w:hint="eastAsia" w:ascii="宋体" w:hAnsi="宋体" w:eastAsia="宋体" w:cs="宋体"/>
          <w:color w:val="auto"/>
          <w:kern w:val="2"/>
          <w:highlight w:val="none"/>
        </w:rPr>
        <w:t>。</w:t>
      </w:r>
    </w:p>
    <w:p w14:paraId="4A4208DE">
      <w:pPr>
        <w:pageBreakBefore w:val="0"/>
        <w:kinsoku/>
        <w:wordWrap/>
        <w:overflowPunct/>
        <w:topLinePunct w:val="0"/>
        <w:autoSpaceDE/>
        <w:autoSpaceDN/>
        <w:bidi w:val="0"/>
        <w:adjustRightInd/>
        <w:snapToGrid w:val="0"/>
        <w:spacing w:line="348" w:lineRule="auto"/>
        <w:ind w:firstLine="42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单位负责人为同一人或者存在直接控股、管理关系的不同供应商，不得参加同一合同项下的政府采购活动。除单一来源外，为本项目提供过整体设计、规范编制或者项目管理、监理、检测等服务的供应商，不得再参加本项目上述服务以外的其他采购活动。</w:t>
      </w:r>
    </w:p>
    <w:p w14:paraId="3258643C">
      <w:pPr>
        <w:pageBreakBefore w:val="0"/>
        <w:kinsoku/>
        <w:wordWrap/>
        <w:overflowPunct/>
        <w:topLinePunct w:val="0"/>
        <w:autoSpaceDE/>
        <w:autoSpaceDN/>
        <w:bidi w:val="0"/>
        <w:adjustRightInd/>
        <w:spacing w:line="348"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对在“信用中国”网站（www.creditchina.gov.cn）、中国政府采购网（www.ccgp.gov.cn）被列入失信被执行人、重大税收违法案件当事人名单、政府采购严重违法失信行为记录名单及其他不符合《中华人民共和国政府采购法》第二十二条规定条件的供应商，不得参与政府采购活动。</w:t>
      </w:r>
    </w:p>
    <w:p w14:paraId="4738C8F9">
      <w:pPr>
        <w:keepNext w:val="0"/>
        <w:keepLines w:val="0"/>
        <w:pageBreakBefore w:val="0"/>
        <w:widowControl w:val="0"/>
        <w:kinsoku/>
        <w:wordWrap/>
        <w:overflowPunct/>
        <w:topLinePunct w:val="0"/>
        <w:autoSpaceDE/>
        <w:autoSpaceDN/>
        <w:bidi w:val="0"/>
        <w:spacing w:line="420" w:lineRule="exact"/>
        <w:ind w:firstLine="442" w:firstLineChars="200"/>
        <w:textAlignment w:val="auto"/>
        <w:rPr>
          <w:rFonts w:hint="default" w:ascii="宋体" w:hAnsi="宋体" w:eastAsia="宋体" w:cs="宋体"/>
          <w:color w:val="auto"/>
          <w:sz w:val="24"/>
          <w:szCs w:val="24"/>
          <w:highlight w:val="none"/>
          <w:lang w:val="en-US" w:eastAsia="zh-CN"/>
        </w:rPr>
      </w:pPr>
      <w:bookmarkStart w:id="35" w:name="_Toc20583"/>
      <w:bookmarkStart w:id="36" w:name="_Toc6001"/>
      <w:bookmarkStart w:id="37" w:name="_Toc866"/>
      <w:bookmarkStart w:id="38" w:name="_Toc29883"/>
      <w:bookmarkStart w:id="39" w:name="_Toc30400"/>
      <w:bookmarkStart w:id="40" w:name="_Toc19221"/>
      <w:r>
        <w:rPr>
          <w:rFonts w:hint="eastAsia" w:ascii="宋体" w:hAnsi="宋体" w:eastAsia="宋体" w:cs="宋体"/>
          <w:b/>
          <w:bCs/>
          <w:color w:val="auto"/>
          <w:sz w:val="22"/>
          <w:szCs w:val="22"/>
          <w:highlight w:val="none"/>
          <w:lang w:eastAsia="zh-CN"/>
        </w:rPr>
        <w:t>备注：</w:t>
      </w:r>
      <w:r>
        <w:rPr>
          <w:rFonts w:hint="eastAsia" w:ascii="宋体" w:hAnsi="宋体" w:eastAsia="宋体" w:cs="宋体"/>
          <w:b/>
          <w:bCs/>
          <w:color w:val="auto"/>
          <w:sz w:val="22"/>
          <w:szCs w:val="22"/>
          <w:highlight w:val="none"/>
        </w:rPr>
        <w:t>本项目每个</w:t>
      </w:r>
      <w:r>
        <w:rPr>
          <w:rFonts w:hint="eastAsia" w:ascii="宋体" w:hAnsi="宋体" w:eastAsia="宋体" w:cs="宋体"/>
          <w:b/>
          <w:bCs/>
          <w:color w:val="auto"/>
          <w:sz w:val="22"/>
          <w:szCs w:val="22"/>
          <w:highlight w:val="none"/>
          <w:lang w:eastAsia="zh-CN"/>
        </w:rPr>
        <w:t>供应商</w:t>
      </w:r>
      <w:r>
        <w:rPr>
          <w:rFonts w:hint="eastAsia" w:ascii="宋体" w:hAnsi="宋体" w:eastAsia="宋体" w:cs="宋体"/>
          <w:b/>
          <w:bCs/>
          <w:color w:val="auto"/>
          <w:sz w:val="22"/>
          <w:szCs w:val="22"/>
          <w:highlight w:val="none"/>
        </w:rPr>
        <w:t>可以响应多个分标，但只能</w:t>
      </w:r>
      <w:r>
        <w:rPr>
          <w:rFonts w:hint="eastAsia" w:ascii="宋体" w:hAnsi="宋体" w:eastAsia="宋体" w:cs="宋体"/>
          <w:b/>
          <w:bCs/>
          <w:color w:val="auto"/>
          <w:sz w:val="22"/>
          <w:szCs w:val="22"/>
          <w:highlight w:val="none"/>
          <w:lang w:eastAsia="zh-CN"/>
        </w:rPr>
        <w:t>成交</w:t>
      </w:r>
      <w:r>
        <w:rPr>
          <w:rFonts w:hint="eastAsia" w:ascii="宋体" w:hAnsi="宋体" w:eastAsia="宋体" w:cs="宋体"/>
          <w:b/>
          <w:bCs/>
          <w:color w:val="auto"/>
          <w:sz w:val="22"/>
          <w:szCs w:val="22"/>
          <w:highlight w:val="none"/>
        </w:rPr>
        <w:t>其中1个分标。定标顺序为</w:t>
      </w:r>
      <w:r>
        <w:rPr>
          <w:rFonts w:hint="eastAsia" w:ascii="宋体" w:hAnsi="宋体" w:eastAsia="宋体" w:cs="宋体"/>
          <w:b/>
          <w:bCs/>
          <w:color w:val="auto"/>
          <w:sz w:val="22"/>
          <w:szCs w:val="22"/>
          <w:highlight w:val="none"/>
          <w:lang w:val="en-US" w:eastAsia="zh-CN"/>
        </w:rPr>
        <w:t>01标段</w:t>
      </w:r>
      <w:r>
        <w:rPr>
          <w:rFonts w:hint="eastAsia" w:ascii="宋体" w:hAnsi="宋体" w:eastAsia="宋体" w:cs="宋体"/>
          <w:b/>
          <w:bCs/>
          <w:color w:val="auto"/>
          <w:sz w:val="22"/>
          <w:szCs w:val="22"/>
          <w:highlight w:val="none"/>
        </w:rPr>
        <w:t>至</w:t>
      </w:r>
      <w:r>
        <w:rPr>
          <w:rFonts w:hint="eastAsia" w:ascii="宋体" w:hAnsi="宋体" w:eastAsia="宋体" w:cs="宋体"/>
          <w:b/>
          <w:bCs/>
          <w:color w:val="auto"/>
          <w:sz w:val="22"/>
          <w:szCs w:val="22"/>
          <w:highlight w:val="none"/>
          <w:lang w:val="en-US" w:eastAsia="zh-CN"/>
        </w:rPr>
        <w:t>02标段</w:t>
      </w:r>
      <w:r>
        <w:rPr>
          <w:rFonts w:hint="eastAsia" w:ascii="宋体" w:hAnsi="宋体" w:eastAsia="宋体" w:cs="宋体"/>
          <w:b/>
          <w:bCs/>
          <w:color w:val="auto"/>
          <w:sz w:val="22"/>
          <w:szCs w:val="22"/>
          <w:highlight w:val="none"/>
        </w:rPr>
        <w:t>。</w:t>
      </w:r>
    </w:p>
    <w:p w14:paraId="1670238D">
      <w:pPr>
        <w:pStyle w:val="3"/>
        <w:pageBreakBefore w:val="0"/>
        <w:kinsoku/>
        <w:wordWrap/>
        <w:overflowPunct/>
        <w:topLinePunct w:val="0"/>
        <w:autoSpaceDE/>
        <w:autoSpaceDN/>
        <w:bidi w:val="0"/>
        <w:adjustRightInd/>
        <w:spacing w:before="0" w:after="0" w:line="348"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三、获取采购文件</w:t>
      </w:r>
      <w:bookmarkEnd w:id="29"/>
      <w:bookmarkEnd w:id="30"/>
      <w:bookmarkEnd w:id="31"/>
      <w:bookmarkEnd w:id="32"/>
      <w:bookmarkEnd w:id="33"/>
      <w:bookmarkEnd w:id="34"/>
      <w:bookmarkEnd w:id="35"/>
      <w:bookmarkEnd w:id="36"/>
      <w:bookmarkEnd w:id="37"/>
      <w:bookmarkEnd w:id="38"/>
      <w:bookmarkEnd w:id="39"/>
      <w:bookmarkEnd w:id="40"/>
    </w:p>
    <w:p w14:paraId="34905818">
      <w:pPr>
        <w:pageBreakBefore w:val="0"/>
        <w:kinsoku/>
        <w:wordWrap/>
        <w:overflowPunct/>
        <w:topLinePunct w:val="0"/>
        <w:autoSpaceDE/>
        <w:autoSpaceDN/>
        <w:bidi w:val="0"/>
        <w:adjustRightInd/>
        <w:spacing w:line="348" w:lineRule="auto"/>
        <w:ind w:firstLine="480" w:firstLineChars="200"/>
        <w:rPr>
          <w:rFonts w:hint="eastAsia" w:ascii="宋体" w:hAnsi="宋体" w:eastAsia="宋体" w:cs="宋体"/>
          <w:color w:val="auto"/>
          <w:sz w:val="24"/>
          <w:highlight w:val="none"/>
        </w:rPr>
      </w:pPr>
      <w:bookmarkStart w:id="41" w:name="_Toc35393632"/>
      <w:bookmarkStart w:id="42" w:name="_Toc44229881"/>
      <w:bookmarkStart w:id="43" w:name="_Toc28359015"/>
      <w:bookmarkStart w:id="44" w:name="_Toc28359092"/>
      <w:bookmarkStart w:id="45" w:name="_Toc35393801"/>
      <w:r>
        <w:rPr>
          <w:rFonts w:hint="eastAsia" w:ascii="宋体" w:hAnsi="宋体" w:eastAsia="宋体" w:cs="宋体"/>
          <w:color w:val="auto"/>
          <w:sz w:val="24"/>
          <w:highlight w:val="none"/>
        </w:rPr>
        <w:t>时间：</w:t>
      </w:r>
      <w:r>
        <w:rPr>
          <w:rFonts w:hint="eastAsia" w:ascii="宋体" w:hAnsi="宋体" w:eastAsia="宋体" w:cs="宋体"/>
          <w:color w:val="auto"/>
          <w:sz w:val="24"/>
          <w:highlight w:val="none"/>
          <w:lang w:eastAsia="zh-CN"/>
        </w:rPr>
        <w:t>2025年</w:t>
      </w:r>
      <w:r>
        <w:rPr>
          <w:rFonts w:hint="eastAsia" w:ascii="宋体" w:hAnsi="宋体" w:eastAsia="宋体" w:cs="宋体"/>
          <w:color w:val="auto"/>
          <w:sz w:val="24"/>
          <w:highlight w:val="none"/>
          <w:lang w:val="en-US" w:eastAsia="zh-CN"/>
        </w:rPr>
        <w:t>11</w:t>
      </w:r>
      <w:r>
        <w:rPr>
          <w:rFonts w:hint="eastAsia" w:ascii="宋体" w:hAnsi="宋体" w:eastAsia="宋体" w:cs="宋体"/>
          <w:color w:val="auto"/>
          <w:sz w:val="24"/>
          <w:highlight w:val="none"/>
          <w:lang w:eastAsia="zh-CN"/>
        </w:rPr>
        <w:t>月</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日公告发布之时至</w:t>
      </w:r>
      <w:r>
        <w:rPr>
          <w:rFonts w:hint="eastAsia" w:ascii="宋体" w:hAnsi="宋体" w:eastAsia="宋体" w:cs="宋体"/>
          <w:color w:val="auto"/>
          <w:sz w:val="24"/>
          <w:highlight w:val="none"/>
          <w:lang w:eastAsia="zh-CN"/>
        </w:rPr>
        <w:t>2025年</w:t>
      </w:r>
      <w:r>
        <w:rPr>
          <w:rFonts w:hint="eastAsia" w:ascii="宋体" w:hAnsi="宋体" w:eastAsia="宋体" w:cs="宋体"/>
          <w:color w:val="auto"/>
          <w:sz w:val="24"/>
          <w:highlight w:val="none"/>
          <w:lang w:val="en-US" w:eastAsia="zh-CN"/>
        </w:rPr>
        <w:t>11</w:t>
      </w:r>
      <w:r>
        <w:rPr>
          <w:rFonts w:hint="eastAsia" w:ascii="宋体" w:hAnsi="宋体" w:eastAsia="宋体" w:cs="宋体"/>
          <w:color w:val="auto"/>
          <w:sz w:val="24"/>
          <w:highlight w:val="none"/>
          <w:lang w:eastAsia="zh-CN"/>
        </w:rPr>
        <w:t>月</w:t>
      </w:r>
      <w:r>
        <w:rPr>
          <w:rFonts w:hint="eastAsia" w:ascii="宋体" w:hAnsi="宋体" w:eastAsia="宋体" w:cs="宋体"/>
          <w:color w:val="auto"/>
          <w:sz w:val="24"/>
          <w:highlight w:val="none"/>
          <w:lang w:val="en-US" w:eastAsia="zh-CN"/>
        </w:rPr>
        <w:t>10</w:t>
      </w:r>
      <w:r>
        <w:rPr>
          <w:rFonts w:hint="eastAsia" w:ascii="宋体" w:hAnsi="宋体" w:eastAsia="宋体" w:cs="宋体"/>
          <w:color w:val="auto"/>
          <w:sz w:val="24"/>
          <w:highlight w:val="none"/>
        </w:rPr>
        <w:t>日，每天上午00：00至12：00，下午12：00至23：59（北京时间 ）。</w:t>
      </w:r>
    </w:p>
    <w:p w14:paraId="3AAF00B8">
      <w:pPr>
        <w:pageBreakBefore w:val="0"/>
        <w:kinsoku/>
        <w:wordWrap/>
        <w:overflowPunct/>
        <w:topLinePunct w:val="0"/>
        <w:autoSpaceDE/>
        <w:autoSpaceDN/>
        <w:bidi w:val="0"/>
        <w:adjustRightInd/>
        <w:spacing w:line="348"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地点（网址）：广西政府采购云平台（</w:t>
      </w:r>
      <w:r>
        <w:rPr>
          <w:rFonts w:hint="eastAsia" w:ascii="宋体" w:hAnsi="宋体" w:eastAsia="宋体" w:cs="宋体"/>
          <w:snapToGrid w:val="0"/>
          <w:color w:val="auto"/>
          <w:sz w:val="24"/>
          <w:highlight w:val="none"/>
        </w:rPr>
        <w:t>https：//www.gcy.zfcg.gxzf.gov.cn/</w:t>
      </w:r>
      <w:r>
        <w:rPr>
          <w:rFonts w:hint="eastAsia" w:ascii="宋体" w:hAnsi="宋体" w:eastAsia="宋体" w:cs="宋体"/>
          <w:color w:val="auto"/>
          <w:sz w:val="24"/>
          <w:highlight w:val="none"/>
        </w:rPr>
        <w:t>）。</w:t>
      </w:r>
    </w:p>
    <w:p w14:paraId="764D65EE">
      <w:pPr>
        <w:pageBreakBefore w:val="0"/>
        <w:kinsoku/>
        <w:wordWrap/>
        <w:overflowPunct/>
        <w:topLinePunct w:val="0"/>
        <w:autoSpaceDE/>
        <w:autoSpaceDN/>
        <w:bidi w:val="0"/>
        <w:adjustRightInd/>
        <w:spacing w:line="348"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方式：网上下载。本项目不发放纸质采购文件，潜在供应商可自行在广西政府采购云平台（https：//www.gcy.zfcg.gxzf.gov.cn/）下载采购文件（操作路径：登录广西政府采购云平台-项目采购-获取采购文件-找到本项目-点击“申请获取采购文件”），电子响应文件制作需要基于广西政府采购云平台（https：//www.gcy.zfcg.gxzf.gov.cn/）获取的采购文件编制。 </w:t>
      </w:r>
    </w:p>
    <w:p w14:paraId="600F0E9A">
      <w:pPr>
        <w:pStyle w:val="3"/>
        <w:pageBreakBefore w:val="0"/>
        <w:kinsoku/>
        <w:wordWrap/>
        <w:overflowPunct/>
        <w:topLinePunct w:val="0"/>
        <w:autoSpaceDE/>
        <w:autoSpaceDN/>
        <w:bidi w:val="0"/>
        <w:adjustRightInd/>
        <w:spacing w:before="0" w:after="0" w:line="348" w:lineRule="auto"/>
        <w:rPr>
          <w:rFonts w:hint="eastAsia" w:ascii="宋体" w:hAnsi="宋体" w:eastAsia="宋体" w:cs="宋体"/>
          <w:bCs w:val="0"/>
          <w:color w:val="auto"/>
          <w:sz w:val="24"/>
          <w:szCs w:val="24"/>
          <w:highlight w:val="none"/>
        </w:rPr>
      </w:pPr>
      <w:bookmarkStart w:id="46" w:name="_Toc4425"/>
      <w:bookmarkStart w:id="47" w:name="_Toc25879"/>
      <w:bookmarkStart w:id="48" w:name="_Toc21517"/>
      <w:bookmarkStart w:id="49" w:name="_Toc8151"/>
      <w:bookmarkStart w:id="50" w:name="_Toc3654"/>
      <w:bookmarkStart w:id="51" w:name="_Toc2344"/>
      <w:bookmarkStart w:id="52" w:name="_Toc20879"/>
      <w:r>
        <w:rPr>
          <w:rFonts w:hint="eastAsia" w:ascii="宋体" w:hAnsi="宋体" w:eastAsia="宋体" w:cs="宋体"/>
          <w:bCs w:val="0"/>
          <w:color w:val="auto"/>
          <w:sz w:val="24"/>
          <w:szCs w:val="24"/>
          <w:highlight w:val="none"/>
        </w:rPr>
        <w:t>四、响应文件提交</w:t>
      </w:r>
      <w:bookmarkEnd w:id="41"/>
      <w:bookmarkEnd w:id="42"/>
      <w:bookmarkEnd w:id="43"/>
      <w:bookmarkEnd w:id="44"/>
      <w:bookmarkEnd w:id="45"/>
      <w:bookmarkEnd w:id="46"/>
      <w:bookmarkEnd w:id="47"/>
      <w:bookmarkEnd w:id="48"/>
      <w:bookmarkEnd w:id="49"/>
      <w:bookmarkEnd w:id="50"/>
      <w:bookmarkEnd w:id="51"/>
      <w:bookmarkEnd w:id="52"/>
    </w:p>
    <w:p w14:paraId="22A8EDCA">
      <w:pPr>
        <w:pageBreakBefore w:val="0"/>
        <w:kinsoku/>
        <w:wordWrap/>
        <w:overflowPunct/>
        <w:topLinePunct w:val="0"/>
        <w:autoSpaceDE/>
        <w:autoSpaceDN/>
        <w:bidi w:val="0"/>
        <w:adjustRightInd/>
        <w:spacing w:line="348" w:lineRule="auto"/>
        <w:ind w:firstLine="480" w:firstLineChars="200"/>
        <w:rPr>
          <w:rFonts w:hint="eastAsia" w:ascii="宋体" w:hAnsi="宋体" w:eastAsia="宋体" w:cs="宋体"/>
          <w:bCs/>
          <w:color w:val="auto"/>
          <w:sz w:val="24"/>
          <w:highlight w:val="none"/>
        </w:rPr>
      </w:pPr>
      <w:bookmarkStart w:id="53" w:name="_Toc28359016"/>
      <w:bookmarkStart w:id="54" w:name="_Toc35393802"/>
      <w:bookmarkStart w:id="55" w:name="_Toc28359093"/>
      <w:bookmarkStart w:id="56" w:name="_Toc44229882"/>
      <w:bookmarkStart w:id="57" w:name="_Toc35393633"/>
      <w:r>
        <w:rPr>
          <w:rFonts w:hint="eastAsia" w:ascii="宋体" w:hAnsi="宋体" w:eastAsia="宋体" w:cs="宋体"/>
          <w:color w:val="auto"/>
          <w:sz w:val="24"/>
          <w:highlight w:val="none"/>
        </w:rPr>
        <w:t>截止时间：</w:t>
      </w:r>
      <w:r>
        <w:rPr>
          <w:rFonts w:hint="eastAsia" w:ascii="宋体" w:hAnsi="宋体" w:eastAsia="宋体" w:cs="宋体"/>
          <w:color w:val="auto"/>
          <w:sz w:val="24"/>
          <w:highlight w:val="none"/>
          <w:u w:val="single"/>
          <w:lang w:eastAsia="zh-CN"/>
        </w:rPr>
        <w:t>2025年</w:t>
      </w:r>
      <w:r>
        <w:rPr>
          <w:rFonts w:hint="eastAsia" w:ascii="宋体" w:hAnsi="宋体" w:eastAsia="宋体" w:cs="宋体"/>
          <w:color w:val="auto"/>
          <w:sz w:val="24"/>
          <w:highlight w:val="none"/>
          <w:u w:val="single"/>
          <w:lang w:val="en-US" w:eastAsia="zh-CN"/>
        </w:rPr>
        <w:t>11</w:t>
      </w:r>
      <w:r>
        <w:rPr>
          <w:rFonts w:hint="eastAsia" w:ascii="宋体" w:hAnsi="宋体" w:eastAsia="宋体" w:cs="宋体"/>
          <w:color w:val="auto"/>
          <w:sz w:val="24"/>
          <w:highlight w:val="none"/>
          <w:u w:val="single"/>
          <w:lang w:eastAsia="zh-CN"/>
        </w:rPr>
        <w:t>月</w:t>
      </w:r>
      <w:r>
        <w:rPr>
          <w:rFonts w:hint="eastAsia" w:ascii="宋体" w:hAnsi="宋体" w:eastAsia="宋体" w:cs="宋体"/>
          <w:bCs/>
          <w:color w:val="auto"/>
          <w:sz w:val="24"/>
          <w:highlight w:val="none"/>
          <w:u w:val="single"/>
          <w:lang w:val="en-US" w:eastAsia="zh-CN"/>
        </w:rPr>
        <w:t>14</w:t>
      </w:r>
      <w:r>
        <w:rPr>
          <w:rFonts w:hint="eastAsia" w:ascii="宋体" w:hAnsi="宋体" w:eastAsia="宋体" w:cs="宋体"/>
          <w:bCs/>
          <w:color w:val="auto"/>
          <w:sz w:val="24"/>
          <w:highlight w:val="none"/>
          <w:u w:val="single"/>
        </w:rPr>
        <w:t>日10点00分</w:t>
      </w:r>
      <w:r>
        <w:rPr>
          <w:rFonts w:hint="eastAsia" w:ascii="宋体" w:hAnsi="宋体" w:eastAsia="宋体" w:cs="宋体"/>
          <w:bCs/>
          <w:color w:val="auto"/>
          <w:sz w:val="24"/>
          <w:highlight w:val="none"/>
        </w:rPr>
        <w:t>（北京时间）</w:t>
      </w:r>
    </w:p>
    <w:p w14:paraId="64F6BD49">
      <w:pPr>
        <w:pageBreakBefore w:val="0"/>
        <w:kinsoku/>
        <w:wordWrap/>
        <w:overflowPunct/>
        <w:topLinePunct w:val="0"/>
        <w:autoSpaceDE/>
        <w:autoSpaceDN/>
        <w:bidi w:val="0"/>
        <w:adjustRightInd/>
        <w:spacing w:line="348"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地点：广西政府采购云平台</w:t>
      </w:r>
    </w:p>
    <w:p w14:paraId="2DEF7D1F">
      <w:pPr>
        <w:pStyle w:val="3"/>
        <w:pageBreakBefore w:val="0"/>
        <w:kinsoku/>
        <w:wordWrap/>
        <w:overflowPunct/>
        <w:topLinePunct w:val="0"/>
        <w:autoSpaceDE/>
        <w:autoSpaceDN/>
        <w:bidi w:val="0"/>
        <w:adjustRightInd/>
        <w:spacing w:before="0" w:after="0" w:line="348" w:lineRule="auto"/>
        <w:rPr>
          <w:rFonts w:hint="eastAsia" w:ascii="宋体" w:hAnsi="宋体" w:eastAsia="宋体" w:cs="宋体"/>
          <w:bCs w:val="0"/>
          <w:color w:val="auto"/>
          <w:sz w:val="24"/>
          <w:szCs w:val="24"/>
          <w:highlight w:val="none"/>
        </w:rPr>
      </w:pPr>
      <w:bookmarkStart w:id="58" w:name="_Toc26727"/>
      <w:bookmarkStart w:id="59" w:name="_Toc21155"/>
      <w:bookmarkStart w:id="60" w:name="_Toc15464"/>
      <w:bookmarkStart w:id="61" w:name="_Toc21732"/>
      <w:bookmarkStart w:id="62" w:name="_Toc3180"/>
      <w:bookmarkStart w:id="63" w:name="_Toc20987"/>
      <w:bookmarkStart w:id="64" w:name="_Toc6637"/>
      <w:r>
        <w:rPr>
          <w:rFonts w:hint="eastAsia" w:ascii="宋体" w:hAnsi="宋体" w:eastAsia="宋体" w:cs="宋体"/>
          <w:bCs w:val="0"/>
          <w:color w:val="auto"/>
          <w:sz w:val="24"/>
          <w:szCs w:val="24"/>
          <w:highlight w:val="none"/>
        </w:rPr>
        <w:t>五、开启</w:t>
      </w:r>
      <w:bookmarkEnd w:id="53"/>
      <w:bookmarkEnd w:id="54"/>
      <w:bookmarkEnd w:id="55"/>
      <w:bookmarkEnd w:id="56"/>
      <w:bookmarkEnd w:id="57"/>
      <w:bookmarkEnd w:id="58"/>
      <w:bookmarkEnd w:id="59"/>
      <w:bookmarkEnd w:id="60"/>
      <w:bookmarkEnd w:id="61"/>
      <w:bookmarkEnd w:id="62"/>
      <w:bookmarkEnd w:id="63"/>
      <w:bookmarkEnd w:id="64"/>
    </w:p>
    <w:p w14:paraId="3DDC7C38">
      <w:pPr>
        <w:pageBreakBefore w:val="0"/>
        <w:kinsoku/>
        <w:wordWrap/>
        <w:overflowPunct/>
        <w:topLinePunct w:val="0"/>
        <w:autoSpaceDE/>
        <w:autoSpaceDN/>
        <w:bidi w:val="0"/>
        <w:adjustRightInd/>
        <w:spacing w:line="348" w:lineRule="auto"/>
        <w:ind w:firstLine="480" w:firstLineChars="200"/>
        <w:rPr>
          <w:rFonts w:hint="eastAsia" w:ascii="宋体" w:hAnsi="宋体" w:eastAsia="宋体" w:cs="宋体"/>
          <w:bCs/>
          <w:color w:val="auto"/>
          <w:sz w:val="24"/>
          <w:highlight w:val="none"/>
          <w:u w:val="single"/>
        </w:rPr>
      </w:pPr>
      <w:bookmarkStart w:id="65" w:name="_Toc44229883"/>
      <w:bookmarkStart w:id="66" w:name="_Toc35393634"/>
      <w:bookmarkStart w:id="67" w:name="_Toc28359094"/>
      <w:bookmarkStart w:id="68" w:name="_Toc28359017"/>
      <w:bookmarkStart w:id="69" w:name="_Toc35393803"/>
      <w:r>
        <w:rPr>
          <w:rFonts w:hint="eastAsia" w:ascii="宋体" w:hAnsi="宋体" w:eastAsia="宋体" w:cs="宋体"/>
          <w:color w:val="auto"/>
          <w:sz w:val="24"/>
          <w:highlight w:val="none"/>
        </w:rPr>
        <w:t>时间：</w:t>
      </w:r>
      <w:r>
        <w:rPr>
          <w:rFonts w:hint="eastAsia" w:ascii="宋体" w:hAnsi="宋体" w:eastAsia="宋体" w:cs="宋体"/>
          <w:color w:val="auto"/>
          <w:sz w:val="24"/>
          <w:highlight w:val="none"/>
          <w:u w:val="single"/>
          <w:lang w:eastAsia="zh-CN"/>
        </w:rPr>
        <w:t>2025年</w:t>
      </w:r>
      <w:r>
        <w:rPr>
          <w:rFonts w:hint="eastAsia" w:ascii="宋体" w:hAnsi="宋体" w:eastAsia="宋体" w:cs="宋体"/>
          <w:color w:val="auto"/>
          <w:sz w:val="24"/>
          <w:highlight w:val="none"/>
          <w:u w:val="single"/>
          <w:lang w:val="en-US" w:eastAsia="zh-CN"/>
        </w:rPr>
        <w:t>11</w:t>
      </w:r>
      <w:r>
        <w:rPr>
          <w:rFonts w:hint="eastAsia" w:ascii="宋体" w:hAnsi="宋体" w:eastAsia="宋体" w:cs="宋体"/>
          <w:color w:val="auto"/>
          <w:sz w:val="24"/>
          <w:highlight w:val="none"/>
          <w:u w:val="single"/>
          <w:lang w:eastAsia="zh-CN"/>
        </w:rPr>
        <w:t>月</w:t>
      </w:r>
      <w:r>
        <w:rPr>
          <w:rFonts w:hint="eastAsia" w:ascii="宋体" w:hAnsi="宋体" w:eastAsia="宋体" w:cs="宋体"/>
          <w:color w:val="auto"/>
          <w:sz w:val="24"/>
          <w:highlight w:val="none"/>
          <w:u w:val="single"/>
          <w:lang w:val="en-US" w:eastAsia="zh-CN"/>
        </w:rPr>
        <w:t>14</w:t>
      </w:r>
      <w:r>
        <w:rPr>
          <w:rFonts w:hint="eastAsia" w:ascii="宋体" w:hAnsi="宋体" w:eastAsia="宋体" w:cs="宋体"/>
          <w:bCs/>
          <w:color w:val="auto"/>
          <w:sz w:val="24"/>
          <w:highlight w:val="none"/>
          <w:u w:val="single"/>
        </w:rPr>
        <w:t>日10点00分</w:t>
      </w:r>
      <w:r>
        <w:rPr>
          <w:rFonts w:hint="eastAsia" w:ascii="宋体" w:hAnsi="宋体" w:eastAsia="宋体" w:cs="宋体"/>
          <w:bCs/>
          <w:color w:val="auto"/>
          <w:sz w:val="24"/>
          <w:highlight w:val="none"/>
        </w:rPr>
        <w:t>（北京时间）</w:t>
      </w:r>
    </w:p>
    <w:p w14:paraId="547D8431">
      <w:pPr>
        <w:pageBreakBefore w:val="0"/>
        <w:kinsoku/>
        <w:wordWrap/>
        <w:overflowPunct/>
        <w:topLinePunct w:val="0"/>
        <w:autoSpaceDE/>
        <w:autoSpaceDN/>
        <w:bidi w:val="0"/>
        <w:adjustRightInd/>
        <w:spacing w:line="348"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地点：广西政府采购云平台</w:t>
      </w:r>
    </w:p>
    <w:p w14:paraId="5577F9A2">
      <w:pPr>
        <w:pStyle w:val="3"/>
        <w:pageBreakBefore w:val="0"/>
        <w:kinsoku/>
        <w:wordWrap/>
        <w:overflowPunct/>
        <w:topLinePunct w:val="0"/>
        <w:autoSpaceDE/>
        <w:autoSpaceDN/>
        <w:bidi w:val="0"/>
        <w:adjustRightInd/>
        <w:spacing w:before="0" w:after="0" w:line="348" w:lineRule="auto"/>
        <w:rPr>
          <w:rFonts w:hint="eastAsia" w:ascii="宋体" w:hAnsi="宋体" w:eastAsia="宋体" w:cs="宋体"/>
          <w:color w:val="auto"/>
          <w:sz w:val="24"/>
          <w:szCs w:val="24"/>
          <w:highlight w:val="none"/>
        </w:rPr>
      </w:pPr>
      <w:bookmarkStart w:id="70" w:name="_Toc15327"/>
      <w:bookmarkStart w:id="71" w:name="_Toc29209"/>
      <w:bookmarkStart w:id="72" w:name="_Toc6317"/>
      <w:bookmarkStart w:id="73" w:name="_Toc24438"/>
      <w:bookmarkStart w:id="74" w:name="_Toc23606"/>
      <w:bookmarkStart w:id="75" w:name="_Toc22057"/>
      <w:bookmarkStart w:id="76" w:name="_Toc6072"/>
      <w:r>
        <w:rPr>
          <w:rFonts w:hint="eastAsia" w:ascii="宋体" w:hAnsi="宋体" w:eastAsia="宋体" w:cs="宋体"/>
          <w:color w:val="auto"/>
          <w:sz w:val="24"/>
          <w:szCs w:val="24"/>
          <w:highlight w:val="none"/>
        </w:rPr>
        <w:t>六、公告期限</w:t>
      </w:r>
      <w:bookmarkEnd w:id="65"/>
      <w:bookmarkEnd w:id="66"/>
      <w:bookmarkEnd w:id="67"/>
      <w:bookmarkEnd w:id="68"/>
      <w:bookmarkEnd w:id="69"/>
      <w:bookmarkEnd w:id="70"/>
      <w:bookmarkEnd w:id="71"/>
      <w:bookmarkEnd w:id="72"/>
      <w:bookmarkEnd w:id="73"/>
      <w:bookmarkEnd w:id="74"/>
      <w:bookmarkEnd w:id="75"/>
      <w:bookmarkEnd w:id="76"/>
    </w:p>
    <w:p w14:paraId="0E150224">
      <w:pPr>
        <w:pageBreakBefore w:val="0"/>
        <w:kinsoku/>
        <w:wordWrap/>
        <w:overflowPunct/>
        <w:topLinePunct w:val="0"/>
        <w:autoSpaceDE/>
        <w:autoSpaceDN/>
        <w:bidi w:val="0"/>
        <w:adjustRightInd/>
        <w:spacing w:line="348"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自本公告发布之日起5个工作日。</w:t>
      </w:r>
    </w:p>
    <w:p w14:paraId="25FCEF77">
      <w:pPr>
        <w:pStyle w:val="3"/>
        <w:pageBreakBefore w:val="0"/>
        <w:kinsoku/>
        <w:wordWrap/>
        <w:overflowPunct/>
        <w:topLinePunct w:val="0"/>
        <w:autoSpaceDE/>
        <w:autoSpaceDN/>
        <w:bidi w:val="0"/>
        <w:adjustRightInd/>
        <w:spacing w:before="0" w:after="0" w:line="348" w:lineRule="auto"/>
        <w:rPr>
          <w:rFonts w:hint="eastAsia" w:ascii="宋体" w:hAnsi="宋体" w:eastAsia="宋体" w:cs="宋体"/>
          <w:bCs w:val="0"/>
          <w:color w:val="auto"/>
          <w:sz w:val="24"/>
          <w:szCs w:val="24"/>
          <w:highlight w:val="none"/>
        </w:rPr>
      </w:pPr>
      <w:bookmarkStart w:id="77" w:name="_Toc44229884"/>
      <w:bookmarkStart w:id="78" w:name="_Toc2201"/>
      <w:bookmarkStart w:id="79" w:name="_Toc35393635"/>
      <w:bookmarkStart w:id="80" w:name="_Toc24202"/>
      <w:bookmarkStart w:id="81" w:name="_Toc8919"/>
      <w:bookmarkStart w:id="82" w:name="_Toc13669"/>
      <w:bookmarkStart w:id="83" w:name="_Toc26006"/>
      <w:bookmarkStart w:id="84" w:name="_Toc26822"/>
      <w:bookmarkStart w:id="85" w:name="_Toc35393804"/>
      <w:bookmarkStart w:id="86" w:name="_Toc18147"/>
      <w:r>
        <w:rPr>
          <w:rFonts w:hint="eastAsia" w:ascii="宋体" w:hAnsi="宋体" w:eastAsia="宋体" w:cs="宋体"/>
          <w:bCs w:val="0"/>
          <w:color w:val="auto"/>
          <w:sz w:val="24"/>
          <w:szCs w:val="24"/>
          <w:highlight w:val="none"/>
        </w:rPr>
        <w:t>七、其他补充事宜</w:t>
      </w:r>
      <w:bookmarkEnd w:id="77"/>
      <w:bookmarkEnd w:id="78"/>
      <w:bookmarkEnd w:id="79"/>
      <w:bookmarkEnd w:id="80"/>
      <w:bookmarkEnd w:id="81"/>
      <w:bookmarkEnd w:id="82"/>
      <w:bookmarkEnd w:id="83"/>
      <w:bookmarkEnd w:id="84"/>
      <w:bookmarkEnd w:id="85"/>
      <w:bookmarkEnd w:id="86"/>
    </w:p>
    <w:p w14:paraId="11DDAE57">
      <w:pPr>
        <w:pageBreakBefore w:val="0"/>
        <w:kinsoku/>
        <w:wordWrap/>
        <w:overflowPunct/>
        <w:topLinePunct w:val="0"/>
        <w:autoSpaceDE/>
        <w:autoSpaceDN/>
        <w:bidi w:val="0"/>
        <w:adjustRightInd/>
        <w:spacing w:line="348"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1.本项目无需缴纳磋商保证金。</w:t>
      </w:r>
    </w:p>
    <w:p w14:paraId="2E868948">
      <w:pPr>
        <w:pageBreakBefore w:val="0"/>
        <w:kinsoku/>
        <w:wordWrap/>
        <w:overflowPunct/>
        <w:topLinePunct w:val="0"/>
        <w:autoSpaceDE/>
        <w:autoSpaceDN/>
        <w:bidi w:val="0"/>
        <w:adjustRightInd/>
        <w:spacing w:line="348"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2.网上查询地址</w:t>
      </w:r>
    </w:p>
    <w:p w14:paraId="0D679A47">
      <w:pPr>
        <w:pageBreakBefore w:val="0"/>
        <w:kinsoku/>
        <w:wordWrap/>
        <w:overflowPunct/>
        <w:topLinePunct w:val="0"/>
        <w:autoSpaceDE/>
        <w:autoSpaceDN/>
        <w:bidi w:val="0"/>
        <w:adjustRightInd/>
        <w:spacing w:line="348"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www.ccgp.gov.cn（中国政府采购网）、zfcg.gxzf.gov.cn（广西壮族自治区政府采购网）、http：//ggzy.jgswj.gxzf.gov.cn/lbggzy/全国公共资源交易平台（广西•来宾）。</w:t>
      </w:r>
    </w:p>
    <w:p w14:paraId="36E210D5">
      <w:pPr>
        <w:pageBreakBefore w:val="0"/>
        <w:kinsoku/>
        <w:wordWrap/>
        <w:overflowPunct/>
        <w:topLinePunct w:val="0"/>
        <w:autoSpaceDE/>
        <w:autoSpaceDN/>
        <w:bidi w:val="0"/>
        <w:adjustRightInd/>
        <w:spacing w:line="348" w:lineRule="auto"/>
        <w:ind w:left="677" w:leftChars="208" w:hanging="240" w:hangingChars="100"/>
        <w:outlineLvl w:val="2"/>
        <w:rPr>
          <w:rFonts w:hint="eastAsia" w:ascii="宋体" w:hAnsi="宋体" w:eastAsia="宋体" w:cs="宋体"/>
          <w:color w:val="auto"/>
          <w:kern w:val="0"/>
          <w:sz w:val="24"/>
          <w:highlight w:val="none"/>
        </w:rPr>
      </w:pPr>
      <w:bookmarkStart w:id="87" w:name="_Toc24479"/>
      <w:bookmarkStart w:id="88" w:name="_Toc8858"/>
      <w:bookmarkStart w:id="89" w:name="_Toc8940"/>
      <w:r>
        <w:rPr>
          <w:rFonts w:hint="eastAsia" w:ascii="宋体" w:hAnsi="宋体" w:eastAsia="宋体" w:cs="宋体"/>
          <w:color w:val="auto"/>
          <w:kern w:val="0"/>
          <w:sz w:val="24"/>
          <w:highlight w:val="none"/>
        </w:rPr>
        <w:t>3.本项目需要落实的政府采购政策</w:t>
      </w:r>
      <w:bookmarkEnd w:id="87"/>
      <w:bookmarkEnd w:id="88"/>
      <w:bookmarkEnd w:id="89"/>
    </w:p>
    <w:p w14:paraId="71B7871C">
      <w:pPr>
        <w:pageBreakBefore w:val="0"/>
        <w:kinsoku/>
        <w:wordWrap/>
        <w:overflowPunct/>
        <w:topLinePunct w:val="0"/>
        <w:autoSpaceDE/>
        <w:autoSpaceDN/>
        <w:bidi w:val="0"/>
        <w:adjustRightInd/>
        <w:spacing w:line="348" w:lineRule="auto"/>
        <w:ind w:firstLine="360" w:firstLineChars="15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（1）政府采购促进中小企业发展。</w:t>
      </w:r>
    </w:p>
    <w:p w14:paraId="72DE1BD8">
      <w:pPr>
        <w:pageBreakBefore w:val="0"/>
        <w:kinsoku/>
        <w:wordWrap/>
        <w:overflowPunct/>
        <w:topLinePunct w:val="0"/>
        <w:autoSpaceDE/>
        <w:autoSpaceDN/>
        <w:bidi w:val="0"/>
        <w:adjustRightInd/>
        <w:spacing w:line="348" w:lineRule="auto"/>
        <w:ind w:firstLine="360" w:firstLineChars="15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（2）政府采购支持采用本国产品的政策。</w:t>
      </w:r>
    </w:p>
    <w:p w14:paraId="70F72654">
      <w:pPr>
        <w:pageBreakBefore w:val="0"/>
        <w:kinsoku/>
        <w:wordWrap/>
        <w:overflowPunct/>
        <w:topLinePunct w:val="0"/>
        <w:autoSpaceDE/>
        <w:autoSpaceDN/>
        <w:bidi w:val="0"/>
        <w:adjustRightInd/>
        <w:spacing w:line="348" w:lineRule="auto"/>
        <w:ind w:firstLine="360" w:firstLineChars="15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（3）强制采购节能产品；优先采购节能产品、环境标志产品。</w:t>
      </w:r>
    </w:p>
    <w:p w14:paraId="21B13155">
      <w:pPr>
        <w:pageBreakBefore w:val="0"/>
        <w:kinsoku/>
        <w:wordWrap/>
        <w:overflowPunct/>
        <w:topLinePunct w:val="0"/>
        <w:autoSpaceDE/>
        <w:autoSpaceDN/>
        <w:bidi w:val="0"/>
        <w:adjustRightInd/>
        <w:spacing w:line="348" w:lineRule="auto"/>
        <w:ind w:firstLine="360" w:firstLineChars="15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（4）政府采购促进残疾人就业政策。</w:t>
      </w:r>
    </w:p>
    <w:p w14:paraId="180050C5">
      <w:pPr>
        <w:pageBreakBefore w:val="0"/>
        <w:kinsoku/>
        <w:wordWrap/>
        <w:overflowPunct/>
        <w:topLinePunct w:val="0"/>
        <w:autoSpaceDE/>
        <w:autoSpaceDN/>
        <w:bidi w:val="0"/>
        <w:adjustRightInd/>
        <w:spacing w:line="348" w:lineRule="auto"/>
        <w:ind w:firstLine="360" w:firstLineChars="15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（5）政府采购支持监狱企业发展。</w:t>
      </w:r>
    </w:p>
    <w:p w14:paraId="6D295A12">
      <w:pPr>
        <w:pageBreakBefore w:val="0"/>
        <w:kinsoku/>
        <w:wordWrap/>
        <w:overflowPunct/>
        <w:topLinePunct w:val="0"/>
        <w:autoSpaceDE/>
        <w:autoSpaceDN/>
        <w:bidi w:val="0"/>
        <w:adjustRightInd/>
        <w:spacing w:line="348"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4.为配合采购人执行政府采购项目及备案，未入驻广西政府采购云平台的供应商请在获取竞争性磋商文件后登录广西政府采购云平台（网址：</w:t>
      </w:r>
      <w:r>
        <w:rPr>
          <w:rFonts w:hint="eastAsia" w:ascii="宋体" w:hAnsi="宋体" w:eastAsia="宋体" w:cs="宋体"/>
          <w:snapToGrid w:val="0"/>
          <w:color w:val="auto"/>
          <w:sz w:val="24"/>
          <w:highlight w:val="none"/>
        </w:rPr>
        <w:t>https：//www.gcy.zfcg.gxzf.gov.cn/</w:t>
      </w:r>
      <w:r>
        <w:rPr>
          <w:rFonts w:hint="eastAsia" w:ascii="宋体" w:hAnsi="宋体" w:eastAsia="宋体" w:cs="宋体"/>
          <w:color w:val="auto"/>
          <w:kern w:val="0"/>
          <w:sz w:val="24"/>
          <w:highlight w:val="none"/>
        </w:rPr>
        <w:t>）进行商家入驻，如在操作过程中遇到问题或需技术支持，请致电客服热线：95763。</w:t>
      </w:r>
    </w:p>
    <w:p w14:paraId="0D1DF46E">
      <w:pPr>
        <w:pageBreakBefore w:val="0"/>
        <w:kinsoku/>
        <w:wordWrap/>
        <w:overflowPunct/>
        <w:topLinePunct w:val="0"/>
        <w:autoSpaceDE/>
        <w:autoSpaceDN/>
        <w:bidi w:val="0"/>
        <w:adjustRightInd/>
        <w:spacing w:line="348" w:lineRule="auto"/>
        <w:ind w:firstLine="480" w:firstLineChars="200"/>
        <w:outlineLvl w:val="2"/>
        <w:rPr>
          <w:rFonts w:hint="eastAsia" w:ascii="宋体" w:hAnsi="宋体" w:eastAsia="宋体" w:cs="宋体"/>
          <w:color w:val="auto"/>
          <w:sz w:val="24"/>
          <w:highlight w:val="none"/>
        </w:rPr>
      </w:pPr>
      <w:bookmarkStart w:id="90" w:name="_Toc4748"/>
      <w:bookmarkStart w:id="91" w:name="_Toc15544"/>
      <w:bookmarkStart w:id="92" w:name="_Toc13146"/>
      <w:r>
        <w:rPr>
          <w:rFonts w:hint="eastAsia" w:ascii="宋体" w:hAnsi="宋体" w:eastAsia="宋体" w:cs="宋体"/>
          <w:color w:val="auto"/>
          <w:sz w:val="24"/>
          <w:highlight w:val="none"/>
        </w:rPr>
        <w:t>5.在线投标响应（电子投标）说明：</w:t>
      </w:r>
      <w:bookmarkEnd w:id="90"/>
      <w:bookmarkEnd w:id="91"/>
      <w:bookmarkEnd w:id="92"/>
    </w:p>
    <w:p w14:paraId="3D69D40A">
      <w:pPr>
        <w:pageBreakBefore w:val="0"/>
        <w:kinsoku/>
        <w:wordWrap/>
        <w:overflowPunct/>
        <w:topLinePunct w:val="0"/>
        <w:autoSpaceDE/>
        <w:autoSpaceDN/>
        <w:bidi w:val="0"/>
        <w:adjustRightInd/>
        <w:spacing w:line="348"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本项目通过广西政府采购云平台实行在线投标响应（电子投标），供应商需要先安装“广西政府采购云平台客户端”，并按照本采购文件和广西政府采购云平台的要求，通过“广西政府采购云平台客户端”编制并加密响应文件。供应商未按规定编制并加密的响应文件，广西政府采购云平台将予以拒收。</w:t>
      </w:r>
    </w:p>
    <w:p w14:paraId="7A6F82E0">
      <w:pPr>
        <w:pageBreakBefore w:val="0"/>
        <w:kinsoku/>
        <w:wordWrap/>
        <w:overflowPunct/>
        <w:topLinePunct w:val="0"/>
        <w:autoSpaceDE/>
        <w:autoSpaceDN/>
        <w:bidi w:val="0"/>
        <w:adjustRightInd/>
        <w:spacing w:line="348"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广西政府采购云平台客户端”请自行下载并安装（客户端地址：https：//sitecdn.zcycdn.com/zcy-client/bidding-client-new/official/guangxi/GuangXiSetup.exe）；电子投标具体操作流程参考《政府采购项目电子交易管理操作指南-供应商》；在使用广西政府采购云平台客户端时，建议使用WIN7及以上操作系统，通过广西政府采购云平台参与在线投标时如遇平台技术问题详询95763。</w:t>
      </w:r>
    </w:p>
    <w:p w14:paraId="4017DBE4">
      <w:pPr>
        <w:pageBreakBefore w:val="0"/>
        <w:kinsoku/>
        <w:wordWrap/>
        <w:overflowPunct/>
        <w:topLinePunct w:val="0"/>
        <w:autoSpaceDE/>
        <w:autoSpaceDN/>
        <w:bidi w:val="0"/>
        <w:adjustRightInd/>
        <w:spacing w:line="348"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为确保网上操作合法、有效和安全，供应商应当在开标截止时间前完成在“广西政府采购云平台”的身份认证，确保在电子投标过程中能够对相关数据电文进行加密和使用电子签章。使用“广西政府采购云平台客户端”需要提前申领CA数字证书，申领流程请自行前往相关网站进行查阅（完成CA数字证书办理预计一周左右，建议供应商获取采购文件后立即办理）。</w:t>
      </w:r>
    </w:p>
    <w:p w14:paraId="6AAE76B4">
      <w:pPr>
        <w:pageBreakBefore w:val="0"/>
        <w:kinsoku/>
        <w:wordWrap/>
        <w:overflowPunct/>
        <w:topLinePunct w:val="0"/>
        <w:autoSpaceDE/>
        <w:autoSpaceDN/>
        <w:bidi w:val="0"/>
        <w:adjustRightInd/>
        <w:spacing w:line="348"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供应商应当在开标截止时间前，将生成的“电子加密响应文件”上传递交至广西政府采购云平台。响应文件递交截止时间前可以补充、修改或者撤回电子响应文件。补充或者修改电子响应文件的，应当先行撤回原文件，补充、修改后重新传输递交，开标截止时间前未完成传输的，视为撤回响应文件。</w:t>
      </w:r>
    </w:p>
    <w:p w14:paraId="2B6EE73A">
      <w:pPr>
        <w:pageBreakBefore w:val="0"/>
        <w:kinsoku/>
        <w:wordWrap/>
        <w:overflowPunct/>
        <w:topLinePunct w:val="0"/>
        <w:autoSpaceDE/>
        <w:autoSpaceDN/>
        <w:bidi w:val="0"/>
        <w:adjustRightInd/>
        <w:spacing w:line="348"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响应文件递交截止时间后，广西政府采购云平台自动提取所有响应文件，各供应商须在提交响应文件截止后30分钟内对上传广西政府采购云平台的响应文件进行解密，所有供应商在规定的解密时限内解密完成或解密时限到后，采购代理机构开启响应文件；供应商超过解密时限的，系统默认自动放弃。</w:t>
      </w:r>
    </w:p>
    <w:p w14:paraId="766E7FBD">
      <w:pPr>
        <w:pageBreakBefore w:val="0"/>
        <w:kinsoku/>
        <w:wordWrap/>
        <w:overflowPunct/>
        <w:topLinePunct w:val="0"/>
        <w:autoSpaceDE/>
        <w:autoSpaceDN/>
        <w:bidi w:val="0"/>
        <w:adjustRightInd/>
        <w:spacing w:line="348"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在供应商提交了电子备份响应文件后，如通过广西政府采购云平台上传递交的电子加密响应文件无法按时解密且备份响应文件无法通过广西政府采购云平台“异常处理”端口处理的视为响应文件撤回，所造成的后果由供应商自行承担。通过广西政府采购云平台上传递交的“电子加密响应文件”已按时解密的，“备份响应文件”自动失效。供应商仅递交备份响应文件的，响应无效。 </w:t>
      </w:r>
    </w:p>
    <w:p w14:paraId="5BA4F097">
      <w:pPr>
        <w:pStyle w:val="3"/>
        <w:pageBreakBefore w:val="0"/>
        <w:kinsoku/>
        <w:wordWrap/>
        <w:overflowPunct/>
        <w:topLinePunct w:val="0"/>
        <w:autoSpaceDE/>
        <w:autoSpaceDN/>
        <w:bidi w:val="0"/>
        <w:adjustRightInd/>
        <w:spacing w:before="0" w:after="0" w:line="348" w:lineRule="auto"/>
        <w:rPr>
          <w:rFonts w:hint="eastAsia" w:ascii="宋体" w:hAnsi="宋体" w:eastAsia="宋体" w:cs="宋体"/>
          <w:bCs w:val="0"/>
          <w:color w:val="auto"/>
          <w:sz w:val="24"/>
          <w:szCs w:val="24"/>
          <w:highlight w:val="none"/>
        </w:rPr>
      </w:pPr>
      <w:bookmarkStart w:id="93" w:name="_Toc44229885"/>
      <w:bookmarkStart w:id="94" w:name="_Toc9504"/>
      <w:bookmarkStart w:id="95" w:name="_Toc21505"/>
      <w:bookmarkStart w:id="96" w:name="_Toc35393636"/>
      <w:bookmarkStart w:id="97" w:name="_Toc272"/>
      <w:bookmarkStart w:id="98" w:name="_Toc35393805"/>
      <w:bookmarkStart w:id="99" w:name="_Toc29400"/>
      <w:bookmarkStart w:id="100" w:name="_Toc28359018"/>
      <w:bookmarkStart w:id="101" w:name="_Toc20401"/>
      <w:bookmarkStart w:id="102" w:name="_Toc8199"/>
      <w:bookmarkStart w:id="103" w:name="_Toc28359095"/>
      <w:bookmarkStart w:id="104" w:name="_Toc5768"/>
      <w:r>
        <w:rPr>
          <w:rFonts w:hint="eastAsia" w:ascii="宋体" w:hAnsi="宋体" w:eastAsia="宋体" w:cs="宋体"/>
          <w:bCs w:val="0"/>
          <w:color w:val="auto"/>
          <w:sz w:val="24"/>
          <w:szCs w:val="24"/>
          <w:highlight w:val="none"/>
        </w:rPr>
        <w:t>八、凡对本次采购提出询问，请按以下方式联系。</w:t>
      </w:r>
      <w:bookmarkEnd w:id="93"/>
      <w:bookmarkEnd w:id="94"/>
      <w:bookmarkEnd w:id="95"/>
      <w:bookmarkEnd w:id="96"/>
      <w:bookmarkEnd w:id="97"/>
      <w:bookmarkEnd w:id="98"/>
      <w:bookmarkEnd w:id="99"/>
      <w:bookmarkEnd w:id="100"/>
      <w:bookmarkEnd w:id="101"/>
      <w:bookmarkEnd w:id="102"/>
      <w:bookmarkEnd w:id="103"/>
      <w:bookmarkEnd w:id="104"/>
    </w:p>
    <w:p w14:paraId="670ED059">
      <w:pPr>
        <w:pageBreakBefore w:val="0"/>
        <w:kinsoku/>
        <w:wordWrap/>
        <w:overflowPunct/>
        <w:topLinePunct w:val="0"/>
        <w:autoSpaceDE/>
        <w:autoSpaceDN/>
        <w:bidi w:val="0"/>
        <w:adjustRightInd/>
        <w:spacing w:line="348" w:lineRule="auto"/>
        <w:ind w:firstLine="480" w:firstLineChars="200"/>
        <w:outlineLvl w:val="2"/>
        <w:rPr>
          <w:rFonts w:hint="eastAsia" w:ascii="宋体" w:hAnsi="宋体" w:eastAsia="宋体" w:cs="宋体"/>
          <w:color w:val="auto"/>
          <w:kern w:val="0"/>
          <w:sz w:val="24"/>
          <w:highlight w:val="none"/>
        </w:rPr>
      </w:pPr>
      <w:bookmarkStart w:id="105" w:name="_Toc28359019"/>
      <w:bookmarkStart w:id="106" w:name="_Toc35393806"/>
      <w:bookmarkStart w:id="107" w:name="_Toc863"/>
      <w:bookmarkStart w:id="108" w:name="_Toc28359096"/>
      <w:bookmarkStart w:id="109" w:name="_Toc19083"/>
      <w:bookmarkStart w:id="110" w:name="_Toc35393637"/>
      <w:bookmarkStart w:id="111" w:name="_Toc4650"/>
      <w:r>
        <w:rPr>
          <w:rFonts w:hint="eastAsia" w:ascii="宋体" w:hAnsi="宋体" w:eastAsia="宋体" w:cs="宋体"/>
          <w:color w:val="auto"/>
          <w:kern w:val="0"/>
          <w:sz w:val="24"/>
          <w:highlight w:val="none"/>
        </w:rPr>
        <w:t>1.采购人信息</w:t>
      </w:r>
      <w:bookmarkEnd w:id="105"/>
      <w:bookmarkEnd w:id="106"/>
      <w:bookmarkEnd w:id="107"/>
      <w:bookmarkEnd w:id="108"/>
      <w:bookmarkEnd w:id="109"/>
      <w:bookmarkEnd w:id="110"/>
      <w:bookmarkEnd w:id="111"/>
    </w:p>
    <w:p w14:paraId="6A314162">
      <w:pPr>
        <w:pageBreakBefore w:val="0"/>
        <w:kinsoku/>
        <w:wordWrap/>
        <w:overflowPunct/>
        <w:topLinePunct w:val="0"/>
        <w:autoSpaceDE/>
        <w:autoSpaceDN/>
        <w:bidi w:val="0"/>
        <w:adjustRightInd/>
        <w:spacing w:line="348" w:lineRule="auto"/>
        <w:ind w:firstLine="480" w:firstLineChars="200"/>
        <w:rPr>
          <w:rFonts w:hint="eastAsia" w:ascii="宋体" w:hAnsi="宋体" w:eastAsia="宋体" w:cs="宋体"/>
          <w:color w:val="auto"/>
          <w:sz w:val="24"/>
          <w:highlight w:val="none"/>
          <w:lang w:eastAsia="zh-CN"/>
        </w:rPr>
      </w:pPr>
      <w:bookmarkStart w:id="112" w:name="_Toc35393638"/>
      <w:bookmarkStart w:id="113" w:name="_Toc28359097"/>
      <w:bookmarkStart w:id="114" w:name="_Toc28359020"/>
      <w:bookmarkStart w:id="115" w:name="_Toc35393807"/>
      <w:r>
        <w:rPr>
          <w:rFonts w:hint="eastAsia" w:ascii="宋体" w:hAnsi="宋体" w:eastAsia="宋体" w:cs="宋体"/>
          <w:color w:val="auto"/>
          <w:kern w:val="0"/>
          <w:sz w:val="24"/>
          <w:highlight w:val="none"/>
        </w:rPr>
        <w:t>名    称：</w:t>
      </w:r>
      <w:r>
        <w:rPr>
          <w:rFonts w:hint="eastAsia" w:ascii="宋体" w:hAnsi="宋体" w:eastAsia="宋体" w:cs="宋体"/>
          <w:color w:val="auto"/>
          <w:sz w:val="24"/>
          <w:highlight w:val="none"/>
          <w:lang w:eastAsia="zh-CN"/>
        </w:rPr>
        <w:t xml:space="preserve">武宣县农业农村局    </w:t>
      </w:r>
    </w:p>
    <w:p w14:paraId="6B36A044">
      <w:pPr>
        <w:pageBreakBefore w:val="0"/>
        <w:kinsoku/>
        <w:wordWrap/>
        <w:overflowPunct/>
        <w:topLinePunct w:val="0"/>
        <w:autoSpaceDE/>
        <w:autoSpaceDN/>
        <w:bidi w:val="0"/>
        <w:adjustRightInd/>
        <w:spacing w:line="348"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地    址：武宣县武宣镇城北路232号</w:t>
      </w:r>
    </w:p>
    <w:p w14:paraId="65E2FF78">
      <w:pPr>
        <w:pageBreakBefore w:val="0"/>
        <w:kinsoku/>
        <w:wordWrap/>
        <w:overflowPunct/>
        <w:topLinePunct w:val="0"/>
        <w:autoSpaceDE/>
        <w:autoSpaceDN/>
        <w:bidi w:val="0"/>
        <w:adjustRightInd/>
        <w:spacing w:line="348" w:lineRule="auto"/>
        <w:ind w:firstLine="480" w:firstLineChars="200"/>
        <w:rPr>
          <w:rFonts w:hint="eastAsia" w:ascii="宋体" w:hAnsi="宋体" w:eastAsia="宋体" w:cs="宋体"/>
          <w:color w:val="auto"/>
          <w:sz w:val="24"/>
          <w:highlight w:val="none"/>
          <w:lang w:val="en-US"/>
        </w:rPr>
      </w:pPr>
      <w:r>
        <w:rPr>
          <w:rFonts w:hint="eastAsia" w:ascii="宋体" w:hAnsi="宋体" w:eastAsia="宋体" w:cs="宋体"/>
          <w:color w:val="auto"/>
          <w:sz w:val="24"/>
          <w:highlight w:val="none"/>
        </w:rPr>
        <w:t>联系方式：韦庆华   0772</w:t>
      </w:r>
      <w:r>
        <w:rPr>
          <w:rFonts w:hint="eastAsia" w:ascii="宋体" w:hAnsi="宋体" w:eastAsia="宋体" w:cs="宋体"/>
          <w:color w:val="auto"/>
          <w:sz w:val="24"/>
          <w:highlight w:val="none"/>
          <w:lang w:val="en-US" w:eastAsia="zh-CN"/>
        </w:rPr>
        <w:t>-</w:t>
      </w:r>
      <w:r>
        <w:rPr>
          <w:rFonts w:hint="eastAsia" w:ascii="宋体" w:hAnsi="宋体" w:eastAsia="宋体" w:cs="宋体"/>
          <w:color w:val="auto"/>
          <w:sz w:val="24"/>
          <w:highlight w:val="none"/>
        </w:rPr>
        <w:t>5211315</w:t>
      </w:r>
      <w:r>
        <w:rPr>
          <w:rFonts w:hint="eastAsia" w:ascii="宋体" w:hAnsi="宋体" w:eastAsia="宋体" w:cs="宋体"/>
          <w:color w:val="auto"/>
          <w:sz w:val="24"/>
          <w:highlight w:val="none"/>
          <w:lang w:val="en-US" w:eastAsia="zh-CN"/>
        </w:rPr>
        <w:t xml:space="preserve">  </w:t>
      </w:r>
    </w:p>
    <w:p w14:paraId="1328BB1B">
      <w:pPr>
        <w:pageBreakBefore w:val="0"/>
        <w:kinsoku/>
        <w:wordWrap/>
        <w:overflowPunct/>
        <w:topLinePunct w:val="0"/>
        <w:autoSpaceDE/>
        <w:autoSpaceDN/>
        <w:bidi w:val="0"/>
        <w:adjustRightInd/>
        <w:spacing w:line="348" w:lineRule="auto"/>
        <w:ind w:firstLine="480" w:firstLineChars="200"/>
        <w:outlineLvl w:val="2"/>
        <w:rPr>
          <w:rFonts w:hint="eastAsia" w:ascii="宋体" w:hAnsi="宋体" w:eastAsia="宋体" w:cs="宋体"/>
          <w:color w:val="auto"/>
          <w:kern w:val="0"/>
          <w:sz w:val="24"/>
          <w:highlight w:val="none"/>
        </w:rPr>
      </w:pPr>
      <w:bookmarkStart w:id="116" w:name="_Toc12617"/>
      <w:bookmarkStart w:id="117" w:name="_Toc15658"/>
      <w:bookmarkStart w:id="118" w:name="_Toc16589"/>
      <w:r>
        <w:rPr>
          <w:rFonts w:hint="eastAsia" w:ascii="宋体" w:hAnsi="宋体" w:eastAsia="宋体" w:cs="宋体"/>
          <w:color w:val="auto"/>
          <w:kern w:val="0"/>
          <w:sz w:val="24"/>
          <w:highlight w:val="none"/>
        </w:rPr>
        <w:t>2.采购代理机构信息</w:t>
      </w:r>
      <w:bookmarkEnd w:id="112"/>
      <w:bookmarkEnd w:id="113"/>
      <w:bookmarkEnd w:id="114"/>
      <w:bookmarkEnd w:id="115"/>
      <w:bookmarkEnd w:id="116"/>
      <w:bookmarkEnd w:id="117"/>
      <w:bookmarkEnd w:id="118"/>
    </w:p>
    <w:p w14:paraId="737B90B4">
      <w:pPr>
        <w:pageBreakBefore w:val="0"/>
        <w:kinsoku/>
        <w:wordWrap/>
        <w:overflowPunct/>
        <w:topLinePunct w:val="0"/>
        <w:autoSpaceDE/>
        <w:autoSpaceDN/>
        <w:bidi w:val="0"/>
        <w:adjustRightInd/>
        <w:spacing w:line="348" w:lineRule="auto"/>
        <w:ind w:firstLine="480" w:firstLineChars="200"/>
        <w:rPr>
          <w:rFonts w:hint="eastAsia" w:ascii="宋体" w:hAnsi="宋体" w:eastAsia="宋体" w:cs="宋体"/>
          <w:color w:val="auto"/>
          <w:kern w:val="0"/>
          <w:sz w:val="24"/>
          <w:highlight w:val="none"/>
        </w:rPr>
      </w:pPr>
      <w:bookmarkStart w:id="119" w:name="_Toc28359098"/>
      <w:bookmarkStart w:id="120" w:name="_Toc35393808"/>
      <w:bookmarkStart w:id="121" w:name="_Toc28359021"/>
      <w:bookmarkStart w:id="122" w:name="_Toc35393639"/>
      <w:r>
        <w:rPr>
          <w:rFonts w:hint="eastAsia" w:ascii="宋体" w:hAnsi="宋体" w:eastAsia="宋体" w:cs="宋体"/>
          <w:color w:val="auto"/>
          <w:kern w:val="0"/>
          <w:sz w:val="24"/>
          <w:highlight w:val="none"/>
        </w:rPr>
        <w:t>名    称：</w:t>
      </w:r>
      <w:r>
        <w:rPr>
          <w:rFonts w:hint="eastAsia" w:ascii="宋体" w:hAnsi="宋体" w:eastAsia="宋体" w:cs="宋体"/>
          <w:color w:val="auto"/>
          <w:kern w:val="0"/>
          <w:sz w:val="24"/>
          <w:highlight w:val="none"/>
          <w:lang w:eastAsia="zh-CN"/>
        </w:rPr>
        <w:t>广西旭达工程咨询有限公司</w:t>
      </w:r>
      <w:r>
        <w:rPr>
          <w:rFonts w:hint="eastAsia" w:ascii="宋体" w:hAnsi="宋体" w:eastAsia="宋体" w:cs="宋体"/>
          <w:color w:val="auto"/>
          <w:kern w:val="0"/>
          <w:sz w:val="24"/>
          <w:highlight w:val="none"/>
        </w:rPr>
        <w:t>　</w:t>
      </w:r>
    </w:p>
    <w:p w14:paraId="3DAC83F7">
      <w:pPr>
        <w:pageBreakBefore w:val="0"/>
        <w:kinsoku/>
        <w:wordWrap/>
        <w:overflowPunct/>
        <w:topLinePunct w:val="0"/>
        <w:autoSpaceDE/>
        <w:autoSpaceDN/>
        <w:bidi w:val="0"/>
        <w:adjustRightInd/>
        <w:spacing w:line="348" w:lineRule="auto"/>
        <w:ind w:firstLine="480" w:firstLineChars="200"/>
        <w:rPr>
          <w:rFonts w:hint="eastAsia" w:ascii="宋体" w:hAnsi="宋体" w:eastAsia="宋体" w:cs="宋体"/>
          <w:color w:val="auto"/>
          <w:sz w:val="24"/>
          <w:highlight w:val="none"/>
          <w:lang w:eastAsia="zh-CN"/>
        </w:rPr>
      </w:pPr>
      <w:r>
        <w:rPr>
          <w:rFonts w:hint="eastAsia" w:ascii="宋体" w:hAnsi="宋体" w:eastAsia="宋体" w:cs="宋体"/>
          <w:color w:val="auto"/>
          <w:kern w:val="0"/>
          <w:sz w:val="24"/>
          <w:highlight w:val="none"/>
        </w:rPr>
        <w:t>地　　址：</w:t>
      </w:r>
      <w:r>
        <w:rPr>
          <w:rFonts w:hint="eastAsia" w:ascii="宋体" w:hAnsi="宋体" w:eastAsia="宋体" w:cs="宋体"/>
          <w:color w:val="auto"/>
          <w:sz w:val="24"/>
          <w:highlight w:val="none"/>
          <w:lang w:eastAsia="zh-CN"/>
        </w:rPr>
        <w:t>来宾市政和路北88号硅谷大厦15楼</w:t>
      </w:r>
    </w:p>
    <w:p w14:paraId="32FF6C21">
      <w:pPr>
        <w:pageBreakBefore w:val="0"/>
        <w:kinsoku/>
        <w:wordWrap/>
        <w:overflowPunct/>
        <w:topLinePunct w:val="0"/>
        <w:autoSpaceDE/>
        <w:autoSpaceDN/>
        <w:bidi w:val="0"/>
        <w:adjustRightInd/>
        <w:spacing w:line="348" w:lineRule="auto"/>
        <w:ind w:firstLine="480" w:firstLineChars="200"/>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联系方式：</w:t>
      </w:r>
      <w:r>
        <w:rPr>
          <w:rFonts w:hint="eastAsia" w:ascii="宋体" w:hAnsi="宋体" w:eastAsia="宋体" w:cs="宋体"/>
          <w:color w:val="auto"/>
          <w:sz w:val="24"/>
          <w:highlight w:val="none"/>
          <w:lang w:eastAsia="zh-CN"/>
        </w:rPr>
        <w:t>韦小宁19378906998</w:t>
      </w:r>
    </w:p>
    <w:bookmarkEnd w:id="119"/>
    <w:bookmarkEnd w:id="120"/>
    <w:bookmarkEnd w:id="121"/>
    <w:bookmarkEnd w:id="122"/>
    <w:p w14:paraId="2966483F">
      <w:pPr>
        <w:pageBreakBefore w:val="0"/>
        <w:kinsoku/>
        <w:wordWrap/>
        <w:overflowPunct/>
        <w:topLinePunct w:val="0"/>
        <w:autoSpaceDE/>
        <w:autoSpaceDN/>
        <w:bidi w:val="0"/>
        <w:adjustRightInd/>
        <w:spacing w:line="348" w:lineRule="auto"/>
        <w:ind w:firstLine="480" w:firstLineChars="200"/>
        <w:outlineLvl w:val="2"/>
        <w:rPr>
          <w:rFonts w:hint="eastAsia" w:ascii="宋体" w:hAnsi="宋体" w:eastAsia="宋体" w:cs="宋体"/>
          <w:color w:val="auto"/>
          <w:kern w:val="0"/>
          <w:sz w:val="24"/>
          <w:highlight w:val="none"/>
        </w:rPr>
      </w:pPr>
      <w:bookmarkStart w:id="123" w:name="_Toc18623"/>
      <w:bookmarkStart w:id="124" w:name="_Toc26466"/>
      <w:bookmarkStart w:id="125" w:name="_Toc26350"/>
      <w:r>
        <w:rPr>
          <w:rFonts w:hint="eastAsia" w:ascii="宋体" w:hAnsi="宋体" w:eastAsia="宋体" w:cs="宋体"/>
          <w:color w:val="auto"/>
          <w:kern w:val="0"/>
          <w:sz w:val="24"/>
          <w:highlight w:val="none"/>
          <w:lang w:val="en-US" w:eastAsia="zh-CN"/>
        </w:rPr>
        <w:t>3</w:t>
      </w:r>
      <w:r>
        <w:rPr>
          <w:rFonts w:hint="eastAsia" w:ascii="宋体" w:hAnsi="宋体" w:eastAsia="宋体" w:cs="宋体"/>
          <w:color w:val="auto"/>
          <w:kern w:val="0"/>
          <w:sz w:val="24"/>
          <w:highlight w:val="none"/>
        </w:rPr>
        <w:t>.项目联系方式</w:t>
      </w:r>
      <w:bookmarkEnd w:id="123"/>
      <w:bookmarkEnd w:id="124"/>
      <w:bookmarkEnd w:id="125"/>
    </w:p>
    <w:p w14:paraId="3EC6C25C">
      <w:pPr>
        <w:pageBreakBefore w:val="0"/>
        <w:kinsoku/>
        <w:wordWrap/>
        <w:overflowPunct/>
        <w:topLinePunct w:val="0"/>
        <w:autoSpaceDE/>
        <w:autoSpaceDN/>
        <w:bidi w:val="0"/>
        <w:adjustRightInd/>
        <w:spacing w:line="348"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项目联系人：</w:t>
      </w:r>
      <w:r>
        <w:rPr>
          <w:rFonts w:hint="eastAsia" w:ascii="宋体" w:hAnsi="宋体" w:eastAsia="宋体" w:cs="宋体"/>
          <w:color w:val="auto"/>
          <w:sz w:val="24"/>
          <w:highlight w:val="none"/>
          <w:lang w:eastAsia="zh-CN"/>
        </w:rPr>
        <w:t>韦小宁</w:t>
      </w:r>
      <w:r>
        <w:rPr>
          <w:rFonts w:hint="eastAsia" w:ascii="宋体" w:hAnsi="宋体" w:eastAsia="宋体" w:cs="宋体"/>
          <w:color w:val="auto"/>
          <w:kern w:val="0"/>
          <w:sz w:val="24"/>
          <w:highlight w:val="none"/>
        </w:rPr>
        <w:t xml:space="preserve"> </w:t>
      </w:r>
    </w:p>
    <w:p w14:paraId="773269C0">
      <w:pPr>
        <w:pageBreakBefore w:val="0"/>
        <w:kinsoku/>
        <w:wordWrap/>
        <w:overflowPunct/>
        <w:topLinePunct w:val="0"/>
        <w:autoSpaceDE/>
        <w:autoSpaceDN/>
        <w:bidi w:val="0"/>
        <w:adjustRightInd/>
        <w:spacing w:line="348" w:lineRule="auto"/>
        <w:ind w:right="420"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电　　  话：</w:t>
      </w:r>
      <w:r>
        <w:rPr>
          <w:rFonts w:hint="eastAsia" w:ascii="宋体" w:hAnsi="宋体" w:eastAsia="宋体" w:cs="宋体"/>
          <w:color w:val="auto"/>
          <w:sz w:val="24"/>
          <w:highlight w:val="none"/>
          <w:lang w:eastAsia="zh-CN"/>
        </w:rPr>
        <w:t>19378906998</w:t>
      </w:r>
      <w:r>
        <w:rPr>
          <w:rFonts w:hint="eastAsia" w:ascii="宋体" w:hAnsi="宋体" w:eastAsia="宋体" w:cs="宋体"/>
          <w:color w:val="auto"/>
          <w:kern w:val="0"/>
          <w:sz w:val="24"/>
          <w:highlight w:val="none"/>
        </w:rPr>
        <w:t xml:space="preserve">                                </w:t>
      </w:r>
    </w:p>
    <w:p w14:paraId="1762C99F">
      <w:pPr>
        <w:spacing w:line="420" w:lineRule="exact"/>
        <w:ind w:right="420"/>
        <w:rPr>
          <w:rFonts w:hint="eastAsia" w:ascii="宋体" w:hAnsi="宋体" w:eastAsia="宋体" w:cs="宋体"/>
          <w:color w:val="auto"/>
          <w:kern w:val="0"/>
          <w:sz w:val="24"/>
          <w:highlight w:val="none"/>
        </w:rPr>
      </w:pPr>
    </w:p>
    <w:p w14:paraId="440B11A0">
      <w:pPr>
        <w:spacing w:line="420" w:lineRule="exact"/>
        <w:jc w:val="right"/>
        <w:rPr>
          <w:rFonts w:hint="eastAsia" w:ascii="宋体" w:hAnsi="宋体" w:eastAsia="宋体" w:cs="宋体"/>
          <w:color w:val="auto"/>
          <w:kern w:val="0"/>
          <w:sz w:val="24"/>
          <w:highlight w:val="none"/>
        </w:rPr>
      </w:pPr>
    </w:p>
    <w:bookmarkEnd w:id="1"/>
    <w:p w14:paraId="50A3DCB2">
      <w:pPr>
        <w:spacing w:line="600" w:lineRule="auto"/>
        <w:jc w:val="center"/>
        <w:rPr>
          <w:rFonts w:hint="eastAsia" w:ascii="宋体" w:hAnsi="宋体" w:eastAsia="宋体" w:cs="宋体"/>
          <w:b/>
          <w:bCs/>
          <w:color w:val="auto"/>
          <w:sz w:val="24"/>
          <w:highlight w:val="none"/>
          <w:lang w:eastAsia="zh-CN"/>
        </w:rPr>
      </w:pPr>
      <w:r>
        <w:rPr>
          <w:rFonts w:hint="eastAsia" w:ascii="宋体" w:hAnsi="宋体" w:eastAsia="宋体" w:cs="宋体"/>
          <w:b/>
          <w:bCs/>
          <w:color w:val="auto"/>
          <w:sz w:val="24"/>
          <w:highlight w:val="none"/>
        </w:rPr>
        <w:t xml:space="preserve">                                    采购人：</w:t>
      </w:r>
      <w:r>
        <w:rPr>
          <w:rFonts w:hint="eastAsia" w:ascii="宋体" w:hAnsi="宋体" w:eastAsia="宋体" w:cs="宋体"/>
          <w:b/>
          <w:bCs/>
          <w:color w:val="auto"/>
          <w:sz w:val="24"/>
          <w:highlight w:val="none"/>
          <w:lang w:eastAsia="zh-CN"/>
        </w:rPr>
        <w:t xml:space="preserve"> 武宣县农业农村局    </w:t>
      </w:r>
    </w:p>
    <w:p w14:paraId="3E9E5D41">
      <w:pPr>
        <w:spacing w:line="60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 xml:space="preserve">                                     采购代理机构：</w:t>
      </w:r>
      <w:r>
        <w:rPr>
          <w:rFonts w:hint="eastAsia" w:ascii="宋体" w:hAnsi="宋体" w:eastAsia="宋体" w:cs="宋体"/>
          <w:b/>
          <w:bCs/>
          <w:color w:val="auto"/>
          <w:sz w:val="24"/>
          <w:highlight w:val="none"/>
          <w:lang w:eastAsia="zh-CN"/>
        </w:rPr>
        <w:t>广西旭达工程咨询有限公司</w:t>
      </w:r>
      <w:r>
        <w:rPr>
          <w:rFonts w:hint="eastAsia" w:ascii="宋体" w:hAnsi="宋体" w:eastAsia="宋体" w:cs="宋体"/>
          <w:b/>
          <w:bCs/>
          <w:color w:val="auto"/>
          <w:sz w:val="24"/>
          <w:highlight w:val="none"/>
        </w:rPr>
        <w:t xml:space="preserve"> </w:t>
      </w:r>
    </w:p>
    <w:p w14:paraId="2EF6DC44">
      <w:pPr>
        <w:ind w:left="5995" w:leftChars="2166" w:hanging="1446" w:hangingChars="600"/>
        <w:jc w:val="both"/>
        <w:rPr>
          <w:color w:val="auto"/>
          <w:highlight w:val="none"/>
        </w:rPr>
      </w:pPr>
      <w:r>
        <w:rPr>
          <w:rFonts w:hint="eastAsia" w:ascii="宋体" w:hAnsi="宋体" w:eastAsia="宋体" w:cs="宋体"/>
          <w:b/>
          <w:bCs/>
          <w:color w:val="auto"/>
          <w:sz w:val="24"/>
          <w:highlight w:val="none"/>
        </w:rPr>
        <w:t xml:space="preserve">                                      </w:t>
      </w:r>
      <w:bookmarkStart w:id="126" w:name="_GoBack"/>
      <w:bookmarkEnd w:id="126"/>
      <w:r>
        <w:rPr>
          <w:rFonts w:hint="eastAsia" w:ascii="宋体" w:hAnsi="宋体" w:eastAsia="宋体" w:cs="宋体"/>
          <w:b/>
          <w:bCs/>
          <w:color w:val="auto"/>
          <w:sz w:val="24"/>
          <w:highlight w:val="none"/>
          <w:lang w:eastAsia="zh-CN"/>
        </w:rPr>
        <w:t>2025年</w:t>
      </w:r>
      <w:r>
        <w:rPr>
          <w:rFonts w:hint="eastAsia" w:ascii="宋体" w:hAnsi="宋体" w:cs="宋体"/>
          <w:b/>
          <w:bCs/>
          <w:color w:val="auto"/>
          <w:sz w:val="24"/>
          <w:highlight w:val="none"/>
          <w:lang w:val="en-US" w:eastAsia="zh-CN"/>
        </w:rPr>
        <w:t>11</w:t>
      </w:r>
      <w:r>
        <w:rPr>
          <w:rFonts w:hint="eastAsia" w:ascii="宋体" w:hAnsi="宋体" w:eastAsia="宋体" w:cs="宋体"/>
          <w:b/>
          <w:bCs/>
          <w:color w:val="auto"/>
          <w:sz w:val="24"/>
          <w:highlight w:val="none"/>
          <w:lang w:eastAsia="zh-CN"/>
        </w:rPr>
        <w:t>月</w:t>
      </w:r>
      <w:r>
        <w:rPr>
          <w:rFonts w:hint="eastAsia" w:ascii="宋体" w:hAnsi="宋体" w:cs="宋体"/>
          <w:b/>
          <w:bCs/>
          <w:color w:val="auto"/>
          <w:sz w:val="24"/>
          <w:highlight w:val="none"/>
          <w:lang w:val="en-US" w:eastAsia="zh-CN"/>
        </w:rPr>
        <w:t>3</w:t>
      </w:r>
      <w:r>
        <w:rPr>
          <w:rFonts w:hint="eastAsia" w:ascii="宋体" w:hAnsi="宋体" w:eastAsia="宋体" w:cs="宋体"/>
          <w:b/>
          <w:bCs/>
          <w:color w:val="auto"/>
          <w:sz w:val="24"/>
          <w:highlight w:val="none"/>
        </w:rPr>
        <w:t>日</w:t>
      </w:r>
    </w:p>
    <w:sectPr>
      <w:footerReference r:id="rId3" w:type="default"/>
      <w:pgSz w:w="11906" w:h="16838"/>
      <w:pgMar w:top="1383" w:right="1361" w:bottom="1383" w:left="1361" w:header="737" w:footer="737"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Calibri Light">
    <w:panose1 w:val="020F0302020204030204"/>
    <w:charset w:val="00"/>
    <w:family w:val="swiss"/>
    <w:pitch w:val="default"/>
    <w:sig w:usb0="A00002EF" w:usb1="4000207B"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48576A">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B34DA5">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EB34DA5">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5E2ED7"/>
    <w:rsid w:val="050129C3"/>
    <w:rsid w:val="0BE74979"/>
    <w:rsid w:val="11072CD2"/>
    <w:rsid w:val="112B018F"/>
    <w:rsid w:val="12DD0182"/>
    <w:rsid w:val="21F8013D"/>
    <w:rsid w:val="2ACC47A5"/>
    <w:rsid w:val="2E2700C1"/>
    <w:rsid w:val="2F9602C1"/>
    <w:rsid w:val="36464F9D"/>
    <w:rsid w:val="364D069A"/>
    <w:rsid w:val="426B2B89"/>
    <w:rsid w:val="478F466E"/>
    <w:rsid w:val="51FD2567"/>
    <w:rsid w:val="5C776B6B"/>
    <w:rsid w:val="5E5E2ED7"/>
    <w:rsid w:val="63163A33"/>
    <w:rsid w:val="64970030"/>
    <w:rsid w:val="6C4463E5"/>
    <w:rsid w:val="729F3F5C"/>
    <w:rsid w:val="74BA0520"/>
    <w:rsid w:val="77D639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2"/>
      <w:sz w:val="21"/>
      <w:szCs w:val="24"/>
      <w:lang w:val="en-US" w:eastAsia="zh-CN" w:bidi="ar-SA"/>
    </w:rPr>
  </w:style>
  <w:style w:type="paragraph" w:styleId="3">
    <w:name w:val="heading 2"/>
    <w:basedOn w:val="1"/>
    <w:next w:val="1"/>
    <w:qFormat/>
    <w:uiPriority w:val="0"/>
    <w:pPr>
      <w:keepNext/>
      <w:keepLines/>
      <w:spacing w:before="260" w:after="260" w:line="416" w:lineRule="auto"/>
      <w:outlineLvl w:val="1"/>
    </w:pPr>
    <w:rPr>
      <w:rFonts w:ascii="Cambria" w:hAnsi="Cambria"/>
      <w:b/>
      <w:bCs/>
      <w:kern w:val="0"/>
      <w:sz w:val="32"/>
      <w:szCs w:val="32"/>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Salutation"/>
    <w:basedOn w:val="1"/>
    <w:next w:val="1"/>
    <w:qFormat/>
    <w:uiPriority w:val="0"/>
    <w:pPr>
      <w:widowControl w:val="0"/>
      <w:autoSpaceDE/>
      <w:autoSpaceDN/>
      <w:adjustRightInd/>
      <w:snapToGrid/>
    </w:pPr>
    <w:rPr>
      <w:rFonts w:ascii="Cambria" w:hAnsi="Cambria" w:eastAsia="宋体"/>
      <w:caps/>
      <w:color w:val="632423"/>
      <w:spacing w:val="50"/>
      <w:sz w:val="44"/>
      <w:szCs w:val="44"/>
      <w:lang w:bidi="en-US"/>
    </w:rPr>
  </w:style>
  <w:style w:type="paragraph" w:styleId="4">
    <w:name w:val="toa heading"/>
    <w:basedOn w:val="1"/>
    <w:next w:val="1"/>
    <w:qFormat/>
    <w:uiPriority w:val="0"/>
    <w:rPr>
      <w:rFonts w:ascii="Arial" w:hAnsi="Arial"/>
      <w:sz w:val="24"/>
    </w:rPr>
  </w:style>
  <w:style w:type="paragraph" w:styleId="5">
    <w:name w:val="Body Text"/>
    <w:basedOn w:val="1"/>
    <w:next w:val="1"/>
    <w:qFormat/>
    <w:uiPriority w:val="0"/>
    <w:pPr>
      <w:autoSpaceDE w:val="0"/>
      <w:autoSpaceDN w:val="0"/>
      <w:adjustRightInd w:val="0"/>
      <w:spacing w:after="120"/>
      <w:jc w:val="left"/>
    </w:pPr>
    <w:rPr>
      <w:rFonts w:ascii="宋体"/>
      <w:kern w:val="0"/>
      <w:sz w:val="34"/>
      <w:szCs w:val="20"/>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bottom w:val="single" w:color="auto" w:sz="6" w:space="1"/>
      </w:pBdr>
      <w:tabs>
        <w:tab w:val="center" w:pos="4153"/>
        <w:tab w:val="right" w:pos="8306"/>
      </w:tabs>
      <w:snapToGrid w:val="0"/>
      <w:jc w:val="center"/>
    </w:pPr>
    <w:rPr>
      <w:rFonts w:ascii="宋体" w:hAnsi="Courier New"/>
      <w:sz w:val="18"/>
      <w:szCs w:val="20"/>
    </w:rPr>
  </w:style>
  <w:style w:type="paragraph" w:styleId="8">
    <w:name w:val="toc 2"/>
    <w:basedOn w:val="1"/>
    <w:next w:val="1"/>
    <w:qFormat/>
    <w:uiPriority w:val="0"/>
    <w:pPr>
      <w:tabs>
        <w:tab w:val="right" w:leader="dot" w:pos="8296"/>
      </w:tabs>
      <w:ind w:left="420" w:leftChars="200"/>
    </w:pPr>
    <w:rPr>
      <w:rFonts w:ascii="Times New Roman" w:hAnsi="Times New Roman" w:eastAsia="宋体" w:cs="Times New Roman"/>
    </w:rPr>
  </w:style>
  <w:style w:type="paragraph" w:styleId="9">
    <w:name w:val="Normal (Web)"/>
    <w:basedOn w:val="1"/>
    <w:qFormat/>
    <w:uiPriority w:val="0"/>
    <w:rPr>
      <w:sz w:val="24"/>
    </w:rPr>
  </w:style>
  <w:style w:type="paragraph" w:styleId="10">
    <w:name w:val="Title"/>
    <w:basedOn w:val="1"/>
    <w:next w:val="1"/>
    <w:qFormat/>
    <w:uiPriority w:val="0"/>
    <w:pPr>
      <w:tabs>
        <w:tab w:val="right" w:leader="dot" w:pos="8296"/>
      </w:tabs>
      <w:spacing w:before="240" w:after="60"/>
      <w:jc w:val="center"/>
      <w:outlineLvl w:val="0"/>
    </w:pPr>
    <w:rPr>
      <w:rFonts w:ascii="Calibri Light" w:hAnsi="Calibri Light"/>
      <w:b/>
      <w:bCs/>
      <w:sz w:val="32"/>
      <w:szCs w:val="32"/>
    </w:rPr>
  </w:style>
  <w:style w:type="paragraph" w:styleId="11">
    <w:name w:val="Body Text First Indent"/>
    <w:basedOn w:val="5"/>
    <w:next w:val="1"/>
    <w:qFormat/>
    <w:uiPriority w:val="0"/>
    <w:pPr>
      <w:spacing w:after="120"/>
      <w:ind w:firstLine="420" w:firstLineChars="100"/>
    </w:pPr>
    <w:rPr>
      <w:rFonts w:ascii="Times New Roman" w:hAnsi="Times New Roman" w:eastAsia="宋体" w:cs="Times New Roman"/>
    </w:rPr>
  </w:style>
  <w:style w:type="table" w:customStyle="1" w:styleId="14">
    <w:name w:val="Table Normal"/>
    <w:qFormat/>
    <w:uiPriority w:val="0"/>
    <w:pPr>
      <w:widowControl w:val="0"/>
      <w:autoSpaceDE w:val="0"/>
      <w:autoSpaceDN w:val="0"/>
    </w:pPr>
    <w:rPr>
      <w:rFonts w:ascii="Calibri" w:hAnsi="Calibri"/>
      <w:sz w:val="22"/>
      <w:szCs w:val="22"/>
      <w:lang w:val="en-US" w:eastAsia="en-US" w:bidi="ar-SA"/>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2820</Words>
  <Characters>3360</Characters>
  <Lines>0</Lines>
  <Paragraphs>0</Paragraphs>
  <TotalTime>0</TotalTime>
  <ScaleCrop>false</ScaleCrop>
  <LinksUpToDate>false</LinksUpToDate>
  <CharactersWithSpaces>3596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2025-03-05T01:13:00Z</dcterms:created>
  <dc:creator>^_^津笙津笹</dc:creator>
  <cp:lastModifiedBy>.</cp:lastModifiedBy>
  <dcterms:modified xsi:type="dcterms:W3CDTF">2025-11-03T08:17:33Z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BB402EEB073E42E3A6196357C0118837_11</vt:lpwstr>
  </property>
  <property fmtid="{D5CDD505-2E9C-101B-9397-08002B2CF9AE}" pid="4" name="KSOTemplateDocerSaveRecord">
    <vt:lpwstr>eyJoZGlkIjoiM2YxZThhM2IyMDBiN2ZmNzM5NTUzYWFhZDZlNmFkYjMiLCJ1c2VySWQiOiI0OTYzMTY5NTkifQ==</vt:lpwstr>
  </property>
</Properties>
</file>