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19B3E37">
      <w:pPr>
        <w:pStyle w:val="28"/>
        <w:snapToGrid w:val="0"/>
        <w:spacing w:before="0" w:beforeLines="0" w:after="0" w:afterLines="0" w:line="700" w:lineRule="exact"/>
        <w:jc w:val="center"/>
        <w:rPr>
          <w:rFonts w:hint="eastAsia" w:eastAsia="宋体" w:cs="宋体"/>
          <w:color w:val="auto"/>
          <w:sz w:val="48"/>
          <w:szCs w:val="48"/>
          <w:highlight w:val="none"/>
          <w:lang w:eastAsia="zh-CN"/>
        </w:rPr>
      </w:pPr>
      <w:bookmarkStart w:id="0" w:name="_Toc118370453"/>
      <w:bookmarkStart w:id="1" w:name="_Toc83727470"/>
      <w:bookmarkStart w:id="2" w:name="_Toc118439556"/>
      <w:bookmarkStart w:id="3" w:name="_Toc110766023"/>
      <w:bookmarkStart w:id="4" w:name="_Toc92862234"/>
      <w:bookmarkStart w:id="5" w:name="_Toc184878322"/>
      <w:bookmarkStart w:id="6" w:name="_Toc82753933"/>
      <w:bookmarkStart w:id="7" w:name="_Toc116785657"/>
      <w:bookmarkStart w:id="8" w:name="_Toc175591295"/>
      <w:bookmarkStart w:id="9" w:name="_Toc83004498"/>
      <w:bookmarkStart w:id="10" w:name="_Toc93847398"/>
      <w:bookmarkStart w:id="11" w:name="_Toc93559501"/>
      <w:bookmarkStart w:id="12" w:name="_Toc177265980"/>
      <w:bookmarkStart w:id="13" w:name="_Toc82917790"/>
      <w:bookmarkStart w:id="14" w:name="_Toc118275581"/>
      <w:bookmarkStart w:id="15" w:name="_Toc83006015"/>
      <w:bookmarkStart w:id="16" w:name="_Toc176964911"/>
      <w:bookmarkStart w:id="17" w:name="_Toc91755251"/>
      <w:bookmarkStart w:id="18" w:name="_Toc118439411"/>
      <w:bookmarkStart w:id="19" w:name="_Toc93847222"/>
      <w:bookmarkStart w:id="20" w:name="_Toc82753968"/>
      <w:bookmarkStart w:id="21" w:name="_Toc133857552"/>
      <w:bookmarkStart w:id="22" w:name="_Toc82916865"/>
      <w:bookmarkStart w:id="23" w:name="_Toc178412431"/>
      <w:bookmarkStart w:id="24" w:name="_Toc98218696"/>
      <w:bookmarkStart w:id="25" w:name="_Toc110958892"/>
      <w:bookmarkStart w:id="26" w:name="_Toc98665878"/>
      <w:bookmarkStart w:id="27" w:name="_Toc98218596"/>
      <w:bookmarkStart w:id="28" w:name="_Toc83027331"/>
      <w:bookmarkStart w:id="29" w:name="_Toc133810696"/>
      <w:bookmarkStart w:id="30" w:name="_Toc83000545"/>
      <w:bookmarkStart w:id="31" w:name="_Toc93861353"/>
      <w:bookmarkStart w:id="32" w:name="_Toc93633916"/>
      <w:bookmarkStart w:id="33" w:name="_Toc93847040"/>
      <w:bookmarkStart w:id="34" w:name="_Toc91756440"/>
      <w:bookmarkStart w:id="35" w:name="_Toc120075187"/>
      <w:bookmarkStart w:id="36" w:name="_Toc92611624"/>
      <w:bookmarkStart w:id="37" w:name="_Toc92536493"/>
      <w:bookmarkStart w:id="38" w:name="_Toc93558387"/>
      <w:bookmarkStart w:id="39" w:name="_Toc92862084"/>
      <w:bookmarkStart w:id="40" w:name="_Toc83000439"/>
      <w:bookmarkStart w:id="41" w:name="_Toc84069040"/>
      <w:bookmarkStart w:id="42" w:name="_Toc84084758"/>
      <w:bookmarkStart w:id="954" w:name="_GoBack"/>
      <w:bookmarkEnd w:id="954"/>
      <w:r>
        <w:rPr>
          <w:rFonts w:hint="eastAsia" w:eastAsia="宋体" w:cs="宋体"/>
          <w:color w:val="auto"/>
          <w:sz w:val="48"/>
          <w:szCs w:val="48"/>
          <w:highlight w:val="none"/>
          <w:lang w:eastAsia="zh-CN"/>
        </w:rPr>
        <w:drawing>
          <wp:anchor distT="0" distB="0" distL="114300" distR="114300" simplePos="0" relativeHeight="251659264" behindDoc="0" locked="0" layoutInCell="1" allowOverlap="1">
            <wp:simplePos x="0" y="0"/>
            <wp:positionH relativeFrom="column">
              <wp:posOffset>-22225</wp:posOffset>
            </wp:positionH>
            <wp:positionV relativeFrom="paragraph">
              <wp:posOffset>133350</wp:posOffset>
            </wp:positionV>
            <wp:extent cx="6114415" cy="8648065"/>
            <wp:effectExtent l="0" t="0" r="635" b="635"/>
            <wp:wrapSquare wrapText="bothSides"/>
            <wp:docPr id="6" name="图片 6" descr="文件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文件封面"/>
                    <pic:cNvPicPr>
                      <a:picLocks noChangeAspect="1"/>
                    </pic:cNvPicPr>
                  </pic:nvPicPr>
                  <pic:blipFill>
                    <a:blip r:embed="rId12"/>
                    <a:stretch>
                      <a:fillRect/>
                    </a:stretch>
                  </pic:blipFill>
                  <pic:spPr>
                    <a:xfrm>
                      <a:off x="0" y="0"/>
                      <a:ext cx="6114415" cy="8648065"/>
                    </a:xfrm>
                    <a:prstGeom prst="rect">
                      <a:avLst/>
                    </a:prstGeom>
                  </pic:spPr>
                </pic:pic>
              </a:graphicData>
            </a:graphic>
          </wp:anchor>
        </w:drawing>
      </w:r>
    </w:p>
    <w:p w14:paraId="14608ABC">
      <w:pPr>
        <w:pStyle w:val="28"/>
        <w:snapToGrid w:val="0"/>
        <w:spacing w:before="0" w:beforeLines="0" w:after="0" w:afterLines="0" w:line="700" w:lineRule="exact"/>
        <w:jc w:val="center"/>
        <w:rPr>
          <w:rFonts w:ascii="Calibri" w:hAnsi="Calibri"/>
          <w:b w:val="0"/>
          <w:caps w:val="0"/>
          <w:color w:val="auto"/>
          <w:kern w:val="2"/>
          <w:sz w:val="21"/>
          <w:szCs w:val="22"/>
          <w:highlight w:val="none"/>
          <w:lang w:val="en-US" w:eastAsia="zh-CN"/>
        </w:rPr>
      </w:pPr>
      <w:r>
        <w:rPr>
          <w:rFonts w:hint="eastAsia" w:cs="宋体"/>
          <w:color w:val="auto"/>
          <w:sz w:val="48"/>
          <w:szCs w:val="48"/>
          <w:highlight w:val="none"/>
        </w:rPr>
        <w:t>目  录</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rFonts w:hint="eastAsia" w:cs="宋体"/>
          <w:color w:val="auto"/>
          <w:w w:val="90"/>
          <w:kern w:val="2"/>
          <w:szCs w:val="24"/>
          <w:highlight w:val="none"/>
        </w:rPr>
        <w:fldChar w:fldCharType="begin"/>
      </w:r>
      <w:r>
        <w:rPr>
          <w:rFonts w:hint="eastAsia" w:cs="宋体"/>
          <w:color w:val="auto"/>
          <w:w w:val="90"/>
          <w:kern w:val="2"/>
          <w:szCs w:val="24"/>
          <w:highlight w:val="none"/>
        </w:rPr>
        <w:instrText xml:space="preserve"> TOC \o "1-3" \h \z </w:instrText>
      </w:r>
      <w:r>
        <w:rPr>
          <w:rFonts w:hint="eastAsia" w:cs="宋体"/>
          <w:color w:val="auto"/>
          <w:w w:val="90"/>
          <w:kern w:val="2"/>
          <w:szCs w:val="24"/>
          <w:highlight w:val="none"/>
        </w:rPr>
        <w:fldChar w:fldCharType="separate"/>
      </w:r>
    </w:p>
    <w:p w14:paraId="578478E1">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"_Toc75182663"</w:instrText>
      </w:r>
      <w:r>
        <w:rPr>
          <w:rStyle w:val="47"/>
          <w:color w:val="auto"/>
          <w:highlight w:val="none"/>
        </w:rPr>
        <w:instrText xml:space="preserve"> </w:instrText>
      </w:r>
      <w:r>
        <w:rPr>
          <w:color w:val="auto"/>
          <w:highlight w:val="none"/>
        </w:rPr>
        <w:fldChar w:fldCharType="separate"/>
      </w:r>
      <w:r>
        <w:rPr>
          <w:rStyle w:val="47"/>
          <w:rFonts w:hint="eastAsia" w:cs="宋体"/>
          <w:bCs/>
          <w:color w:val="auto"/>
          <w:highlight w:val="none"/>
        </w:rPr>
        <w:t>竞争性磋商公告</w:t>
      </w:r>
      <w:r>
        <w:rPr>
          <w:color w:val="auto"/>
          <w:highlight w:val="none"/>
        </w:rPr>
        <w:tab/>
      </w:r>
      <w:r>
        <w:rPr>
          <w:rFonts w:hint="eastAsia"/>
          <w:color w:val="auto"/>
          <w:highlight w:val="none"/>
          <w:lang w:val="en-US" w:eastAsia="zh-CN"/>
        </w:rPr>
        <w:t>1</w:t>
      </w:r>
      <w:r>
        <w:rPr>
          <w:color w:val="auto"/>
          <w:highlight w:val="none"/>
        </w:rPr>
        <w:fldChar w:fldCharType="end"/>
      </w:r>
    </w:p>
    <w:p w14:paraId="199964AA">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"_Toc75182671"</w:instrText>
      </w:r>
      <w:r>
        <w:rPr>
          <w:rStyle w:val="47"/>
          <w:color w:val="auto"/>
          <w:highlight w:val="none"/>
        </w:rPr>
        <w:instrText xml:space="preserve"> </w:instrText>
      </w:r>
      <w:r>
        <w:rPr>
          <w:color w:val="auto"/>
          <w:highlight w:val="none"/>
        </w:rPr>
        <w:fldChar w:fldCharType="separate"/>
      </w:r>
      <w:r>
        <w:rPr>
          <w:rStyle w:val="47"/>
          <w:rFonts w:hint="eastAsia" w:cs="宋体"/>
          <w:color w:val="auto"/>
          <w:highlight w:val="none"/>
        </w:rPr>
        <w:t>第一章</w:t>
      </w:r>
      <w:r>
        <w:rPr>
          <w:rStyle w:val="47"/>
          <w:rFonts w:cs="宋体"/>
          <w:color w:val="auto"/>
          <w:highlight w:val="none"/>
        </w:rPr>
        <w:t xml:space="preserve">  </w:t>
      </w:r>
      <w:r>
        <w:rPr>
          <w:rStyle w:val="47"/>
          <w:rFonts w:hint="eastAsia" w:cs="宋体"/>
          <w:color w:val="auto"/>
          <w:highlight w:val="none"/>
        </w:rPr>
        <w:t>供应商须知及前附表</w:t>
      </w:r>
      <w:r>
        <w:rPr>
          <w:color w:val="auto"/>
          <w:highlight w:val="none"/>
        </w:rPr>
        <w:tab/>
      </w:r>
      <w:r>
        <w:rPr>
          <w:color w:val="auto"/>
          <w:highlight w:val="none"/>
        </w:rPr>
        <w:fldChar w:fldCharType="begin"/>
      </w:r>
      <w:r>
        <w:rPr>
          <w:color w:val="auto"/>
          <w:highlight w:val="none"/>
        </w:rPr>
        <w:instrText xml:space="preserve"> PAGEREF _Toc75182671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04DE09D4">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"_Toc75182688"</w:instrText>
      </w:r>
      <w:r>
        <w:rPr>
          <w:rStyle w:val="47"/>
          <w:color w:val="auto"/>
          <w:highlight w:val="none"/>
        </w:rPr>
        <w:instrText xml:space="preserve"> </w:instrText>
      </w:r>
      <w:r>
        <w:rPr>
          <w:color w:val="auto"/>
          <w:highlight w:val="none"/>
        </w:rPr>
        <w:fldChar w:fldCharType="separate"/>
      </w:r>
      <w:r>
        <w:rPr>
          <w:rStyle w:val="47"/>
          <w:rFonts w:hint="eastAsia" w:cs="宋体"/>
          <w:color w:val="auto"/>
          <w:highlight w:val="none"/>
        </w:rPr>
        <w:t>第二章</w:t>
      </w:r>
      <w:r>
        <w:rPr>
          <w:rStyle w:val="47"/>
          <w:rFonts w:cs="宋体"/>
          <w:color w:val="auto"/>
          <w:highlight w:val="none"/>
        </w:rPr>
        <w:t xml:space="preserve"> </w:t>
      </w:r>
      <w:r>
        <w:rPr>
          <w:rStyle w:val="47"/>
          <w:rFonts w:hint="eastAsia" w:cs="宋体"/>
          <w:color w:val="auto"/>
          <w:highlight w:val="none"/>
        </w:rPr>
        <w:t>合同条款及格式</w:t>
      </w:r>
      <w:r>
        <w:rPr>
          <w:color w:val="auto"/>
          <w:highlight w:val="none"/>
        </w:rPr>
        <w:tab/>
      </w:r>
      <w:r>
        <w:rPr>
          <w:color w:val="auto"/>
          <w:highlight w:val="none"/>
        </w:rPr>
        <w:fldChar w:fldCharType="begin"/>
      </w:r>
      <w:r>
        <w:rPr>
          <w:color w:val="auto"/>
          <w:highlight w:val="none"/>
        </w:rPr>
        <w:instrText xml:space="preserve"> PAGEREF _Toc75182688 \h </w:instrText>
      </w:r>
      <w:r>
        <w:rPr>
          <w:color w:val="auto"/>
          <w:highlight w:val="none"/>
        </w:rPr>
        <w:fldChar w:fldCharType="separate"/>
      </w:r>
      <w:r>
        <w:rPr>
          <w:color w:val="auto"/>
          <w:highlight w:val="none"/>
        </w:rPr>
        <w:t>20</w:t>
      </w:r>
      <w:r>
        <w:rPr>
          <w:color w:val="auto"/>
          <w:highlight w:val="none"/>
        </w:rPr>
        <w:fldChar w:fldCharType="end"/>
      </w:r>
      <w:r>
        <w:rPr>
          <w:color w:val="auto"/>
          <w:highlight w:val="none"/>
        </w:rPr>
        <w:fldChar w:fldCharType="end"/>
      </w:r>
    </w:p>
    <w:p w14:paraId="2FAED211">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"_Toc75182783"</w:instrText>
      </w:r>
      <w:r>
        <w:rPr>
          <w:rStyle w:val="47"/>
          <w:color w:val="auto"/>
          <w:highlight w:val="none"/>
        </w:rPr>
        <w:instrText xml:space="preserve"> </w:instrText>
      </w:r>
      <w:r>
        <w:rPr>
          <w:color w:val="auto"/>
          <w:highlight w:val="none"/>
        </w:rPr>
        <w:fldChar w:fldCharType="separate"/>
      </w:r>
      <w:r>
        <w:rPr>
          <w:rStyle w:val="47"/>
          <w:rFonts w:hint="eastAsia" w:cs="宋体"/>
          <w:bCs/>
          <w:color w:val="auto"/>
          <w:highlight w:val="none"/>
        </w:rPr>
        <w:t>第三章</w:t>
      </w:r>
      <w:r>
        <w:rPr>
          <w:rStyle w:val="47"/>
          <w:rFonts w:cs="宋体"/>
          <w:bCs/>
          <w:color w:val="auto"/>
          <w:highlight w:val="none"/>
        </w:rPr>
        <w:t xml:space="preserve">   </w:t>
      </w:r>
      <w:r>
        <w:rPr>
          <w:rStyle w:val="47"/>
          <w:rFonts w:hint="eastAsia" w:cs="宋体"/>
          <w:bCs/>
          <w:color w:val="auto"/>
          <w:highlight w:val="none"/>
        </w:rPr>
        <w:t>工程量清单编制及图纸（另册）</w:t>
      </w:r>
      <w:r>
        <w:rPr>
          <w:color w:val="auto"/>
          <w:highlight w:val="none"/>
        </w:rPr>
        <w:tab/>
      </w:r>
      <w:r>
        <w:rPr>
          <w:color w:val="auto"/>
          <w:highlight w:val="none"/>
        </w:rPr>
        <w:fldChar w:fldCharType="begin"/>
      </w:r>
      <w:r>
        <w:rPr>
          <w:color w:val="auto"/>
          <w:highlight w:val="none"/>
        </w:rPr>
        <w:instrText xml:space="preserve"> PAGEREF _Toc75182783 \h </w:instrText>
      </w:r>
      <w:r>
        <w:rPr>
          <w:color w:val="auto"/>
          <w:highlight w:val="none"/>
        </w:rPr>
        <w:fldChar w:fldCharType="separate"/>
      </w:r>
      <w:r>
        <w:rPr>
          <w:color w:val="auto"/>
          <w:highlight w:val="none"/>
        </w:rPr>
        <w:t>24</w:t>
      </w:r>
      <w:r>
        <w:rPr>
          <w:color w:val="auto"/>
          <w:highlight w:val="none"/>
        </w:rPr>
        <w:fldChar w:fldCharType="end"/>
      </w:r>
      <w:r>
        <w:rPr>
          <w:color w:val="auto"/>
          <w:highlight w:val="none"/>
        </w:rPr>
        <w:fldChar w:fldCharType="end"/>
      </w:r>
    </w:p>
    <w:p w14:paraId="1777B075">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"_Toc75182787"</w:instrText>
      </w:r>
      <w:r>
        <w:rPr>
          <w:rStyle w:val="47"/>
          <w:color w:val="auto"/>
          <w:highlight w:val="none"/>
        </w:rPr>
        <w:instrText xml:space="preserve"> </w:instrText>
      </w:r>
      <w:r>
        <w:rPr>
          <w:color w:val="auto"/>
          <w:highlight w:val="none"/>
        </w:rPr>
        <w:fldChar w:fldCharType="separate"/>
      </w:r>
      <w:r>
        <w:rPr>
          <w:rStyle w:val="47"/>
          <w:rFonts w:hint="eastAsia" w:cs="宋体"/>
          <w:color w:val="auto"/>
          <w:highlight w:val="none"/>
        </w:rPr>
        <w:t>第四章</w:t>
      </w:r>
      <w:r>
        <w:rPr>
          <w:rStyle w:val="47"/>
          <w:rFonts w:cs="宋体"/>
          <w:color w:val="auto"/>
          <w:highlight w:val="none"/>
        </w:rPr>
        <w:t xml:space="preserve">  </w:t>
      </w:r>
      <w:r>
        <w:rPr>
          <w:rStyle w:val="47"/>
          <w:rFonts w:hint="eastAsia" w:cs="宋体"/>
          <w:color w:val="auto"/>
          <w:highlight w:val="none"/>
        </w:rPr>
        <w:t>磋商响应文件格式</w:t>
      </w:r>
      <w:r>
        <w:rPr>
          <w:color w:val="auto"/>
          <w:highlight w:val="none"/>
        </w:rPr>
        <w:tab/>
      </w:r>
      <w:r>
        <w:rPr>
          <w:color w:val="auto"/>
          <w:highlight w:val="none"/>
        </w:rPr>
        <w:fldChar w:fldCharType="begin"/>
      </w:r>
      <w:r>
        <w:rPr>
          <w:color w:val="auto"/>
          <w:highlight w:val="none"/>
        </w:rPr>
        <w:instrText xml:space="preserve"> PAGEREF _Toc75182787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5FB262A8">
      <w:pPr>
        <w:pStyle w:val="28"/>
        <w:spacing w:line="800" w:lineRule="exact"/>
        <w:rPr>
          <w:rFonts w:ascii="Calibri" w:hAnsi="Calibri"/>
          <w:b w:val="0"/>
          <w:caps w:val="0"/>
          <w:color w:val="auto"/>
          <w:kern w:val="2"/>
          <w:sz w:val="21"/>
          <w:szCs w:val="22"/>
          <w:highlight w:val="none"/>
          <w:lang w:val="en-US" w:eastAsia="zh-CN"/>
        </w:rPr>
      </w:pPr>
      <w:r>
        <w:rPr>
          <w:color w:val="auto"/>
          <w:highlight w:val="none"/>
        </w:rPr>
        <w:fldChar w:fldCharType="begin"/>
      </w:r>
      <w:r>
        <w:rPr>
          <w:rStyle w:val="47"/>
          <w:color w:val="auto"/>
          <w:highlight w:val="none"/>
        </w:rPr>
        <w:instrText xml:space="preserve"> </w:instrText>
      </w:r>
      <w:r>
        <w:rPr>
          <w:color w:val="auto"/>
          <w:highlight w:val="none"/>
        </w:rPr>
        <w:instrText xml:space="preserve">HYPERLINK \l "_Toc75182804"</w:instrText>
      </w:r>
      <w:r>
        <w:rPr>
          <w:rStyle w:val="47"/>
          <w:color w:val="auto"/>
          <w:highlight w:val="none"/>
        </w:rPr>
        <w:instrText xml:space="preserve"> </w:instrText>
      </w:r>
      <w:r>
        <w:rPr>
          <w:color w:val="auto"/>
          <w:highlight w:val="none"/>
        </w:rPr>
        <w:fldChar w:fldCharType="separate"/>
      </w:r>
      <w:r>
        <w:rPr>
          <w:rStyle w:val="47"/>
          <w:rFonts w:hint="eastAsia" w:cs="宋体"/>
          <w:color w:val="auto"/>
          <w:kern w:val="36"/>
          <w:highlight w:val="none"/>
        </w:rPr>
        <w:t>第五章</w:t>
      </w:r>
      <w:r>
        <w:rPr>
          <w:rStyle w:val="47"/>
          <w:rFonts w:cs="宋体"/>
          <w:color w:val="auto"/>
          <w:kern w:val="36"/>
          <w:highlight w:val="none"/>
        </w:rPr>
        <w:t xml:space="preserve"> </w:t>
      </w:r>
      <w:r>
        <w:rPr>
          <w:rStyle w:val="47"/>
          <w:rFonts w:hint="eastAsia" w:cs="宋体"/>
          <w:color w:val="auto"/>
          <w:kern w:val="36"/>
          <w:highlight w:val="none"/>
        </w:rPr>
        <w:t>磋商原则和定标办法（综合评分法）</w:t>
      </w:r>
      <w:r>
        <w:rPr>
          <w:color w:val="auto"/>
          <w:highlight w:val="none"/>
        </w:rPr>
        <w:tab/>
      </w:r>
      <w:r>
        <w:rPr>
          <w:color w:val="auto"/>
          <w:highlight w:val="none"/>
        </w:rPr>
        <w:fldChar w:fldCharType="begin"/>
      </w:r>
      <w:r>
        <w:rPr>
          <w:color w:val="auto"/>
          <w:highlight w:val="none"/>
        </w:rPr>
        <w:instrText xml:space="preserve"> PAGEREF _Toc75182804 \h </w:instrText>
      </w:r>
      <w:r>
        <w:rPr>
          <w:color w:val="auto"/>
          <w:highlight w:val="none"/>
        </w:rPr>
        <w:fldChar w:fldCharType="separate"/>
      </w:r>
      <w:r>
        <w:rPr>
          <w:color w:val="auto"/>
          <w:highlight w:val="none"/>
        </w:rPr>
        <w:t>76</w:t>
      </w:r>
      <w:r>
        <w:rPr>
          <w:color w:val="auto"/>
          <w:highlight w:val="none"/>
        </w:rPr>
        <w:fldChar w:fldCharType="end"/>
      </w:r>
      <w:r>
        <w:rPr>
          <w:color w:val="auto"/>
          <w:highlight w:val="none"/>
        </w:rPr>
        <w:fldChar w:fldCharType="end"/>
      </w:r>
    </w:p>
    <w:p w14:paraId="7D77FDC0">
      <w:pPr>
        <w:spacing w:line="600" w:lineRule="exact"/>
        <w:rPr>
          <w:rFonts w:hint="eastAsia" w:ascii="宋体" w:hAnsi="宋体" w:cs="宋体"/>
          <w:b/>
          <w:color w:val="auto"/>
          <w:sz w:val="36"/>
          <w:szCs w:val="36"/>
          <w:highlight w:val="none"/>
        </w:rPr>
        <w:sectPr>
          <w:footerReference r:id="rId4" w:type="first"/>
          <w:footerReference r:id="rId3" w:type="even"/>
          <w:pgSz w:w="11906" w:h="16838"/>
          <w:pgMar w:top="1134" w:right="1134" w:bottom="1134" w:left="1133" w:header="623" w:footer="714" w:gutter="0"/>
          <w:pgNumType w:start="0"/>
          <w:cols w:space="720" w:num="1"/>
          <w:titlePg/>
          <w:docGrid w:type="lines" w:linePitch="331" w:charSpace="0"/>
        </w:sectPr>
      </w:pPr>
      <w:r>
        <w:rPr>
          <w:rFonts w:hint="eastAsia" w:ascii="宋体" w:hAnsi="宋体" w:cs="宋体"/>
          <w:color w:val="auto"/>
          <w:w w:val="90"/>
          <w:sz w:val="24"/>
          <w:szCs w:val="24"/>
          <w:highlight w:val="none"/>
        </w:rPr>
        <w:fldChar w:fldCharType="end"/>
      </w:r>
      <w:bookmarkEnd w:id="41"/>
      <w:bookmarkEnd w:id="42"/>
      <w:bookmarkStart w:id="43" w:name="_Toc11401"/>
      <w:bookmarkStart w:id="44" w:name="_Toc482785068"/>
      <w:bookmarkStart w:id="45" w:name="_Toc78294026"/>
      <w:bookmarkStart w:id="46" w:name="_Toc85085489"/>
      <w:bookmarkStart w:id="47" w:name="_Toc78294028"/>
    </w:p>
    <w:bookmarkEnd w:id="43"/>
    <w:p w14:paraId="75194624">
      <w:pPr>
        <w:spacing w:line="600" w:lineRule="exact"/>
        <w:ind w:firstLine="3373" w:firstLineChars="1400"/>
        <w:rPr>
          <w:rFonts w:ascii="宋体" w:hAnsi="宋体" w:eastAsia="宋体" w:cs="宋体"/>
          <w:b/>
          <w:color w:val="auto"/>
          <w:kern w:val="2"/>
          <w:position w:val="6"/>
          <w:sz w:val="24"/>
          <w:szCs w:val="24"/>
          <w:highlight w:val="none"/>
        </w:rPr>
      </w:pPr>
      <w:r>
        <w:rPr>
          <w:rFonts w:hint="eastAsia" w:ascii="宋体" w:hAnsi="宋体" w:eastAsia="宋体" w:cs="宋体"/>
          <w:b/>
          <w:bCs/>
          <w:color w:val="auto"/>
          <w:sz w:val="24"/>
          <w:szCs w:val="24"/>
          <w:highlight w:val="none"/>
        </w:rPr>
        <w:t>广西睿翼工程咨询有限公司</w:t>
      </w:r>
    </w:p>
    <w:p w14:paraId="2E643C37">
      <w:pPr>
        <w:pStyle w:val="2"/>
        <w:keepNext w:val="0"/>
        <w:keepLines w:val="0"/>
        <w:spacing w:before="0" w:beforeLines="0" w:after="0" w:afterLines="0" w:line="500" w:lineRule="exact"/>
        <w:rPr>
          <w:rFonts w:hint="eastAsia" w:ascii="宋体" w:hAnsi="宋体" w:eastAsia="宋体" w:cs="宋体"/>
          <w:b/>
          <w:color w:val="auto"/>
          <w:kern w:val="2"/>
          <w:position w:val="6"/>
          <w:sz w:val="24"/>
          <w:szCs w:val="24"/>
          <w:highlight w:val="none"/>
        </w:rPr>
      </w:pPr>
      <w:r>
        <w:rPr>
          <w:rFonts w:hint="eastAsia" w:ascii="宋体" w:hAnsi="宋体" w:eastAsia="宋体" w:cs="宋体"/>
          <w:b/>
          <w:color w:val="auto"/>
          <w:kern w:val="2"/>
          <w:position w:val="6"/>
          <w:sz w:val="24"/>
          <w:szCs w:val="24"/>
          <w:highlight w:val="none"/>
          <w:lang w:eastAsia="zh-CN"/>
        </w:rPr>
        <w:t>河池市巴马民族师范学校体育馆附属楼项目</w:t>
      </w:r>
      <w:r>
        <w:rPr>
          <w:rFonts w:hint="eastAsia" w:ascii="宋体" w:hAnsi="宋体" w:eastAsia="宋体" w:cs="宋体"/>
          <w:b/>
          <w:color w:val="auto"/>
          <w:kern w:val="2"/>
          <w:position w:val="6"/>
          <w:sz w:val="24"/>
          <w:szCs w:val="24"/>
          <w:highlight w:val="none"/>
        </w:rPr>
        <w:t>竞争性磋商公告</w:t>
      </w:r>
      <w:bookmarkEnd w:id="44"/>
    </w:p>
    <w:p w14:paraId="74DFBE45">
      <w:pPr>
        <w:pBdr>
          <w:top w:val="single" w:color="auto" w:sz="4" w:space="1"/>
          <w:left w:val="single" w:color="auto" w:sz="4" w:space="4"/>
          <w:bottom w:val="single" w:color="auto" w:sz="4" w:space="1"/>
          <w:right w:val="single" w:color="auto" w:sz="4" w:space="4"/>
        </w:pBdr>
        <w:spacing w:line="480" w:lineRule="exact"/>
        <w:rPr>
          <w:rFonts w:ascii="宋体" w:hAnsi="宋体" w:cs="宋体"/>
          <w:color w:val="auto"/>
          <w:szCs w:val="21"/>
          <w:highlight w:val="none"/>
        </w:rPr>
      </w:pPr>
      <w:r>
        <w:rPr>
          <w:rFonts w:hint="eastAsia" w:ascii="宋体" w:hAnsi="宋体" w:cs="宋体"/>
          <w:color w:val="auto"/>
          <w:szCs w:val="21"/>
          <w:highlight w:val="none"/>
        </w:rPr>
        <w:t>项目概况：</w:t>
      </w:r>
    </w:p>
    <w:p w14:paraId="17AEF49B">
      <w:pPr>
        <w:pBdr>
          <w:top w:val="single" w:color="auto" w:sz="4" w:space="1"/>
          <w:left w:val="single" w:color="auto" w:sz="4" w:space="4"/>
          <w:bottom w:val="single" w:color="auto" w:sz="4" w:space="1"/>
          <w:right w:val="single" w:color="auto" w:sz="4" w:space="4"/>
        </w:pBd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lang w:eastAsia="zh-CN"/>
        </w:rPr>
        <w:t>河池市巴马民族师范学校体育馆附属楼项目</w:t>
      </w:r>
      <w:r>
        <w:rPr>
          <w:rFonts w:hint="eastAsia" w:ascii="宋体" w:hAnsi="宋体" w:cs="宋体"/>
          <w:color w:val="auto"/>
          <w:szCs w:val="21"/>
          <w:highlight w:val="none"/>
        </w:rPr>
        <w:t>采购项目的潜在供应商应在</w:t>
      </w:r>
      <w:r>
        <w:rPr>
          <w:rFonts w:hint="eastAsia" w:ascii="宋体" w:hAnsi="宋体" w:cs="宋体"/>
          <w:color w:val="auto"/>
          <w:szCs w:val="21"/>
          <w:highlight w:val="none"/>
          <w:lang w:eastAsia="zh-CN"/>
        </w:rPr>
        <w:t>广西政府采购云平台</w:t>
      </w:r>
      <w:r>
        <w:rPr>
          <w:rFonts w:hint="eastAsia" w:ascii="宋体" w:hAnsi="宋体" w:cs="宋体"/>
          <w:color w:val="auto"/>
          <w:szCs w:val="21"/>
          <w:highlight w:val="none"/>
        </w:rPr>
        <w:t>（</w:t>
      </w:r>
      <w:r>
        <w:rPr>
          <w:rFonts w:hint="eastAsia" w:ascii="宋体" w:hAnsi="宋体" w:cs="宋体"/>
          <w:color w:val="auto"/>
          <w:szCs w:val="21"/>
          <w:highlight w:val="none"/>
          <w:lang w:eastAsia="zh-CN"/>
        </w:rPr>
        <w:t>https://www.gcy.zfcg.gxzf.gov.cn/</w:t>
      </w:r>
      <w:r>
        <w:rPr>
          <w:rFonts w:hint="eastAsia" w:ascii="宋体" w:hAnsi="宋体" w:cs="宋体"/>
          <w:color w:val="auto"/>
          <w:szCs w:val="21"/>
          <w:highlight w:val="none"/>
        </w:rPr>
        <w:t>）</w:t>
      </w: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HYPERLINK "http://www.bmggzy.org.cn)注册或登录并获取采购文件。并于2021年"</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Style w:val="47"/>
          <w:rFonts w:hint="eastAsia" w:ascii="宋体" w:hAnsi="宋体" w:cs="宋体"/>
          <w:color w:val="auto"/>
          <w:szCs w:val="21"/>
          <w:highlight w:val="none"/>
        </w:rPr>
        <w:t>获取竞争性磋商文件。并于响应文件提交截止时间前</w:t>
      </w:r>
      <w:r>
        <w:rPr>
          <w:rFonts w:ascii="宋体" w:hAnsi="宋体" w:cs="宋体"/>
          <w:color w:val="auto"/>
          <w:szCs w:val="21"/>
          <w:highlight w:val="none"/>
        </w:rPr>
        <w:fldChar w:fldCharType="end"/>
      </w:r>
      <w:r>
        <w:rPr>
          <w:rFonts w:hint="eastAsia" w:ascii="宋体" w:hAnsi="宋体" w:cs="宋体"/>
          <w:color w:val="auto"/>
          <w:szCs w:val="21"/>
          <w:highlight w:val="none"/>
        </w:rPr>
        <w:t>提交响应文件。</w:t>
      </w:r>
    </w:p>
    <w:p w14:paraId="238A84F8">
      <w:pPr>
        <w:pStyle w:val="3"/>
        <w:spacing w:before="0" w:beforeLines="0" w:after="0" w:afterLines="0" w:line="480" w:lineRule="exact"/>
        <w:rPr>
          <w:rFonts w:hint="eastAsia" w:ascii="宋体" w:hAnsi="宋体" w:eastAsia="宋体" w:cs="宋体"/>
          <w:color w:val="auto"/>
          <w:sz w:val="21"/>
          <w:szCs w:val="21"/>
          <w:highlight w:val="none"/>
        </w:rPr>
      </w:pPr>
      <w:r>
        <w:rPr>
          <w:rFonts w:hint="eastAsia" w:ascii="宋体" w:hAnsi="宋体" w:cs="宋体"/>
          <w:b w:val="0"/>
          <w:bCs/>
          <w:color w:val="auto"/>
          <w:sz w:val="24"/>
          <w:szCs w:val="24"/>
          <w:highlight w:val="none"/>
        </w:rPr>
        <w:t xml:space="preserve"> </w:t>
      </w:r>
      <w:bookmarkStart w:id="48" w:name="_Toc35393798"/>
      <w:bookmarkStart w:id="49" w:name="_Toc47087973"/>
      <w:bookmarkStart w:id="50" w:name="_Toc28359089"/>
      <w:bookmarkStart w:id="51" w:name="_Toc47088119"/>
      <w:bookmarkStart w:id="52" w:name="_Toc75182664"/>
      <w:bookmarkStart w:id="53" w:name="_Toc35393629"/>
      <w:bookmarkStart w:id="54" w:name="_Toc28359012"/>
      <w:bookmarkStart w:id="55" w:name="_Toc47088263"/>
      <w:r>
        <w:rPr>
          <w:rFonts w:hint="eastAsia" w:ascii="宋体" w:hAnsi="宋体" w:eastAsia="宋体" w:cs="宋体"/>
          <w:color w:val="auto"/>
          <w:sz w:val="21"/>
          <w:szCs w:val="21"/>
          <w:highlight w:val="none"/>
        </w:rPr>
        <w:t>一、项目基本情况</w:t>
      </w:r>
      <w:bookmarkEnd w:id="48"/>
      <w:bookmarkEnd w:id="49"/>
      <w:bookmarkEnd w:id="50"/>
      <w:bookmarkEnd w:id="51"/>
      <w:bookmarkEnd w:id="52"/>
      <w:bookmarkEnd w:id="53"/>
      <w:bookmarkEnd w:id="54"/>
      <w:bookmarkEnd w:id="55"/>
    </w:p>
    <w:p w14:paraId="307C135B">
      <w:pP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项目编号</w:t>
      </w:r>
      <w:r>
        <w:rPr>
          <w:rFonts w:hint="eastAsia" w:ascii="宋体" w:hAnsi="宋体" w:cs="宋体"/>
          <w:color w:val="auto"/>
          <w:szCs w:val="21"/>
          <w:highlight w:val="none"/>
          <w:lang w:eastAsia="zh-CN"/>
        </w:rPr>
        <w:t>：HCZC2025-C2-990118-GXRY</w:t>
      </w:r>
    </w:p>
    <w:p w14:paraId="13FDBE99">
      <w:pPr>
        <w:spacing w:line="480" w:lineRule="exact"/>
        <w:ind w:firstLine="420" w:firstLineChars="200"/>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rPr>
        <w:t>项目名称：</w:t>
      </w:r>
      <w:r>
        <w:rPr>
          <w:rFonts w:hint="eastAsia" w:ascii="宋体" w:hAnsi="宋体" w:cs="宋体"/>
          <w:color w:val="auto"/>
          <w:szCs w:val="21"/>
          <w:highlight w:val="none"/>
          <w:lang w:eastAsia="zh-CN"/>
        </w:rPr>
        <w:t xml:space="preserve">河池市巴马民族师范学校体育馆附属楼项目 </w:t>
      </w:r>
    </w:p>
    <w:p w14:paraId="532783A0">
      <w:pP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采购方式：竞争性磋商 </w:t>
      </w:r>
    </w:p>
    <w:p w14:paraId="7270760F">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预算金额：</w:t>
      </w:r>
      <w:r>
        <w:rPr>
          <w:rFonts w:hint="eastAsia" w:ascii="宋体" w:hAnsi="宋体" w:cs="宋体"/>
          <w:color w:val="auto"/>
          <w:szCs w:val="21"/>
          <w:highlight w:val="none"/>
          <w:lang w:eastAsia="zh-CN"/>
        </w:rPr>
        <w:t>2325940.12</w:t>
      </w:r>
      <w:r>
        <w:rPr>
          <w:rFonts w:hint="eastAsia" w:ascii="宋体" w:hAnsi="宋体" w:cs="宋体"/>
          <w:color w:val="auto"/>
          <w:szCs w:val="21"/>
          <w:highlight w:val="none"/>
        </w:rPr>
        <w:t>元</w:t>
      </w:r>
      <w:r>
        <w:rPr>
          <w:rFonts w:hint="eastAsia" w:ascii="宋体" w:hAnsi="宋体" w:cs="宋体"/>
          <w:color w:val="auto"/>
          <w:szCs w:val="21"/>
          <w:highlight w:val="none"/>
          <w:lang w:eastAsia="zh-CN"/>
        </w:rPr>
        <w:t>。</w:t>
      </w:r>
    </w:p>
    <w:p w14:paraId="7EFD60AC">
      <w:pP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最高限价：</w:t>
      </w:r>
      <w:r>
        <w:rPr>
          <w:rFonts w:hint="eastAsia" w:ascii="宋体" w:hAnsi="宋体" w:cs="宋体"/>
          <w:color w:val="auto"/>
          <w:szCs w:val="21"/>
          <w:highlight w:val="none"/>
          <w:lang w:eastAsia="zh-CN"/>
        </w:rPr>
        <w:t>2325940.12</w:t>
      </w:r>
      <w:r>
        <w:rPr>
          <w:rFonts w:hint="eastAsia" w:ascii="宋体" w:hAnsi="宋体" w:cs="宋体"/>
          <w:color w:val="auto"/>
          <w:szCs w:val="21"/>
          <w:highlight w:val="none"/>
        </w:rPr>
        <w:t>元</w:t>
      </w:r>
      <w:r>
        <w:rPr>
          <w:rFonts w:hint="eastAsia" w:ascii="宋体" w:hAnsi="宋体" w:cs="宋体"/>
          <w:color w:val="auto"/>
          <w:szCs w:val="21"/>
          <w:highlight w:val="none"/>
          <w:lang w:eastAsia="zh-CN"/>
        </w:rPr>
        <w:t>。</w:t>
      </w:r>
    </w:p>
    <w:p w14:paraId="2E5FEFD7">
      <w:pP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采购需求：</w:t>
      </w:r>
      <w:bookmarkStart w:id="56" w:name="_Toc35393799"/>
      <w:bookmarkStart w:id="57" w:name="_Toc47088120"/>
      <w:bookmarkStart w:id="58" w:name="_Toc47088264"/>
      <w:bookmarkStart w:id="59" w:name="_Toc47087974"/>
      <w:bookmarkStart w:id="60" w:name="_Toc75182665"/>
      <w:bookmarkStart w:id="61" w:name="_Toc28359013"/>
      <w:bookmarkStart w:id="62" w:name="_Toc28359090"/>
      <w:bookmarkStart w:id="63" w:name="_Toc35393630"/>
      <w:r>
        <w:rPr>
          <w:rFonts w:hint="eastAsia" w:ascii="宋体" w:hAnsi="宋体" w:cs="宋体"/>
          <w:color w:val="auto"/>
          <w:szCs w:val="21"/>
          <w:highlight w:val="none"/>
          <w:lang w:eastAsia="zh-CN"/>
        </w:rPr>
        <w:t>本项目建设1栋5层的体育馆附属楼，总建筑面积约为 1147.07m2。主要建设内容包括体育馆附属楼的建安工程、给排水、电气等。</w:t>
      </w:r>
      <w:r>
        <w:rPr>
          <w:rFonts w:hint="eastAsia" w:ascii="宋体" w:hAnsi="宋体"/>
          <w:color w:val="auto"/>
          <w:szCs w:val="21"/>
          <w:highlight w:val="none"/>
        </w:rPr>
        <w:t>（详见工程施工图纸及工程量清单）</w:t>
      </w:r>
    </w:p>
    <w:p w14:paraId="481A2164">
      <w:pPr>
        <w:spacing w:line="48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合同履行期限：工期</w:t>
      </w:r>
      <w:r>
        <w:rPr>
          <w:rFonts w:hint="eastAsia" w:ascii="宋体" w:hAnsi="宋体" w:cs="宋体"/>
          <w:color w:val="auto"/>
          <w:szCs w:val="21"/>
          <w:highlight w:val="none"/>
          <w:u w:val="single"/>
          <w:lang w:val="en-US" w:eastAsia="zh-CN"/>
        </w:rPr>
        <w:t>170</w:t>
      </w:r>
      <w:r>
        <w:rPr>
          <w:rFonts w:hint="eastAsia" w:ascii="宋体" w:hAnsi="宋体" w:cs="宋体"/>
          <w:color w:val="auto"/>
          <w:szCs w:val="21"/>
          <w:highlight w:val="none"/>
        </w:rPr>
        <w:t>日历天；</w:t>
      </w:r>
    </w:p>
    <w:p w14:paraId="286F6083">
      <w:pPr>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本项目</w:t>
      </w:r>
      <w:r>
        <w:rPr>
          <w:rFonts w:hint="eastAsia" w:ascii="宋体" w:hAnsi="宋体" w:cs="宋体"/>
          <w:color w:val="auto"/>
          <w:szCs w:val="21"/>
          <w:highlight w:val="none"/>
          <w:lang w:val="en-US" w:eastAsia="zh-CN"/>
        </w:rPr>
        <w:t>不</w:t>
      </w:r>
      <w:r>
        <w:rPr>
          <w:rFonts w:hint="eastAsia" w:ascii="宋体" w:hAnsi="宋体" w:cs="宋体"/>
          <w:color w:val="auto"/>
          <w:szCs w:val="21"/>
          <w:highlight w:val="none"/>
        </w:rPr>
        <w:t>接受联合体投标。</w:t>
      </w:r>
    </w:p>
    <w:p w14:paraId="1E487FAE">
      <w:pPr>
        <w:pStyle w:val="3"/>
        <w:spacing w:before="0" w:beforeLines="0" w:after="0" w:afterLines="0"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二、申请人的资格要求：</w:t>
      </w:r>
      <w:bookmarkEnd w:id="56"/>
      <w:bookmarkEnd w:id="57"/>
      <w:bookmarkEnd w:id="58"/>
      <w:bookmarkEnd w:id="59"/>
      <w:bookmarkEnd w:id="60"/>
      <w:bookmarkEnd w:id="61"/>
      <w:bookmarkEnd w:id="62"/>
      <w:bookmarkEnd w:id="63"/>
    </w:p>
    <w:p w14:paraId="06D12263">
      <w:pPr>
        <w:autoSpaceDE w:val="0"/>
        <w:spacing w:line="440" w:lineRule="exact"/>
        <w:ind w:firstLine="420" w:firstLineChars="200"/>
        <w:rPr>
          <w:rFonts w:hint="eastAsia" w:ascii="宋体" w:hAnsi="宋体"/>
          <w:color w:val="auto"/>
          <w:highlight w:val="none"/>
        </w:rPr>
      </w:pPr>
      <w:bookmarkStart w:id="64" w:name="_Toc28359014"/>
      <w:bookmarkStart w:id="65" w:name="_Toc47088265"/>
      <w:bookmarkStart w:id="66" w:name="_Toc47087975"/>
      <w:bookmarkStart w:id="67" w:name="_Toc35393631"/>
      <w:bookmarkStart w:id="68" w:name="_Toc35393800"/>
      <w:bookmarkStart w:id="69" w:name="_Toc47088121"/>
      <w:bookmarkStart w:id="70" w:name="_Toc28359091"/>
      <w:r>
        <w:rPr>
          <w:rFonts w:hint="eastAsia" w:ascii="宋体" w:hAnsi="宋体"/>
          <w:color w:val="auto"/>
          <w:highlight w:val="none"/>
        </w:rPr>
        <w:t>1.满足《中华人民共和国政府采购法》第二十二条规定及《政府采购竞争性磋商采购方式管理暂行办法》的有关规定；</w:t>
      </w:r>
    </w:p>
    <w:p w14:paraId="4A1DB327">
      <w:pPr>
        <w:autoSpaceDE w:val="0"/>
        <w:spacing w:line="440" w:lineRule="exact"/>
        <w:ind w:firstLine="420" w:firstLineChars="200"/>
        <w:rPr>
          <w:rFonts w:hint="eastAsia" w:ascii="宋体" w:hAnsi="宋体" w:cs="宋体"/>
          <w:color w:val="auto"/>
          <w:sz w:val="24"/>
          <w:szCs w:val="24"/>
          <w:highlight w:val="none"/>
          <w:u w:val="single"/>
          <w:lang w:bidi="ar"/>
        </w:rPr>
      </w:pPr>
      <w:r>
        <w:rPr>
          <w:rFonts w:hint="eastAsia" w:ascii="宋体" w:hAnsi="宋体"/>
          <w:color w:val="auto"/>
          <w:highlight w:val="none"/>
        </w:rPr>
        <w:t>2.落实政府采购政策需满足的资格要求：本项目专门面向中小企业采购；</w:t>
      </w:r>
      <w:r>
        <w:rPr>
          <w:rFonts w:hint="eastAsia" w:ascii="宋体" w:hAnsi="宋体"/>
          <w:color w:val="auto"/>
          <w:highlight w:val="none"/>
          <w:lang w:eastAsia="zh-CN"/>
        </w:rPr>
        <w:t>供应商应为中小微型企业或监狱企业或残疾人福利性单位。</w:t>
      </w:r>
    </w:p>
    <w:p w14:paraId="7380ED04">
      <w:pPr>
        <w:autoSpaceDE w:val="0"/>
        <w:spacing w:line="440" w:lineRule="exact"/>
        <w:ind w:firstLine="420" w:firstLineChars="200"/>
        <w:rPr>
          <w:rFonts w:hint="eastAsia" w:ascii="宋体" w:hAnsi="宋体"/>
          <w:color w:val="auto"/>
          <w:highlight w:val="none"/>
        </w:rPr>
      </w:pPr>
      <w:r>
        <w:rPr>
          <w:rFonts w:hint="eastAsia" w:ascii="宋体" w:hAnsi="宋体"/>
          <w:color w:val="auto"/>
          <w:highlight w:val="none"/>
        </w:rPr>
        <w:t>3.本项目的特定资格要求：（1）具有独立法人资格，具备</w:t>
      </w:r>
      <w:r>
        <w:rPr>
          <w:rFonts w:hint="eastAsia" w:ascii="宋体" w:hAnsi="宋体"/>
          <w:color w:val="auto"/>
          <w:highlight w:val="none"/>
          <w:lang w:eastAsia="zh-CN"/>
        </w:rPr>
        <w:t>建筑工程</w:t>
      </w:r>
      <w:r>
        <w:rPr>
          <w:rFonts w:hint="eastAsia" w:ascii="宋体" w:hAnsi="宋体"/>
          <w:color w:val="auto"/>
          <w:highlight w:val="none"/>
        </w:rPr>
        <w:t>施工总承包</w:t>
      </w:r>
      <w:r>
        <w:rPr>
          <w:rFonts w:hint="eastAsia" w:ascii="宋体" w:hAnsi="宋体"/>
          <w:color w:val="auto"/>
          <w:highlight w:val="none"/>
          <w:lang w:val="en-US" w:eastAsia="zh-CN"/>
        </w:rPr>
        <w:t>三</w:t>
      </w:r>
      <w:r>
        <w:rPr>
          <w:rFonts w:hint="eastAsia" w:ascii="宋体" w:hAnsi="宋体"/>
          <w:color w:val="auto"/>
          <w:highlight w:val="none"/>
        </w:rPr>
        <w:t>级</w:t>
      </w:r>
      <w:r>
        <w:rPr>
          <w:rFonts w:hint="eastAsia" w:ascii="宋体" w:hAnsi="宋体"/>
          <w:color w:val="auto"/>
          <w:highlight w:val="none"/>
          <w:lang w:val="en-US" w:eastAsia="zh-CN"/>
        </w:rPr>
        <w:t>及以上资质</w:t>
      </w:r>
      <w:r>
        <w:rPr>
          <w:rFonts w:hint="eastAsia" w:ascii="宋体" w:hAnsi="宋体"/>
          <w:color w:val="auto"/>
          <w:highlight w:val="none"/>
        </w:rPr>
        <w:t>，并在人员、设备、资金等方面具有相应的施工能力。</w:t>
      </w:r>
    </w:p>
    <w:p w14:paraId="04696D59">
      <w:pPr>
        <w:autoSpaceDE w:val="0"/>
        <w:spacing w:line="440" w:lineRule="exact"/>
        <w:ind w:firstLine="420" w:firstLineChars="200"/>
        <w:rPr>
          <w:rFonts w:hint="eastAsia" w:ascii="宋体" w:hAnsi="宋体"/>
          <w:color w:val="auto"/>
          <w:highlight w:val="none"/>
        </w:rPr>
      </w:pPr>
      <w:r>
        <w:rPr>
          <w:rFonts w:hint="eastAsia" w:ascii="宋体" w:hAnsi="宋体"/>
          <w:color w:val="auto"/>
          <w:highlight w:val="none"/>
        </w:rPr>
        <w:t>（2）项目经理：具备</w:t>
      </w:r>
      <w:r>
        <w:rPr>
          <w:rFonts w:hint="eastAsia" w:ascii="宋体" w:hAnsi="宋体"/>
          <w:color w:val="auto"/>
          <w:highlight w:val="none"/>
          <w:lang w:eastAsia="zh-CN"/>
        </w:rPr>
        <w:t>建筑工程</w:t>
      </w:r>
      <w:r>
        <w:rPr>
          <w:rFonts w:hint="eastAsia" w:ascii="宋体" w:hAnsi="宋体"/>
          <w:color w:val="auto"/>
          <w:highlight w:val="none"/>
        </w:rPr>
        <w:t>专业二级以上（含二级）注册建造师执业资格，具备有效的安全生产考核合格证书（B类）；</w:t>
      </w:r>
    </w:p>
    <w:p w14:paraId="7FCED766">
      <w:pPr>
        <w:autoSpaceDE w:val="0"/>
        <w:spacing w:line="440" w:lineRule="exact"/>
        <w:ind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s="宋体"/>
          <w:color w:val="auto"/>
          <w:szCs w:val="21"/>
          <w:highlight w:val="none"/>
        </w:rPr>
        <w:t>对在“信用中国”网站(www.creditchina.gov.cn)、中国政府采购网(www.ccgp.gov.cn)等渠道列入失信被执行人、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、政府采购严重违法失信行为记录名单及其他不符合《中华人民共和国政府采购法》第二十二条规定条件的供应商，不得参与政府采购活动。</w:t>
      </w:r>
    </w:p>
    <w:p w14:paraId="79AA757D">
      <w:pPr>
        <w:autoSpaceDE w:val="0"/>
        <w:spacing w:line="440" w:lineRule="exact"/>
        <w:ind w:firstLine="420" w:firstLineChars="200"/>
        <w:rPr>
          <w:rFonts w:ascii="宋体" w:hAnsi="宋体"/>
          <w:color w:val="auto"/>
          <w:highlight w:val="none"/>
        </w:rPr>
      </w:pPr>
      <w:r>
        <w:rPr>
          <w:rFonts w:hint="eastAsia" w:ascii="宋体" w:hAnsi="宋体"/>
          <w:color w:val="auto"/>
          <w:highlight w:val="none"/>
        </w:rPr>
        <w:t>（4）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15559375">
      <w:pPr>
        <w:autoSpaceDE w:val="0"/>
        <w:spacing w:line="440" w:lineRule="exact"/>
        <w:ind w:firstLine="420" w:firstLineChars="200"/>
        <w:rPr>
          <w:rFonts w:hint="eastAsia" w:ascii="宋体" w:hAnsi="宋体"/>
          <w:color w:val="auto"/>
          <w:highlight w:val="none"/>
        </w:rPr>
      </w:pPr>
      <w:r>
        <w:rPr>
          <w:rFonts w:ascii="宋体" w:hAnsi="宋体"/>
          <w:color w:val="auto"/>
          <w:highlight w:val="none"/>
        </w:rPr>
        <w:t>4</w:t>
      </w:r>
      <w:r>
        <w:rPr>
          <w:rFonts w:hint="eastAsia" w:ascii="宋体" w:hAnsi="宋体"/>
          <w:color w:val="auto"/>
          <w:highlight w:val="none"/>
        </w:rPr>
        <w:t>.本项目不接受未按竞争性磋商公告要求获取竞争性磋商文件的供应商</w:t>
      </w:r>
      <w:r>
        <w:rPr>
          <w:rFonts w:hint="eastAsia" w:ascii="宋体" w:hAnsi="宋体" w:cs="宋体"/>
          <w:color w:val="auto"/>
          <w:szCs w:val="21"/>
          <w:highlight w:val="none"/>
        </w:rPr>
        <w:t>竞标</w:t>
      </w:r>
      <w:r>
        <w:rPr>
          <w:rFonts w:hint="eastAsia" w:ascii="宋体" w:hAnsi="宋体"/>
          <w:color w:val="auto"/>
          <w:highlight w:val="none"/>
        </w:rPr>
        <w:t>。</w:t>
      </w:r>
    </w:p>
    <w:p w14:paraId="33D2C07D">
      <w:pPr>
        <w:pStyle w:val="3"/>
        <w:spacing w:before="0" w:beforeLines="0" w:after="0" w:afterLines="0" w:line="480" w:lineRule="exact"/>
        <w:rPr>
          <w:rFonts w:hint="eastAsia" w:ascii="宋体" w:hAnsi="宋体" w:eastAsia="宋体" w:cs="宋体"/>
          <w:color w:val="auto"/>
          <w:sz w:val="21"/>
          <w:szCs w:val="21"/>
          <w:highlight w:val="none"/>
        </w:rPr>
      </w:pPr>
      <w:bookmarkStart w:id="71" w:name="_Toc75182666"/>
      <w:r>
        <w:rPr>
          <w:rFonts w:hint="eastAsia" w:ascii="宋体" w:hAnsi="宋体" w:eastAsia="宋体" w:cs="宋体"/>
          <w:color w:val="auto"/>
          <w:sz w:val="21"/>
          <w:szCs w:val="21"/>
          <w:highlight w:val="none"/>
        </w:rPr>
        <w:t>三、获取采购文件</w:t>
      </w:r>
      <w:bookmarkEnd w:id="64"/>
      <w:bookmarkEnd w:id="65"/>
      <w:bookmarkEnd w:id="66"/>
      <w:bookmarkEnd w:id="67"/>
      <w:bookmarkEnd w:id="68"/>
      <w:bookmarkEnd w:id="69"/>
      <w:bookmarkEnd w:id="70"/>
      <w:bookmarkEnd w:id="71"/>
    </w:p>
    <w:p w14:paraId="5D6E1F48">
      <w:pPr>
        <w:spacing w:line="480" w:lineRule="exact"/>
        <w:ind w:firstLine="539"/>
        <w:rPr>
          <w:rFonts w:hint="eastAsia" w:ascii="宋体" w:hAnsi="宋体" w:cs="宋体"/>
          <w:color w:val="auto"/>
          <w:szCs w:val="21"/>
          <w:highlight w:val="none"/>
        </w:rPr>
      </w:pPr>
      <w:r>
        <w:rPr>
          <w:rFonts w:hint="eastAsia" w:ascii="宋体" w:hAnsi="宋体" w:cs="宋体"/>
          <w:color w:val="auto"/>
          <w:szCs w:val="21"/>
          <w:highlight w:val="none"/>
        </w:rPr>
        <w:t>时间：本公告发布之日起至响应文件递交截止时间前；</w:t>
      </w:r>
    </w:p>
    <w:p w14:paraId="6E7EFB60">
      <w:pPr>
        <w:spacing w:line="480" w:lineRule="exact"/>
        <w:ind w:firstLine="539"/>
        <w:rPr>
          <w:rFonts w:hint="eastAsia" w:ascii="宋体" w:hAnsi="宋体"/>
          <w:color w:val="auto"/>
          <w:highlight w:val="none"/>
        </w:rPr>
      </w:pPr>
      <w:r>
        <w:rPr>
          <w:rFonts w:hint="eastAsia" w:ascii="宋体" w:hAnsi="宋体" w:cs="宋体"/>
          <w:color w:val="auto"/>
          <w:szCs w:val="21"/>
          <w:highlight w:val="none"/>
        </w:rPr>
        <w:t>地点：</w:t>
      </w:r>
      <w:r>
        <w:rPr>
          <w:rFonts w:hint="eastAsia" w:ascii="宋体" w:hAnsi="宋体"/>
          <w:color w:val="auto"/>
          <w:highlight w:val="none"/>
          <w:lang w:eastAsia="zh-CN"/>
        </w:rPr>
        <w:t>广西政府采购云平台</w:t>
      </w:r>
      <w:r>
        <w:rPr>
          <w:rFonts w:hint="eastAsia" w:ascii="宋体" w:hAnsi="宋体"/>
          <w:color w:val="auto"/>
          <w:highlight w:val="none"/>
        </w:rPr>
        <w:t>（</w:t>
      </w:r>
      <w:r>
        <w:rPr>
          <w:rFonts w:hint="eastAsia" w:ascii="宋体" w:hAnsi="宋体"/>
          <w:color w:val="auto"/>
          <w:highlight w:val="none"/>
          <w:lang w:eastAsia="zh-CN"/>
        </w:rPr>
        <w:t>https://www.gcy.zfcg.gxzf.gov.cn/</w:t>
      </w:r>
      <w:r>
        <w:rPr>
          <w:rFonts w:hint="eastAsia" w:ascii="宋体" w:hAnsi="宋体"/>
          <w:color w:val="auto"/>
          <w:highlight w:val="none"/>
        </w:rPr>
        <w:t>）；</w:t>
      </w:r>
    </w:p>
    <w:p w14:paraId="768308D8">
      <w:pPr>
        <w:spacing w:line="480" w:lineRule="exact"/>
        <w:ind w:firstLine="539"/>
        <w:rPr>
          <w:rFonts w:hint="eastAsia" w:ascii="宋体" w:hAnsi="宋体"/>
          <w:color w:val="auto"/>
          <w:highlight w:val="none"/>
        </w:rPr>
      </w:pPr>
      <w:r>
        <w:rPr>
          <w:rFonts w:hint="eastAsia" w:ascii="宋体" w:hAnsi="宋体"/>
          <w:color w:val="auto"/>
          <w:highlight w:val="none"/>
        </w:rPr>
        <w:t>方式：</w:t>
      </w:r>
      <w:r>
        <w:rPr>
          <w:rFonts w:hint="eastAsia" w:ascii="宋体" w:hAnsi="宋体"/>
          <w:color w:val="auto"/>
          <w:highlight w:val="none"/>
          <w:lang w:eastAsia="zh-CN"/>
        </w:rPr>
        <w:t>在广西政府采购云平台</w:t>
      </w:r>
      <w:r>
        <w:rPr>
          <w:rFonts w:hint="eastAsia" w:ascii="宋体" w:hAnsi="宋体"/>
          <w:color w:val="auto"/>
          <w:highlight w:val="none"/>
        </w:rPr>
        <w:t>下载竞争性磋商文件。电子响应文件制作需要基于“</w:t>
      </w:r>
      <w:r>
        <w:rPr>
          <w:rFonts w:hint="eastAsia" w:ascii="宋体" w:hAnsi="宋体"/>
          <w:color w:val="auto"/>
          <w:highlight w:val="none"/>
          <w:lang w:eastAsia="zh-CN"/>
        </w:rPr>
        <w:t>广西政府采购云平台</w:t>
      </w:r>
      <w:r>
        <w:rPr>
          <w:rFonts w:hint="eastAsia" w:ascii="宋体" w:hAnsi="宋体"/>
          <w:color w:val="auto"/>
          <w:highlight w:val="none"/>
        </w:rPr>
        <w:t>模块获取的采购文件制作，供应商需根据本项目编号进一步前往</w:t>
      </w:r>
      <w:r>
        <w:rPr>
          <w:rFonts w:hint="eastAsia" w:ascii="宋体" w:hAnsi="宋体"/>
          <w:color w:val="auto"/>
          <w:highlight w:val="none"/>
          <w:lang w:eastAsia="zh-CN"/>
        </w:rPr>
        <w:t>广西政府采购云平台</w:t>
      </w:r>
      <w:r>
        <w:rPr>
          <w:rFonts w:hint="eastAsia" w:ascii="宋体" w:hAnsi="宋体"/>
          <w:color w:val="auto"/>
          <w:highlight w:val="none"/>
        </w:rPr>
        <w:t>“获取采购文件”模块</w:t>
      </w:r>
      <w:r>
        <w:rPr>
          <w:rFonts w:hint="eastAsia" w:ascii="宋体" w:hAnsi="宋体"/>
          <w:color w:val="auto"/>
          <w:highlight w:val="none"/>
        </w:rPr>
        <w:fldChar w:fldCharType="begin"/>
      </w:r>
      <w:r>
        <w:rPr>
          <w:rFonts w:hint="eastAsia" w:ascii="宋体" w:hAnsi="宋体"/>
          <w:color w:val="auto"/>
          <w:highlight w:val="none"/>
        </w:rPr>
        <w:instrText xml:space="preserve"> HYPERLINK "https://www.zcygov.cn/bidding-entrust/#/acquirepurfile/list）下载采购文件。" </w:instrText>
      </w:r>
      <w:r>
        <w:rPr>
          <w:rFonts w:hint="eastAsia" w:ascii="宋体" w:hAnsi="宋体"/>
          <w:color w:val="auto"/>
          <w:highlight w:val="none"/>
        </w:rPr>
        <w:fldChar w:fldCharType="separate"/>
      </w:r>
      <w:r>
        <w:rPr>
          <w:rFonts w:hint="eastAsia" w:ascii="宋体" w:hAnsi="宋体"/>
          <w:color w:val="auto"/>
          <w:highlight w:val="none"/>
        </w:rPr>
        <w:t>下载采购文件。</w:t>
      </w:r>
      <w:r>
        <w:rPr>
          <w:rFonts w:hint="eastAsia" w:ascii="宋体" w:hAnsi="宋体"/>
          <w:color w:val="auto"/>
          <w:highlight w:val="none"/>
        </w:rPr>
        <w:fldChar w:fldCharType="end"/>
      </w:r>
    </w:p>
    <w:p w14:paraId="27E86E4B">
      <w:pPr>
        <w:spacing w:line="480" w:lineRule="exact"/>
        <w:ind w:firstLine="539"/>
        <w:rPr>
          <w:rFonts w:hint="eastAsia" w:ascii="宋体" w:hAnsi="宋体" w:cs="宋体"/>
          <w:color w:val="auto"/>
          <w:szCs w:val="21"/>
          <w:highlight w:val="none"/>
        </w:rPr>
      </w:pPr>
      <w:r>
        <w:rPr>
          <w:rFonts w:hint="eastAsia" w:ascii="宋体" w:hAnsi="宋体" w:cs="宋体"/>
          <w:color w:val="auto"/>
          <w:szCs w:val="21"/>
          <w:highlight w:val="none"/>
        </w:rPr>
        <w:t>售价：竞争性磋商文件及工程量清单、图纸等材料不收取费用。</w:t>
      </w:r>
    </w:p>
    <w:p w14:paraId="5EBFF15F">
      <w:pPr>
        <w:pStyle w:val="3"/>
        <w:spacing w:before="0" w:beforeLines="0" w:after="0" w:afterLines="0" w:line="480" w:lineRule="exact"/>
        <w:rPr>
          <w:rFonts w:hint="eastAsia" w:ascii="宋体" w:hAnsi="宋体" w:eastAsia="宋体" w:cs="宋体"/>
          <w:color w:val="auto"/>
          <w:sz w:val="21"/>
          <w:szCs w:val="21"/>
          <w:highlight w:val="none"/>
        </w:rPr>
      </w:pPr>
      <w:bookmarkStart w:id="72" w:name="_Toc47088266"/>
      <w:bookmarkStart w:id="73" w:name="_Toc28359092"/>
      <w:bookmarkStart w:id="74" w:name="_Toc35393632"/>
      <w:bookmarkStart w:id="75" w:name="_Toc28359015"/>
      <w:bookmarkStart w:id="76" w:name="_Toc75182667"/>
      <w:bookmarkStart w:id="77" w:name="_Toc47088122"/>
      <w:bookmarkStart w:id="78" w:name="_Toc47087976"/>
      <w:bookmarkStart w:id="79" w:name="_Toc35393801"/>
      <w:r>
        <w:rPr>
          <w:rFonts w:hint="eastAsia" w:ascii="宋体" w:hAnsi="宋体" w:eastAsia="宋体" w:cs="宋体"/>
          <w:color w:val="auto"/>
          <w:sz w:val="21"/>
          <w:szCs w:val="21"/>
          <w:highlight w:val="none"/>
        </w:rPr>
        <w:t>四、响应文件提交</w:t>
      </w:r>
      <w:bookmarkEnd w:id="72"/>
      <w:bookmarkEnd w:id="73"/>
      <w:bookmarkEnd w:id="74"/>
      <w:bookmarkEnd w:id="75"/>
      <w:bookmarkEnd w:id="76"/>
      <w:bookmarkEnd w:id="77"/>
      <w:bookmarkEnd w:id="78"/>
      <w:bookmarkEnd w:id="79"/>
    </w:p>
    <w:p w14:paraId="701D17F9">
      <w:pPr>
        <w:spacing w:line="480" w:lineRule="exact"/>
        <w:ind w:firstLine="539"/>
        <w:rPr>
          <w:rFonts w:hint="eastAsia" w:ascii="宋体" w:hAnsi="宋体" w:cs="宋体"/>
          <w:color w:val="auto"/>
          <w:szCs w:val="21"/>
          <w:highlight w:val="none"/>
        </w:rPr>
      </w:pPr>
      <w:r>
        <w:rPr>
          <w:rFonts w:hint="eastAsia" w:ascii="宋体" w:hAnsi="宋体" w:cs="宋体"/>
          <w:bCs/>
          <w:color w:val="auto"/>
          <w:szCs w:val="21"/>
          <w:highlight w:val="none"/>
        </w:rPr>
        <w:t>截止时间：</w:t>
      </w:r>
      <w:r>
        <w:rPr>
          <w:rFonts w:hint="eastAsia" w:ascii="宋体" w:hAnsi="宋体" w:cs="宋体"/>
          <w:bCs/>
          <w:color w:val="auto"/>
          <w:szCs w:val="21"/>
          <w:highlight w:val="none"/>
          <w:u w:val="single"/>
        </w:rPr>
        <w:t>202</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年</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月</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日</w:t>
      </w:r>
      <w:r>
        <w:rPr>
          <w:rFonts w:hint="eastAsia" w:ascii="宋体" w:hAnsi="宋体" w:cs="宋体"/>
          <w:bCs/>
          <w:color w:val="auto"/>
          <w:szCs w:val="21"/>
          <w:highlight w:val="none"/>
          <w:u w:val="single"/>
          <w:lang w:val="en-US" w:eastAsia="zh-CN"/>
        </w:rPr>
        <w:t>10</w:t>
      </w:r>
      <w:r>
        <w:rPr>
          <w:rFonts w:hint="eastAsia" w:ascii="宋体" w:hAnsi="宋体" w:cs="宋体"/>
          <w:bCs/>
          <w:color w:val="auto"/>
          <w:szCs w:val="21"/>
          <w:highlight w:val="none"/>
          <w:u w:val="single"/>
        </w:rPr>
        <w:t>时</w:t>
      </w:r>
      <w:r>
        <w:rPr>
          <w:rFonts w:hint="eastAsia" w:ascii="宋体" w:hAnsi="宋体" w:cs="宋体"/>
          <w:bCs/>
          <w:color w:val="auto"/>
          <w:szCs w:val="21"/>
          <w:highlight w:val="none"/>
          <w:u w:val="single"/>
          <w:lang w:val="en-US" w:eastAsia="zh-CN"/>
        </w:rPr>
        <w:t>00</w:t>
      </w:r>
      <w:r>
        <w:rPr>
          <w:rFonts w:hint="eastAsia" w:ascii="宋体" w:hAnsi="宋体" w:cs="宋体"/>
          <w:bCs/>
          <w:color w:val="auto"/>
          <w:szCs w:val="21"/>
          <w:highlight w:val="none"/>
          <w:u w:val="single"/>
        </w:rPr>
        <w:t>分</w:t>
      </w:r>
      <w:r>
        <w:rPr>
          <w:rFonts w:hint="eastAsia" w:ascii="宋体" w:hAnsi="宋体" w:cs="宋体"/>
          <w:bCs/>
          <w:color w:val="auto"/>
          <w:szCs w:val="21"/>
          <w:highlight w:val="none"/>
        </w:rPr>
        <w:t>（北京时间）</w:t>
      </w:r>
      <w:r>
        <w:rPr>
          <w:rFonts w:hint="eastAsia" w:ascii="宋体" w:hAnsi="宋体" w:cs="宋体"/>
          <w:color w:val="auto"/>
          <w:szCs w:val="21"/>
          <w:highlight w:val="none"/>
        </w:rPr>
        <w:t>。</w:t>
      </w:r>
    </w:p>
    <w:p w14:paraId="7DEC3012">
      <w:pPr>
        <w:spacing w:line="480" w:lineRule="exact"/>
        <w:ind w:firstLine="539"/>
        <w:rPr>
          <w:rFonts w:ascii="宋体" w:hAnsi="宋体" w:cs="宋体"/>
          <w:color w:val="auto"/>
          <w:szCs w:val="21"/>
          <w:highlight w:val="none"/>
        </w:rPr>
      </w:pPr>
      <w:r>
        <w:rPr>
          <w:rFonts w:hint="eastAsia" w:ascii="宋体" w:hAnsi="宋体" w:cs="宋体"/>
          <w:color w:val="auto"/>
          <w:szCs w:val="21"/>
          <w:highlight w:val="none"/>
        </w:rPr>
        <w:t>地点：本项目为全流程电子化项目，申请人需要提交电子响应文件，电子响应文件必须用数字证书CA锁加密后在响应文件提交截止时间前，通过网络上传至</w:t>
      </w:r>
      <w:r>
        <w:rPr>
          <w:rFonts w:hint="eastAsia" w:ascii="宋体" w:hAnsi="宋体" w:cs="宋体"/>
          <w:color w:val="auto"/>
          <w:szCs w:val="21"/>
          <w:highlight w:val="none"/>
          <w:lang w:eastAsia="zh-CN"/>
        </w:rPr>
        <w:t>广西政府采购云平台</w:t>
      </w:r>
      <w:r>
        <w:rPr>
          <w:rFonts w:hint="eastAsia" w:ascii="宋体" w:hAnsi="宋体" w:cs="宋体"/>
          <w:color w:val="auto"/>
          <w:szCs w:val="21"/>
          <w:highlight w:val="none"/>
        </w:rPr>
        <w:t>。</w:t>
      </w:r>
    </w:p>
    <w:p w14:paraId="584523EB">
      <w:pPr>
        <w:pStyle w:val="3"/>
        <w:spacing w:before="0" w:beforeLines="0" w:after="0" w:afterLines="0" w:line="480" w:lineRule="exact"/>
        <w:rPr>
          <w:rFonts w:hint="eastAsia" w:ascii="宋体" w:hAnsi="宋体" w:eastAsia="宋体" w:cs="宋体"/>
          <w:color w:val="auto"/>
          <w:sz w:val="21"/>
          <w:szCs w:val="21"/>
          <w:highlight w:val="none"/>
        </w:rPr>
      </w:pPr>
      <w:bookmarkStart w:id="80" w:name="_Toc35393802"/>
      <w:bookmarkStart w:id="81" w:name="_Toc28359093"/>
      <w:bookmarkStart w:id="82" w:name="_Toc47088267"/>
      <w:bookmarkStart w:id="83" w:name="_Toc47088123"/>
      <w:bookmarkStart w:id="84" w:name="_Toc75182668"/>
      <w:bookmarkStart w:id="85" w:name="_Toc47087977"/>
      <w:bookmarkStart w:id="86" w:name="_Toc28359016"/>
      <w:bookmarkStart w:id="87" w:name="_Toc35393633"/>
      <w:r>
        <w:rPr>
          <w:rFonts w:hint="eastAsia" w:ascii="宋体" w:hAnsi="宋体" w:eastAsia="宋体" w:cs="宋体"/>
          <w:color w:val="auto"/>
          <w:sz w:val="21"/>
          <w:szCs w:val="21"/>
          <w:highlight w:val="none"/>
        </w:rPr>
        <w:t>五、开启</w:t>
      </w:r>
      <w:bookmarkEnd w:id="80"/>
      <w:bookmarkEnd w:id="81"/>
      <w:bookmarkEnd w:id="82"/>
      <w:bookmarkEnd w:id="83"/>
      <w:bookmarkEnd w:id="84"/>
      <w:bookmarkEnd w:id="85"/>
      <w:bookmarkEnd w:id="86"/>
      <w:bookmarkEnd w:id="87"/>
      <w:r>
        <w:rPr>
          <w:rFonts w:hint="eastAsia" w:ascii="宋体" w:hAnsi="宋体" w:eastAsia="宋体" w:cs="宋体"/>
          <w:color w:val="auto"/>
          <w:sz w:val="21"/>
          <w:szCs w:val="21"/>
          <w:highlight w:val="none"/>
        </w:rPr>
        <w:t xml:space="preserve"> </w:t>
      </w:r>
    </w:p>
    <w:p w14:paraId="27548973">
      <w:pPr>
        <w:spacing w:line="480" w:lineRule="exact"/>
        <w:ind w:firstLine="420" w:firstLineChars="200"/>
        <w:rPr>
          <w:rFonts w:hint="eastAsia" w:ascii="宋体" w:hAnsi="宋体" w:cs="宋体"/>
          <w:bCs/>
          <w:color w:val="auto"/>
          <w:szCs w:val="21"/>
          <w:highlight w:val="none"/>
          <w:u w:val="single"/>
        </w:rPr>
      </w:pPr>
      <w:r>
        <w:rPr>
          <w:rFonts w:hint="eastAsia" w:ascii="宋体" w:hAnsi="宋体" w:cs="宋体"/>
          <w:color w:val="auto"/>
          <w:szCs w:val="21"/>
          <w:highlight w:val="none"/>
        </w:rPr>
        <w:t>时间：</w:t>
      </w:r>
      <w:r>
        <w:rPr>
          <w:rFonts w:hint="eastAsia" w:ascii="宋体" w:hAnsi="宋体" w:cs="宋体"/>
          <w:bCs/>
          <w:color w:val="auto"/>
          <w:szCs w:val="21"/>
          <w:highlight w:val="none"/>
          <w:u w:val="single"/>
        </w:rPr>
        <w:t>202</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年</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月</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日</w:t>
      </w:r>
      <w:r>
        <w:rPr>
          <w:rFonts w:hint="eastAsia" w:ascii="宋体" w:hAnsi="宋体" w:cs="宋体"/>
          <w:bCs/>
          <w:color w:val="auto"/>
          <w:szCs w:val="21"/>
          <w:highlight w:val="none"/>
          <w:u w:val="single"/>
          <w:lang w:val="en-US" w:eastAsia="zh-CN"/>
        </w:rPr>
        <w:t>10</w:t>
      </w:r>
      <w:r>
        <w:rPr>
          <w:rFonts w:hint="eastAsia" w:ascii="宋体" w:hAnsi="宋体" w:cs="宋体"/>
          <w:bCs/>
          <w:color w:val="auto"/>
          <w:szCs w:val="21"/>
          <w:highlight w:val="none"/>
          <w:u w:val="single"/>
        </w:rPr>
        <w:t>时</w:t>
      </w:r>
      <w:r>
        <w:rPr>
          <w:rFonts w:hint="eastAsia" w:ascii="宋体" w:hAnsi="宋体" w:cs="宋体"/>
          <w:bCs/>
          <w:color w:val="auto"/>
          <w:szCs w:val="21"/>
          <w:highlight w:val="none"/>
          <w:u w:val="single"/>
          <w:lang w:val="en-US" w:eastAsia="zh-CN"/>
        </w:rPr>
        <w:t>00</w:t>
      </w:r>
      <w:r>
        <w:rPr>
          <w:rFonts w:hint="eastAsia" w:ascii="宋体" w:hAnsi="宋体" w:cs="宋体"/>
          <w:bCs/>
          <w:color w:val="auto"/>
          <w:szCs w:val="21"/>
          <w:highlight w:val="none"/>
          <w:u w:val="single"/>
        </w:rPr>
        <w:t>分</w:t>
      </w:r>
      <w:r>
        <w:rPr>
          <w:rFonts w:hint="eastAsia" w:ascii="宋体" w:hAnsi="宋体" w:cs="宋体"/>
          <w:bCs/>
          <w:color w:val="auto"/>
          <w:szCs w:val="21"/>
          <w:highlight w:val="none"/>
        </w:rPr>
        <w:t>（北京时间）；</w:t>
      </w:r>
    </w:p>
    <w:p w14:paraId="5D6DFF2C">
      <w:pPr>
        <w:spacing w:line="480" w:lineRule="exact"/>
        <w:ind w:firstLine="420" w:firstLineChars="200"/>
        <w:rPr>
          <w:rFonts w:hint="eastAsia" w:ascii="宋体" w:hAnsi="宋体" w:cs="宋体"/>
          <w:bCs/>
          <w:color w:val="auto"/>
          <w:szCs w:val="21"/>
          <w:highlight w:val="none"/>
          <w:u w:val="single"/>
        </w:rPr>
      </w:pPr>
      <w:r>
        <w:rPr>
          <w:rFonts w:hint="eastAsia" w:ascii="宋体" w:hAnsi="宋体" w:cs="宋体"/>
          <w:color w:val="auto"/>
          <w:szCs w:val="21"/>
          <w:highlight w:val="none"/>
        </w:rPr>
        <w:t>地点：登录</w:t>
      </w:r>
      <w:r>
        <w:rPr>
          <w:rFonts w:hint="eastAsia" w:ascii="宋体" w:hAnsi="宋体" w:cs="宋体"/>
          <w:color w:val="auto"/>
          <w:szCs w:val="21"/>
          <w:highlight w:val="none"/>
          <w:lang w:eastAsia="zh-CN"/>
        </w:rPr>
        <w:t>“广西政府采购云平台”</w:t>
      </w:r>
      <w:r>
        <w:rPr>
          <w:rFonts w:hint="eastAsia" w:ascii="宋体" w:hAnsi="宋体" w:cs="宋体"/>
          <w:color w:val="auto"/>
          <w:szCs w:val="21"/>
          <w:highlight w:val="none"/>
        </w:rPr>
        <w:t>电子开标大厅开标。</w:t>
      </w:r>
    </w:p>
    <w:p w14:paraId="0C540327">
      <w:pPr>
        <w:pStyle w:val="3"/>
        <w:spacing w:before="0" w:beforeLines="0" w:after="0" w:afterLines="0" w:line="480" w:lineRule="exact"/>
        <w:rPr>
          <w:rFonts w:hint="eastAsia" w:ascii="宋体" w:hAnsi="宋体" w:eastAsia="宋体" w:cs="宋体"/>
          <w:color w:val="auto"/>
          <w:sz w:val="21"/>
          <w:szCs w:val="21"/>
          <w:highlight w:val="none"/>
        </w:rPr>
      </w:pPr>
      <w:bookmarkStart w:id="88" w:name="_Toc28359094"/>
      <w:bookmarkStart w:id="89" w:name="_Toc28359017"/>
      <w:bookmarkStart w:id="90" w:name="_Toc47088124"/>
      <w:bookmarkStart w:id="91" w:name="_Toc35393634"/>
      <w:bookmarkStart w:id="92" w:name="_Toc47087978"/>
      <w:bookmarkStart w:id="93" w:name="_Toc35393803"/>
      <w:bookmarkStart w:id="94" w:name="_Toc47088268"/>
      <w:bookmarkStart w:id="95" w:name="_Toc75182669"/>
      <w:r>
        <w:rPr>
          <w:rFonts w:hint="eastAsia" w:ascii="宋体" w:hAnsi="宋体" w:eastAsia="宋体" w:cs="宋体"/>
          <w:color w:val="auto"/>
          <w:sz w:val="21"/>
          <w:szCs w:val="21"/>
          <w:highlight w:val="none"/>
        </w:rPr>
        <w:t>六、公告期限</w:t>
      </w:r>
      <w:bookmarkEnd w:id="88"/>
      <w:bookmarkEnd w:id="89"/>
      <w:bookmarkEnd w:id="90"/>
      <w:bookmarkEnd w:id="91"/>
      <w:bookmarkEnd w:id="92"/>
      <w:bookmarkEnd w:id="93"/>
      <w:bookmarkEnd w:id="94"/>
      <w:bookmarkEnd w:id="95"/>
    </w:p>
    <w:p w14:paraId="58F6A106">
      <w:pPr>
        <w:spacing w:line="480" w:lineRule="exact"/>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自本公告发布之日起</w:t>
      </w:r>
      <w:r>
        <w:rPr>
          <w:rFonts w:hint="eastAsia" w:ascii="宋体" w:hAnsi="宋体" w:cs="宋体"/>
          <w:color w:val="auto"/>
          <w:kern w:val="0"/>
          <w:szCs w:val="21"/>
          <w:highlight w:val="none"/>
          <w:lang w:val="en-US" w:eastAsia="zh-CN"/>
        </w:rPr>
        <w:t>5</w:t>
      </w:r>
      <w:r>
        <w:rPr>
          <w:rFonts w:hint="eastAsia" w:ascii="宋体" w:hAnsi="宋体" w:cs="宋体"/>
          <w:color w:val="auto"/>
          <w:kern w:val="0"/>
          <w:szCs w:val="21"/>
          <w:highlight w:val="none"/>
        </w:rPr>
        <w:t>个工作日。</w:t>
      </w:r>
      <w:bookmarkStart w:id="96" w:name="_Toc35393804"/>
      <w:bookmarkStart w:id="97" w:name="_Toc35393635"/>
    </w:p>
    <w:p w14:paraId="5C617AE4">
      <w:pPr>
        <w:numPr>
          <w:ilvl w:val="0"/>
          <w:numId w:val="1"/>
        </w:numPr>
        <w:spacing w:line="480" w:lineRule="exact"/>
        <w:rPr>
          <w:rFonts w:hint="eastAsia" w:ascii="宋体" w:hAnsi="宋体" w:cs="宋体"/>
          <w:b/>
          <w:color w:val="auto"/>
          <w:szCs w:val="21"/>
          <w:highlight w:val="none"/>
        </w:rPr>
      </w:pPr>
      <w:r>
        <w:rPr>
          <w:rFonts w:hint="eastAsia" w:ascii="宋体" w:hAnsi="宋体" w:cs="宋体"/>
          <w:b/>
          <w:color w:val="auto"/>
          <w:szCs w:val="21"/>
          <w:highlight w:val="none"/>
        </w:rPr>
        <w:t>其他补充事宜</w:t>
      </w:r>
      <w:bookmarkEnd w:id="96"/>
      <w:bookmarkEnd w:id="97"/>
      <w:bookmarkStart w:id="98" w:name="_Toc35393636"/>
      <w:bookmarkStart w:id="99" w:name="_Toc35393805"/>
      <w:bookmarkStart w:id="100" w:name="_Toc28359018"/>
      <w:bookmarkStart w:id="101" w:name="_Toc28359095"/>
    </w:p>
    <w:p w14:paraId="15271611">
      <w:pPr>
        <w:spacing w:line="48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1.本项目需要落实的政府采购政策：</w:t>
      </w:r>
    </w:p>
    <w:p w14:paraId="033FBCDE">
      <w:pPr>
        <w:spacing w:line="480" w:lineRule="exact"/>
        <w:ind w:firstLine="420" w:firstLineChars="200"/>
        <w:rPr>
          <w:rFonts w:hint="eastAsia" w:ascii="宋体" w:hAnsi="宋体" w:cs="宋体"/>
          <w:bCs/>
          <w:color w:val="auto"/>
          <w:szCs w:val="21"/>
          <w:highlight w:val="none"/>
        </w:rPr>
      </w:pPr>
      <w:r>
        <w:rPr>
          <w:rFonts w:hint="eastAsia" w:ascii="宋体" w:hAnsi="宋体" w:cs="宋体"/>
          <w:color w:val="auto"/>
          <w:szCs w:val="21"/>
          <w:highlight w:val="none"/>
        </w:rPr>
        <w:t>（1）政府采购促进中小企业发展，（2）政府采购促进残疾人就业政策，（3）政府采购支持监狱企业发展</w:t>
      </w:r>
      <w:r>
        <w:rPr>
          <w:rFonts w:hint="eastAsia" w:ascii="宋体" w:hAnsi="宋体" w:cs="宋体"/>
          <w:bCs/>
          <w:color w:val="auto"/>
          <w:szCs w:val="21"/>
          <w:highlight w:val="none"/>
        </w:rPr>
        <w:t>。</w:t>
      </w:r>
    </w:p>
    <w:p w14:paraId="31DDCF99">
      <w:pPr>
        <w:spacing w:line="48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2.网上公告媒体查询：</w:t>
      </w:r>
    </w:p>
    <w:p w14:paraId="248BEEEB">
      <w:pPr>
        <w:keepNext w:val="0"/>
        <w:keepLines w:val="0"/>
        <w:pageBreakBefore w:val="0"/>
        <w:widowControl w:val="0"/>
        <w:kinsoku/>
        <w:wordWrap w:val="0"/>
        <w:overflowPunct/>
        <w:topLinePunct w:val="0"/>
        <w:autoSpaceDE/>
        <w:autoSpaceDN/>
        <w:bidi w:val="0"/>
        <w:adjustRightInd/>
        <w:snapToGrid/>
        <w:spacing w:line="480" w:lineRule="exact"/>
        <w:ind w:left="420" w:leftChars="200"/>
        <w:textAlignment w:val="auto"/>
        <w:rPr>
          <w:rFonts w:hint="eastAsia" w:ascii="宋体" w:hAnsi="宋体" w:cs="宋体"/>
          <w:bCs/>
          <w:color w:val="auto"/>
          <w:szCs w:val="21"/>
          <w:highlight w:val="none"/>
          <w:lang w:eastAsia="zh-CN"/>
        </w:rPr>
      </w:pPr>
      <w:r>
        <w:rPr>
          <w:rFonts w:hint="eastAsia" w:ascii="宋体" w:hAnsi="宋体" w:cs="宋体"/>
          <w:bCs/>
          <w:color w:val="auto"/>
          <w:szCs w:val="21"/>
          <w:highlight w:val="none"/>
        </w:rPr>
        <w:t>中国政府采购网（http://www.ccgp.gov.cn）、广西壮族自治区政府采购网（http://www.gxzfcg.gov.cn）、全国公共资源交易平台(广西.河池)（</w:t>
      </w:r>
      <w:r>
        <w:rPr>
          <w:rFonts w:hint="eastAsia" w:ascii="宋体" w:hAnsi="宋体" w:cs="宋体"/>
          <w:bCs/>
          <w:color w:val="auto"/>
          <w:szCs w:val="21"/>
          <w:highlight w:val="none"/>
        </w:rPr>
        <w:fldChar w:fldCharType="begin"/>
      </w:r>
      <w:r>
        <w:rPr>
          <w:rFonts w:hint="eastAsia" w:ascii="宋体" w:hAnsi="宋体" w:cs="宋体"/>
          <w:bCs/>
          <w:color w:val="auto"/>
          <w:szCs w:val="21"/>
          <w:highlight w:val="none"/>
        </w:rPr>
        <w:instrText xml:space="preserve"> HYPERLINK "http://ggzy.jgswj.gxzf.gov.cn/hcggzy" </w:instrText>
      </w:r>
      <w:r>
        <w:rPr>
          <w:rFonts w:hint="eastAsia" w:ascii="宋体" w:hAnsi="宋体" w:cs="宋体"/>
          <w:bCs/>
          <w:color w:val="auto"/>
          <w:szCs w:val="21"/>
          <w:highlight w:val="none"/>
        </w:rPr>
        <w:fldChar w:fldCharType="separate"/>
      </w:r>
      <w:r>
        <w:rPr>
          <w:rFonts w:hint="eastAsia" w:ascii="宋体" w:hAnsi="宋体" w:cs="宋体"/>
          <w:bCs/>
          <w:color w:val="auto"/>
          <w:szCs w:val="21"/>
          <w:highlight w:val="none"/>
        </w:rPr>
        <w:t>http://ggzy.jgswj.gxzf.gov.cn/hcggzy</w:t>
      </w:r>
      <w:r>
        <w:rPr>
          <w:rFonts w:hint="eastAsia" w:ascii="宋体" w:hAnsi="宋体" w:cs="宋体"/>
          <w:bCs/>
          <w:color w:val="auto"/>
          <w:szCs w:val="21"/>
          <w:highlight w:val="none"/>
        </w:rPr>
        <w:fldChar w:fldCharType="end"/>
      </w:r>
      <w:r>
        <w:rPr>
          <w:rFonts w:hint="eastAsia" w:ascii="宋体" w:hAnsi="宋体" w:cs="宋体"/>
          <w:bCs/>
          <w:color w:val="auto"/>
          <w:szCs w:val="21"/>
          <w:highlight w:val="none"/>
        </w:rPr>
        <w:t>）</w:t>
      </w:r>
    </w:p>
    <w:p w14:paraId="1A92B060">
      <w:pPr>
        <w:spacing w:line="480" w:lineRule="exact"/>
        <w:ind w:left="420" w:leftChars="200"/>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w:t>
      </w:r>
      <w:r>
        <w:rPr>
          <w:rFonts w:hint="eastAsia" w:ascii="宋体" w:hAnsi="宋体" w:cs="宋体"/>
          <w:bCs/>
          <w:color w:val="auto"/>
          <w:szCs w:val="21"/>
          <w:highlight w:val="none"/>
        </w:rPr>
        <w:t>.在线竞标响应（电子竞标）说明</w:t>
      </w:r>
    </w:p>
    <w:p w14:paraId="68B0E3A8">
      <w:pPr>
        <w:spacing w:line="480" w:lineRule="exact"/>
        <w:ind w:firstLine="420" w:firstLineChars="200"/>
        <w:rPr>
          <w:rFonts w:hint="eastAsia" w:ascii="宋体" w:hAnsi="宋体" w:eastAsia="宋体" w:cs="宋体"/>
          <w:color w:val="auto"/>
          <w:szCs w:val="21"/>
          <w:highlight w:val="none"/>
        </w:rPr>
      </w:pPr>
      <w:bookmarkStart w:id="102" w:name="_Toc75182670"/>
      <w:bookmarkStart w:id="103" w:name="_Toc47087979"/>
      <w:bookmarkStart w:id="104" w:name="_Toc47088269"/>
      <w:bookmarkStart w:id="105" w:name="_Toc47088125"/>
      <w:r>
        <w:rPr>
          <w:rFonts w:hint="eastAsia" w:ascii="宋体" w:hAnsi="宋体" w:eastAsia="宋体" w:cs="宋体"/>
          <w:color w:val="auto"/>
          <w:szCs w:val="21"/>
          <w:highlight w:val="none"/>
        </w:rPr>
        <w:t>（1）本项目通过</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实行在线竞标响应（电子竞标），供应商需要先安装“</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电子交易客户端”，并按照本竞争性磋商文件和</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的要求，通过“</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电子交易客户端”编制并加密响应文件。供应商未按规定编制并加密的响应文件，</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将予以拒收。</w:t>
      </w:r>
    </w:p>
    <w:p w14:paraId="6FBC2786">
      <w:pPr>
        <w:keepNext w:val="0"/>
        <w:keepLines w:val="0"/>
        <w:pageBreakBefore w:val="0"/>
        <w:widowControl w:val="0"/>
        <w:kinsoku/>
        <w:wordWrap w:val="0"/>
        <w:overflowPunct/>
        <w:topLinePunct w:val="0"/>
        <w:autoSpaceDE/>
        <w:autoSpaceDN/>
        <w:bidi w:val="0"/>
        <w:adjustRightInd/>
        <w:snapToGrid/>
        <w:spacing w:line="480" w:lineRule="exact"/>
        <w:ind w:firstLine="420" w:firstLineChars="200"/>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广西政府采购云平台电子交易客户端”请自行前往广西政府采购网下载并安装（http://zfcg.gxzf.gov.cn/）；电子竞标具体操作流程可在广西政府采购云平台（https://www.gcy.zfcg.gxzf.gov.cn/）中下载；通过广西政府采购云平台参与在线竞标时如遇平台技术问题详询</w:t>
      </w:r>
      <w:r>
        <w:rPr>
          <w:rFonts w:hint="eastAsia" w:ascii="宋体" w:hAnsi="宋体" w:eastAsia="宋体" w:cs="宋体"/>
          <w:color w:val="auto"/>
          <w:szCs w:val="21"/>
          <w:highlight w:val="none"/>
          <w:lang w:val="en-US" w:eastAsia="zh-CN"/>
        </w:rPr>
        <w:t>95763</w:t>
      </w:r>
      <w:r>
        <w:rPr>
          <w:rFonts w:hint="eastAsia" w:ascii="宋体" w:hAnsi="宋体" w:eastAsia="宋体" w:cs="宋体"/>
          <w:color w:val="auto"/>
          <w:szCs w:val="21"/>
          <w:highlight w:val="none"/>
          <w:lang w:eastAsia="zh-CN"/>
        </w:rPr>
        <w:t>。</w:t>
      </w:r>
    </w:p>
    <w:p w14:paraId="217D9697">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2）为确保网上操作合法、有效和安全，供应商应当在响应文件递交截止时间前完成在“广西政府采购云平台”的身份认证，确保在电子竞标过程中能够对相关数据电文进行加密和使用电子签章。使用“广西政府采购云平台电子交易客户端”需要提前申领CA数字证书；</w:t>
      </w:r>
    </w:p>
    <w:p w14:paraId="6480D246">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3）供应商应当在响应文件递交截止时间前，将生成的“电子加密响应文件”上传递交至广西政府采购云平台。响应文件递交截止时间前可以补充、修改或者撤回电子响应文件。补充或者修改电子响应文件的，应当先行撤回原文件，补充、修改后重新传输递交，响应文件递交截止时间前未完成传输的，视为撤回响应文件。</w:t>
      </w:r>
    </w:p>
    <w:p w14:paraId="62EE4F42">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（4）响应文件提交截止时间后，代理机构向各供应商发出电子加密响应文件【开始解密】通知，代理机构发起解密通知后 30 分钟内，响应文件提交截止时间前已将生成的“电子加密响应文件”上传递交至广西政府采购云平台的供应商，必须在此时间段内登录广西政府采购云平台，用“项目采购-开标评标”功能完成电子响应文件的解密。供应商响应文件提交截止前通过“广西政府采购云平台”上传递交的“电子加密响应文件”无法正常解密的，请及时联系代理机构，代理机构与项目归属监督部门备案后告知供应商</w:t>
      </w:r>
      <w:r>
        <w:rPr>
          <w:rFonts w:hint="eastAsia" w:ascii="宋体" w:hAnsi="宋体" w:eastAsia="宋体" w:cs="宋体"/>
          <w:color w:val="auto"/>
          <w:szCs w:val="21"/>
          <w:highlight w:val="none"/>
          <w:lang w:val="en-US" w:eastAsia="zh-CN"/>
        </w:rPr>
        <w:t>可以</w:t>
      </w:r>
      <w:r>
        <w:rPr>
          <w:rFonts w:hint="eastAsia" w:ascii="宋体" w:hAnsi="宋体" w:eastAsia="宋体" w:cs="宋体"/>
          <w:color w:val="auto"/>
          <w:szCs w:val="21"/>
          <w:highlight w:val="none"/>
          <w:lang w:eastAsia="zh-CN"/>
        </w:rPr>
        <w:t>通过</w:t>
      </w:r>
      <w:r>
        <w:rPr>
          <w:rFonts w:hint="eastAsia" w:ascii="宋体" w:hAnsi="宋体" w:eastAsia="宋体" w:cs="宋体"/>
          <w:color w:val="auto"/>
          <w:szCs w:val="21"/>
          <w:highlight w:val="none"/>
          <w:lang w:val="en-US" w:eastAsia="zh-CN"/>
        </w:rPr>
        <w:t>上传</w:t>
      </w:r>
      <w:r>
        <w:rPr>
          <w:rFonts w:hint="eastAsia" w:ascii="宋体" w:hAnsi="宋体" w:eastAsia="宋体" w:cs="宋体"/>
          <w:color w:val="auto"/>
          <w:szCs w:val="21"/>
          <w:highlight w:val="none"/>
          <w:lang w:eastAsia="zh-CN"/>
        </w:rPr>
        <w:t>电子备份文件的，通过上传电子备份文件也必须在发起解密通知后 30 分钟内完成，逾期未完成传输的，拒收其响应文件。</w:t>
      </w:r>
    </w:p>
    <w:p w14:paraId="1E308B31">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5）请各供应商在获取采购文件时，认真填写供应商名称、联系人、联系电话等相关信息。项目开标当天联系人要保持电话畅通，如因供应商自身原因导致无法响应文件无法正常解密、电子备份文件未能在规定的时间内传输递交、无法正常谈判（磋商）等，后果由供应商自行承担。</w:t>
      </w:r>
    </w:p>
    <w:p w14:paraId="7CB8C2B3">
      <w:pPr>
        <w:spacing w:line="4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（6）本项目为全流程电子标项目，无需供应商来开标现场递交响应文件，供应商授权委托代理人可以不用到开标现场参加开标（截标）会。</w:t>
      </w:r>
    </w:p>
    <w:p w14:paraId="7BE41B57">
      <w:pPr>
        <w:pStyle w:val="3"/>
        <w:spacing w:before="0" w:beforeLines="0" w:after="0" w:afterLines="0"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能够处理异常解密、递交电子备份文件的前提，是供应商已上传了标书且未能按时正常解密标书；系统生成标书时，生成两份，一份是投标用的标书，一份是备份标书；提供的备份标书要跟上传的电子标书是同一份，否则系统也不支持进行异常解密。</w:t>
      </w:r>
    </w:p>
    <w:p w14:paraId="3B113D08">
      <w:pPr>
        <w:pStyle w:val="3"/>
        <w:spacing w:before="0" w:beforeLines="0" w:after="0" w:afterLines="0" w:line="48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八、凡对本次采购提出询问，请按以下方式联系。</w:t>
      </w:r>
      <w:bookmarkEnd w:id="98"/>
      <w:bookmarkEnd w:id="99"/>
      <w:bookmarkEnd w:id="100"/>
      <w:bookmarkEnd w:id="101"/>
      <w:bookmarkEnd w:id="102"/>
      <w:bookmarkEnd w:id="103"/>
      <w:bookmarkEnd w:id="104"/>
      <w:bookmarkEnd w:id="105"/>
    </w:p>
    <w:p w14:paraId="3282F717">
      <w:pPr>
        <w:spacing w:line="480" w:lineRule="exact"/>
        <w:ind w:firstLine="630" w:firstLineChars="300"/>
        <w:rPr>
          <w:rFonts w:hint="eastAsia" w:ascii="宋体" w:hAnsi="宋体" w:cs="宋体"/>
          <w:color w:val="auto"/>
          <w:szCs w:val="21"/>
          <w:highlight w:val="none"/>
        </w:rPr>
      </w:pPr>
      <w:bookmarkStart w:id="106" w:name="_Toc35393806"/>
      <w:bookmarkStart w:id="107" w:name="_Toc28359096"/>
      <w:bookmarkStart w:id="108" w:name="_Toc35393637"/>
      <w:bookmarkStart w:id="109" w:name="_Toc28359019"/>
      <w:r>
        <w:rPr>
          <w:rFonts w:hint="eastAsia" w:ascii="宋体" w:hAnsi="宋体" w:cs="宋体"/>
          <w:color w:val="auto"/>
          <w:szCs w:val="21"/>
          <w:highlight w:val="none"/>
        </w:rPr>
        <w:t>1.采购人信息</w:t>
      </w:r>
      <w:bookmarkEnd w:id="106"/>
      <w:bookmarkEnd w:id="107"/>
      <w:bookmarkEnd w:id="108"/>
      <w:bookmarkEnd w:id="109"/>
      <w:r>
        <w:rPr>
          <w:rFonts w:hint="eastAsia" w:ascii="宋体" w:hAnsi="宋体" w:cs="宋体"/>
          <w:color w:val="auto"/>
          <w:szCs w:val="21"/>
          <w:highlight w:val="none"/>
        </w:rPr>
        <w:t>：</w:t>
      </w:r>
    </w:p>
    <w:p w14:paraId="6D154C62">
      <w:pPr>
        <w:spacing w:line="480" w:lineRule="exact"/>
        <w:ind w:firstLine="630" w:firstLineChars="3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名    称：</w:t>
      </w:r>
      <w:bookmarkStart w:id="110" w:name="_Toc35393807"/>
      <w:bookmarkStart w:id="111" w:name="_Toc35393638"/>
      <w:bookmarkStart w:id="112" w:name="_Toc28359097"/>
      <w:bookmarkStart w:id="113" w:name="_Toc28359020"/>
      <w:r>
        <w:rPr>
          <w:rFonts w:hint="eastAsia" w:ascii="宋体" w:hAnsi="宋体" w:cs="宋体"/>
          <w:color w:val="auto"/>
          <w:szCs w:val="21"/>
          <w:highlight w:val="none"/>
          <w:lang w:eastAsia="zh-CN"/>
        </w:rPr>
        <w:t>河池市巴马民族师范学校（河池市三高）</w:t>
      </w:r>
    </w:p>
    <w:p w14:paraId="07F2D66D">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eastAsia="zh-CN"/>
        </w:rPr>
        <w:t>巴马瑶族自治县巴马镇文化街154号</w:t>
      </w:r>
    </w:p>
    <w:p w14:paraId="186A2CEE">
      <w:pPr>
        <w:spacing w:line="480" w:lineRule="exact"/>
        <w:ind w:firstLine="630" w:firstLineChars="3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联系方式：</w:t>
      </w:r>
      <w:r>
        <w:rPr>
          <w:rFonts w:hint="eastAsia" w:ascii="宋体" w:hAnsi="宋体" w:cs="宋体"/>
          <w:color w:val="auto"/>
          <w:szCs w:val="21"/>
          <w:highlight w:val="none"/>
          <w:lang w:val="en-US" w:eastAsia="zh-CN"/>
        </w:rPr>
        <w:t>0778-6212194</w:t>
      </w:r>
    </w:p>
    <w:p w14:paraId="6D072AB3">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2.采购代理机构信息</w:t>
      </w:r>
      <w:bookmarkEnd w:id="110"/>
      <w:bookmarkEnd w:id="111"/>
      <w:bookmarkEnd w:id="112"/>
      <w:bookmarkEnd w:id="113"/>
      <w:r>
        <w:rPr>
          <w:rFonts w:hint="eastAsia" w:ascii="宋体" w:hAnsi="宋体" w:cs="宋体"/>
          <w:color w:val="auto"/>
          <w:szCs w:val="21"/>
          <w:highlight w:val="none"/>
        </w:rPr>
        <w:t>：</w:t>
      </w:r>
    </w:p>
    <w:p w14:paraId="5F139E42">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名    称：广西睿翼工程咨询有限公司</w:t>
      </w:r>
    </w:p>
    <w:p w14:paraId="5085FA5A">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地</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址：河池市金城江区金城中路2-4号铜鼓园写字楼3楼</w:t>
      </w:r>
    </w:p>
    <w:p w14:paraId="1D42542F">
      <w:pPr>
        <w:spacing w:line="480" w:lineRule="exact"/>
        <w:ind w:firstLine="630" w:firstLineChars="300"/>
        <w:rPr>
          <w:rFonts w:ascii="宋体" w:hAnsi="宋体" w:cs="宋体"/>
          <w:color w:val="auto"/>
          <w:szCs w:val="21"/>
          <w:highlight w:val="none"/>
        </w:rPr>
      </w:pPr>
      <w:r>
        <w:rPr>
          <w:rFonts w:hint="eastAsia" w:ascii="宋体" w:hAnsi="宋体" w:cs="宋体"/>
          <w:color w:val="auto"/>
          <w:szCs w:val="21"/>
          <w:highlight w:val="none"/>
        </w:rPr>
        <w:t>联系方式：0778-2211981</w:t>
      </w:r>
    </w:p>
    <w:p w14:paraId="2569606D">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3.项目联系方式</w:t>
      </w:r>
    </w:p>
    <w:p w14:paraId="7897A5DE">
      <w:pPr>
        <w:spacing w:line="480" w:lineRule="exact"/>
        <w:ind w:firstLine="630" w:firstLineChars="3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项目联系人：</w:t>
      </w:r>
      <w:r>
        <w:rPr>
          <w:rFonts w:hint="eastAsia" w:ascii="宋体" w:hAnsi="宋体"/>
          <w:color w:val="auto"/>
          <w:szCs w:val="21"/>
          <w:highlight w:val="none"/>
          <w:lang w:eastAsia="zh-CN"/>
        </w:rPr>
        <w:t>陈恩松</w:t>
      </w:r>
    </w:p>
    <w:p w14:paraId="71EDB535">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  电　　话：0778-2211981</w:t>
      </w:r>
    </w:p>
    <w:p w14:paraId="33071D07">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4.监督部门：</w:t>
      </w:r>
      <w:r>
        <w:rPr>
          <w:rFonts w:hint="eastAsia" w:ascii="宋体" w:hAnsi="宋体" w:cs="宋体"/>
          <w:color w:val="auto"/>
          <w:szCs w:val="21"/>
          <w:highlight w:val="none"/>
          <w:lang w:eastAsia="zh-CN"/>
        </w:rPr>
        <w:t>河池市财政局政府采购监督管理科</w:t>
      </w:r>
      <w:r>
        <w:rPr>
          <w:rFonts w:hint="eastAsia" w:ascii="宋体" w:hAnsi="宋体" w:cs="宋体"/>
          <w:color w:val="auto"/>
          <w:szCs w:val="21"/>
          <w:highlight w:val="none"/>
        </w:rPr>
        <w:t xml:space="preserve">    联系电话：</w:t>
      </w:r>
      <w:r>
        <w:rPr>
          <w:rFonts w:hint="eastAsia" w:ascii="宋体" w:hAnsi="宋体" w:cs="宋体"/>
          <w:color w:val="auto"/>
          <w:szCs w:val="21"/>
          <w:highlight w:val="none"/>
          <w:lang w:eastAsia="zh-CN"/>
        </w:rPr>
        <w:t>0778-2270025</w:t>
      </w:r>
      <w:r>
        <w:rPr>
          <w:rFonts w:hint="eastAsia" w:ascii="宋体" w:hAnsi="宋体" w:cs="宋体"/>
          <w:color w:val="auto"/>
          <w:szCs w:val="21"/>
          <w:highlight w:val="none"/>
        </w:rPr>
        <w:t xml:space="preserve"> </w:t>
      </w:r>
    </w:p>
    <w:p w14:paraId="12DE2784">
      <w:pPr>
        <w:spacing w:line="48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5.交易服务单位：</w:t>
      </w:r>
      <w:r>
        <w:rPr>
          <w:rFonts w:hint="eastAsia" w:ascii="宋体" w:hAnsi="宋体" w:cs="宋体"/>
          <w:color w:val="auto"/>
          <w:szCs w:val="21"/>
          <w:highlight w:val="none"/>
          <w:lang w:eastAsia="zh-CN"/>
        </w:rPr>
        <w:t>河池市公共资源交易中心</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联系电话：</w:t>
      </w:r>
      <w:r>
        <w:rPr>
          <w:rFonts w:hint="eastAsia" w:ascii="宋体" w:hAnsi="宋体" w:cs="宋体"/>
          <w:color w:val="auto"/>
          <w:szCs w:val="21"/>
          <w:highlight w:val="none"/>
          <w:lang w:eastAsia="zh-CN"/>
        </w:rPr>
        <w:t>0778</w:t>
      </w:r>
      <w:r>
        <w:rPr>
          <w:rFonts w:hint="eastAsia" w:ascii="宋体" w:hAnsi="宋体" w:cs="宋体"/>
          <w:color w:val="auto"/>
          <w:szCs w:val="21"/>
          <w:highlight w:val="none"/>
          <w:lang w:val="en-US" w:eastAsia="zh-CN"/>
        </w:rPr>
        <w:t>-</w:t>
      </w:r>
      <w:r>
        <w:rPr>
          <w:rFonts w:hint="eastAsia" w:ascii="宋体" w:hAnsi="宋体" w:cs="宋体"/>
          <w:color w:val="auto"/>
          <w:szCs w:val="21"/>
          <w:highlight w:val="none"/>
          <w:lang w:eastAsia="zh-CN"/>
        </w:rPr>
        <w:t>2302718</w:t>
      </w:r>
    </w:p>
    <w:p w14:paraId="0D5FD26D">
      <w:pPr>
        <w:spacing w:line="350" w:lineRule="exact"/>
        <w:rPr>
          <w:rFonts w:ascii="Monospaced Number" w:hAnsi="Monospaced Number" w:cs="Arial"/>
          <w:color w:val="auto"/>
          <w:kern w:val="0"/>
          <w:szCs w:val="21"/>
          <w:highlight w:val="none"/>
        </w:rPr>
      </w:pPr>
      <w:r>
        <w:rPr>
          <w:rFonts w:hint="eastAsia" w:ascii="宋体" w:hAnsi="宋体" w:cs="宋体"/>
          <w:color w:val="auto"/>
          <w:szCs w:val="21"/>
          <w:highlight w:val="none"/>
        </w:rPr>
        <w:t xml:space="preserve">                               </w:t>
      </w:r>
    </w:p>
    <w:p w14:paraId="23CF3BAB">
      <w:pPr>
        <w:spacing w:line="440" w:lineRule="exact"/>
        <w:ind w:firstLine="630" w:firstLineChars="300"/>
        <w:rPr>
          <w:rStyle w:val="73"/>
          <w:rFonts w:ascii="宋体" w:hAnsi="宋体" w:cs="宋体"/>
          <w:color w:val="auto"/>
          <w:sz w:val="24"/>
          <w:szCs w:val="24"/>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07</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28</w:t>
      </w:r>
      <w:r>
        <w:rPr>
          <w:rFonts w:hint="eastAsia" w:ascii="宋体" w:hAnsi="宋体" w:cs="宋体"/>
          <w:color w:val="auto"/>
          <w:szCs w:val="21"/>
          <w:highlight w:val="none"/>
        </w:rPr>
        <w:t xml:space="preserve">日  </w:t>
      </w:r>
      <w:r>
        <w:rPr>
          <w:rFonts w:hint="eastAsia" w:ascii="宋体" w:hAnsi="宋体" w:cs="宋体"/>
          <w:b/>
          <w:bCs/>
          <w:color w:val="auto"/>
          <w:sz w:val="24"/>
          <w:szCs w:val="24"/>
          <w:highlight w:val="none"/>
        </w:rPr>
        <w:t xml:space="preserve"> </w:t>
      </w:r>
    </w:p>
    <w:p w14:paraId="67DC5B88">
      <w:pPr>
        <w:pStyle w:val="17"/>
        <w:spacing w:line="440" w:lineRule="exact"/>
        <w:ind w:firstLine="388" w:firstLineChars="200"/>
        <w:jc w:val="left"/>
        <w:rPr>
          <w:rFonts w:hint="eastAsia" w:ascii="宋体" w:hAnsi="宋体" w:cs="宋体"/>
          <w:color w:val="auto"/>
          <w:szCs w:val="21"/>
          <w:highlight w:val="none"/>
        </w:rPr>
      </w:pPr>
      <w:r>
        <w:rPr>
          <w:rFonts w:hint="eastAsia" w:ascii="宋体" w:hAnsi="宋体" w:eastAsia="宋体" w:cs="宋体"/>
          <w:b w:val="0"/>
          <w:bCs/>
          <w:color w:val="auto"/>
          <w:sz w:val="21"/>
          <w:szCs w:val="21"/>
          <w:highlight w:val="none"/>
        </w:rPr>
        <w:t xml:space="preserve">  </w:t>
      </w:r>
      <w:r>
        <w:rPr>
          <w:rFonts w:hint="eastAsia" w:ascii="宋体" w:hAnsi="宋体" w:cs="宋体"/>
          <w:color w:val="auto"/>
          <w:szCs w:val="21"/>
          <w:highlight w:val="none"/>
        </w:rPr>
        <w:t xml:space="preserve">                   </w:t>
      </w:r>
    </w:p>
    <w:p w14:paraId="7C260B0E">
      <w:pPr>
        <w:spacing w:line="400" w:lineRule="exact"/>
        <w:ind w:leftChars="-87" w:right="-141" w:rightChars="-67" w:hanging="182" w:hangingChars="87"/>
        <w:jc w:val="center"/>
        <w:rPr>
          <w:rFonts w:hint="eastAsia" w:ascii="宋体" w:hAnsi="宋体" w:cs="宋体"/>
          <w:color w:val="auto"/>
          <w:highlight w:val="none"/>
        </w:rPr>
      </w:pPr>
      <w:r>
        <w:rPr>
          <w:rFonts w:hint="eastAsia" w:ascii="宋体" w:hAnsi="宋体" w:cs="宋体"/>
          <w:color w:val="auto"/>
          <w:highlight w:val="none"/>
        </w:rPr>
        <w:br w:type="page"/>
      </w:r>
      <w:bookmarkStart w:id="114" w:name="_Toc75182671"/>
      <w:r>
        <w:rPr>
          <w:rStyle w:val="73"/>
          <w:rFonts w:hint="eastAsia" w:ascii="宋体" w:hAnsi="宋体" w:cs="宋体"/>
          <w:color w:val="auto"/>
          <w:highlight w:val="none"/>
        </w:rPr>
        <w:t>第一章  供应商须知及前附表</w:t>
      </w:r>
      <w:bookmarkEnd w:id="45"/>
      <w:bookmarkEnd w:id="46"/>
      <w:bookmarkEnd w:id="114"/>
      <w:bookmarkStart w:id="115" w:name="_Toc85085490"/>
      <w:bookmarkStart w:id="116" w:name="_Toc78294027"/>
    </w:p>
    <w:p w14:paraId="6BD4AD9A">
      <w:pPr>
        <w:pStyle w:val="3"/>
        <w:keepNext w:val="0"/>
        <w:keepLines w:val="0"/>
        <w:snapToGrid w:val="0"/>
        <w:spacing w:line="300" w:lineRule="exact"/>
        <w:jc w:val="center"/>
        <w:rPr>
          <w:rFonts w:hint="eastAsia" w:ascii="宋体" w:hAnsi="宋体" w:eastAsia="宋体" w:cs="宋体"/>
          <w:color w:val="auto"/>
          <w:sz w:val="28"/>
          <w:szCs w:val="28"/>
          <w:highlight w:val="none"/>
        </w:rPr>
      </w:pPr>
      <w:bookmarkStart w:id="117" w:name="_Toc75182672"/>
      <w:r>
        <w:rPr>
          <w:rFonts w:hint="eastAsia" w:ascii="宋体" w:hAnsi="宋体" w:eastAsia="宋体" w:cs="宋体"/>
          <w:color w:val="auto"/>
          <w:sz w:val="28"/>
          <w:szCs w:val="28"/>
          <w:highlight w:val="none"/>
        </w:rPr>
        <w:t>一、供应商须知前附表</w:t>
      </w:r>
      <w:bookmarkEnd w:id="47"/>
      <w:bookmarkEnd w:id="115"/>
      <w:bookmarkEnd w:id="116"/>
      <w:bookmarkEnd w:id="117"/>
      <w:bookmarkStart w:id="118" w:name="_Toc85085491"/>
    </w:p>
    <w:tbl>
      <w:tblPr>
        <w:tblStyle w:val="40"/>
        <w:tblW w:w="0" w:type="auto"/>
        <w:tblInd w:w="-6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8886"/>
      </w:tblGrid>
      <w:tr w14:paraId="31BDB4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top"/>
          </w:tcPr>
          <w:p w14:paraId="6DFAA865">
            <w:pPr>
              <w:autoSpaceDE w:val="0"/>
              <w:autoSpaceDN w:val="0"/>
              <w:adjustRightInd w:val="0"/>
              <w:snapToGrid w:val="0"/>
              <w:spacing w:line="420" w:lineRule="exact"/>
              <w:jc w:val="center"/>
              <w:rPr>
                <w:rFonts w:hint="eastAsia" w:ascii="宋体" w:hAnsi="宋体" w:cs="宋体"/>
                <w:b/>
                <w:bCs/>
                <w:color w:val="auto"/>
                <w:kern w:val="0"/>
                <w:szCs w:val="21"/>
                <w:highlight w:val="none"/>
              </w:rPr>
            </w:pPr>
            <w:bookmarkStart w:id="119" w:name="_Toc514238585"/>
            <w:r>
              <w:rPr>
                <w:rFonts w:hint="eastAsia" w:ascii="宋体" w:hAnsi="宋体" w:cs="宋体"/>
                <w:b/>
                <w:bCs/>
                <w:color w:val="auto"/>
                <w:kern w:val="0"/>
                <w:szCs w:val="21"/>
                <w:highlight w:val="none"/>
              </w:rPr>
              <w:t>序号</w:t>
            </w:r>
          </w:p>
        </w:tc>
        <w:tc>
          <w:tcPr>
            <w:tcW w:w="8886" w:type="dxa"/>
            <w:noWrap w:val="0"/>
            <w:vAlign w:val="top"/>
          </w:tcPr>
          <w:p w14:paraId="5A731CD3">
            <w:pPr>
              <w:autoSpaceDE w:val="0"/>
              <w:autoSpaceDN w:val="0"/>
              <w:adjustRightInd w:val="0"/>
              <w:snapToGrid w:val="0"/>
              <w:spacing w:line="420" w:lineRule="exact"/>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 xml:space="preserve">                             内     容    规    定</w:t>
            </w:r>
          </w:p>
        </w:tc>
      </w:tr>
      <w:tr w14:paraId="0ACF43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0E927140">
            <w:pPr>
              <w:autoSpaceDE w:val="0"/>
              <w:autoSpaceDN w:val="0"/>
              <w:adjustRightInd w:val="0"/>
              <w:snapToGrid w:val="0"/>
              <w:spacing w:line="32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１</w:t>
            </w:r>
          </w:p>
        </w:tc>
        <w:tc>
          <w:tcPr>
            <w:tcW w:w="8886" w:type="dxa"/>
            <w:noWrap w:val="0"/>
            <w:vAlign w:val="top"/>
          </w:tcPr>
          <w:p w14:paraId="36345583">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1.项目名称：</w:t>
            </w:r>
            <w:r>
              <w:rPr>
                <w:rFonts w:hint="eastAsia" w:ascii="宋体" w:hAnsi="宋体" w:cs="宋体"/>
                <w:color w:val="auto"/>
                <w:kern w:val="0"/>
                <w:szCs w:val="21"/>
                <w:highlight w:val="none"/>
                <w:lang w:eastAsia="zh-CN"/>
              </w:rPr>
              <w:t>河池市巴马民族师范学校体育馆附属楼项目</w:t>
            </w:r>
            <w:r>
              <w:rPr>
                <w:rFonts w:hint="eastAsia" w:ascii="宋体" w:hAnsi="宋体" w:cs="宋体"/>
                <w:color w:val="auto"/>
                <w:kern w:val="0"/>
                <w:szCs w:val="21"/>
                <w:highlight w:val="none"/>
              </w:rPr>
              <w:t>；</w:t>
            </w:r>
          </w:p>
          <w:p w14:paraId="6BA66308">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2.项目编号：</w:t>
            </w:r>
            <w:r>
              <w:rPr>
                <w:rFonts w:hint="eastAsia" w:ascii="宋体" w:hAnsi="宋体" w:cs="宋体"/>
                <w:color w:val="auto"/>
                <w:kern w:val="0"/>
                <w:szCs w:val="21"/>
                <w:highlight w:val="none"/>
                <w:lang w:eastAsia="zh-CN"/>
              </w:rPr>
              <w:t>HCZC2025-C2-990118-GXRY</w:t>
            </w:r>
            <w:r>
              <w:rPr>
                <w:rFonts w:hint="eastAsia" w:ascii="宋体" w:hAnsi="宋体" w:cs="宋体"/>
                <w:color w:val="auto"/>
                <w:kern w:val="0"/>
                <w:szCs w:val="21"/>
                <w:highlight w:val="none"/>
                <w:lang w:val="en-US" w:eastAsia="zh-CN"/>
              </w:rPr>
              <w:t xml:space="preserve"> </w:t>
            </w:r>
            <w:r>
              <w:rPr>
                <w:rFonts w:hint="eastAsia" w:ascii="宋体" w:hAnsi="宋体" w:cs="宋体"/>
                <w:color w:val="auto"/>
                <w:kern w:val="0"/>
                <w:szCs w:val="21"/>
                <w:highlight w:val="none"/>
              </w:rPr>
              <w:t>；</w:t>
            </w:r>
          </w:p>
          <w:p w14:paraId="05976DB4">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3.建设地点：</w:t>
            </w:r>
            <w:r>
              <w:rPr>
                <w:rFonts w:hint="eastAsia" w:ascii="宋体" w:hAnsi="宋体" w:cs="宋体"/>
                <w:color w:val="auto"/>
                <w:kern w:val="0"/>
                <w:szCs w:val="21"/>
                <w:highlight w:val="none"/>
                <w:lang w:eastAsia="zh-CN"/>
              </w:rPr>
              <w:t>巴马瑶族自治县</w:t>
            </w:r>
            <w:r>
              <w:rPr>
                <w:rFonts w:hint="eastAsia" w:ascii="宋体" w:hAnsi="宋体" w:cs="宋体"/>
                <w:color w:val="auto"/>
                <w:kern w:val="0"/>
                <w:szCs w:val="21"/>
                <w:highlight w:val="none"/>
                <w:lang w:val="en-US" w:eastAsia="zh-CN"/>
              </w:rPr>
              <w:t>巴马镇文化街154号</w:t>
            </w:r>
            <w:r>
              <w:rPr>
                <w:rFonts w:hint="eastAsia" w:ascii="宋体" w:hAnsi="宋体" w:cs="宋体"/>
                <w:color w:val="auto"/>
                <w:kern w:val="0"/>
                <w:szCs w:val="21"/>
                <w:highlight w:val="none"/>
              </w:rPr>
              <w:t>；</w:t>
            </w:r>
          </w:p>
          <w:p w14:paraId="3B643A9C">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4.预算金额：</w:t>
            </w:r>
            <w:r>
              <w:rPr>
                <w:rFonts w:hint="eastAsia" w:ascii="宋体" w:hAnsi="宋体" w:eastAsia="宋体" w:cs="宋体"/>
                <w:color w:val="auto"/>
                <w:kern w:val="0"/>
                <w:szCs w:val="21"/>
                <w:highlight w:val="none"/>
                <w:lang w:eastAsia="zh-CN"/>
              </w:rPr>
              <w:t>2325940.12</w:t>
            </w:r>
            <w:r>
              <w:rPr>
                <w:rFonts w:hint="eastAsia" w:ascii="宋体" w:hAnsi="宋体" w:eastAsia="宋体" w:cs="宋体"/>
                <w:color w:val="auto"/>
                <w:kern w:val="0"/>
                <w:szCs w:val="21"/>
                <w:highlight w:val="none"/>
              </w:rPr>
              <w:t>元</w:t>
            </w:r>
            <w:r>
              <w:rPr>
                <w:rFonts w:hint="eastAsia" w:ascii="宋体" w:hAnsi="宋体" w:eastAsia="宋体" w:cs="宋体"/>
                <w:color w:val="auto"/>
                <w:kern w:val="0"/>
                <w:szCs w:val="21"/>
                <w:highlight w:val="none"/>
                <w:lang w:eastAsia="zh-CN"/>
              </w:rPr>
              <w:t>；</w:t>
            </w:r>
          </w:p>
          <w:p w14:paraId="3F3B4DED">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rPr>
              <w:t>最高限价：</w:t>
            </w:r>
            <w:r>
              <w:rPr>
                <w:rFonts w:hint="eastAsia" w:ascii="宋体" w:hAnsi="宋体" w:eastAsia="宋体" w:cs="宋体"/>
                <w:color w:val="auto"/>
                <w:szCs w:val="21"/>
                <w:highlight w:val="none"/>
                <w:lang w:eastAsia="zh-CN"/>
              </w:rPr>
              <w:t>2325940.12</w:t>
            </w:r>
            <w:r>
              <w:rPr>
                <w:rFonts w:hint="eastAsia" w:ascii="宋体" w:hAnsi="宋体" w:cs="宋体"/>
                <w:color w:val="auto"/>
                <w:szCs w:val="21"/>
                <w:highlight w:val="none"/>
              </w:rPr>
              <w:t>元</w:t>
            </w:r>
            <w:r>
              <w:rPr>
                <w:rFonts w:hint="eastAsia" w:ascii="宋体" w:hAnsi="宋体" w:cs="宋体"/>
                <w:color w:val="auto"/>
                <w:szCs w:val="21"/>
                <w:highlight w:val="none"/>
                <w:lang w:eastAsia="zh-CN"/>
              </w:rPr>
              <w:t>；</w:t>
            </w:r>
          </w:p>
          <w:p w14:paraId="60FF5F9C">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.采购需求：</w:t>
            </w:r>
            <w:r>
              <w:rPr>
                <w:rFonts w:hint="eastAsia" w:ascii="宋体" w:hAnsi="宋体" w:eastAsia="宋体" w:cs="宋体"/>
                <w:color w:val="auto"/>
                <w:kern w:val="0"/>
                <w:szCs w:val="21"/>
                <w:highlight w:val="none"/>
                <w:lang w:eastAsia="zh-CN"/>
              </w:rPr>
              <w:t>本项目建设1栋5层的体育馆附属楼，总建筑面积约为 1147.07m2。主要建设内容包括体育馆附属楼的建安工程、给排水、电气等</w:t>
            </w:r>
            <w:r>
              <w:rPr>
                <w:rFonts w:hint="eastAsia" w:ascii="宋体" w:hAnsi="宋体" w:eastAsia="宋体" w:cs="宋体"/>
                <w:color w:val="auto"/>
                <w:kern w:val="0"/>
                <w:szCs w:val="21"/>
                <w:highlight w:val="none"/>
                <w:lang w:val="en-US" w:eastAsia="zh-CN"/>
              </w:rPr>
              <w:t>；</w:t>
            </w:r>
            <w:r>
              <w:rPr>
                <w:rFonts w:hint="eastAsia" w:ascii="宋体" w:hAnsi="宋体" w:eastAsia="宋体" w:cs="宋体"/>
                <w:color w:val="auto"/>
                <w:kern w:val="0"/>
                <w:szCs w:val="21"/>
                <w:highlight w:val="none"/>
              </w:rPr>
              <w:t>（详见工程施工图纸及工程量清单）</w:t>
            </w:r>
          </w:p>
          <w:p w14:paraId="39A82A9B">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.合同履行期限：工期</w:t>
            </w:r>
            <w:r>
              <w:rPr>
                <w:rFonts w:hint="eastAsia" w:ascii="宋体" w:hAnsi="宋体" w:cs="宋体"/>
                <w:color w:val="auto"/>
                <w:kern w:val="0"/>
                <w:szCs w:val="21"/>
                <w:highlight w:val="none"/>
                <w:u w:val="single"/>
                <w:lang w:val="en-US" w:eastAsia="zh-CN"/>
              </w:rPr>
              <w:t>170</w:t>
            </w:r>
            <w:r>
              <w:rPr>
                <w:rFonts w:hint="eastAsia" w:ascii="宋体" w:hAnsi="宋体" w:cs="宋体"/>
                <w:color w:val="auto"/>
                <w:kern w:val="0"/>
                <w:szCs w:val="21"/>
                <w:highlight w:val="none"/>
              </w:rPr>
              <w:t>日历天；</w:t>
            </w:r>
          </w:p>
          <w:p w14:paraId="159E7FB7">
            <w:pPr>
              <w:keepNext w:val="0"/>
              <w:keepLines w:val="0"/>
              <w:pageBreakBefore w:val="0"/>
              <w:widowControl w:val="0"/>
              <w:kinsoku/>
              <w:wordWrap/>
              <w:overflowPunct/>
              <w:topLinePunct w:val="0"/>
              <w:autoSpaceDE w:val="0"/>
              <w:autoSpaceDN w:val="0"/>
              <w:bidi w:val="0"/>
              <w:adjustRightInd w:val="0"/>
              <w:snapToGrid w:val="0"/>
              <w:spacing w:line="400" w:lineRule="exact"/>
              <w:ind w:left="0" w:right="48" w:rightChars="23" w:hanging="23" w:hangingChars="11"/>
              <w:jc w:val="left"/>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8</w:t>
            </w:r>
            <w:r>
              <w:rPr>
                <w:rFonts w:hint="eastAsia" w:ascii="宋体" w:hAnsi="宋体" w:cs="宋体"/>
                <w:color w:val="auto"/>
                <w:kern w:val="0"/>
                <w:szCs w:val="21"/>
                <w:highlight w:val="none"/>
              </w:rPr>
              <w:t>.质量要求：工程质量符合国家施工验收规范合格标准。</w:t>
            </w:r>
          </w:p>
        </w:tc>
      </w:tr>
      <w:tr w14:paraId="089BE4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4F0E6793">
            <w:pPr>
              <w:autoSpaceDE w:val="0"/>
              <w:autoSpaceDN w:val="0"/>
              <w:adjustRightInd w:val="0"/>
              <w:snapToGrid w:val="0"/>
              <w:spacing w:line="42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8886" w:type="dxa"/>
            <w:noWrap w:val="0"/>
            <w:vAlign w:val="center"/>
          </w:tcPr>
          <w:p w14:paraId="605CC67F">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合同名称：</w:t>
            </w:r>
            <w:r>
              <w:rPr>
                <w:rFonts w:hint="eastAsia" w:ascii="宋体" w:hAnsi="宋体" w:cs="宋体"/>
                <w:color w:val="auto"/>
                <w:szCs w:val="21"/>
                <w:highlight w:val="none"/>
                <w:lang w:eastAsia="zh-CN"/>
              </w:rPr>
              <w:t>河池市巴马民族师范学校体育馆附属楼项目</w:t>
            </w:r>
            <w:r>
              <w:rPr>
                <w:rFonts w:hint="eastAsia" w:ascii="宋体" w:hAnsi="宋体" w:cs="宋体"/>
                <w:color w:val="auto"/>
                <w:kern w:val="0"/>
                <w:szCs w:val="21"/>
                <w:highlight w:val="none"/>
              </w:rPr>
              <w:t>合同；</w:t>
            </w:r>
          </w:p>
        </w:tc>
      </w:tr>
      <w:tr w14:paraId="7A0ADD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3F909D63">
            <w:pPr>
              <w:autoSpaceDE w:val="0"/>
              <w:autoSpaceDN w:val="0"/>
              <w:adjustRightInd w:val="0"/>
              <w:snapToGrid w:val="0"/>
              <w:spacing w:line="42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8886" w:type="dxa"/>
            <w:noWrap w:val="0"/>
            <w:vAlign w:val="center"/>
          </w:tcPr>
          <w:p w14:paraId="4BCC44D9">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资金来源：</w:t>
            </w:r>
            <w:r>
              <w:rPr>
                <w:rFonts w:hint="eastAsia" w:ascii="宋体" w:hAnsi="宋体" w:cs="宋体"/>
                <w:color w:val="auto"/>
                <w:szCs w:val="21"/>
                <w:highlight w:val="none"/>
                <w:lang w:eastAsia="zh-CN"/>
              </w:rPr>
              <w:t>2024年中央现代职业教育质量提升计划经费和地方财政配套资金</w:t>
            </w:r>
          </w:p>
        </w:tc>
      </w:tr>
      <w:tr w14:paraId="24D611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5240D6DF">
            <w:pPr>
              <w:autoSpaceDE w:val="0"/>
              <w:autoSpaceDN w:val="0"/>
              <w:adjustRightInd w:val="0"/>
              <w:snapToGrid w:val="0"/>
              <w:spacing w:line="42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8886" w:type="dxa"/>
            <w:noWrap w:val="0"/>
            <w:vAlign w:val="top"/>
          </w:tcPr>
          <w:p w14:paraId="20DD5FC7">
            <w:pPr>
              <w:spacing w:line="380" w:lineRule="exact"/>
              <w:textAlignment w:val="baseline"/>
              <w:rPr>
                <w:rFonts w:hint="eastAsia" w:ascii="宋体" w:hAnsi="宋体" w:cs="宋体"/>
                <w:color w:val="auto"/>
                <w:szCs w:val="21"/>
                <w:highlight w:val="none"/>
              </w:rPr>
            </w:pPr>
            <w:r>
              <w:rPr>
                <w:rFonts w:hint="eastAsia" w:ascii="宋体" w:hAnsi="宋体" w:cs="宋体"/>
                <w:b/>
                <w:color w:val="auto"/>
                <w:kern w:val="0"/>
                <w:highlight w:val="none"/>
              </w:rPr>
              <w:t>供应商</w:t>
            </w:r>
            <w:r>
              <w:rPr>
                <w:rFonts w:hint="eastAsia" w:ascii="宋体" w:hAnsi="宋体" w:cs="宋体"/>
                <w:b/>
                <w:color w:val="auto"/>
                <w:highlight w:val="none"/>
              </w:rPr>
              <w:t>资格要求：</w:t>
            </w:r>
          </w:p>
          <w:p w14:paraId="4C2C741E">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1.满足《中华人民共和国政府采购法》第二十二条规定及《政府采购竞争性磋商采购方式管理暂行办法》的有关规定；</w:t>
            </w:r>
          </w:p>
          <w:p w14:paraId="7F0DBBA1">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2.落实政府采购政策需满足的资格要求：本项目专门面向中小企业采购；</w:t>
            </w:r>
            <w:r>
              <w:rPr>
                <w:rFonts w:hint="eastAsia" w:ascii="宋体" w:hAnsi="宋体" w:cs="宋体"/>
                <w:color w:val="auto"/>
                <w:szCs w:val="21"/>
                <w:highlight w:val="none"/>
                <w:lang w:eastAsia="zh-CN"/>
              </w:rPr>
              <w:t>供应商应为中小微型企业或监狱企业或残疾人福利性单位。</w:t>
            </w:r>
          </w:p>
          <w:p w14:paraId="5CD91D1F">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3.本项目的特定资格要求：（1）具有独立法人资格，具备</w:t>
            </w:r>
            <w:r>
              <w:rPr>
                <w:rFonts w:hint="eastAsia" w:ascii="宋体" w:hAnsi="宋体" w:cs="宋体"/>
                <w:color w:val="auto"/>
                <w:szCs w:val="21"/>
                <w:highlight w:val="none"/>
                <w:lang w:eastAsia="zh-CN"/>
              </w:rPr>
              <w:t>建筑工程</w:t>
            </w:r>
            <w:r>
              <w:rPr>
                <w:rFonts w:hint="eastAsia" w:ascii="宋体" w:hAnsi="宋体" w:cs="宋体"/>
                <w:color w:val="auto"/>
                <w:szCs w:val="21"/>
                <w:highlight w:val="none"/>
              </w:rPr>
              <w:t>施工总承包</w:t>
            </w:r>
            <w:r>
              <w:rPr>
                <w:rFonts w:hint="eastAsia" w:ascii="宋体" w:hAnsi="宋体" w:cs="宋体"/>
                <w:color w:val="auto"/>
                <w:szCs w:val="21"/>
                <w:highlight w:val="none"/>
                <w:lang w:val="en-US" w:eastAsia="zh-CN"/>
              </w:rPr>
              <w:t>三</w:t>
            </w:r>
            <w:r>
              <w:rPr>
                <w:rFonts w:hint="eastAsia" w:ascii="宋体" w:hAnsi="宋体" w:cs="宋体"/>
                <w:color w:val="auto"/>
                <w:szCs w:val="21"/>
                <w:highlight w:val="none"/>
              </w:rPr>
              <w:t>级</w:t>
            </w:r>
            <w:r>
              <w:rPr>
                <w:rFonts w:hint="eastAsia" w:ascii="宋体" w:hAnsi="宋体" w:cs="宋体"/>
                <w:color w:val="auto"/>
                <w:szCs w:val="21"/>
                <w:highlight w:val="none"/>
                <w:lang w:val="en-US" w:eastAsia="zh-CN"/>
              </w:rPr>
              <w:t>及以上资质</w:t>
            </w:r>
            <w:r>
              <w:rPr>
                <w:rFonts w:hint="eastAsia" w:ascii="宋体" w:hAnsi="宋体" w:cs="宋体"/>
                <w:color w:val="auto"/>
                <w:szCs w:val="21"/>
                <w:highlight w:val="none"/>
              </w:rPr>
              <w:t>，并在人员、设备、资金等方面具有相应的施工能力。</w:t>
            </w:r>
          </w:p>
          <w:p w14:paraId="61B53BA9">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（2）项目经理：具备</w:t>
            </w:r>
            <w:r>
              <w:rPr>
                <w:rFonts w:hint="eastAsia" w:ascii="宋体" w:hAnsi="宋体" w:cs="宋体"/>
                <w:color w:val="auto"/>
                <w:szCs w:val="21"/>
                <w:highlight w:val="none"/>
                <w:lang w:eastAsia="zh-CN"/>
              </w:rPr>
              <w:t>建筑工程</w:t>
            </w:r>
            <w:r>
              <w:rPr>
                <w:rFonts w:hint="eastAsia" w:ascii="宋体" w:hAnsi="宋体" w:cs="宋体"/>
                <w:color w:val="auto"/>
                <w:szCs w:val="21"/>
                <w:highlight w:val="none"/>
              </w:rPr>
              <w:t>专业二级以上（含二级）注册建造师执业资格，具备有效的安全生产考核合格证书（B类）；</w:t>
            </w:r>
          </w:p>
          <w:p w14:paraId="4350A047">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（3）对在“信用中国”网站(www.creditchina.gov.cn)、中国政府采购网(www.ccgp.gov.cn)等渠道列入失信被执行人、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、政府采购严重违法失信行为记录名单及其他不符合《中华人民共和国政府采购法》第二十二条规定条件的供应商，不得参与政府采购活动。</w:t>
            </w:r>
          </w:p>
          <w:p w14:paraId="39E4198D">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4F83CB88">
            <w:pPr>
              <w:keepNext w:val="0"/>
              <w:keepLines w:val="0"/>
              <w:pageBreakBefore w:val="0"/>
              <w:widowControl w:val="0"/>
              <w:kinsoku/>
              <w:wordWrap/>
              <w:overflowPunct/>
              <w:topLinePunct w:val="0"/>
              <w:autoSpaceDE w:val="0"/>
              <w:autoSpaceDN/>
              <w:bidi w:val="0"/>
              <w:adjustRightInd/>
              <w:snapToGrid/>
              <w:spacing w:line="42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4.本项目不接受未按竞争性磋商公告要求获取竞争性磋商文件的供应商竞标。</w:t>
            </w:r>
          </w:p>
        </w:tc>
      </w:tr>
      <w:tr w14:paraId="7595E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3D242D71">
            <w:pPr>
              <w:autoSpaceDE w:val="0"/>
              <w:autoSpaceDN w:val="0"/>
              <w:adjustRightInd w:val="0"/>
              <w:snapToGrid w:val="0"/>
              <w:spacing w:line="420" w:lineRule="exact"/>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w:t>
            </w:r>
          </w:p>
        </w:tc>
        <w:tc>
          <w:tcPr>
            <w:tcW w:w="8886" w:type="dxa"/>
            <w:noWrap w:val="0"/>
            <w:vAlign w:val="top"/>
          </w:tcPr>
          <w:p w14:paraId="0E33EBCF">
            <w:pPr>
              <w:autoSpaceDE w:val="0"/>
              <w:spacing w:line="380" w:lineRule="exact"/>
              <w:rPr>
                <w:rFonts w:hint="default"/>
                <w:b/>
                <w:bCs/>
                <w:color w:val="auto"/>
                <w:highlight w:val="none"/>
                <w:lang w:val="en-US" w:eastAsia="zh-CN"/>
              </w:rPr>
            </w:pPr>
            <w:r>
              <w:rPr>
                <w:rFonts w:hint="eastAsia"/>
                <w:b/>
                <w:bCs/>
                <w:color w:val="auto"/>
                <w:highlight w:val="none"/>
                <w:lang w:val="en-US" w:eastAsia="zh-CN"/>
              </w:rPr>
              <w:t>竞争性磋商响应文件包括以下两个部分</w:t>
            </w:r>
          </w:p>
          <w:p w14:paraId="1E3BEEFB">
            <w:pPr>
              <w:autoSpaceDE w:val="0"/>
              <w:spacing w:line="380" w:lineRule="exact"/>
              <w:rPr>
                <w:rFonts w:hint="eastAsia"/>
                <w:b/>
                <w:bCs/>
                <w:color w:val="auto"/>
                <w:highlight w:val="none"/>
                <w:lang w:eastAsia="zh-CN"/>
              </w:rPr>
            </w:pPr>
            <w:r>
              <w:rPr>
                <w:rFonts w:hint="eastAsia"/>
                <w:b/>
                <w:bCs/>
                <w:color w:val="auto"/>
                <w:highlight w:val="none"/>
                <w:lang w:val="en-US" w:eastAsia="zh-CN"/>
              </w:rPr>
              <w:t>1、</w:t>
            </w:r>
            <w:r>
              <w:rPr>
                <w:rFonts w:hint="eastAsia"/>
                <w:b/>
                <w:bCs/>
                <w:color w:val="auto"/>
                <w:highlight w:val="none"/>
              </w:rPr>
              <w:t>价格文件组成内容</w:t>
            </w:r>
            <w:r>
              <w:rPr>
                <w:rFonts w:hint="eastAsia"/>
                <w:b/>
                <w:bCs/>
                <w:color w:val="auto"/>
                <w:highlight w:val="none"/>
                <w:lang w:eastAsia="zh-CN"/>
              </w:rPr>
              <w:t>：</w:t>
            </w:r>
          </w:p>
          <w:p w14:paraId="3F34F43A">
            <w:pPr>
              <w:autoSpaceDE w:val="0"/>
              <w:spacing w:line="380" w:lineRule="exact"/>
              <w:ind w:firstLine="42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磋商函及磋商函附录；（必须提供）</w:t>
            </w:r>
          </w:p>
          <w:p w14:paraId="31BCB951">
            <w:pPr>
              <w:autoSpaceDE w:val="0"/>
              <w:spacing w:line="380" w:lineRule="exact"/>
              <w:ind w:firstLine="42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磋商报价表、磋商报价文件；（必须提供）</w:t>
            </w:r>
          </w:p>
          <w:p w14:paraId="6817CDD3">
            <w:pPr>
              <w:autoSpaceDE w:val="0"/>
              <w:spacing w:line="380" w:lineRule="exact"/>
              <w:ind w:firstLine="42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供应商针对报价需要说明的其他文件和说明（格式自拟）；</w:t>
            </w:r>
          </w:p>
          <w:p w14:paraId="737CAB84">
            <w:pPr>
              <w:pStyle w:val="21"/>
              <w:adjustRightInd w:val="0"/>
              <w:snapToGrid w:val="0"/>
              <w:spacing w:line="400" w:lineRule="exact"/>
              <w:rPr>
                <w:rFonts w:hint="eastAsia"/>
                <w:b/>
                <w:bCs/>
                <w:color w:val="auto"/>
                <w:highlight w:val="none"/>
                <w:lang w:eastAsia="zh-CN"/>
              </w:rPr>
            </w:pPr>
            <w:r>
              <w:rPr>
                <w:rFonts w:hint="eastAsia"/>
                <w:b/>
                <w:bCs/>
                <w:color w:val="auto"/>
                <w:highlight w:val="none"/>
                <w:lang w:val="en-US" w:eastAsia="zh-CN"/>
              </w:rPr>
              <w:t>2、</w:t>
            </w:r>
            <w:r>
              <w:rPr>
                <w:rFonts w:hint="eastAsia"/>
                <w:b/>
                <w:bCs/>
                <w:color w:val="auto"/>
                <w:highlight w:val="none"/>
              </w:rPr>
              <w:t>商务技术文件组成内容</w:t>
            </w:r>
            <w:r>
              <w:rPr>
                <w:rFonts w:hint="eastAsia"/>
                <w:b/>
                <w:bCs/>
                <w:color w:val="auto"/>
                <w:highlight w:val="none"/>
                <w:lang w:eastAsia="zh-CN"/>
              </w:rPr>
              <w:t>：</w:t>
            </w:r>
          </w:p>
          <w:p w14:paraId="3C265201">
            <w:pPr>
              <w:pStyle w:val="21"/>
              <w:adjustRightInd w:val="0"/>
              <w:snapToGrid w:val="0"/>
              <w:spacing w:line="400" w:lineRule="exact"/>
              <w:ind w:firstLine="42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w:t>
            </w:r>
            <w:r>
              <w:rPr>
                <w:rFonts w:hint="eastAsia"/>
                <w:color w:val="auto"/>
                <w:highlight w:val="none"/>
              </w:rPr>
              <w:t>企业营业执照副本、资质证书和安全生产许可证复印件；（必须提供）</w:t>
            </w:r>
          </w:p>
          <w:p w14:paraId="67AF85C8">
            <w:pPr>
              <w:pStyle w:val="21"/>
              <w:adjustRightInd w:val="0"/>
              <w:snapToGrid w:val="0"/>
              <w:spacing w:line="400" w:lineRule="exact"/>
              <w:ind w:firstLine="420" w:firstLineChars="200"/>
              <w:rPr>
                <w:rFonts w:hint="eastAsia"/>
                <w:color w:val="auto"/>
                <w:highlight w:val="none"/>
              </w:rPr>
            </w:pPr>
            <w:r>
              <w:rPr>
                <w:rFonts w:hint="eastAsia"/>
                <w:color w:val="auto"/>
                <w:highlight w:val="none"/>
                <w:lang w:eastAsia="zh-CN"/>
              </w:rPr>
              <w:t>（</w:t>
            </w:r>
            <w:r>
              <w:rPr>
                <w:rFonts w:hint="eastAsia"/>
                <w:color w:val="auto"/>
                <w:highlight w:val="none"/>
                <w:lang w:val="en-US" w:eastAsia="zh-CN"/>
              </w:rPr>
              <w:t>2</w:t>
            </w:r>
            <w:r>
              <w:rPr>
                <w:rFonts w:hint="eastAsia"/>
                <w:color w:val="auto"/>
                <w:highlight w:val="none"/>
                <w:lang w:eastAsia="zh-CN"/>
              </w:rPr>
              <w:t>）</w:t>
            </w:r>
            <w:r>
              <w:rPr>
                <w:rFonts w:hint="eastAsia"/>
                <w:color w:val="auto"/>
                <w:highlight w:val="none"/>
              </w:rPr>
              <w:t>供应商经第三方审计的</w:t>
            </w:r>
            <w:r>
              <w:rPr>
                <w:rFonts w:hint="eastAsia"/>
                <w:color w:val="auto"/>
                <w:highlight w:val="none"/>
                <w:lang w:eastAsia="zh-CN"/>
              </w:rPr>
              <w:t>2024年度</w:t>
            </w:r>
            <w:r>
              <w:rPr>
                <w:rFonts w:hint="eastAsia"/>
                <w:color w:val="auto"/>
                <w:highlight w:val="none"/>
              </w:rPr>
              <w:t>的财务报表（</w:t>
            </w:r>
            <w:r>
              <w:rPr>
                <w:rFonts w:hint="eastAsia"/>
                <w:color w:val="auto"/>
                <w:highlight w:val="none"/>
                <w:lang w:eastAsia="zh-CN"/>
              </w:rPr>
              <w:t>财务报表</w:t>
            </w:r>
            <w:r>
              <w:rPr>
                <w:rFonts w:hint="eastAsia"/>
                <w:color w:val="auto"/>
                <w:highlight w:val="none"/>
              </w:rPr>
              <w:t>至少包含资产负债表、利润表、现金流量表及其附注、审计报告）复印件或投标截止之日前</w:t>
            </w:r>
            <w:r>
              <w:rPr>
                <w:rFonts w:hint="eastAsia"/>
                <w:color w:val="auto"/>
                <w:highlight w:val="none"/>
                <w:lang w:val="en-US" w:eastAsia="zh-CN"/>
              </w:rPr>
              <w:t>一</w:t>
            </w:r>
            <w:r>
              <w:rPr>
                <w:rFonts w:hint="eastAsia"/>
                <w:color w:val="auto"/>
                <w:highlight w:val="none"/>
              </w:rPr>
              <w:t>个月内投标人基本开户银行出具的资信证明（仅提供银行出具的存款证明不能作为其银行资信证明）复印件；(必须提供)。</w:t>
            </w:r>
          </w:p>
          <w:p w14:paraId="7792A570">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3</w:t>
            </w:r>
            <w:r>
              <w:rPr>
                <w:rFonts w:hint="eastAsia"/>
                <w:color w:val="auto"/>
                <w:highlight w:val="none"/>
                <w:lang w:eastAsia="zh-CN"/>
              </w:rPr>
              <w:t>）</w:t>
            </w:r>
            <w:r>
              <w:rPr>
                <w:rFonts w:hint="eastAsia"/>
                <w:color w:val="auto"/>
                <w:highlight w:val="none"/>
              </w:rPr>
              <w:t>磋商供应商</w:t>
            </w:r>
            <w:r>
              <w:rPr>
                <w:rFonts w:hint="eastAsia"/>
                <w:color w:val="auto"/>
                <w:highlight w:val="none"/>
                <w:lang w:eastAsia="zh-CN"/>
              </w:rPr>
              <w:t>近三个月以来任意一个月</w:t>
            </w:r>
            <w:r>
              <w:rPr>
                <w:rFonts w:hint="eastAsia"/>
                <w:color w:val="auto"/>
                <w:highlight w:val="none"/>
              </w:rPr>
              <w:t>依法缴纳税费或依法免缴税费（包括无纳税记录或零报税）的证明（新成立的且不足</w:t>
            </w:r>
            <w:r>
              <w:rPr>
                <w:rFonts w:hint="eastAsia"/>
                <w:color w:val="auto"/>
                <w:highlight w:val="none"/>
                <w:lang w:val="en-US" w:eastAsia="zh-CN"/>
              </w:rPr>
              <w:t>一</w:t>
            </w:r>
            <w:r>
              <w:rPr>
                <w:rFonts w:hint="eastAsia"/>
                <w:color w:val="auto"/>
                <w:highlight w:val="none"/>
              </w:rPr>
              <w:t>个月的企业按实际提供），证明材料可以是：银行已缴纳税费凭证复印件或第三方有效的相关业务托缴凭证或其他有效证明，或供应商所在地税务部门出具的有效证明（复印件）；(必须提供)；</w:t>
            </w:r>
          </w:p>
          <w:p w14:paraId="66E62842">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4</w:t>
            </w:r>
            <w:r>
              <w:rPr>
                <w:rFonts w:hint="eastAsia"/>
                <w:color w:val="auto"/>
                <w:highlight w:val="none"/>
                <w:lang w:eastAsia="zh-CN"/>
              </w:rPr>
              <w:t>）</w:t>
            </w:r>
            <w:r>
              <w:rPr>
                <w:rFonts w:hint="eastAsia"/>
                <w:color w:val="auto"/>
                <w:highlight w:val="none"/>
              </w:rPr>
              <w:t>磋商供应商</w:t>
            </w:r>
            <w:r>
              <w:rPr>
                <w:rFonts w:hint="eastAsia"/>
                <w:color w:val="auto"/>
                <w:highlight w:val="none"/>
                <w:lang w:eastAsia="zh-CN"/>
              </w:rPr>
              <w:t>近三个月以来任意一个月</w:t>
            </w:r>
            <w:r>
              <w:rPr>
                <w:rFonts w:hint="eastAsia"/>
                <w:color w:val="auto"/>
                <w:highlight w:val="none"/>
              </w:rPr>
              <w:t>依法缴纳社会保险费（新成立的且不足</w:t>
            </w:r>
            <w:r>
              <w:rPr>
                <w:rFonts w:hint="eastAsia"/>
                <w:color w:val="auto"/>
                <w:highlight w:val="none"/>
                <w:lang w:val="en-US" w:eastAsia="zh-CN"/>
              </w:rPr>
              <w:t>一</w:t>
            </w:r>
            <w:r>
              <w:rPr>
                <w:rFonts w:hint="eastAsia"/>
                <w:color w:val="auto"/>
                <w:highlight w:val="none"/>
              </w:rPr>
              <w:t>个月的企业按实际提供），证明材料可以是：银行已缴纳社会保险费凭证复印件或第三方有效的相关业务托缴凭证或其他有效证明；（复印件）；（必须提供）</w:t>
            </w:r>
          </w:p>
          <w:p w14:paraId="655F4D0F">
            <w:pPr>
              <w:pStyle w:val="21"/>
              <w:adjustRightInd w:val="0"/>
              <w:snapToGrid w:val="0"/>
              <w:spacing w:line="400" w:lineRule="exact"/>
              <w:ind w:firstLine="359" w:firstLineChars="171"/>
              <w:rPr>
                <w:rFonts w:hint="eastAsia"/>
                <w:color w:val="auto"/>
                <w:highlight w:val="none"/>
              </w:rPr>
            </w:pPr>
            <w:r>
              <w:rPr>
                <w:rFonts w:hint="eastAsia" w:ascii="宋体" w:eastAsia="宋体" w:cs="Times New Roman"/>
                <w:color w:val="auto"/>
                <w:highlight w:val="none"/>
                <w:lang w:eastAsia="zh-CN"/>
              </w:rPr>
              <w:t>（</w:t>
            </w:r>
            <w:r>
              <w:rPr>
                <w:rFonts w:hint="eastAsia" w:ascii="宋体" w:eastAsia="宋体" w:cs="Times New Roman"/>
                <w:color w:val="auto"/>
                <w:highlight w:val="none"/>
                <w:lang w:val="en-US" w:eastAsia="zh-CN"/>
              </w:rPr>
              <w:t>5</w:t>
            </w:r>
            <w:r>
              <w:rPr>
                <w:rFonts w:hint="eastAsia" w:ascii="宋体" w:eastAsia="宋体" w:cs="Times New Roman"/>
                <w:color w:val="auto"/>
                <w:highlight w:val="none"/>
                <w:lang w:eastAsia="zh-CN"/>
              </w:rPr>
              <w:t>）中小企业声明函（格式后附），若是监狱企业，</w:t>
            </w:r>
            <w:r>
              <w:rPr>
                <w:rFonts w:hint="eastAsia" w:ascii="宋体" w:eastAsia="宋体" w:cs="Times New Roman"/>
                <w:color w:val="auto"/>
                <w:highlight w:val="none"/>
                <w:lang w:val="en-US" w:eastAsia="zh-CN"/>
              </w:rPr>
              <w:t>须</w:t>
            </w:r>
            <w:r>
              <w:rPr>
                <w:rFonts w:hint="eastAsia" w:ascii="宋体" w:eastAsia="宋体" w:cs="Times New Roman"/>
                <w:color w:val="auto"/>
                <w:highlight w:val="none"/>
                <w:lang w:eastAsia="zh-CN"/>
              </w:rPr>
              <w:t>提供由省级以上监狱管理局、戒毒管理局(含新疆生产建设兵团)出具的属于监狱企业的证明文件）；若是残疾人福利性单位参加，</w:t>
            </w:r>
            <w:r>
              <w:rPr>
                <w:rFonts w:hint="eastAsia" w:ascii="宋体" w:eastAsia="宋体" w:cs="Times New Roman"/>
                <w:color w:val="auto"/>
                <w:highlight w:val="none"/>
                <w:lang w:val="en-US" w:eastAsia="zh-CN"/>
              </w:rPr>
              <w:t>须</w:t>
            </w:r>
            <w:r>
              <w:rPr>
                <w:rFonts w:hint="eastAsia" w:ascii="宋体" w:eastAsia="宋体" w:cs="Times New Roman"/>
                <w:color w:val="auto"/>
                <w:highlight w:val="none"/>
                <w:lang w:eastAsia="zh-CN"/>
              </w:rPr>
              <w:t>提供该通知规定的《残疾人福利性单位声明函》（格式后附）；【</w:t>
            </w:r>
            <w:r>
              <w:rPr>
                <w:rFonts w:hint="eastAsia" w:ascii="宋体" w:eastAsia="宋体" w:cs="Times New Roman"/>
                <w:color w:val="auto"/>
                <w:highlight w:val="none"/>
                <w:lang w:val="en-US" w:eastAsia="zh-CN"/>
              </w:rPr>
              <w:t>竞标</w:t>
            </w:r>
            <w:r>
              <w:rPr>
                <w:rFonts w:hint="eastAsia" w:ascii="宋体" w:eastAsia="宋体" w:cs="Times New Roman"/>
                <w:color w:val="auto"/>
                <w:highlight w:val="none"/>
                <w:lang w:eastAsia="zh-CN"/>
              </w:rPr>
              <w:t>时必须提供，否则作无效</w:t>
            </w:r>
            <w:r>
              <w:rPr>
                <w:rFonts w:hint="eastAsia" w:ascii="宋体" w:eastAsia="宋体" w:cs="Times New Roman"/>
                <w:color w:val="auto"/>
                <w:highlight w:val="none"/>
                <w:lang w:val="en-US" w:eastAsia="zh-CN"/>
              </w:rPr>
              <w:t>竞标</w:t>
            </w:r>
            <w:r>
              <w:rPr>
                <w:rFonts w:hint="eastAsia" w:ascii="宋体" w:eastAsia="宋体" w:cs="Times New Roman"/>
                <w:color w:val="auto"/>
                <w:highlight w:val="none"/>
                <w:lang w:eastAsia="zh-CN"/>
              </w:rPr>
              <w:t>处理】</w:t>
            </w:r>
          </w:p>
          <w:p w14:paraId="2453AF16">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6</w:t>
            </w:r>
            <w:r>
              <w:rPr>
                <w:rFonts w:hint="eastAsia"/>
                <w:color w:val="auto"/>
                <w:highlight w:val="none"/>
                <w:lang w:eastAsia="zh-CN"/>
              </w:rPr>
              <w:t>）</w:t>
            </w:r>
            <w:r>
              <w:rPr>
                <w:rFonts w:hint="eastAsia"/>
                <w:color w:val="auto"/>
                <w:highlight w:val="none"/>
              </w:rPr>
              <w:t>法定代表人资格证明书</w:t>
            </w:r>
            <w:r>
              <w:rPr>
                <w:rFonts w:hint="eastAsia"/>
                <w:color w:val="auto"/>
                <w:highlight w:val="none"/>
                <w:lang w:val="en-US" w:eastAsia="zh-CN"/>
              </w:rPr>
              <w:t>及</w:t>
            </w:r>
            <w:r>
              <w:rPr>
                <w:rFonts w:hint="eastAsia"/>
                <w:color w:val="auto"/>
                <w:highlight w:val="none"/>
              </w:rPr>
              <w:t>授权委托书（授权委托代理时必须提供）；（必须提供）</w:t>
            </w:r>
          </w:p>
          <w:p w14:paraId="5C56D962">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7</w:t>
            </w:r>
            <w:r>
              <w:rPr>
                <w:rFonts w:hint="eastAsia"/>
                <w:color w:val="auto"/>
                <w:highlight w:val="none"/>
                <w:lang w:eastAsia="zh-CN"/>
              </w:rPr>
              <w:t>）</w:t>
            </w:r>
            <w:r>
              <w:rPr>
                <w:rFonts w:hint="eastAsia"/>
                <w:color w:val="auto"/>
                <w:highlight w:val="none"/>
              </w:rPr>
              <w:t>项目经理资质证书及身份证复印件；（必须提供）</w:t>
            </w:r>
          </w:p>
          <w:p w14:paraId="1C751337">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8</w:t>
            </w:r>
            <w:r>
              <w:rPr>
                <w:rFonts w:hint="eastAsia"/>
                <w:color w:val="auto"/>
                <w:highlight w:val="none"/>
                <w:lang w:eastAsia="zh-CN"/>
              </w:rPr>
              <w:t>）</w:t>
            </w:r>
            <w:r>
              <w:rPr>
                <w:rFonts w:hint="eastAsia"/>
                <w:color w:val="auto"/>
                <w:highlight w:val="none"/>
              </w:rPr>
              <w:t>农民工工资保障金的交纳与使用承诺书；（必须提供）</w:t>
            </w:r>
          </w:p>
          <w:p w14:paraId="74ACFE38">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9</w:t>
            </w:r>
            <w:r>
              <w:rPr>
                <w:rFonts w:hint="eastAsia"/>
                <w:color w:val="auto"/>
                <w:highlight w:val="none"/>
                <w:lang w:eastAsia="zh-CN"/>
              </w:rPr>
              <w:t>）</w:t>
            </w:r>
            <w:r>
              <w:rPr>
                <w:rFonts w:hint="eastAsia"/>
                <w:color w:val="auto"/>
                <w:highlight w:val="none"/>
              </w:rPr>
              <w:t>建设工程项目管理承诺书；（必须提供）</w:t>
            </w:r>
          </w:p>
          <w:p w14:paraId="6EB0FCFA">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10</w:t>
            </w:r>
            <w:r>
              <w:rPr>
                <w:rFonts w:hint="eastAsia"/>
                <w:color w:val="auto"/>
                <w:highlight w:val="none"/>
                <w:lang w:eastAsia="zh-CN"/>
              </w:rPr>
              <w:t>）</w:t>
            </w:r>
            <w:r>
              <w:rPr>
                <w:rFonts w:hint="eastAsia"/>
                <w:color w:val="auto"/>
                <w:highlight w:val="none"/>
              </w:rPr>
              <w:t>施工组织设计；（必须提供）</w:t>
            </w:r>
          </w:p>
          <w:p w14:paraId="6C5D2F16">
            <w:pPr>
              <w:pStyle w:val="21"/>
              <w:adjustRightInd w:val="0"/>
              <w:snapToGrid w:val="0"/>
              <w:spacing w:line="400" w:lineRule="exact"/>
              <w:ind w:firstLine="359" w:firstLineChars="171"/>
              <w:rPr>
                <w:rFonts w:hint="eastAsia"/>
                <w:color w:val="auto"/>
                <w:highlight w:val="none"/>
              </w:rPr>
            </w:pPr>
            <w:r>
              <w:rPr>
                <w:rFonts w:hint="eastAsia"/>
                <w:color w:val="auto"/>
                <w:highlight w:val="none"/>
                <w:lang w:eastAsia="zh-CN"/>
              </w:rPr>
              <w:t>（</w:t>
            </w:r>
            <w:r>
              <w:rPr>
                <w:rFonts w:hint="eastAsia"/>
                <w:color w:val="auto"/>
                <w:highlight w:val="none"/>
                <w:lang w:val="en-US" w:eastAsia="zh-CN"/>
              </w:rPr>
              <w:t>11</w:t>
            </w:r>
            <w:r>
              <w:rPr>
                <w:rFonts w:hint="eastAsia"/>
                <w:color w:val="auto"/>
                <w:highlight w:val="none"/>
                <w:lang w:eastAsia="zh-CN"/>
              </w:rPr>
              <w:t>）</w:t>
            </w:r>
            <w:r>
              <w:rPr>
                <w:rFonts w:hint="eastAsia"/>
                <w:color w:val="auto"/>
                <w:highlight w:val="none"/>
              </w:rPr>
              <w:t>项目管理机构配备情况；（必须提供）</w:t>
            </w:r>
          </w:p>
          <w:p w14:paraId="6C330201">
            <w:pPr>
              <w:pStyle w:val="21"/>
              <w:adjustRightInd w:val="0"/>
              <w:snapToGrid w:val="0"/>
              <w:spacing w:line="400" w:lineRule="exact"/>
              <w:ind w:firstLine="359" w:firstLineChars="171"/>
              <w:rPr>
                <w:rFonts w:hint="eastAsia"/>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）磋商供应商递交的其他材料。（如企业信誉、业绩证明等）</w:t>
            </w:r>
          </w:p>
          <w:p w14:paraId="1212E22A">
            <w:pPr>
              <w:pStyle w:val="21"/>
              <w:adjustRightInd w:val="0"/>
              <w:snapToGrid w:val="0"/>
              <w:spacing w:line="400" w:lineRule="exact"/>
              <w:rPr>
                <w:color w:val="auto"/>
                <w:highlight w:val="none"/>
              </w:rPr>
            </w:pPr>
            <w:r>
              <w:rPr>
                <w:rFonts w:hint="eastAsia" w:hAnsi="宋体" w:cs="宋体"/>
                <w:b/>
                <w:color w:val="auto"/>
                <w:szCs w:val="21"/>
                <w:highlight w:val="none"/>
              </w:rPr>
              <w:t>注：以上材料</w:t>
            </w:r>
            <w:r>
              <w:rPr>
                <w:rFonts w:hint="eastAsia" w:hAnsi="宋体" w:cs="宋体"/>
                <w:b/>
                <w:color w:val="auto"/>
                <w:szCs w:val="21"/>
                <w:highlight w:val="none"/>
                <w:lang w:val="en-US" w:eastAsia="zh-CN"/>
              </w:rPr>
              <w:t>注有“必须提供”的，则</w:t>
            </w:r>
            <w:r>
              <w:rPr>
                <w:rFonts w:hint="eastAsia" w:hAnsi="宋体" w:cs="宋体"/>
                <w:b/>
                <w:color w:val="auto"/>
                <w:szCs w:val="21"/>
                <w:highlight w:val="none"/>
              </w:rPr>
              <w:t>必须</w:t>
            </w:r>
            <w:r>
              <w:rPr>
                <w:rFonts w:hint="eastAsia" w:hAnsi="宋体" w:cs="宋体"/>
                <w:b/>
                <w:color w:val="auto"/>
                <w:szCs w:val="21"/>
                <w:highlight w:val="none"/>
                <w:lang w:val="en-US" w:eastAsia="zh-CN"/>
              </w:rPr>
              <w:t>提供</w:t>
            </w:r>
            <w:r>
              <w:rPr>
                <w:rFonts w:hint="eastAsia" w:hAnsi="宋体" w:cs="宋体"/>
                <w:b/>
                <w:color w:val="auto"/>
                <w:szCs w:val="21"/>
                <w:highlight w:val="none"/>
              </w:rPr>
              <w:t>同时加盖供应商公章，并且要求字迹清晰，否则磋商无效。</w:t>
            </w:r>
          </w:p>
        </w:tc>
      </w:tr>
      <w:bookmarkEnd w:id="119"/>
      <w:tr w14:paraId="5DC86F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495B5C1A">
            <w:pPr>
              <w:autoSpaceDE w:val="0"/>
              <w:autoSpaceDN w:val="0"/>
              <w:adjustRightInd w:val="0"/>
              <w:snapToGrid w:val="0"/>
              <w:spacing w:line="420" w:lineRule="exact"/>
              <w:jc w:val="center"/>
              <w:rPr>
                <w:rFonts w:hint="eastAsia"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6</w:t>
            </w:r>
          </w:p>
        </w:tc>
        <w:tc>
          <w:tcPr>
            <w:tcW w:w="8886" w:type="dxa"/>
            <w:noWrap w:val="0"/>
            <w:vAlign w:val="center"/>
          </w:tcPr>
          <w:p w14:paraId="64E9919F">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磋商有效期：</w:t>
            </w:r>
            <w:r>
              <w:rPr>
                <w:rFonts w:hint="eastAsia" w:ascii="宋体" w:hAnsi="宋体" w:cs="宋体"/>
                <w:color w:val="auto"/>
                <w:szCs w:val="21"/>
                <w:highlight w:val="none"/>
              </w:rPr>
              <w:t>磋商截止日后30天内。</w:t>
            </w:r>
          </w:p>
        </w:tc>
      </w:tr>
      <w:tr w14:paraId="11B1E9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78DD9EAE">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7</w:t>
            </w:r>
          </w:p>
        </w:tc>
        <w:tc>
          <w:tcPr>
            <w:tcW w:w="8886" w:type="dxa"/>
            <w:noWrap w:val="0"/>
            <w:vAlign w:val="center"/>
          </w:tcPr>
          <w:p w14:paraId="4A64D845">
            <w:pPr>
              <w:pStyle w:val="142"/>
              <w:tabs>
                <w:tab w:val="left" w:pos="2880"/>
              </w:tabs>
              <w:autoSpaceDE w:val="0"/>
              <w:autoSpaceDN w:val="0"/>
              <w:adjustRightInd w:val="0"/>
              <w:spacing w:line="340" w:lineRule="exact"/>
              <w:rPr>
                <w:rFonts w:hint="eastAsia" w:hAnsi="宋体" w:cs="宋体"/>
                <w:color w:val="auto"/>
                <w:highlight w:val="none"/>
              </w:rPr>
            </w:pPr>
            <w:r>
              <w:rPr>
                <w:rFonts w:hint="eastAsia" w:hAnsi="宋体" w:cs="宋体"/>
                <w:color w:val="auto"/>
                <w:highlight w:val="none"/>
              </w:rPr>
              <w:t>磋商保证金：</w:t>
            </w:r>
            <w:r>
              <w:rPr>
                <w:rFonts w:hint="eastAsia" w:hAnsi="宋体"/>
                <w:color w:val="auto"/>
                <w:szCs w:val="21"/>
                <w:highlight w:val="none"/>
              </w:rPr>
              <w:t>本项目不需要缴纳磋商保证金；</w:t>
            </w:r>
            <w:r>
              <w:rPr>
                <w:rFonts w:hint="eastAsia" w:hAnsi="宋体" w:cs="宋体"/>
                <w:color w:val="auto"/>
                <w:highlight w:val="none"/>
              </w:rPr>
              <w:t xml:space="preserve"> </w:t>
            </w:r>
          </w:p>
        </w:tc>
      </w:tr>
      <w:tr w14:paraId="72D57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5" w:type="dxa"/>
            <w:noWrap w:val="0"/>
            <w:vAlign w:val="center"/>
          </w:tcPr>
          <w:p w14:paraId="512DE10F">
            <w:pPr>
              <w:autoSpaceDE w:val="0"/>
              <w:autoSpaceDN w:val="0"/>
              <w:adjustRightInd w:val="0"/>
              <w:snapToGrid w:val="0"/>
              <w:spacing w:line="420" w:lineRule="exact"/>
              <w:ind w:firstLine="210" w:firstLineChars="100"/>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8</w:t>
            </w:r>
          </w:p>
        </w:tc>
        <w:tc>
          <w:tcPr>
            <w:tcW w:w="8886" w:type="dxa"/>
            <w:noWrap w:val="0"/>
            <w:vAlign w:val="center"/>
          </w:tcPr>
          <w:p w14:paraId="0D264130">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响应文件电子版形式：</w:t>
            </w:r>
            <w:r>
              <w:rPr>
                <w:rFonts w:hint="eastAsia" w:ascii="宋体" w:hAnsi="宋体" w:cs="宋体"/>
                <w:color w:val="auto"/>
                <w:kern w:val="0"/>
                <w:szCs w:val="21"/>
                <w:highlight w:val="none"/>
                <w:lang w:eastAsia="zh-CN"/>
              </w:rPr>
              <w:t>广西政府采购云平台</w:t>
            </w:r>
            <w:r>
              <w:rPr>
                <w:rFonts w:hint="eastAsia" w:ascii="宋体" w:hAnsi="宋体" w:cs="宋体"/>
                <w:color w:val="auto"/>
                <w:kern w:val="0"/>
                <w:szCs w:val="21"/>
                <w:highlight w:val="none"/>
              </w:rPr>
              <w:t>项目采购-电子招投标操作指南中上传的电子响应文件。</w:t>
            </w:r>
          </w:p>
        </w:tc>
      </w:tr>
      <w:tr w14:paraId="707130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70EF9194">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lang w:val="en-US" w:eastAsia="zh-CN"/>
              </w:rPr>
              <w:t>9</w:t>
            </w:r>
          </w:p>
        </w:tc>
        <w:tc>
          <w:tcPr>
            <w:tcW w:w="8886" w:type="dxa"/>
            <w:noWrap w:val="0"/>
            <w:vAlign w:val="top"/>
          </w:tcPr>
          <w:p w14:paraId="23927045">
            <w:pPr>
              <w:tabs>
                <w:tab w:val="left" w:pos="360"/>
                <w:tab w:val="left" w:pos="2880"/>
              </w:tabs>
              <w:autoSpaceDE w:val="0"/>
              <w:autoSpaceDN w:val="0"/>
              <w:snapToGrid w:val="0"/>
              <w:spacing w:line="360" w:lineRule="exact"/>
              <w:rPr>
                <w:rFonts w:hint="eastAsia" w:ascii="宋体" w:hAnsi="宋体" w:cs="宋体"/>
                <w:color w:val="auto"/>
                <w:highlight w:val="none"/>
              </w:rPr>
            </w:pPr>
            <w:r>
              <w:rPr>
                <w:rFonts w:hint="eastAsia" w:ascii="宋体" w:hAnsi="宋体" w:cs="宋体"/>
                <w:color w:val="auto"/>
                <w:highlight w:val="none"/>
              </w:rPr>
              <w:t>递交响应文件截止时间：北京时间</w:t>
            </w:r>
            <w:r>
              <w:rPr>
                <w:rFonts w:hint="eastAsia" w:ascii="宋体" w:hAnsi="宋体" w:cs="宋体"/>
                <w:bCs/>
                <w:color w:val="auto"/>
                <w:szCs w:val="21"/>
                <w:highlight w:val="none"/>
                <w:u w:val="single"/>
              </w:rPr>
              <w:t>202</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年</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月</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日</w:t>
            </w:r>
            <w:r>
              <w:rPr>
                <w:rFonts w:hint="eastAsia" w:ascii="宋体" w:hAnsi="宋体" w:cs="宋体"/>
                <w:bCs/>
                <w:color w:val="auto"/>
                <w:szCs w:val="21"/>
                <w:highlight w:val="none"/>
                <w:u w:val="single"/>
                <w:lang w:val="en-US" w:eastAsia="zh-CN"/>
              </w:rPr>
              <w:t>10</w:t>
            </w:r>
            <w:r>
              <w:rPr>
                <w:rFonts w:hint="eastAsia" w:ascii="宋体" w:hAnsi="宋体" w:cs="宋体"/>
                <w:bCs/>
                <w:color w:val="auto"/>
                <w:szCs w:val="21"/>
                <w:highlight w:val="none"/>
                <w:u w:val="single"/>
              </w:rPr>
              <w:t>时</w:t>
            </w:r>
            <w:r>
              <w:rPr>
                <w:rFonts w:hint="eastAsia" w:ascii="宋体" w:hAnsi="宋体" w:cs="宋体"/>
                <w:bCs/>
                <w:color w:val="auto"/>
                <w:szCs w:val="21"/>
                <w:highlight w:val="none"/>
                <w:u w:val="single"/>
                <w:lang w:val="en-US" w:eastAsia="zh-CN"/>
              </w:rPr>
              <w:t>00</w:t>
            </w:r>
            <w:r>
              <w:rPr>
                <w:rFonts w:hint="eastAsia" w:ascii="宋体" w:hAnsi="宋体" w:cs="宋体"/>
                <w:bCs/>
                <w:color w:val="auto"/>
                <w:szCs w:val="21"/>
                <w:highlight w:val="none"/>
                <w:u w:val="single"/>
              </w:rPr>
              <w:t>分</w:t>
            </w:r>
            <w:r>
              <w:rPr>
                <w:rFonts w:hint="eastAsia" w:ascii="宋体" w:hAnsi="宋体" w:cs="宋体"/>
                <w:color w:val="auto"/>
                <w:highlight w:val="none"/>
                <w:u w:val="single"/>
              </w:rPr>
              <w:t>整</w:t>
            </w:r>
            <w:r>
              <w:rPr>
                <w:rFonts w:hint="eastAsia" w:ascii="宋体" w:hAnsi="宋体" w:cs="宋体"/>
                <w:color w:val="auto"/>
                <w:highlight w:val="none"/>
              </w:rPr>
              <w:t>；</w:t>
            </w:r>
            <w:r>
              <w:rPr>
                <w:rFonts w:hint="eastAsia" w:ascii="宋体" w:hAnsi="宋体" w:cs="宋体"/>
                <w:color w:val="auto"/>
                <w:highlight w:val="none"/>
              </w:rPr>
              <w:tab/>
            </w:r>
          </w:p>
          <w:p w14:paraId="0962301B">
            <w:pPr>
              <w:tabs>
                <w:tab w:val="left" w:pos="360"/>
                <w:tab w:val="left" w:pos="2880"/>
              </w:tabs>
              <w:autoSpaceDE w:val="0"/>
              <w:autoSpaceDN w:val="0"/>
              <w:snapToGrid w:val="0"/>
              <w:spacing w:line="360" w:lineRule="exact"/>
              <w:ind w:firstLine="420" w:firstLineChars="200"/>
              <w:rPr>
                <w:rFonts w:hint="eastAsia" w:ascii="宋体" w:hAnsi="宋体" w:cs="宋体"/>
                <w:color w:val="auto"/>
                <w:highlight w:val="none"/>
              </w:rPr>
            </w:pPr>
            <w:r>
              <w:rPr>
                <w:rFonts w:hint="eastAsia" w:ascii="宋体" w:hAnsi="宋体" w:cs="宋体"/>
                <w:color w:val="auto"/>
                <w:highlight w:val="none"/>
              </w:rPr>
              <w:t>电子响应文件解密时间：首次响应文件提交截止时间后30分钟内，供应商必须在此时间段内登录</w:t>
            </w:r>
            <w:r>
              <w:rPr>
                <w:rFonts w:hint="eastAsia" w:ascii="宋体" w:hAnsi="宋体" w:cs="宋体"/>
                <w:color w:val="auto"/>
                <w:highlight w:val="none"/>
                <w:lang w:eastAsia="zh-CN"/>
              </w:rPr>
              <w:t>广西政府采购云平台</w:t>
            </w:r>
            <w:r>
              <w:rPr>
                <w:rFonts w:hint="eastAsia" w:ascii="宋体" w:hAnsi="宋体" w:cs="宋体"/>
                <w:color w:val="auto"/>
                <w:highlight w:val="none"/>
              </w:rPr>
              <w:t>，用“项目采购-开标评标”功能完成电子响应文件的解密。</w:t>
            </w:r>
          </w:p>
        </w:tc>
      </w:tr>
      <w:tr w14:paraId="5ADB86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7EDF42B9">
            <w:pPr>
              <w:autoSpaceDE w:val="0"/>
              <w:autoSpaceDN w:val="0"/>
              <w:adjustRightInd w:val="0"/>
              <w:snapToGrid w:val="0"/>
              <w:spacing w:line="420" w:lineRule="exact"/>
              <w:jc w:val="center"/>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10</w:t>
            </w:r>
          </w:p>
        </w:tc>
        <w:tc>
          <w:tcPr>
            <w:tcW w:w="8886" w:type="dxa"/>
            <w:noWrap w:val="0"/>
            <w:vAlign w:val="top"/>
          </w:tcPr>
          <w:p w14:paraId="573C8DC3">
            <w:pPr>
              <w:autoSpaceDE w:val="0"/>
              <w:autoSpaceDN w:val="0"/>
              <w:adjustRightInd w:val="0"/>
              <w:snapToGrid w:val="0"/>
              <w:spacing w:line="420" w:lineRule="exact"/>
              <w:jc w:val="left"/>
              <w:rPr>
                <w:rFonts w:hint="eastAsia" w:ascii="宋体" w:hAnsi="宋体"/>
                <w:color w:val="auto"/>
                <w:szCs w:val="21"/>
                <w:highlight w:val="none"/>
              </w:rPr>
            </w:pPr>
            <w:r>
              <w:rPr>
                <w:rFonts w:hint="eastAsia" w:ascii="宋体" w:hAnsi="宋体" w:cs="宋体"/>
                <w:color w:val="auto"/>
                <w:kern w:val="0"/>
                <w:szCs w:val="21"/>
                <w:highlight w:val="none"/>
              </w:rPr>
              <w:t>磋商时间：</w:t>
            </w:r>
            <w:r>
              <w:rPr>
                <w:rFonts w:hint="eastAsia" w:ascii="宋体" w:hAnsi="宋体" w:cs="宋体"/>
                <w:color w:val="auto"/>
                <w:highlight w:val="none"/>
              </w:rPr>
              <w:t>北京时间</w:t>
            </w:r>
            <w:r>
              <w:rPr>
                <w:rFonts w:hint="eastAsia" w:ascii="宋体" w:hAnsi="宋体" w:cs="宋体"/>
                <w:bCs/>
                <w:color w:val="auto"/>
                <w:szCs w:val="21"/>
                <w:highlight w:val="none"/>
                <w:u w:val="single"/>
              </w:rPr>
              <w:t>202</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年</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月</w:t>
            </w:r>
            <w:r>
              <w:rPr>
                <w:rFonts w:hint="eastAsia" w:ascii="宋体" w:hAnsi="宋体" w:cs="宋体"/>
                <w:bCs/>
                <w:color w:val="auto"/>
                <w:szCs w:val="21"/>
                <w:highlight w:val="none"/>
                <w:u w:val="single"/>
                <w:lang w:val="en-US" w:eastAsia="zh-CN"/>
              </w:rPr>
              <w:t>08</w:t>
            </w:r>
            <w:r>
              <w:rPr>
                <w:rFonts w:hint="eastAsia" w:ascii="宋体" w:hAnsi="宋体" w:cs="宋体"/>
                <w:bCs/>
                <w:color w:val="auto"/>
                <w:szCs w:val="21"/>
                <w:highlight w:val="none"/>
                <w:u w:val="single"/>
              </w:rPr>
              <w:t>日</w:t>
            </w:r>
            <w:r>
              <w:rPr>
                <w:rFonts w:hint="eastAsia" w:ascii="宋体" w:hAnsi="宋体" w:cs="宋体"/>
                <w:bCs/>
                <w:color w:val="auto"/>
                <w:szCs w:val="21"/>
                <w:highlight w:val="none"/>
                <w:u w:val="single"/>
                <w:lang w:val="en-US" w:eastAsia="zh-CN"/>
              </w:rPr>
              <w:t>10</w:t>
            </w:r>
            <w:r>
              <w:rPr>
                <w:rFonts w:hint="eastAsia" w:ascii="宋体" w:hAnsi="宋体" w:cs="宋体"/>
                <w:bCs/>
                <w:color w:val="auto"/>
                <w:szCs w:val="21"/>
                <w:highlight w:val="none"/>
                <w:u w:val="single"/>
              </w:rPr>
              <w:t>时</w:t>
            </w:r>
            <w:r>
              <w:rPr>
                <w:rFonts w:hint="eastAsia" w:ascii="宋体" w:hAnsi="宋体" w:cs="宋体"/>
                <w:bCs/>
                <w:color w:val="auto"/>
                <w:szCs w:val="21"/>
                <w:highlight w:val="none"/>
                <w:u w:val="single"/>
                <w:lang w:val="en-US" w:eastAsia="zh-CN"/>
              </w:rPr>
              <w:t>00</w:t>
            </w:r>
            <w:r>
              <w:rPr>
                <w:rFonts w:hint="eastAsia" w:ascii="宋体" w:hAnsi="宋体" w:cs="宋体"/>
                <w:bCs/>
                <w:color w:val="auto"/>
                <w:szCs w:val="21"/>
                <w:highlight w:val="none"/>
                <w:u w:val="single"/>
              </w:rPr>
              <w:t>分</w:t>
            </w:r>
            <w:r>
              <w:rPr>
                <w:rFonts w:hint="eastAsia" w:ascii="宋体" w:hAnsi="宋体" w:cs="宋体"/>
                <w:color w:val="auto"/>
                <w:highlight w:val="none"/>
                <w:u w:val="single"/>
              </w:rPr>
              <w:t>整</w:t>
            </w:r>
            <w:r>
              <w:rPr>
                <w:rFonts w:hint="eastAsia" w:ascii="宋体" w:hAnsi="宋体" w:cs="宋体"/>
                <w:b/>
                <w:bCs/>
                <w:color w:val="auto"/>
                <w:szCs w:val="21"/>
                <w:highlight w:val="none"/>
              </w:rPr>
              <w:t>截标后（具体时间由采购代理机构另行通知）</w:t>
            </w:r>
            <w:r>
              <w:rPr>
                <w:rFonts w:hint="eastAsia" w:ascii="宋体" w:hAnsi="宋体"/>
                <w:color w:val="auto"/>
                <w:szCs w:val="21"/>
                <w:highlight w:val="none"/>
              </w:rPr>
              <w:t>；</w:t>
            </w:r>
          </w:p>
          <w:p w14:paraId="29269CDF">
            <w:pPr>
              <w:autoSpaceDE w:val="0"/>
              <w:autoSpaceDN w:val="0"/>
              <w:adjustRightInd w:val="0"/>
              <w:snapToGrid w:val="0"/>
              <w:spacing w:line="420" w:lineRule="exact"/>
              <w:ind w:firstLine="420" w:firstLineChars="200"/>
              <w:jc w:val="left"/>
              <w:rPr>
                <w:rFonts w:hint="eastAsia" w:ascii="宋体" w:hAnsi="宋体" w:cs="宋体"/>
                <w:color w:val="auto"/>
                <w:kern w:val="0"/>
                <w:szCs w:val="21"/>
                <w:highlight w:val="none"/>
              </w:rPr>
            </w:pPr>
            <w:r>
              <w:rPr>
                <w:rFonts w:hint="eastAsia" w:ascii="宋体" w:hAnsi="宋体"/>
                <w:color w:val="auto"/>
                <w:szCs w:val="21"/>
                <w:highlight w:val="none"/>
              </w:rPr>
              <w:t xml:space="preserve">本项目为全流程电子标项目，无需供应商来开标现场递交响应文件，供应商授权委托代理人可以不用到开标现场参加开标（截标）会。代理机构将电话通知供应商进行磋商等相关事宜。 </w:t>
            </w:r>
          </w:p>
        </w:tc>
      </w:tr>
      <w:tr w14:paraId="1055FF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2B6358C4">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1</w:t>
            </w:r>
          </w:p>
        </w:tc>
        <w:tc>
          <w:tcPr>
            <w:tcW w:w="8886" w:type="dxa"/>
            <w:noWrap w:val="0"/>
            <w:vAlign w:val="center"/>
          </w:tcPr>
          <w:p w14:paraId="25C7CB38">
            <w:pPr>
              <w:autoSpaceDE w:val="0"/>
              <w:autoSpaceDN w:val="0"/>
              <w:adjustRightInd w:val="0"/>
              <w:snapToGrid w:val="0"/>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磋商小组组成:</w:t>
            </w:r>
            <w:r>
              <w:rPr>
                <w:rFonts w:hint="eastAsia" w:ascii="宋体" w:hAnsi="宋体" w:cs="宋体"/>
                <w:color w:val="auto"/>
                <w:kern w:val="0"/>
                <w:szCs w:val="21"/>
                <w:highlight w:val="none"/>
                <w:u w:val="single"/>
              </w:rPr>
              <w:t>3</w:t>
            </w:r>
            <w:r>
              <w:rPr>
                <w:rFonts w:hint="eastAsia" w:ascii="宋体" w:hAnsi="宋体" w:cs="宋体"/>
                <w:color w:val="auto"/>
                <w:kern w:val="0"/>
                <w:szCs w:val="21"/>
                <w:highlight w:val="none"/>
              </w:rPr>
              <w:t>人。</w:t>
            </w:r>
          </w:p>
        </w:tc>
      </w:tr>
      <w:tr w14:paraId="7550B8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3396C7A1">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2</w:t>
            </w:r>
          </w:p>
        </w:tc>
        <w:tc>
          <w:tcPr>
            <w:tcW w:w="8886" w:type="dxa"/>
            <w:noWrap w:val="0"/>
            <w:vAlign w:val="center"/>
          </w:tcPr>
          <w:p w14:paraId="529095BD">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评标办法：综合评分法。</w:t>
            </w:r>
          </w:p>
        </w:tc>
      </w:tr>
      <w:tr w14:paraId="6773D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0C1BBB6B">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8886" w:type="dxa"/>
            <w:noWrap w:val="0"/>
            <w:vAlign w:val="center"/>
          </w:tcPr>
          <w:p w14:paraId="4EE2C20C">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szCs w:val="21"/>
                <w:highlight w:val="none"/>
              </w:rPr>
              <w:t>招标代理费由成交供应商支付。根据采购人与采购代理机构签订的本项目招标代理合同约定，本工程招标代理费由成交供应商在领取成交通知书时，以现金或</w:t>
            </w:r>
            <w:r>
              <w:rPr>
                <w:rFonts w:hint="eastAsia" w:ascii="宋体" w:hAnsi="宋体" w:cs="宋体"/>
                <w:color w:val="auto"/>
                <w:szCs w:val="21"/>
                <w:highlight w:val="none"/>
                <w:lang w:eastAsia="zh-CN"/>
              </w:rPr>
              <w:t>转账方式</w:t>
            </w:r>
            <w:r>
              <w:rPr>
                <w:rFonts w:hint="eastAsia" w:ascii="宋体" w:hAnsi="宋体" w:cs="宋体"/>
                <w:color w:val="auto"/>
                <w:szCs w:val="21"/>
                <w:highlight w:val="none"/>
              </w:rPr>
              <w:t>一次性支付给采购代理机构。本工程招标代理费取中标价作为计算基数，按差额定率累进法计算，其费率为：100万元以下--1.0%；100～500万元--0.7%；500～1000万元--0.55%；1000-5000万元--0.35%</w:t>
            </w:r>
            <w:r>
              <w:rPr>
                <w:rFonts w:hint="eastAsia" w:ascii="宋体" w:hAnsi="宋体" w:cs="宋体"/>
                <w:bCs/>
                <w:color w:val="auto"/>
                <w:szCs w:val="21"/>
                <w:highlight w:val="none"/>
              </w:rPr>
              <w:t>。</w:t>
            </w:r>
          </w:p>
        </w:tc>
      </w:tr>
      <w:tr w14:paraId="105E14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01A70E6E">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8886" w:type="dxa"/>
            <w:noWrap w:val="0"/>
            <w:vAlign w:val="center"/>
          </w:tcPr>
          <w:p w14:paraId="7116E72B">
            <w:pPr>
              <w:autoSpaceDE w:val="0"/>
              <w:autoSpaceDN w:val="0"/>
              <w:adjustRightInd w:val="0"/>
              <w:snapToGrid w:val="0"/>
              <w:spacing w:line="420" w:lineRule="exact"/>
              <w:rPr>
                <w:rFonts w:hint="eastAsia" w:ascii="宋体" w:hAnsi="宋体" w:cs="宋体"/>
                <w:color w:val="auto"/>
                <w:szCs w:val="21"/>
                <w:highlight w:val="none"/>
              </w:rPr>
            </w:pPr>
            <w:r>
              <w:rPr>
                <w:rFonts w:hint="eastAsia" w:ascii="宋体" w:hAnsi="宋体" w:cs="宋体"/>
                <w:color w:val="auto"/>
                <w:kern w:val="0"/>
                <w:szCs w:val="21"/>
                <w:highlight w:val="none"/>
              </w:rPr>
              <w:t>农民工工资保障金：</w:t>
            </w:r>
            <w:r>
              <w:rPr>
                <w:rFonts w:hint="eastAsia" w:ascii="宋体" w:hAnsi="宋体" w:cs="宋体"/>
                <w:color w:val="auto"/>
                <w:szCs w:val="21"/>
                <w:highlight w:val="none"/>
              </w:rPr>
              <w:t>按劳动保障、住房城乡建设行政主管部门按照《关于进一步完善建筑行业农民工工资保证金制度的通知》（桂劳社发〔2009〕50号）</w:t>
            </w:r>
          </w:p>
        </w:tc>
      </w:tr>
      <w:tr w14:paraId="3172AF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05E33082">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8886" w:type="dxa"/>
            <w:noWrap w:val="0"/>
            <w:vAlign w:val="center"/>
          </w:tcPr>
          <w:p w14:paraId="2285C8A2">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采购代理机构：广西睿翼工程咨询有限公司</w:t>
            </w:r>
          </w:p>
          <w:p w14:paraId="37F56DF8">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联系地址：河池市金城江区金城中路2-4号铜鼓园写字楼</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楼</w:t>
            </w:r>
          </w:p>
          <w:p w14:paraId="2D61F629">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联 系 人：</w:t>
            </w:r>
            <w:r>
              <w:rPr>
                <w:rFonts w:hint="eastAsia" w:ascii="宋体" w:hAnsi="宋体" w:cs="宋体"/>
                <w:color w:val="auto"/>
                <w:szCs w:val="21"/>
                <w:highlight w:val="none"/>
                <w:lang w:eastAsia="zh-CN"/>
              </w:rPr>
              <w:t>陈恩松</w:t>
            </w:r>
            <w:r>
              <w:rPr>
                <w:rFonts w:hint="eastAsia" w:ascii="宋体" w:hAnsi="宋体" w:cs="宋体"/>
                <w:color w:val="auto"/>
                <w:szCs w:val="21"/>
                <w:highlight w:val="none"/>
              </w:rPr>
              <w:t xml:space="preserve">  </w:t>
            </w:r>
          </w:p>
          <w:p w14:paraId="5CAC9E71">
            <w:pPr>
              <w:keepNext/>
              <w:wordWrap w:val="0"/>
              <w:overflowPunct w:val="0"/>
              <w:topLinePunct/>
              <w:spacing w:line="360" w:lineRule="exact"/>
              <w:textAlignment w:val="center"/>
              <w:rPr>
                <w:rFonts w:hint="eastAsia" w:ascii="宋体" w:hAnsi="宋体" w:cs="宋体"/>
                <w:color w:val="auto"/>
                <w:kern w:val="0"/>
                <w:szCs w:val="21"/>
                <w:highlight w:val="none"/>
              </w:rPr>
            </w:pPr>
            <w:r>
              <w:rPr>
                <w:rFonts w:hint="eastAsia" w:ascii="宋体" w:hAnsi="宋体" w:cs="宋体"/>
                <w:color w:val="auto"/>
                <w:szCs w:val="21"/>
                <w:highlight w:val="none"/>
              </w:rPr>
              <w:t>电    话：</w:t>
            </w:r>
            <w:r>
              <w:rPr>
                <w:rFonts w:ascii="宋体" w:hAnsi="宋体" w:cs="宋体"/>
                <w:color w:val="auto"/>
                <w:szCs w:val="21"/>
                <w:highlight w:val="none"/>
              </w:rPr>
              <w:t>0778-22</w:t>
            </w:r>
            <w:r>
              <w:rPr>
                <w:rFonts w:hint="eastAsia" w:ascii="宋体" w:hAnsi="宋体" w:cs="宋体"/>
                <w:color w:val="auto"/>
                <w:szCs w:val="21"/>
                <w:highlight w:val="none"/>
              </w:rPr>
              <w:t>11981</w:t>
            </w:r>
          </w:p>
        </w:tc>
      </w:tr>
      <w:tr w14:paraId="6FCAAE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3BAB40C3">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8886" w:type="dxa"/>
            <w:noWrap w:val="0"/>
            <w:vAlign w:val="center"/>
          </w:tcPr>
          <w:p w14:paraId="7DA11139">
            <w:pPr>
              <w:pStyle w:val="21"/>
              <w:spacing w:line="400" w:lineRule="exact"/>
              <w:ind w:firstLine="406" w:firstLineChars="200"/>
              <w:rPr>
                <w:rFonts w:hint="eastAsia" w:hAnsi="宋体"/>
                <w:b/>
                <w:color w:val="auto"/>
                <w:spacing w:val="-4"/>
                <w:szCs w:val="21"/>
                <w:highlight w:val="none"/>
              </w:rPr>
            </w:pPr>
            <w:bookmarkStart w:id="120" w:name="_Hlk85554654"/>
            <w:r>
              <w:rPr>
                <w:rFonts w:hint="eastAsia" w:hAnsi="宋体"/>
                <w:b/>
                <w:color w:val="auto"/>
                <w:spacing w:val="-4"/>
                <w:szCs w:val="21"/>
                <w:highlight w:val="none"/>
                <w:u w:val="single"/>
                <w:lang w:val="en-US" w:eastAsia="zh-CN"/>
              </w:rPr>
              <w:t>本项目招标控制价为：贰佰叁拾贰万伍仟玖佰肆拾元壹角贰分（2325940.12元）</w:t>
            </w:r>
            <w:r>
              <w:rPr>
                <w:rFonts w:hint="eastAsia" w:hAnsi="宋体"/>
                <w:b/>
                <w:color w:val="auto"/>
                <w:spacing w:val="-4"/>
                <w:szCs w:val="21"/>
                <w:highlight w:val="none"/>
              </w:rPr>
              <w:t>。</w:t>
            </w:r>
          </w:p>
          <w:p w14:paraId="1B65F19F">
            <w:pPr>
              <w:autoSpaceDE w:val="0"/>
              <w:autoSpaceDN w:val="0"/>
              <w:adjustRightInd w:val="0"/>
              <w:snapToGrid w:val="0"/>
              <w:spacing w:line="420" w:lineRule="exact"/>
              <w:ind w:firstLine="420" w:firstLineChars="200"/>
              <w:rPr>
                <w:rFonts w:hint="eastAsia" w:ascii="宋体" w:hAnsi="宋体" w:cs="宋体"/>
                <w:color w:val="auto"/>
                <w:kern w:val="0"/>
                <w:szCs w:val="21"/>
                <w:highlight w:val="none"/>
              </w:rPr>
            </w:pPr>
            <w:r>
              <w:rPr>
                <w:rFonts w:hint="eastAsia" w:hAnsi="宋体" w:cs="宋体"/>
                <w:color w:val="auto"/>
                <w:highlight w:val="none"/>
              </w:rPr>
              <w:t>采购总报价必须小于或等于本项目</w:t>
            </w:r>
            <w:r>
              <w:rPr>
                <w:rFonts w:hint="eastAsia" w:hAnsi="宋体" w:cs="宋体"/>
                <w:color w:val="auto"/>
                <w:highlight w:val="none"/>
                <w:lang w:val="en-US" w:eastAsia="zh-CN"/>
              </w:rPr>
              <w:t>的</w:t>
            </w:r>
            <w:r>
              <w:rPr>
                <w:rFonts w:hint="eastAsia" w:hAnsi="宋体" w:cs="宋体"/>
                <w:color w:val="auto"/>
                <w:highlight w:val="none"/>
              </w:rPr>
              <w:t>招标控制价，并经评标委员会评定为不低于成本价的，否则，</w:t>
            </w:r>
            <w:r>
              <w:rPr>
                <w:rFonts w:hint="eastAsia" w:hAnsi="宋体" w:cs="宋体"/>
                <w:color w:val="auto"/>
                <w:highlight w:val="none"/>
                <w:lang w:eastAsia="zh-CN"/>
              </w:rPr>
              <w:t>作</w:t>
            </w:r>
            <w:r>
              <w:rPr>
                <w:rFonts w:hint="eastAsia" w:hAnsi="宋体" w:cs="宋体"/>
                <w:color w:val="auto"/>
                <w:highlight w:val="none"/>
              </w:rPr>
              <w:t>无效竞标处理。</w:t>
            </w:r>
            <w:bookmarkEnd w:id="120"/>
          </w:p>
        </w:tc>
      </w:tr>
      <w:tr w14:paraId="659EF6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5F5AF0FF">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8886" w:type="dxa"/>
            <w:noWrap w:val="0"/>
            <w:vAlign w:val="center"/>
          </w:tcPr>
          <w:p w14:paraId="65CE242B">
            <w:pPr>
              <w:pStyle w:val="21"/>
              <w:spacing w:line="400" w:lineRule="exact"/>
              <w:rPr>
                <w:rFonts w:hint="eastAsia" w:hAnsi="宋体"/>
                <w:b/>
                <w:color w:val="auto"/>
                <w:spacing w:val="-4"/>
                <w:szCs w:val="21"/>
                <w:highlight w:val="none"/>
              </w:rPr>
            </w:pPr>
            <w:r>
              <w:rPr>
                <w:rFonts w:hint="eastAsia" w:ascii="Times New Roman" w:hAnsi="宋体" w:eastAsia="宋体" w:cs="宋体"/>
                <w:color w:val="auto"/>
                <w:kern w:val="2"/>
                <w:sz w:val="21"/>
                <w:highlight w:val="none"/>
                <w:lang w:val="en-US" w:eastAsia="zh-CN" w:bidi="ar-SA"/>
              </w:rPr>
              <w:t>所属行业：建筑业</w:t>
            </w:r>
          </w:p>
        </w:tc>
      </w:tr>
      <w:tr w14:paraId="657664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65EA1DA8">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8</w:t>
            </w:r>
          </w:p>
        </w:tc>
        <w:tc>
          <w:tcPr>
            <w:tcW w:w="8886" w:type="dxa"/>
            <w:noWrap w:val="0"/>
            <w:vAlign w:val="center"/>
          </w:tcPr>
          <w:p w14:paraId="7026DC9A">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采购人或采购代理机构在评标现场对供应商进行信用查询并将查询结果提供给磋商小组</w:t>
            </w:r>
            <w:r>
              <w:rPr>
                <w:rFonts w:hint="eastAsia" w:ascii="宋体" w:hAnsi="宋体" w:cs="宋体"/>
                <w:color w:val="auto"/>
                <w:szCs w:val="21"/>
                <w:highlight w:val="none"/>
                <w:lang w:eastAsia="zh-CN"/>
              </w:rPr>
              <w:t>作为</w:t>
            </w:r>
            <w:r>
              <w:rPr>
                <w:rFonts w:hint="eastAsia" w:ascii="宋体" w:hAnsi="宋体" w:cs="宋体"/>
                <w:color w:val="auto"/>
                <w:szCs w:val="21"/>
                <w:highlight w:val="none"/>
              </w:rPr>
              <w:t>评审的依据：</w:t>
            </w:r>
          </w:p>
          <w:p w14:paraId="36637F60">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查询渠道：“信用中国”网站(www.creditchina.gov.cn)、中国政府采购网(</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HYPERLINK "http://www.ccgp.gov.cn"</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www.ccgp.gov.cn</w:t>
            </w:r>
            <w:r>
              <w:rPr>
                <w:rFonts w:hint="eastAsia" w:ascii="宋体" w:hAnsi="宋体" w:cs="宋体"/>
                <w:color w:val="auto"/>
                <w:szCs w:val="21"/>
                <w:highlight w:val="none"/>
              </w:rPr>
              <w:fldChar w:fldCharType="end"/>
            </w:r>
            <w:r>
              <w:rPr>
                <w:rFonts w:hint="eastAsia" w:ascii="宋体" w:hAnsi="宋体" w:cs="宋体"/>
                <w:color w:val="auto"/>
                <w:szCs w:val="21"/>
                <w:highlight w:val="none"/>
              </w:rPr>
              <w:t>)等；</w:t>
            </w:r>
          </w:p>
          <w:p w14:paraId="6010C199">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“信用中国”网站查询内容：失信被执行人、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、政府采购严重违法失信行为记录名单查询结果或界面截图。</w:t>
            </w:r>
          </w:p>
          <w:p w14:paraId="13C2EEE5">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“中国政府采购网”的查询内容：政府采购严重违法失信行为信息记录（查询界面截图须显示供应商名称以及查询结果）；查询时间：起始时间为首次提交响应文件截止时间前三年。</w:t>
            </w:r>
          </w:p>
          <w:p w14:paraId="3EEA9053">
            <w:pPr>
              <w:keepNext/>
              <w:wordWrap w:val="0"/>
              <w:overflowPunct w:val="0"/>
              <w:topLinePunct/>
              <w:spacing w:line="360" w:lineRule="exact"/>
              <w:textAlignment w:val="center"/>
              <w:rPr>
                <w:rFonts w:hint="eastAsia" w:ascii="宋体" w:hAnsi="宋体" w:cs="宋体"/>
                <w:color w:val="auto"/>
                <w:szCs w:val="21"/>
                <w:highlight w:val="none"/>
              </w:rPr>
            </w:pPr>
            <w:r>
              <w:rPr>
                <w:rFonts w:hint="eastAsia" w:ascii="宋体" w:hAnsi="宋体" w:cs="宋体"/>
                <w:color w:val="auto"/>
                <w:szCs w:val="21"/>
                <w:highlight w:val="none"/>
              </w:rPr>
              <w:t>查询记录和证据留存方式：在查询网站中直接打印查询记录，打印材料作为评审资料保存。</w:t>
            </w:r>
          </w:p>
          <w:p w14:paraId="698267E1">
            <w:pPr>
              <w:autoSpaceDE w:val="0"/>
              <w:autoSpaceDN w:val="0"/>
              <w:adjustRightInd w:val="0"/>
              <w:snapToGrid w:val="0"/>
              <w:spacing w:line="420" w:lineRule="exact"/>
              <w:rPr>
                <w:rFonts w:hint="eastAsia" w:ascii="宋体" w:hAnsi="宋体" w:cs="宋体"/>
                <w:color w:val="auto"/>
                <w:kern w:val="0"/>
                <w:szCs w:val="21"/>
                <w:highlight w:val="none"/>
              </w:rPr>
            </w:pPr>
            <w:r>
              <w:rPr>
                <w:rFonts w:hint="eastAsia" w:ascii="宋体" w:hAnsi="宋体" w:cs="宋体"/>
                <w:color w:val="auto"/>
                <w:szCs w:val="21"/>
                <w:highlight w:val="none"/>
              </w:rPr>
              <w:t>信用信息使用规则：对在“信用中国”网站(www.creditchina.gov.cn)、中国政府采购网(www.ccgp.gov.cn)等渠道列入失信被执行人、</w:t>
            </w:r>
            <w:r>
              <w:rPr>
                <w:rFonts w:hint="eastAsia" w:ascii="宋体" w:hAnsi="宋体" w:cs="宋体"/>
                <w:color w:val="auto"/>
                <w:szCs w:val="21"/>
                <w:highlight w:val="none"/>
                <w:lang w:eastAsia="zh-CN"/>
              </w:rPr>
              <w:t>重大税收违法失信主体</w:t>
            </w:r>
            <w:r>
              <w:rPr>
                <w:rFonts w:hint="eastAsia" w:ascii="宋体" w:hAnsi="宋体" w:cs="宋体"/>
                <w:color w:val="auto"/>
                <w:szCs w:val="21"/>
                <w:highlight w:val="none"/>
              </w:rPr>
              <w:t>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tc>
      </w:tr>
      <w:tr w14:paraId="57AAB0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5" w:type="dxa"/>
            <w:noWrap w:val="0"/>
            <w:vAlign w:val="center"/>
          </w:tcPr>
          <w:p w14:paraId="1ECC38E5">
            <w:pPr>
              <w:autoSpaceDE w:val="0"/>
              <w:autoSpaceDN w:val="0"/>
              <w:adjustRightInd w:val="0"/>
              <w:snapToGrid w:val="0"/>
              <w:spacing w:line="420" w:lineRule="exact"/>
              <w:jc w:val="center"/>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9</w:t>
            </w:r>
          </w:p>
        </w:tc>
        <w:tc>
          <w:tcPr>
            <w:tcW w:w="8886" w:type="dxa"/>
            <w:noWrap w:val="0"/>
            <w:vAlign w:val="center"/>
          </w:tcPr>
          <w:p w14:paraId="5437D735">
            <w:pPr>
              <w:keepNext/>
              <w:keepLines w:val="0"/>
              <w:pageBreakBefore w:val="0"/>
              <w:widowControl w:val="0"/>
              <w:kinsoku/>
              <w:wordWrap w:val="0"/>
              <w:overflowPunct w:val="0"/>
              <w:topLinePunct/>
              <w:autoSpaceDE/>
              <w:autoSpaceDN/>
              <w:bidi w:val="0"/>
              <w:adjustRightInd/>
              <w:snapToGrid/>
              <w:spacing w:line="400" w:lineRule="exact"/>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在线竞标响应（电子竞标）说明</w:t>
            </w:r>
          </w:p>
          <w:p w14:paraId="292A983E">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rPr>
            </w:pPr>
            <w:r>
              <w:rPr>
                <w:rFonts w:hint="eastAsia" w:hAnsi="宋体" w:cs="宋体"/>
                <w:color w:val="auto"/>
                <w:szCs w:val="21"/>
                <w:highlight w:val="none"/>
              </w:rPr>
              <w:t>（1）本项目通过</w:t>
            </w:r>
            <w:r>
              <w:rPr>
                <w:rFonts w:hint="eastAsia" w:hAnsi="宋体" w:cs="宋体"/>
                <w:color w:val="auto"/>
                <w:szCs w:val="21"/>
                <w:highlight w:val="none"/>
                <w:lang w:eastAsia="zh-CN"/>
              </w:rPr>
              <w:t>广西政府采购云平台</w:t>
            </w:r>
            <w:r>
              <w:rPr>
                <w:rFonts w:hint="eastAsia" w:hAnsi="宋体" w:cs="宋体"/>
                <w:color w:val="auto"/>
                <w:szCs w:val="21"/>
                <w:highlight w:val="none"/>
              </w:rPr>
              <w:t>实行在线竞标响应（电子竞标），供应商需要先安装“</w:t>
            </w:r>
            <w:r>
              <w:rPr>
                <w:rFonts w:hint="eastAsia" w:hAnsi="宋体" w:cs="宋体"/>
                <w:color w:val="auto"/>
                <w:szCs w:val="21"/>
                <w:highlight w:val="none"/>
                <w:lang w:eastAsia="zh-CN"/>
              </w:rPr>
              <w:t>广西政府采购云平台</w:t>
            </w:r>
            <w:r>
              <w:rPr>
                <w:rFonts w:hint="eastAsia" w:hAnsi="宋体" w:cs="宋体"/>
                <w:color w:val="auto"/>
                <w:szCs w:val="21"/>
                <w:highlight w:val="none"/>
              </w:rPr>
              <w:t>电子交易客户端”，并按照本竞争性磋商文件和</w:t>
            </w:r>
            <w:r>
              <w:rPr>
                <w:rFonts w:hint="eastAsia" w:hAnsi="宋体" w:cs="宋体"/>
                <w:color w:val="auto"/>
                <w:szCs w:val="21"/>
                <w:highlight w:val="none"/>
                <w:lang w:eastAsia="zh-CN"/>
              </w:rPr>
              <w:t>广西政府采购云平台</w:t>
            </w:r>
            <w:r>
              <w:rPr>
                <w:rFonts w:hint="eastAsia" w:hAnsi="宋体" w:cs="宋体"/>
                <w:color w:val="auto"/>
                <w:szCs w:val="21"/>
                <w:highlight w:val="none"/>
              </w:rPr>
              <w:t>的要求，通过“</w:t>
            </w:r>
            <w:r>
              <w:rPr>
                <w:rFonts w:hint="eastAsia" w:hAnsi="宋体" w:cs="宋体"/>
                <w:color w:val="auto"/>
                <w:szCs w:val="21"/>
                <w:highlight w:val="none"/>
                <w:lang w:eastAsia="zh-CN"/>
              </w:rPr>
              <w:t>广西政府采购云平台</w:t>
            </w:r>
            <w:r>
              <w:rPr>
                <w:rFonts w:hint="eastAsia" w:hAnsi="宋体" w:cs="宋体"/>
                <w:color w:val="auto"/>
                <w:szCs w:val="21"/>
                <w:highlight w:val="none"/>
              </w:rPr>
              <w:t>电子交易客户端”编制并加密响应文件。供应商未按规定编制并加密的响应文件，</w:t>
            </w:r>
            <w:r>
              <w:rPr>
                <w:rFonts w:hint="eastAsia" w:hAnsi="宋体" w:cs="宋体"/>
                <w:color w:val="auto"/>
                <w:szCs w:val="21"/>
                <w:highlight w:val="none"/>
                <w:lang w:eastAsia="zh-CN"/>
              </w:rPr>
              <w:t>广西政府采购云平台</w:t>
            </w:r>
            <w:r>
              <w:rPr>
                <w:rFonts w:hint="eastAsia" w:hAnsi="宋体" w:cs="宋体"/>
                <w:color w:val="auto"/>
                <w:szCs w:val="21"/>
                <w:highlight w:val="none"/>
              </w:rPr>
              <w:t>将予以拒收。</w:t>
            </w:r>
          </w:p>
          <w:p w14:paraId="3670D093">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广西政府采购云平台电子交易客户端”请自行前往广西政府采购网下载并安装（http://zfcg.gxzf.gov.cn/）；电子竞标具体操作流程可在广西政府采购云平台（https://www.gcy.zfcg.gxzf.gov.cn/）中下载；通过广西政府采购云平台参与在线竞标时如遇平台技术问题详询</w:t>
            </w:r>
            <w:r>
              <w:rPr>
                <w:rFonts w:hint="eastAsia" w:hAnsi="宋体" w:cs="宋体"/>
                <w:color w:val="auto"/>
                <w:szCs w:val="21"/>
                <w:highlight w:val="none"/>
                <w:lang w:val="en-US" w:eastAsia="zh-CN"/>
              </w:rPr>
              <w:t>95763</w:t>
            </w:r>
            <w:r>
              <w:rPr>
                <w:rFonts w:hint="eastAsia" w:hAnsi="宋体" w:cs="宋体"/>
                <w:color w:val="auto"/>
                <w:szCs w:val="21"/>
                <w:highlight w:val="none"/>
                <w:lang w:eastAsia="zh-CN"/>
              </w:rPr>
              <w:t>。</w:t>
            </w:r>
          </w:p>
          <w:p w14:paraId="50493F9A">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2）为确保网上操作合法、有效和安全，供应商应当在响应文件递交截止时间前完成在“广西政府采购云平台”的身份认证，确保在电子竞标过程中能够对相关数据电文进行加密和使用电子签章。使用“广西政府采购云平台电子交易客户端”需要提前申领CA数字证书；</w:t>
            </w:r>
          </w:p>
          <w:p w14:paraId="248A13A4">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3）供应商应当在响应文件递交截止时间前，将生成的“电子加密响应文件”上传递交至广西政府采购云平台。响应文件递交截止时间前可以补充、修改或者撤回电子响应文件。补充或者修改电子响应文件的，应当先行撤回原文件，补充、修改后重新传输递交，响应文件递交截止时间前未完成传输的，视为撤回响应文件。</w:t>
            </w:r>
          </w:p>
          <w:p w14:paraId="7F45EBBD">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（4）响应文件提交截止时间后，代理机构向各供应商发出电子加密响应文件【开始解密】通知，代理机构发起解密通知后 30 分钟内，响应文件提交截止时间前已将生成的“电子加密响应文件”上传递交至广西政府采购云平台的供应商，必须在此时间段内登录广西政府采购云平台，用“项目采购-开标评标”功能完成电子响应文件的解密。供应商响应文件提交截止前通过“广西政府采购云平台”上传递交的“电子加密响应文件”无法正常解密的，请及时联系代理机构，代理机构与项目归属监督部门备案后告知供应商</w:t>
            </w:r>
            <w:r>
              <w:rPr>
                <w:rFonts w:hint="eastAsia" w:hAnsi="宋体" w:cs="宋体"/>
                <w:color w:val="auto"/>
                <w:szCs w:val="21"/>
                <w:highlight w:val="none"/>
                <w:lang w:val="en-US" w:eastAsia="zh-CN"/>
              </w:rPr>
              <w:t>可以</w:t>
            </w:r>
            <w:r>
              <w:rPr>
                <w:rFonts w:hint="eastAsia" w:hAnsi="宋体" w:cs="宋体"/>
                <w:color w:val="auto"/>
                <w:szCs w:val="21"/>
                <w:highlight w:val="none"/>
                <w:lang w:eastAsia="zh-CN"/>
              </w:rPr>
              <w:t>通过</w:t>
            </w:r>
            <w:r>
              <w:rPr>
                <w:rFonts w:hint="eastAsia" w:hAnsi="宋体" w:cs="宋体"/>
                <w:color w:val="auto"/>
                <w:szCs w:val="21"/>
                <w:highlight w:val="none"/>
                <w:lang w:val="en-US" w:eastAsia="zh-CN"/>
              </w:rPr>
              <w:t>上传</w:t>
            </w:r>
            <w:r>
              <w:rPr>
                <w:rFonts w:hint="eastAsia" w:hAnsi="宋体" w:cs="宋体"/>
                <w:color w:val="auto"/>
                <w:szCs w:val="21"/>
                <w:highlight w:val="none"/>
                <w:lang w:eastAsia="zh-CN"/>
              </w:rPr>
              <w:t>电子备份文件的，通过上传电子备份文件也必须在发起解密通知后 30 分钟内完成，逾期未完成传输的，拒收其响应文件。</w:t>
            </w:r>
          </w:p>
          <w:p w14:paraId="7D9BEAA9">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5）请各供应商在获取采购文件时，认真填写供应商名称、联系人、联系电话等相关信息。项目开标当天联系人要保持电话畅通，如因供应商自身原因导致无法响应文件无法正常解密、电子备份文件未能在规定的时间内传输递交、无法正常谈判（磋商）等，后果由供应商自行承担。</w:t>
            </w:r>
          </w:p>
          <w:p w14:paraId="7D356F77">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lang w:eastAsia="zh-CN"/>
              </w:rPr>
            </w:pPr>
            <w:r>
              <w:rPr>
                <w:rFonts w:hint="eastAsia" w:hAnsi="宋体" w:cs="宋体"/>
                <w:color w:val="auto"/>
                <w:szCs w:val="21"/>
                <w:highlight w:val="none"/>
                <w:lang w:eastAsia="zh-CN"/>
              </w:rPr>
              <w:t>（6）本项目为全流程电子标项目，无需供应商来开标现场递交响应文件，供应商授权委托代理人可以不用到开标现场参加开标（截标）会。</w:t>
            </w:r>
          </w:p>
          <w:p w14:paraId="7AF956FD">
            <w:pPr>
              <w:keepNext/>
              <w:keepLines w:val="0"/>
              <w:pageBreakBefore w:val="0"/>
              <w:widowControl w:val="0"/>
              <w:kinsoku/>
              <w:wordWrap w:val="0"/>
              <w:overflowPunct w:val="0"/>
              <w:topLinePunct/>
              <w:autoSpaceDE/>
              <w:autoSpaceDN/>
              <w:bidi w:val="0"/>
              <w:adjustRightInd/>
              <w:snapToGrid/>
              <w:spacing w:line="400" w:lineRule="exact"/>
              <w:ind w:firstLine="420" w:firstLineChars="200"/>
              <w:textAlignment w:val="center"/>
              <w:rPr>
                <w:rFonts w:hint="eastAsia" w:hAnsi="宋体" w:cs="宋体"/>
                <w:color w:val="auto"/>
                <w:szCs w:val="21"/>
                <w:highlight w:val="none"/>
              </w:rPr>
            </w:pPr>
            <w:r>
              <w:rPr>
                <w:rFonts w:hint="eastAsia" w:hAnsi="宋体" w:cs="宋体"/>
                <w:color w:val="auto"/>
                <w:szCs w:val="21"/>
                <w:highlight w:val="none"/>
              </w:rPr>
              <w:t>注：能够处理异常解密、递交电子备份文件的前提，是供应商已上传了标书且未能按时正常解密标书；系统生成标书时，生成两份，一份是投标用的标书，一份是备份标书；提供的备份标书要跟上传的电子标书是同一份，否则系统也不支持进行异常解密。</w:t>
            </w:r>
          </w:p>
        </w:tc>
      </w:tr>
    </w:tbl>
    <w:p w14:paraId="02C86662">
      <w:pPr>
        <w:pStyle w:val="17"/>
        <w:rPr>
          <w:color w:val="auto"/>
          <w:highlight w:val="none"/>
        </w:rPr>
      </w:pPr>
      <w:bookmarkStart w:id="121" w:name="_Toc75182673"/>
    </w:p>
    <w:p w14:paraId="6C131241">
      <w:pPr>
        <w:pStyle w:val="3"/>
        <w:keepNext w:val="0"/>
        <w:keepLines w:val="0"/>
        <w:adjustRightInd w:val="0"/>
        <w:snapToGrid w:val="0"/>
        <w:spacing w:line="480" w:lineRule="exact"/>
        <w:jc w:val="center"/>
        <w:rPr>
          <w:rFonts w:hint="eastAsia" w:ascii="宋体" w:hAnsi="宋体" w:eastAsia="宋体" w:cs="宋体"/>
          <w:color w:val="auto"/>
          <w:sz w:val="28"/>
          <w:highlight w:val="none"/>
        </w:rPr>
      </w:pPr>
    </w:p>
    <w:p w14:paraId="3171AA93">
      <w:pPr>
        <w:pStyle w:val="3"/>
        <w:keepNext w:val="0"/>
        <w:keepLines w:val="0"/>
        <w:adjustRightInd w:val="0"/>
        <w:snapToGrid w:val="0"/>
        <w:spacing w:line="480" w:lineRule="exact"/>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二、磋  商  须  知</w:t>
      </w:r>
      <w:bookmarkEnd w:id="118"/>
      <w:bookmarkEnd w:id="121"/>
    </w:p>
    <w:p w14:paraId="1DCE3319">
      <w:pPr>
        <w:pStyle w:val="4"/>
        <w:keepNext w:val="0"/>
        <w:keepLines w:val="0"/>
        <w:numPr>
          <w:ilvl w:val="0"/>
          <w:numId w:val="2"/>
        </w:numPr>
        <w:adjustRightInd w:val="0"/>
        <w:snapToGrid w:val="0"/>
        <w:spacing w:line="420" w:lineRule="exact"/>
        <w:jc w:val="center"/>
        <w:rPr>
          <w:rFonts w:hint="eastAsia" w:ascii="宋体" w:hAnsi="宋体" w:cs="宋体"/>
          <w:color w:val="auto"/>
          <w:sz w:val="24"/>
          <w:szCs w:val="24"/>
          <w:highlight w:val="none"/>
        </w:rPr>
      </w:pPr>
      <w:bookmarkStart w:id="122" w:name="_Toc78294029"/>
      <w:bookmarkStart w:id="123" w:name="_Toc85085492"/>
      <w:bookmarkStart w:id="124" w:name="_Toc75182674"/>
      <w:r>
        <w:rPr>
          <w:rFonts w:hint="eastAsia" w:ascii="宋体" w:hAnsi="宋体" w:cs="宋体"/>
          <w:color w:val="auto"/>
          <w:sz w:val="24"/>
          <w:szCs w:val="24"/>
          <w:highlight w:val="none"/>
        </w:rPr>
        <w:t>总  则</w:t>
      </w:r>
      <w:bookmarkEnd w:id="122"/>
      <w:bookmarkEnd w:id="123"/>
      <w:bookmarkEnd w:id="124"/>
    </w:p>
    <w:p w14:paraId="34FD15DA">
      <w:pPr>
        <w:pStyle w:val="17"/>
        <w:spacing w:line="420" w:lineRule="exact"/>
        <w:rPr>
          <w:rFonts w:hint="eastAsia" w:ascii="宋体" w:hAnsi="宋体" w:eastAsia="宋体" w:cs="宋体"/>
          <w:color w:val="auto"/>
          <w:sz w:val="21"/>
          <w:highlight w:val="none"/>
        </w:rPr>
      </w:pPr>
      <w:bookmarkStart w:id="125" w:name="_Toc514238586"/>
      <w:bookmarkStart w:id="126" w:name="_Toc55206448"/>
      <w:bookmarkStart w:id="127" w:name="_Toc75923215"/>
      <w:r>
        <w:rPr>
          <w:rFonts w:hint="eastAsia" w:ascii="宋体" w:hAnsi="宋体" w:eastAsia="宋体" w:cs="宋体"/>
          <w:color w:val="auto"/>
          <w:sz w:val="21"/>
          <w:highlight w:val="none"/>
        </w:rPr>
        <w:t>1、工程说明</w:t>
      </w:r>
      <w:bookmarkEnd w:id="125"/>
      <w:bookmarkEnd w:id="126"/>
      <w:bookmarkEnd w:id="127"/>
    </w:p>
    <w:p w14:paraId="15967F3D">
      <w:pPr>
        <w:autoSpaceDE w:val="0"/>
        <w:autoSpaceDN w:val="0"/>
        <w:adjustRightInd w:val="0"/>
        <w:snapToGrid w:val="0"/>
        <w:spacing w:line="440" w:lineRule="exact"/>
        <w:ind w:firstLine="480"/>
        <w:jc w:val="left"/>
        <w:rPr>
          <w:rFonts w:hint="eastAsia" w:ascii="宋体" w:hAnsi="宋体" w:cs="宋体"/>
          <w:color w:val="auto"/>
          <w:kern w:val="0"/>
          <w:szCs w:val="21"/>
          <w:highlight w:val="none"/>
        </w:rPr>
      </w:pPr>
      <w:bookmarkStart w:id="128" w:name="_Toc514238588"/>
      <w:bookmarkStart w:id="129" w:name="_Toc55206450"/>
      <w:bookmarkStart w:id="130" w:name="_Toc75923217"/>
      <w:r>
        <w:rPr>
          <w:rFonts w:hint="eastAsia" w:ascii="宋体" w:hAnsi="宋体" w:cs="宋体"/>
          <w:color w:val="auto"/>
          <w:kern w:val="0"/>
          <w:szCs w:val="21"/>
          <w:highlight w:val="none"/>
        </w:rPr>
        <w:t>1.1 本采购工程的说明详见本须知前附表（以下称“前附表”）所述。</w:t>
      </w:r>
    </w:p>
    <w:p w14:paraId="392D26B4">
      <w:pPr>
        <w:autoSpaceDE w:val="0"/>
        <w:autoSpaceDN w:val="0"/>
        <w:adjustRightInd w:val="0"/>
        <w:snapToGrid w:val="0"/>
        <w:spacing w:line="440" w:lineRule="exact"/>
        <w:ind w:firstLine="480"/>
        <w:rPr>
          <w:rFonts w:hint="eastAsia" w:ascii="宋体" w:hAnsi="宋体" w:cs="宋体"/>
          <w:color w:val="auto"/>
          <w:kern w:val="0"/>
          <w:szCs w:val="21"/>
          <w:highlight w:val="none"/>
        </w:rPr>
      </w:pPr>
      <w:r>
        <w:rPr>
          <w:rFonts w:hint="eastAsia" w:ascii="宋体" w:hAnsi="宋体" w:cs="宋体"/>
          <w:color w:val="auto"/>
          <w:kern w:val="0"/>
          <w:szCs w:val="21"/>
          <w:highlight w:val="none"/>
        </w:rPr>
        <w:t>1.2 本采购工程按照</w:t>
      </w:r>
      <w:r>
        <w:rPr>
          <w:rFonts w:hint="eastAsia" w:ascii="宋体" w:hAnsi="宋体" w:cs="宋体"/>
          <w:color w:val="auto"/>
          <w:highlight w:val="none"/>
        </w:rPr>
        <w:t>《</w:t>
      </w:r>
      <w:r>
        <w:rPr>
          <w:rFonts w:hint="eastAsia" w:ascii="宋体" w:hAnsi="宋体" w:cs="宋体"/>
          <w:color w:val="auto"/>
          <w:kern w:val="0"/>
          <w:szCs w:val="21"/>
          <w:highlight w:val="none"/>
        </w:rPr>
        <w:t>中华人民共和国政府采购法</w:t>
      </w:r>
      <w:r>
        <w:rPr>
          <w:rFonts w:hint="eastAsia" w:ascii="宋体" w:hAnsi="宋体" w:cs="宋体"/>
          <w:color w:val="auto"/>
          <w:highlight w:val="none"/>
        </w:rPr>
        <w:t>》、</w:t>
      </w:r>
      <w:r>
        <w:rPr>
          <w:rFonts w:hint="eastAsia" w:ascii="宋体" w:hAnsi="宋体" w:cs="宋体"/>
          <w:color w:val="auto"/>
          <w:kern w:val="0"/>
          <w:szCs w:val="21"/>
          <w:highlight w:val="none"/>
        </w:rPr>
        <w:t>《政府采购竞争性磋商采购方式管理暂行办法》等有关法律、行政法规和部门规章，已办理相关手续，现通过竞争性磋商来择优选定施工单位。</w:t>
      </w:r>
    </w:p>
    <w:p w14:paraId="7290E4DB">
      <w:pPr>
        <w:pStyle w:val="4"/>
        <w:snapToGrid w:val="0"/>
        <w:spacing w:before="0" w:beforeLines="0" w:after="0" w:afterLines="0" w:line="440" w:lineRule="exact"/>
        <w:rPr>
          <w:rFonts w:hint="eastAsia" w:ascii="宋体" w:hAnsi="宋体" w:cs="宋体"/>
          <w:color w:val="auto"/>
          <w:kern w:val="0"/>
          <w:sz w:val="21"/>
          <w:szCs w:val="21"/>
          <w:highlight w:val="none"/>
        </w:rPr>
      </w:pPr>
      <w:bookmarkStart w:id="131" w:name="_Toc514238587"/>
      <w:bookmarkStart w:id="132" w:name="_Toc47088130"/>
      <w:bookmarkStart w:id="133" w:name="_Toc47088274"/>
      <w:bookmarkStart w:id="134" w:name="_Toc277058896"/>
      <w:bookmarkStart w:id="135" w:name="_Toc277016199"/>
      <w:bookmarkStart w:id="136" w:name="_Toc482785073"/>
      <w:bookmarkStart w:id="137" w:name="_Toc277016781"/>
      <w:bookmarkStart w:id="138" w:name="_Toc75182675"/>
      <w:bookmarkStart w:id="139" w:name="_Toc277017115"/>
      <w:bookmarkStart w:id="140" w:name="_Toc55206449"/>
      <w:r>
        <w:rPr>
          <w:rFonts w:hint="eastAsia" w:ascii="宋体" w:hAnsi="宋体" w:cs="宋体"/>
          <w:color w:val="auto"/>
          <w:kern w:val="0"/>
          <w:sz w:val="21"/>
          <w:szCs w:val="21"/>
          <w:highlight w:val="none"/>
        </w:rPr>
        <w:t>2、采购范围</w:t>
      </w:r>
      <w:bookmarkEnd w:id="131"/>
      <w:r>
        <w:rPr>
          <w:rFonts w:hint="eastAsia" w:ascii="宋体" w:hAnsi="宋体" w:cs="宋体"/>
          <w:color w:val="auto"/>
          <w:kern w:val="0"/>
          <w:sz w:val="21"/>
          <w:szCs w:val="21"/>
          <w:highlight w:val="none"/>
        </w:rPr>
        <w:t>及工期</w:t>
      </w:r>
      <w:bookmarkEnd w:id="132"/>
      <w:bookmarkEnd w:id="133"/>
      <w:bookmarkEnd w:id="134"/>
      <w:bookmarkEnd w:id="135"/>
      <w:bookmarkEnd w:id="136"/>
      <w:bookmarkEnd w:id="137"/>
      <w:bookmarkEnd w:id="138"/>
      <w:bookmarkEnd w:id="139"/>
      <w:bookmarkEnd w:id="140"/>
    </w:p>
    <w:p w14:paraId="44461CF1">
      <w:pPr>
        <w:autoSpaceDE w:val="0"/>
        <w:autoSpaceDN w:val="0"/>
        <w:snapToGrid w:val="0"/>
        <w:spacing w:line="440" w:lineRule="exact"/>
        <w:ind w:firstLine="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2.1 本采购工程项目的范围详见本须知前附表。</w:t>
      </w:r>
    </w:p>
    <w:p w14:paraId="510E30B8">
      <w:pPr>
        <w:autoSpaceDE w:val="0"/>
        <w:autoSpaceDN w:val="0"/>
        <w:snapToGrid w:val="0"/>
        <w:spacing w:line="440" w:lineRule="exact"/>
        <w:ind w:firstLine="480"/>
        <w:jc w:val="left"/>
        <w:rPr>
          <w:rFonts w:hint="eastAsia" w:ascii="宋体" w:hAnsi="宋体" w:cs="宋体"/>
          <w:color w:val="auto"/>
          <w:kern w:val="0"/>
          <w:szCs w:val="21"/>
          <w:highlight w:val="none"/>
        </w:rPr>
      </w:pPr>
      <w:r>
        <w:rPr>
          <w:rFonts w:hint="eastAsia" w:ascii="宋体" w:hAnsi="宋体" w:cs="宋体"/>
          <w:color w:val="auto"/>
          <w:kern w:val="0"/>
          <w:highlight w:val="none"/>
        </w:rPr>
        <w:t>2.2 本采购工程项目的工期要求详见本须知前附表。</w:t>
      </w:r>
    </w:p>
    <w:p w14:paraId="7BF0DB68">
      <w:pPr>
        <w:pStyle w:val="17"/>
        <w:spacing w:line="420" w:lineRule="exact"/>
        <w:rPr>
          <w:rFonts w:hint="eastAsia" w:ascii="宋体" w:hAnsi="宋体" w:eastAsia="宋体" w:cs="宋体"/>
          <w:color w:val="auto"/>
          <w:sz w:val="21"/>
          <w:highlight w:val="none"/>
        </w:rPr>
      </w:pPr>
      <w:r>
        <w:rPr>
          <w:rFonts w:hint="eastAsia" w:ascii="宋体" w:hAnsi="宋体" w:eastAsia="宋体" w:cs="宋体"/>
          <w:color w:val="auto"/>
          <w:sz w:val="21"/>
          <w:highlight w:val="none"/>
        </w:rPr>
        <w:t>3、资金来源</w:t>
      </w:r>
      <w:bookmarkEnd w:id="128"/>
      <w:bookmarkEnd w:id="129"/>
      <w:bookmarkEnd w:id="130"/>
    </w:p>
    <w:p w14:paraId="593128E8">
      <w:pPr>
        <w:autoSpaceDE w:val="0"/>
        <w:autoSpaceDN w:val="0"/>
        <w:adjustRightInd w:val="0"/>
        <w:snapToGrid w:val="0"/>
        <w:spacing w:line="440" w:lineRule="exact"/>
        <w:ind w:firstLine="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3.1 本采购工程项目资金来源详见</w:t>
      </w:r>
      <w:r>
        <w:rPr>
          <w:rFonts w:hint="eastAsia" w:ascii="宋体" w:hAnsi="宋体" w:cs="宋体"/>
          <w:color w:val="auto"/>
          <w:highlight w:val="none"/>
        </w:rPr>
        <w:t>磋商</w:t>
      </w:r>
      <w:r>
        <w:rPr>
          <w:rFonts w:hint="eastAsia" w:ascii="宋体" w:hAnsi="宋体" w:cs="宋体"/>
          <w:color w:val="auto"/>
          <w:kern w:val="0"/>
          <w:szCs w:val="21"/>
          <w:highlight w:val="none"/>
        </w:rPr>
        <w:t>须知前附表。</w:t>
      </w:r>
    </w:p>
    <w:p w14:paraId="06671589">
      <w:pPr>
        <w:pStyle w:val="17"/>
        <w:spacing w:line="420" w:lineRule="exact"/>
        <w:rPr>
          <w:rFonts w:hint="eastAsia" w:ascii="宋体" w:hAnsi="宋体" w:eastAsia="宋体" w:cs="宋体"/>
          <w:color w:val="auto"/>
          <w:sz w:val="21"/>
          <w:highlight w:val="none"/>
        </w:rPr>
      </w:pPr>
      <w:bookmarkStart w:id="141" w:name="_Toc75923218"/>
      <w:bookmarkStart w:id="142" w:name="_Toc55206451"/>
      <w:bookmarkStart w:id="143" w:name="_Toc514238589"/>
      <w:r>
        <w:rPr>
          <w:rFonts w:hint="eastAsia" w:ascii="宋体" w:hAnsi="宋体" w:eastAsia="宋体" w:cs="宋体"/>
          <w:color w:val="auto"/>
          <w:sz w:val="21"/>
          <w:highlight w:val="none"/>
        </w:rPr>
        <w:t>4、</w:t>
      </w:r>
      <w:bookmarkEnd w:id="141"/>
      <w:bookmarkEnd w:id="142"/>
      <w:bookmarkEnd w:id="143"/>
      <w:r>
        <w:rPr>
          <w:rFonts w:hint="eastAsia" w:ascii="宋体" w:hAnsi="宋体" w:eastAsia="宋体" w:cs="宋体"/>
          <w:color w:val="auto"/>
          <w:sz w:val="21"/>
          <w:highlight w:val="none"/>
        </w:rPr>
        <w:t>供应商资格要求</w:t>
      </w:r>
    </w:p>
    <w:p w14:paraId="44C19499">
      <w:pPr>
        <w:autoSpaceDE w:val="0"/>
        <w:autoSpaceDN w:val="0"/>
        <w:adjustRightInd w:val="0"/>
        <w:snapToGrid w:val="0"/>
        <w:spacing w:line="420" w:lineRule="exact"/>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4.1 本采购项目的供应商资格要求详见本须知前附表。</w:t>
      </w:r>
    </w:p>
    <w:p w14:paraId="2394F48D">
      <w:pPr>
        <w:pStyle w:val="4"/>
        <w:snapToGrid w:val="0"/>
        <w:spacing w:before="0" w:beforeLines="0" w:after="0" w:afterLines="0" w:line="440" w:lineRule="exact"/>
        <w:rPr>
          <w:rFonts w:hint="eastAsia" w:ascii="宋体" w:hAnsi="宋体" w:cs="宋体"/>
          <w:color w:val="auto"/>
          <w:kern w:val="0"/>
          <w:sz w:val="21"/>
          <w:szCs w:val="21"/>
          <w:highlight w:val="none"/>
        </w:rPr>
      </w:pPr>
      <w:bookmarkStart w:id="144" w:name="_Toc482785074"/>
      <w:bookmarkStart w:id="145" w:name="_Toc277016203"/>
      <w:bookmarkStart w:id="146" w:name="_Toc277016785"/>
      <w:bookmarkStart w:id="147" w:name="_Toc277058900"/>
      <w:bookmarkStart w:id="148" w:name="_Toc47088131"/>
      <w:bookmarkStart w:id="149" w:name="_Toc277017119"/>
      <w:bookmarkStart w:id="150" w:name="_Toc75182676"/>
      <w:bookmarkStart w:id="151" w:name="_Toc47088275"/>
      <w:r>
        <w:rPr>
          <w:rFonts w:hint="eastAsia" w:ascii="宋体" w:hAnsi="宋体" w:cs="宋体"/>
          <w:color w:val="auto"/>
          <w:kern w:val="0"/>
          <w:sz w:val="21"/>
          <w:szCs w:val="21"/>
          <w:highlight w:val="none"/>
        </w:rPr>
        <w:t>5、磋商费用</w:t>
      </w:r>
      <w:bookmarkEnd w:id="144"/>
      <w:bookmarkEnd w:id="145"/>
      <w:bookmarkEnd w:id="146"/>
      <w:bookmarkEnd w:id="147"/>
      <w:bookmarkEnd w:id="148"/>
      <w:bookmarkEnd w:id="149"/>
      <w:bookmarkEnd w:id="150"/>
      <w:bookmarkEnd w:id="151"/>
    </w:p>
    <w:p w14:paraId="574B5B46">
      <w:pPr>
        <w:autoSpaceDE w:val="0"/>
        <w:autoSpaceDN w:val="0"/>
        <w:adjustRightInd w:val="0"/>
        <w:snapToGrid w:val="0"/>
        <w:spacing w:line="420" w:lineRule="exact"/>
        <w:ind w:firstLine="420" w:firstLineChars="200"/>
        <w:jc w:val="left"/>
        <w:rPr>
          <w:rFonts w:hint="eastAsia" w:ascii="宋体" w:hAnsi="宋体" w:cs="宋体"/>
          <w:b/>
          <w:color w:val="auto"/>
          <w:highlight w:val="none"/>
        </w:rPr>
      </w:pPr>
      <w:r>
        <w:rPr>
          <w:rFonts w:hint="eastAsia" w:ascii="宋体" w:hAnsi="宋体" w:cs="宋体"/>
          <w:color w:val="auto"/>
          <w:kern w:val="0"/>
          <w:szCs w:val="21"/>
          <w:highlight w:val="none"/>
        </w:rPr>
        <w:t>5.1</w:t>
      </w:r>
      <w:r>
        <w:rPr>
          <w:rFonts w:hint="eastAsia" w:ascii="宋体" w:hAnsi="宋体" w:cs="宋体"/>
          <w:color w:val="auto"/>
          <w:highlight w:val="none"/>
        </w:rPr>
        <w:t>供应商应自行承担所有与本次磋商有关的全部费用；</w:t>
      </w:r>
      <w:r>
        <w:rPr>
          <w:rFonts w:hint="eastAsia" w:ascii="宋体" w:hAnsi="宋体" w:cs="宋体"/>
          <w:b/>
          <w:color w:val="auto"/>
          <w:highlight w:val="none"/>
        </w:rPr>
        <w:t xml:space="preserve"> </w:t>
      </w:r>
    </w:p>
    <w:p w14:paraId="10F067FB">
      <w:pPr>
        <w:autoSpaceDE w:val="0"/>
        <w:autoSpaceDN w:val="0"/>
        <w:adjustRightInd w:val="0"/>
        <w:snapToGrid w:val="0"/>
        <w:spacing w:line="42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highlight w:val="none"/>
        </w:rPr>
        <w:t>5.2</w:t>
      </w:r>
      <w:r>
        <w:rPr>
          <w:rFonts w:hint="eastAsia" w:ascii="宋体" w:hAnsi="宋体" w:cs="宋体"/>
          <w:color w:val="auto"/>
          <w:kern w:val="0"/>
          <w:szCs w:val="21"/>
          <w:highlight w:val="none"/>
        </w:rPr>
        <w:t>供应商应自行勘察施工现场，勘察现场的费用由供应商自行承担。</w:t>
      </w:r>
    </w:p>
    <w:p w14:paraId="75186353">
      <w:pPr>
        <w:autoSpaceDE w:val="0"/>
        <w:autoSpaceDN w:val="0"/>
        <w:adjustRightInd w:val="0"/>
        <w:snapToGrid w:val="0"/>
        <w:spacing w:line="4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highlight w:val="none"/>
        </w:rPr>
        <w:t>5.3</w:t>
      </w:r>
      <w:r>
        <w:rPr>
          <w:rFonts w:hint="eastAsia" w:ascii="宋体" w:hAnsi="宋体" w:cs="宋体"/>
          <w:color w:val="auto"/>
          <w:kern w:val="0"/>
          <w:szCs w:val="21"/>
          <w:highlight w:val="none"/>
        </w:rPr>
        <w:t>供应商应承担其参加本采购活动自身所发生的费用。在任何情况下采购人对上述费用均不负任何责任。</w:t>
      </w:r>
    </w:p>
    <w:p w14:paraId="09D1BD7B">
      <w:pPr>
        <w:pStyle w:val="4"/>
        <w:keepNext w:val="0"/>
        <w:keepLines w:val="0"/>
        <w:adjustRightInd w:val="0"/>
        <w:snapToGrid w:val="0"/>
        <w:spacing w:line="420" w:lineRule="exact"/>
        <w:jc w:val="center"/>
        <w:rPr>
          <w:rFonts w:hint="eastAsia" w:ascii="宋体" w:hAnsi="宋体" w:cs="宋体"/>
          <w:color w:val="auto"/>
          <w:sz w:val="24"/>
          <w:szCs w:val="24"/>
          <w:highlight w:val="none"/>
        </w:rPr>
      </w:pPr>
      <w:bookmarkStart w:id="152" w:name="_Toc78294030"/>
      <w:bookmarkStart w:id="153" w:name="_Toc85085493"/>
      <w:bookmarkStart w:id="154" w:name="_Toc75182677"/>
      <w:r>
        <w:rPr>
          <w:rFonts w:hint="eastAsia" w:ascii="宋体" w:hAnsi="宋体" w:cs="宋体"/>
          <w:color w:val="auto"/>
          <w:sz w:val="24"/>
          <w:szCs w:val="24"/>
          <w:highlight w:val="none"/>
        </w:rPr>
        <w:t xml:space="preserve">(二) </w:t>
      </w:r>
      <w:bookmarkEnd w:id="152"/>
      <w:bookmarkEnd w:id="153"/>
      <w:r>
        <w:rPr>
          <w:rFonts w:hint="eastAsia" w:ascii="宋体" w:hAnsi="宋体" w:cs="宋体"/>
          <w:color w:val="auto"/>
          <w:sz w:val="24"/>
          <w:szCs w:val="24"/>
          <w:highlight w:val="none"/>
        </w:rPr>
        <w:t>竞争性磋商文件</w:t>
      </w:r>
      <w:bookmarkEnd w:id="154"/>
    </w:p>
    <w:p w14:paraId="53A4C043">
      <w:pPr>
        <w:pStyle w:val="21"/>
        <w:adjustRightInd w:val="0"/>
        <w:snapToGrid w:val="0"/>
        <w:spacing w:line="420" w:lineRule="exact"/>
        <w:rPr>
          <w:rFonts w:hint="eastAsia" w:hAnsi="宋体" w:cs="宋体"/>
          <w:color w:val="auto"/>
          <w:szCs w:val="21"/>
          <w:highlight w:val="none"/>
        </w:rPr>
      </w:pPr>
      <w:r>
        <w:rPr>
          <w:rFonts w:hint="eastAsia" w:hAnsi="宋体" w:cs="宋体"/>
          <w:b/>
          <w:color w:val="auto"/>
          <w:szCs w:val="21"/>
          <w:highlight w:val="none"/>
        </w:rPr>
        <w:t>6.</w:t>
      </w:r>
      <w:r>
        <w:rPr>
          <w:rFonts w:hint="eastAsia" w:hAnsi="宋体" w:cs="宋体"/>
          <w:color w:val="auto"/>
          <w:highlight w:val="none"/>
        </w:rPr>
        <w:t xml:space="preserve"> </w:t>
      </w:r>
      <w:r>
        <w:rPr>
          <w:rFonts w:hint="eastAsia" w:hAnsi="宋体" w:cs="宋体"/>
          <w:b/>
          <w:color w:val="auto"/>
          <w:szCs w:val="21"/>
          <w:highlight w:val="none"/>
        </w:rPr>
        <w:t>竞争性磋商文件构成</w:t>
      </w:r>
    </w:p>
    <w:p w14:paraId="752D329D">
      <w:pPr>
        <w:pStyle w:val="21"/>
        <w:adjustRightInd w:val="0"/>
        <w:snapToGrid w:val="0"/>
        <w:spacing w:line="420" w:lineRule="exact"/>
        <w:ind w:firstLine="420"/>
        <w:rPr>
          <w:rFonts w:hint="eastAsia" w:hAnsi="宋体" w:cs="宋体"/>
          <w:color w:val="auto"/>
          <w:kern w:val="0"/>
          <w:szCs w:val="21"/>
          <w:highlight w:val="none"/>
        </w:rPr>
      </w:pPr>
      <w:r>
        <w:rPr>
          <w:rFonts w:hint="eastAsia" w:hAnsi="宋体" w:cs="宋体"/>
          <w:color w:val="auto"/>
          <w:szCs w:val="21"/>
          <w:highlight w:val="none"/>
        </w:rPr>
        <w:t>6.1竞争性磋商文件包括：</w:t>
      </w:r>
    </w:p>
    <w:p w14:paraId="4BAFD020">
      <w:pPr>
        <w:pStyle w:val="21"/>
        <w:adjustRightInd w:val="0"/>
        <w:snapToGrid w:val="0"/>
        <w:spacing w:line="420" w:lineRule="exact"/>
        <w:ind w:firstLine="709"/>
        <w:rPr>
          <w:rFonts w:hint="eastAsia" w:hAnsi="宋体" w:cs="宋体"/>
          <w:color w:val="auto"/>
          <w:szCs w:val="21"/>
          <w:highlight w:val="none"/>
        </w:rPr>
      </w:pPr>
      <w:r>
        <w:rPr>
          <w:rFonts w:hint="eastAsia" w:hAnsi="宋体" w:cs="宋体"/>
          <w:color w:val="auto"/>
          <w:szCs w:val="21"/>
          <w:highlight w:val="none"/>
        </w:rPr>
        <w:t>(1)磋商须知及前附表；</w:t>
      </w:r>
    </w:p>
    <w:p w14:paraId="16041F64">
      <w:pPr>
        <w:pStyle w:val="21"/>
        <w:adjustRightInd w:val="0"/>
        <w:snapToGrid w:val="0"/>
        <w:spacing w:line="420" w:lineRule="exact"/>
        <w:ind w:firstLine="709"/>
        <w:rPr>
          <w:rFonts w:hint="eastAsia" w:hAnsi="宋体" w:cs="宋体"/>
          <w:color w:val="auto"/>
          <w:szCs w:val="21"/>
          <w:highlight w:val="none"/>
        </w:rPr>
      </w:pPr>
      <w:r>
        <w:rPr>
          <w:rFonts w:hint="eastAsia" w:hAnsi="宋体" w:cs="宋体"/>
          <w:color w:val="auto"/>
          <w:szCs w:val="21"/>
          <w:highlight w:val="none"/>
        </w:rPr>
        <w:t>(2)合同条款；</w:t>
      </w:r>
    </w:p>
    <w:p w14:paraId="62C3E321">
      <w:pPr>
        <w:pStyle w:val="21"/>
        <w:adjustRightInd w:val="0"/>
        <w:snapToGrid w:val="0"/>
        <w:spacing w:line="420" w:lineRule="exact"/>
        <w:ind w:firstLine="709"/>
        <w:rPr>
          <w:rFonts w:hint="eastAsia" w:hAnsi="宋体" w:cs="宋体"/>
          <w:color w:val="auto"/>
          <w:kern w:val="0"/>
          <w:szCs w:val="21"/>
          <w:highlight w:val="none"/>
        </w:rPr>
      </w:pPr>
      <w:r>
        <w:rPr>
          <w:rFonts w:hint="eastAsia" w:hAnsi="宋体" w:cs="宋体"/>
          <w:color w:val="auto"/>
          <w:szCs w:val="21"/>
          <w:highlight w:val="none"/>
        </w:rPr>
        <w:t>(3)</w:t>
      </w:r>
      <w:r>
        <w:rPr>
          <w:rFonts w:hint="eastAsia" w:hAnsi="宋体" w:cs="宋体"/>
          <w:color w:val="auto"/>
          <w:kern w:val="0"/>
          <w:szCs w:val="21"/>
          <w:highlight w:val="none"/>
        </w:rPr>
        <w:t>合同文件格式；</w:t>
      </w:r>
    </w:p>
    <w:p w14:paraId="279C7C64">
      <w:pPr>
        <w:pStyle w:val="21"/>
        <w:adjustRightInd w:val="0"/>
        <w:snapToGrid w:val="0"/>
        <w:spacing w:line="420" w:lineRule="exact"/>
        <w:ind w:firstLine="709"/>
        <w:rPr>
          <w:rFonts w:hint="eastAsia" w:hAnsi="宋体" w:cs="宋体"/>
          <w:color w:val="auto"/>
          <w:kern w:val="0"/>
          <w:szCs w:val="21"/>
          <w:highlight w:val="none"/>
        </w:rPr>
      </w:pPr>
      <w:r>
        <w:rPr>
          <w:rFonts w:hint="eastAsia" w:hAnsi="宋体" w:cs="宋体"/>
          <w:color w:val="auto"/>
          <w:kern w:val="0"/>
          <w:szCs w:val="21"/>
          <w:highlight w:val="none"/>
        </w:rPr>
        <w:t>(4)</w:t>
      </w:r>
      <w:r>
        <w:rPr>
          <w:rFonts w:hint="eastAsia" w:hAnsi="宋体" w:cs="宋体"/>
          <w:color w:val="auto"/>
          <w:szCs w:val="21"/>
          <w:highlight w:val="none"/>
        </w:rPr>
        <w:t>图纸、工程量清单；</w:t>
      </w:r>
    </w:p>
    <w:p w14:paraId="6BECFE5F">
      <w:pPr>
        <w:pStyle w:val="21"/>
        <w:adjustRightInd w:val="0"/>
        <w:snapToGrid w:val="0"/>
        <w:spacing w:line="420" w:lineRule="exact"/>
        <w:ind w:firstLine="709"/>
        <w:rPr>
          <w:rFonts w:hint="eastAsia" w:hAnsi="宋体" w:cs="宋体"/>
          <w:color w:val="auto"/>
          <w:szCs w:val="21"/>
          <w:highlight w:val="none"/>
        </w:rPr>
      </w:pPr>
      <w:r>
        <w:rPr>
          <w:rFonts w:hint="eastAsia" w:hAnsi="宋体" w:cs="宋体"/>
          <w:color w:val="auto"/>
          <w:szCs w:val="21"/>
          <w:highlight w:val="none"/>
        </w:rPr>
        <w:t>(5)磋商响应文件格式；</w:t>
      </w:r>
    </w:p>
    <w:p w14:paraId="7E1E1BA8">
      <w:pPr>
        <w:pStyle w:val="21"/>
        <w:adjustRightInd w:val="0"/>
        <w:snapToGrid w:val="0"/>
        <w:spacing w:line="420" w:lineRule="exact"/>
        <w:ind w:firstLine="709"/>
        <w:rPr>
          <w:rFonts w:hint="eastAsia" w:hAnsi="宋体" w:cs="宋体"/>
          <w:color w:val="auto"/>
          <w:szCs w:val="21"/>
          <w:highlight w:val="none"/>
        </w:rPr>
      </w:pPr>
      <w:r>
        <w:rPr>
          <w:rFonts w:hint="eastAsia" w:hAnsi="宋体" w:cs="宋体"/>
          <w:color w:val="auto"/>
          <w:szCs w:val="21"/>
          <w:highlight w:val="none"/>
        </w:rPr>
        <w:t>(6)磋商原则和定标办法；</w:t>
      </w:r>
    </w:p>
    <w:p w14:paraId="172C03A9">
      <w:pPr>
        <w:autoSpaceDE w:val="0"/>
        <w:autoSpaceDN w:val="0"/>
        <w:adjustRightInd w:val="0"/>
        <w:snapToGrid w:val="0"/>
        <w:spacing w:line="440" w:lineRule="exact"/>
        <w:ind w:firstLine="480"/>
        <w:jc w:val="left"/>
        <w:rPr>
          <w:rFonts w:hint="eastAsia" w:ascii="宋体" w:hAnsi="宋体" w:cs="宋体"/>
          <w:color w:val="auto"/>
          <w:kern w:val="0"/>
          <w:szCs w:val="21"/>
          <w:highlight w:val="none"/>
        </w:rPr>
      </w:pPr>
      <w:bookmarkStart w:id="155" w:name="_Toc78294031"/>
      <w:bookmarkStart w:id="156" w:name="_Toc85085494"/>
      <w:r>
        <w:rPr>
          <w:rFonts w:hint="eastAsia" w:ascii="宋体" w:hAnsi="宋体" w:cs="宋体"/>
          <w:color w:val="auto"/>
          <w:kern w:val="0"/>
          <w:szCs w:val="21"/>
          <w:highlight w:val="none"/>
        </w:rPr>
        <w:t>6.2 除6.1内容外，采购人按本须知第7条和第8条以书面形式发出的对竞争性磋商文件的澄清或修改内容，均为竞争性磋商文件的组成部分，对采购人和供应商起约束作用。</w:t>
      </w:r>
    </w:p>
    <w:p w14:paraId="1CFECA87">
      <w:pPr>
        <w:autoSpaceDE w:val="0"/>
        <w:autoSpaceDN w:val="0"/>
        <w:adjustRightInd w:val="0"/>
        <w:snapToGrid w:val="0"/>
        <w:spacing w:line="440" w:lineRule="exact"/>
        <w:ind w:firstLine="48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6.3 供应商获取竞争性磋商文件后，应仔细审查竞争性磋商文件的所有内容，如有残缺等问题应在获得竞争性磋商文件</w:t>
      </w:r>
      <w:r>
        <w:rPr>
          <w:rFonts w:hint="eastAsia" w:ascii="宋体" w:hAnsi="宋体" w:cs="宋体"/>
          <w:color w:val="auto"/>
          <w:kern w:val="0"/>
          <w:szCs w:val="21"/>
          <w:highlight w:val="none"/>
          <w:u w:val="single"/>
        </w:rPr>
        <w:t xml:space="preserve"> </w:t>
      </w:r>
      <w:r>
        <w:rPr>
          <w:rFonts w:hint="eastAsia" w:ascii="宋体" w:hAnsi="宋体" w:cs="宋体"/>
          <w:b/>
          <w:color w:val="auto"/>
          <w:kern w:val="0"/>
          <w:szCs w:val="21"/>
          <w:highlight w:val="none"/>
          <w:u w:val="single"/>
        </w:rPr>
        <w:t>2</w:t>
      </w:r>
      <w:r>
        <w:rPr>
          <w:rFonts w:hint="eastAsia" w:ascii="宋体" w:hAnsi="宋体" w:cs="宋体"/>
          <w:color w:val="auto"/>
          <w:kern w:val="0"/>
          <w:szCs w:val="21"/>
          <w:highlight w:val="none"/>
        </w:rPr>
        <w:t>日内向采购人提出，否则，由此引起的损失由供应商自己承担。供应商同时应认真审阅竞争性磋商文件中所有的事项、格式、条款和规范要求等，若供应商的磋商响应文件没有按竞争性磋商文件要求递交全部资料，或磋商响应文件没有对竞争性磋商文件</w:t>
      </w:r>
      <w:r>
        <w:rPr>
          <w:rFonts w:hint="eastAsia" w:ascii="宋体" w:hAnsi="宋体" w:cs="宋体"/>
          <w:color w:val="auto"/>
          <w:kern w:val="0"/>
          <w:szCs w:val="21"/>
          <w:highlight w:val="none"/>
          <w:lang w:eastAsia="zh-CN"/>
        </w:rPr>
        <w:t>作出</w:t>
      </w:r>
      <w:r>
        <w:rPr>
          <w:rFonts w:hint="eastAsia" w:ascii="宋体" w:hAnsi="宋体" w:cs="宋体"/>
          <w:color w:val="auto"/>
          <w:kern w:val="0"/>
          <w:szCs w:val="21"/>
          <w:highlight w:val="none"/>
        </w:rPr>
        <w:t>实质性响应，其风险由供应商自行承担，并根据有关条款规定，该磋商有可能被拒绝。</w:t>
      </w:r>
    </w:p>
    <w:p w14:paraId="3652E481">
      <w:pPr>
        <w:pStyle w:val="4"/>
        <w:snapToGrid w:val="0"/>
        <w:spacing w:before="0" w:beforeLines="0" w:after="0" w:afterLines="0" w:line="440" w:lineRule="exact"/>
        <w:rPr>
          <w:rFonts w:hint="eastAsia" w:ascii="宋体" w:hAnsi="宋体" w:cs="宋体"/>
          <w:color w:val="auto"/>
          <w:kern w:val="0"/>
          <w:sz w:val="21"/>
          <w:szCs w:val="21"/>
          <w:highlight w:val="none"/>
        </w:rPr>
      </w:pPr>
      <w:bookmarkStart w:id="157" w:name="_Toc514238596"/>
      <w:bookmarkStart w:id="158" w:name="_Toc482785076"/>
      <w:bookmarkStart w:id="159" w:name="_Toc47088277"/>
      <w:bookmarkStart w:id="160" w:name="_Toc277058903"/>
      <w:bookmarkStart w:id="161" w:name="_Toc72920794"/>
      <w:bookmarkStart w:id="162" w:name="_Toc277017122"/>
      <w:bookmarkStart w:id="163" w:name="_Toc55206456"/>
      <w:bookmarkStart w:id="164" w:name="_Toc277016788"/>
      <w:bookmarkStart w:id="165" w:name="_Toc277016206"/>
      <w:bookmarkStart w:id="166" w:name="_Toc47088133"/>
      <w:bookmarkStart w:id="167" w:name="_Toc75182678"/>
      <w:r>
        <w:rPr>
          <w:rFonts w:hint="eastAsia" w:ascii="宋体" w:hAnsi="宋体" w:cs="宋体"/>
          <w:color w:val="auto"/>
          <w:kern w:val="0"/>
          <w:sz w:val="21"/>
          <w:szCs w:val="21"/>
          <w:highlight w:val="none"/>
        </w:rPr>
        <w:t>7、竞争性磋商文件的</w:t>
      </w:r>
      <w:bookmarkEnd w:id="157"/>
      <w:r>
        <w:rPr>
          <w:rFonts w:hint="eastAsia" w:ascii="宋体" w:hAnsi="宋体" w:cs="宋体"/>
          <w:color w:val="auto"/>
          <w:kern w:val="0"/>
          <w:sz w:val="21"/>
          <w:szCs w:val="21"/>
          <w:highlight w:val="none"/>
        </w:rPr>
        <w:t>澄清</w:t>
      </w:r>
      <w:bookmarkEnd w:id="158"/>
      <w:bookmarkEnd w:id="159"/>
      <w:bookmarkEnd w:id="160"/>
      <w:bookmarkEnd w:id="161"/>
      <w:bookmarkEnd w:id="162"/>
      <w:bookmarkEnd w:id="163"/>
      <w:bookmarkEnd w:id="164"/>
      <w:bookmarkEnd w:id="165"/>
      <w:bookmarkEnd w:id="166"/>
      <w:bookmarkEnd w:id="167"/>
    </w:p>
    <w:p w14:paraId="2523BD77">
      <w:pPr>
        <w:pStyle w:val="21"/>
        <w:snapToGrid w:val="0"/>
        <w:spacing w:line="440" w:lineRule="exact"/>
        <w:ind w:firstLine="420" w:firstLineChars="200"/>
        <w:rPr>
          <w:rFonts w:hint="eastAsia" w:hAnsi="宋体" w:cs="宋体"/>
          <w:b/>
          <w:color w:val="auto"/>
          <w:highlight w:val="none"/>
        </w:rPr>
      </w:pPr>
      <w:bookmarkStart w:id="168" w:name="_Toc514238597"/>
      <w:bookmarkStart w:id="169" w:name="_Toc277058904"/>
      <w:bookmarkStart w:id="170" w:name="_Toc277016789"/>
      <w:bookmarkStart w:id="171" w:name="_Toc72920795"/>
      <w:bookmarkStart w:id="172" w:name="_Toc277016207"/>
      <w:bookmarkStart w:id="173" w:name="_Toc277017123"/>
      <w:bookmarkStart w:id="174" w:name="_Toc55206457"/>
      <w:r>
        <w:rPr>
          <w:rFonts w:hint="eastAsia" w:hAnsi="宋体" w:cs="宋体"/>
          <w:color w:val="auto"/>
          <w:highlight w:val="none"/>
        </w:rPr>
        <w:t>任何要求澄清竞争性磋商文件的供应商，均应在磋商截止日（磋商响应文件递交截止日）5日前以书面形式通知采购代理机构或采购人，同时认定其他澄清方式为无效。采购代理机构将以更改通知形式网上公布予以答复。</w:t>
      </w:r>
    </w:p>
    <w:p w14:paraId="14DB976A">
      <w:pPr>
        <w:pStyle w:val="4"/>
        <w:snapToGrid w:val="0"/>
        <w:spacing w:before="0" w:beforeLines="0" w:after="0" w:afterLines="0" w:line="440" w:lineRule="exact"/>
        <w:rPr>
          <w:rFonts w:hint="eastAsia" w:ascii="宋体" w:hAnsi="宋体" w:cs="宋体"/>
          <w:color w:val="auto"/>
          <w:kern w:val="0"/>
          <w:sz w:val="21"/>
          <w:szCs w:val="21"/>
          <w:highlight w:val="none"/>
        </w:rPr>
      </w:pPr>
      <w:bookmarkStart w:id="175" w:name="_Toc482785077"/>
      <w:bookmarkStart w:id="176" w:name="_Toc75182679"/>
      <w:bookmarkStart w:id="177" w:name="_Toc47088134"/>
      <w:bookmarkStart w:id="178" w:name="_Toc47088278"/>
      <w:r>
        <w:rPr>
          <w:rFonts w:hint="eastAsia" w:ascii="宋体" w:hAnsi="宋体" w:cs="宋体"/>
          <w:color w:val="auto"/>
          <w:kern w:val="0"/>
          <w:sz w:val="21"/>
          <w:szCs w:val="21"/>
          <w:highlight w:val="none"/>
        </w:rPr>
        <w:t>8、竞争性磋商文件的修改</w:t>
      </w:r>
      <w:bookmarkEnd w:id="168"/>
      <w:bookmarkEnd w:id="169"/>
      <w:bookmarkEnd w:id="170"/>
      <w:bookmarkEnd w:id="171"/>
      <w:bookmarkEnd w:id="172"/>
      <w:bookmarkEnd w:id="173"/>
      <w:bookmarkEnd w:id="174"/>
      <w:bookmarkEnd w:id="175"/>
      <w:bookmarkEnd w:id="176"/>
      <w:bookmarkEnd w:id="177"/>
      <w:bookmarkEnd w:id="178"/>
    </w:p>
    <w:p w14:paraId="7AC6A496">
      <w:pPr>
        <w:autoSpaceDE w:val="0"/>
        <w:autoSpaceDN w:val="0"/>
        <w:adjustRightInd w:val="0"/>
        <w:snapToGrid w:val="0"/>
        <w:spacing w:line="440" w:lineRule="exact"/>
        <w:ind w:firstLine="480"/>
        <w:jc w:val="left"/>
        <w:rPr>
          <w:rFonts w:hint="eastAsia" w:ascii="宋体" w:hAnsi="宋体" w:cs="宋体"/>
          <w:color w:val="auto"/>
          <w:kern w:val="0"/>
          <w:szCs w:val="21"/>
          <w:highlight w:val="none"/>
        </w:rPr>
      </w:pPr>
      <w:r>
        <w:rPr>
          <w:rFonts w:hint="eastAsia" w:ascii="宋体" w:hAnsi="宋体" w:cs="宋体"/>
          <w:color w:val="auto"/>
          <w:szCs w:val="21"/>
          <w:highlight w:val="none"/>
        </w:rPr>
        <w:t>在竞争性磋商文件要求提交磋商响应文件截止时间至少5日前，采购代理机构对可以已发出的竞争性磋商文件进行修改，以</w:t>
      </w:r>
      <w:r>
        <w:rPr>
          <w:rFonts w:hint="eastAsia" w:ascii="宋体" w:hAnsi="宋体" w:cs="宋体"/>
          <w:color w:val="auto"/>
          <w:highlight w:val="none"/>
        </w:rPr>
        <w:t>更改通知形式网上公布</w:t>
      </w:r>
      <w:r>
        <w:rPr>
          <w:rFonts w:hint="eastAsia" w:ascii="宋体" w:hAnsi="宋体" w:cs="宋体"/>
          <w:color w:val="auto"/>
          <w:szCs w:val="21"/>
          <w:highlight w:val="none"/>
        </w:rPr>
        <w:t>通知所有竞争性磋商文件收受人。修改内容距提交磋商响应文件截止时间至不足5日可能影响响应文件编制的，应当顺延递交首次磋商响应文件截止之日，该澄清或修改的内容为竞争性磋商文件的组成部分。</w:t>
      </w:r>
    </w:p>
    <w:p w14:paraId="4BFDC83E">
      <w:pPr>
        <w:pStyle w:val="4"/>
        <w:keepNext w:val="0"/>
        <w:keepLines w:val="0"/>
        <w:adjustRightInd w:val="0"/>
        <w:snapToGrid w:val="0"/>
        <w:spacing w:line="480" w:lineRule="exact"/>
        <w:jc w:val="center"/>
        <w:rPr>
          <w:rFonts w:hint="eastAsia" w:ascii="宋体" w:hAnsi="宋体" w:cs="宋体"/>
          <w:color w:val="auto"/>
          <w:sz w:val="28"/>
          <w:highlight w:val="none"/>
        </w:rPr>
      </w:pPr>
      <w:r>
        <w:rPr>
          <w:rFonts w:hint="eastAsia" w:ascii="宋体" w:hAnsi="宋体" w:cs="宋体"/>
          <w:color w:val="auto"/>
          <w:sz w:val="28"/>
          <w:highlight w:val="none"/>
        </w:rPr>
        <w:t xml:space="preserve"> </w:t>
      </w:r>
      <w:bookmarkStart w:id="179" w:name="_Toc75182680"/>
      <w:r>
        <w:rPr>
          <w:rFonts w:hint="eastAsia" w:ascii="宋体" w:hAnsi="宋体" w:cs="宋体"/>
          <w:color w:val="auto"/>
          <w:sz w:val="28"/>
          <w:highlight w:val="none"/>
        </w:rPr>
        <w:t>(三) 磋商响应文件的编制</w:t>
      </w:r>
      <w:bookmarkEnd w:id="155"/>
      <w:bookmarkEnd w:id="156"/>
      <w:bookmarkEnd w:id="179"/>
    </w:p>
    <w:p w14:paraId="39B78A63">
      <w:pPr>
        <w:pStyle w:val="21"/>
        <w:adjustRightInd w:val="0"/>
        <w:snapToGrid w:val="0"/>
        <w:spacing w:line="400" w:lineRule="exact"/>
        <w:rPr>
          <w:rFonts w:hint="eastAsia" w:hAnsi="宋体" w:cs="宋体"/>
          <w:b/>
          <w:color w:val="auto"/>
          <w:szCs w:val="21"/>
          <w:highlight w:val="none"/>
        </w:rPr>
      </w:pPr>
      <w:r>
        <w:rPr>
          <w:rFonts w:hint="eastAsia" w:hAnsi="宋体" w:cs="宋体"/>
          <w:b/>
          <w:color w:val="auto"/>
          <w:szCs w:val="21"/>
          <w:highlight w:val="none"/>
        </w:rPr>
        <w:t>9.磋商响应文件编写注意事项</w:t>
      </w:r>
    </w:p>
    <w:p w14:paraId="63C5C614">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.1 供应商应根据“</w:t>
      </w:r>
      <w:r>
        <w:rPr>
          <w:rFonts w:hint="eastAsia" w:hAnsi="宋体"/>
          <w:color w:val="auto"/>
          <w:highlight w:val="none"/>
          <w:lang w:eastAsia="zh-CN"/>
        </w:rPr>
        <w:t>广西政府采购云平台操作指南</w:t>
      </w:r>
      <w:r>
        <w:rPr>
          <w:rFonts w:hint="eastAsia" w:hAnsi="宋体"/>
          <w:color w:val="auto"/>
          <w:highlight w:val="none"/>
        </w:rPr>
        <w:t xml:space="preserve">”及本竞争性磋商文件规定的格式编制响应文件，响应文件内容不完整、编排混乱导致响应文件被误读、漏读或者查找不到相关内容的，是供应商的责任。 </w:t>
      </w:r>
    </w:p>
    <w:p w14:paraId="7C6C8A6B">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 xml:space="preserve">.2 响应文件电子版：具体材料见“供应商须知前附表”。 </w:t>
      </w:r>
    </w:p>
    <w:p w14:paraId="48EABC36">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 xml:space="preserve">.3 响应文件须由供应商在规定位置盖公章并由法定代表人或委托代理人签字或签章，否则其响应文件按无效响应处理。 </w:t>
      </w:r>
    </w:p>
    <w:p w14:paraId="634A2AC3">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 xml:space="preserve">.4 响应文件中标注的供应商名称应与营业执照（事业单位法人证书、执业许可证、自然人 身份证）及公章一致，否则其响应文件按无效响应处理。 </w:t>
      </w:r>
    </w:p>
    <w:p w14:paraId="40958B50">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 xml:space="preserve">.5 响应文件应尽量避免涂改、行间插字或删除。如果出现上述情况，改动之处应由供应商的法定代表人或其委托代理人签字或加盖公章。响应文件因涂改、行间插字或删除导致字迹潦草或表达不清所引起的后果由供应商承担。 </w:t>
      </w:r>
    </w:p>
    <w:p w14:paraId="3C0B7CFA">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.6 电子响应文件中须加盖供应商公章</w:t>
      </w:r>
      <w:r>
        <w:rPr>
          <w:rFonts w:hint="eastAsia" w:hAnsi="宋体"/>
          <w:color w:val="auto"/>
          <w:highlight w:val="none"/>
          <w:lang w:val="en-US" w:eastAsia="zh-CN"/>
        </w:rPr>
        <w:t>的</w:t>
      </w:r>
      <w:r>
        <w:rPr>
          <w:rFonts w:hint="eastAsia" w:hAnsi="宋体"/>
          <w:color w:val="auto"/>
          <w:highlight w:val="none"/>
        </w:rPr>
        <w:t>均采用 CA 签章，并根据“</w:t>
      </w:r>
      <w:r>
        <w:rPr>
          <w:rFonts w:hint="eastAsia" w:hAnsi="宋体"/>
          <w:color w:val="auto"/>
          <w:highlight w:val="none"/>
          <w:lang w:eastAsia="zh-CN"/>
        </w:rPr>
        <w:t>广西政府采购云平台操作指南</w:t>
      </w:r>
      <w:r>
        <w:rPr>
          <w:rFonts w:hint="eastAsia" w:hAnsi="宋体"/>
          <w:color w:val="auto"/>
          <w:highlight w:val="none"/>
        </w:rPr>
        <w:t xml:space="preserve">” 及本竞争性磋商文件规定的格式和顺序编制电子响应文件并进行关联定位，以便评标委员会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p w14:paraId="268EAE6B">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int="eastAsia" w:hAnsi="宋体"/>
          <w:color w:val="auto"/>
          <w:highlight w:val="none"/>
        </w:rPr>
        <w:t xml:space="preserve">.7 </w:t>
      </w:r>
      <w:r>
        <w:rPr>
          <w:rFonts w:hAnsi="宋体"/>
          <w:color w:val="auto"/>
          <w:highlight w:val="none"/>
        </w:rPr>
        <w:t xml:space="preserve"> CA </w:t>
      </w:r>
      <w:r>
        <w:rPr>
          <w:rFonts w:hint="eastAsia" w:hAnsi="宋体"/>
          <w:color w:val="auto"/>
          <w:highlight w:val="none"/>
        </w:rPr>
        <w:t>签章上关于法</w:t>
      </w:r>
      <w:r>
        <w:rPr>
          <w:rFonts w:hint="eastAsia" w:hAnsi="宋体"/>
          <w:color w:val="auto"/>
          <w:highlight w:val="none"/>
          <w:lang w:eastAsia="zh-CN"/>
        </w:rPr>
        <w:t>定代表</w:t>
      </w:r>
      <w:r>
        <w:rPr>
          <w:rFonts w:hint="eastAsia" w:hAnsi="宋体"/>
          <w:color w:val="auto"/>
          <w:highlight w:val="none"/>
        </w:rPr>
        <w:t xml:space="preserve">人（负责人）或授权代表签字信息，供应商在响应文件中涉及到签字的位置线下【签好字然后扫描或者拍照做成 </w:t>
      </w:r>
      <w:r>
        <w:rPr>
          <w:rFonts w:hAnsi="宋体"/>
          <w:color w:val="auto"/>
          <w:highlight w:val="none"/>
        </w:rPr>
        <w:t xml:space="preserve">PDF </w:t>
      </w:r>
      <w:r>
        <w:rPr>
          <w:rFonts w:hint="eastAsia" w:hAnsi="宋体"/>
          <w:color w:val="auto"/>
          <w:highlight w:val="none"/>
        </w:rPr>
        <w:t>的格式】或【通过</w:t>
      </w:r>
      <w:r>
        <w:rPr>
          <w:rFonts w:hint="eastAsia" w:hAnsi="宋体"/>
          <w:color w:val="auto"/>
          <w:highlight w:val="none"/>
          <w:lang w:eastAsia="zh-CN"/>
        </w:rPr>
        <w:t>广西政府采购云平台</w:t>
      </w:r>
      <w:r>
        <w:rPr>
          <w:rFonts w:hint="eastAsia" w:hAnsi="宋体"/>
          <w:color w:val="auto"/>
          <w:highlight w:val="none"/>
        </w:rPr>
        <w:t xml:space="preserve">电子交易客户端使用 </w:t>
      </w:r>
      <w:r>
        <w:rPr>
          <w:rFonts w:hAnsi="宋体"/>
          <w:color w:val="auto"/>
          <w:highlight w:val="none"/>
        </w:rPr>
        <w:t xml:space="preserve">CA </w:t>
      </w:r>
      <w:r>
        <w:rPr>
          <w:rFonts w:hint="eastAsia" w:hAnsi="宋体"/>
          <w:color w:val="auto"/>
          <w:highlight w:val="none"/>
        </w:rPr>
        <w:t>法</w:t>
      </w:r>
      <w:r>
        <w:rPr>
          <w:rFonts w:hint="eastAsia" w:hAnsi="宋体"/>
          <w:color w:val="auto"/>
          <w:highlight w:val="none"/>
          <w:lang w:eastAsia="zh-CN"/>
        </w:rPr>
        <w:t>定代表人</w:t>
      </w:r>
      <w:r>
        <w:rPr>
          <w:rFonts w:hint="eastAsia" w:hAnsi="宋体"/>
          <w:color w:val="auto"/>
          <w:highlight w:val="none"/>
        </w:rPr>
        <w:t xml:space="preserve">（负责人）或授权代表签章】亦可。响应文件中涉及到签字的位置未按要求签字的，提供的材料视为无效。  </w:t>
      </w:r>
    </w:p>
    <w:p w14:paraId="0A881765">
      <w:pPr>
        <w:pStyle w:val="21"/>
        <w:adjustRightInd w:val="0"/>
        <w:snapToGrid w:val="0"/>
        <w:spacing w:line="400" w:lineRule="exact"/>
        <w:ind w:firstLine="422" w:firstLineChars="200"/>
        <w:rPr>
          <w:rFonts w:hAnsi="宋体"/>
          <w:color w:val="auto"/>
          <w:highlight w:val="none"/>
        </w:rPr>
      </w:pPr>
      <w:r>
        <w:rPr>
          <w:rFonts w:hint="eastAsia" w:hAnsi="宋体" w:cs="宋体"/>
          <w:b/>
          <w:bCs/>
          <w:color w:val="auto"/>
          <w:highlight w:val="none"/>
        </w:rPr>
        <w:t>9</w:t>
      </w:r>
      <w:r>
        <w:rPr>
          <w:rFonts w:hAnsi="宋体"/>
          <w:color w:val="auto"/>
          <w:highlight w:val="none"/>
        </w:rPr>
        <w:t xml:space="preserve">.8 </w:t>
      </w:r>
      <w:r>
        <w:rPr>
          <w:rFonts w:hint="eastAsia" w:hAnsi="宋体"/>
          <w:color w:val="auto"/>
          <w:highlight w:val="none"/>
        </w:rPr>
        <w:t xml:space="preserve">响应文件不得涂改，若有修改错漏处，须加盖单位公章或者法定代表人（负责人）或授权委托人签字或盖章。响应文件因字迹潦草或表达不清所引起的后果由供应商负责。 </w:t>
      </w:r>
    </w:p>
    <w:p w14:paraId="64D39674">
      <w:pPr>
        <w:pStyle w:val="21"/>
        <w:adjustRightInd w:val="0"/>
        <w:snapToGrid w:val="0"/>
        <w:spacing w:line="400" w:lineRule="exact"/>
        <w:ind w:firstLine="422" w:firstLineChars="200"/>
        <w:rPr>
          <w:rFonts w:hint="eastAsia" w:hAnsi="宋体"/>
          <w:color w:val="auto"/>
          <w:highlight w:val="none"/>
        </w:rPr>
      </w:pPr>
      <w:r>
        <w:rPr>
          <w:rFonts w:hint="eastAsia" w:hAnsi="宋体" w:cs="宋体"/>
          <w:b/>
          <w:bCs/>
          <w:color w:val="auto"/>
          <w:highlight w:val="none"/>
        </w:rPr>
        <w:t>9</w:t>
      </w:r>
      <w:r>
        <w:rPr>
          <w:rFonts w:hint="eastAsia" w:hAnsi="宋体"/>
          <w:color w:val="auto"/>
          <w:highlight w:val="none"/>
        </w:rPr>
        <w:t>.9响应文件（包含电子备份响应文件），其中电子响应文件中所须加盖公章</w:t>
      </w:r>
      <w:r>
        <w:rPr>
          <w:rFonts w:hint="eastAsia" w:hAnsi="宋体"/>
          <w:color w:val="auto"/>
          <w:highlight w:val="none"/>
          <w:lang w:eastAsia="zh-CN"/>
        </w:rPr>
        <w:t>的</w:t>
      </w:r>
      <w:r>
        <w:rPr>
          <w:rFonts w:hint="eastAsia" w:hAnsi="宋体"/>
          <w:color w:val="auto"/>
          <w:highlight w:val="none"/>
        </w:rPr>
        <w:t>均采用 CA 签章。若竞争性磋商文件中有专门标注的某关联点，并要求供应商在电子竞标系统中作出竞标响应的，如供应商未对关联点进行响应或者在响应文件其它内容进行描述，造成电子评审不能查询的责任由供应商自行承担。</w:t>
      </w:r>
    </w:p>
    <w:p w14:paraId="563B95DE">
      <w:pPr>
        <w:pStyle w:val="21"/>
        <w:adjustRightInd w:val="0"/>
        <w:snapToGrid w:val="0"/>
        <w:spacing w:line="400" w:lineRule="exact"/>
        <w:ind w:firstLine="420" w:firstLineChars="200"/>
        <w:rPr>
          <w:rFonts w:eastAsia="黑体"/>
          <w:color w:val="auto"/>
          <w:highlight w:val="none"/>
        </w:rPr>
      </w:pPr>
      <w:r>
        <w:rPr>
          <w:rFonts w:hint="eastAsia" w:hAnsi="宋体"/>
          <w:color w:val="auto"/>
          <w:highlight w:val="none"/>
        </w:rPr>
        <w:t>9.10</w:t>
      </w:r>
      <w:r>
        <w:rPr>
          <w:rFonts w:hint="eastAsia" w:hAnsi="宋体" w:cs="宋体"/>
          <w:color w:val="auto"/>
          <w:szCs w:val="21"/>
          <w:highlight w:val="none"/>
        </w:rPr>
        <w:t>供应商应认真阅读竞争性磋商文件，按照竞争性磋商文件的要求编制磋商响应文件。如果没有按照竞争性磋商文件要求提交磋商响应文件,没有对竞争性磋商文件提出的实质性要求和条件作出响应，</w:t>
      </w:r>
      <w:r>
        <w:rPr>
          <w:rFonts w:hint="eastAsia" w:hAnsi="宋体" w:cs="宋体"/>
          <w:b/>
          <w:color w:val="auto"/>
          <w:szCs w:val="21"/>
          <w:highlight w:val="none"/>
        </w:rPr>
        <w:t>磋商专家有权判定为无效磋商</w:t>
      </w:r>
      <w:r>
        <w:rPr>
          <w:rFonts w:hint="eastAsia" w:hAnsi="宋体" w:cs="宋体"/>
          <w:color w:val="auto"/>
          <w:szCs w:val="21"/>
          <w:highlight w:val="none"/>
        </w:rPr>
        <w:t>。</w:t>
      </w:r>
    </w:p>
    <w:p w14:paraId="4B14A16C">
      <w:pPr>
        <w:pStyle w:val="21"/>
        <w:adjustRightInd w:val="0"/>
        <w:snapToGrid w:val="0"/>
        <w:spacing w:line="400" w:lineRule="exact"/>
        <w:rPr>
          <w:rFonts w:hint="eastAsia" w:hAnsi="宋体" w:cs="宋体"/>
          <w:color w:val="auto"/>
          <w:szCs w:val="21"/>
          <w:highlight w:val="none"/>
        </w:rPr>
      </w:pPr>
      <w:r>
        <w:rPr>
          <w:rFonts w:hint="eastAsia" w:hAnsi="宋体" w:cs="宋体"/>
          <w:b/>
          <w:color w:val="auto"/>
          <w:szCs w:val="21"/>
          <w:highlight w:val="none"/>
        </w:rPr>
        <w:t>10.磋商的语言及计量单位</w:t>
      </w:r>
    </w:p>
    <w:p w14:paraId="7F22523F">
      <w:pPr>
        <w:pStyle w:val="21"/>
        <w:adjustRightInd w:val="0"/>
        <w:snapToGrid w:val="0"/>
        <w:spacing w:line="400" w:lineRule="exact"/>
        <w:ind w:firstLine="420"/>
        <w:rPr>
          <w:rFonts w:hint="eastAsia" w:hAnsi="宋体" w:cs="宋体"/>
          <w:color w:val="auto"/>
          <w:szCs w:val="21"/>
          <w:highlight w:val="none"/>
        </w:rPr>
      </w:pPr>
      <w:r>
        <w:rPr>
          <w:rFonts w:hint="eastAsia" w:hAnsi="宋体" w:cs="宋体"/>
          <w:color w:val="auto"/>
          <w:szCs w:val="21"/>
          <w:highlight w:val="none"/>
        </w:rPr>
        <w:t>10.1</w:t>
      </w:r>
      <w:r>
        <w:rPr>
          <w:rFonts w:hint="eastAsia" w:hAnsi="宋体" w:cs="宋体"/>
          <w:color w:val="auto"/>
          <w:spacing w:val="2"/>
          <w:szCs w:val="21"/>
          <w:highlight w:val="none"/>
        </w:rPr>
        <w:t>“</w:t>
      </w:r>
      <w:r>
        <w:rPr>
          <w:rFonts w:hint="eastAsia" w:hAnsi="宋体" w:cs="宋体"/>
          <w:color w:val="auto"/>
          <w:szCs w:val="21"/>
          <w:highlight w:val="none"/>
        </w:rPr>
        <w:t>磋商响应文件”是指：供应商根据本竞争性磋商文件要求，编制包含报价、技术和服务等所有内容的响应文件。</w:t>
      </w:r>
    </w:p>
    <w:p w14:paraId="581F7E5E">
      <w:pPr>
        <w:pStyle w:val="21"/>
        <w:adjustRightInd w:val="0"/>
        <w:snapToGrid w:val="0"/>
        <w:spacing w:line="400" w:lineRule="exact"/>
        <w:ind w:firstLine="420"/>
        <w:rPr>
          <w:rFonts w:hint="eastAsia" w:hAnsi="宋体" w:cs="宋体"/>
          <w:color w:val="auto"/>
          <w:szCs w:val="21"/>
          <w:highlight w:val="none"/>
        </w:rPr>
      </w:pPr>
      <w:r>
        <w:rPr>
          <w:rFonts w:hint="eastAsia" w:hAnsi="宋体" w:cs="宋体"/>
          <w:color w:val="auto"/>
          <w:szCs w:val="21"/>
          <w:highlight w:val="none"/>
        </w:rPr>
        <w:t>10.2</w:t>
      </w:r>
      <w:r>
        <w:rPr>
          <w:rFonts w:hint="eastAsia" w:hAnsi="宋体" w:cs="宋体"/>
          <w:color w:val="auto"/>
          <w:spacing w:val="-2"/>
          <w:szCs w:val="21"/>
          <w:highlight w:val="none"/>
        </w:rPr>
        <w:t>磋商响应文件及供应商与采购人之间往来的与磋商有关的通知、函件和文件均应使用</w:t>
      </w:r>
      <w:r>
        <w:rPr>
          <w:rFonts w:hint="eastAsia" w:hAnsi="宋体" w:cs="宋体"/>
          <w:bCs/>
          <w:color w:val="auto"/>
          <w:spacing w:val="-2"/>
          <w:szCs w:val="21"/>
          <w:highlight w:val="none"/>
        </w:rPr>
        <w:t>中</w:t>
      </w:r>
      <w:r>
        <w:rPr>
          <w:rFonts w:hint="eastAsia" w:hAnsi="宋体" w:cs="宋体"/>
          <w:color w:val="auto"/>
          <w:spacing w:val="-2"/>
          <w:szCs w:val="21"/>
          <w:highlight w:val="none"/>
        </w:rPr>
        <w:t>文。</w:t>
      </w:r>
    </w:p>
    <w:p w14:paraId="2FAC2B13">
      <w:pPr>
        <w:pStyle w:val="21"/>
        <w:adjustRightInd w:val="0"/>
        <w:snapToGrid w:val="0"/>
        <w:spacing w:line="400" w:lineRule="exact"/>
        <w:ind w:firstLine="420"/>
        <w:rPr>
          <w:rFonts w:hint="eastAsia" w:hAnsi="宋体" w:cs="宋体"/>
          <w:color w:val="auto"/>
          <w:szCs w:val="21"/>
          <w:highlight w:val="none"/>
        </w:rPr>
      </w:pPr>
      <w:r>
        <w:rPr>
          <w:rFonts w:hint="eastAsia" w:hAnsi="宋体" w:cs="宋体"/>
          <w:color w:val="auto"/>
          <w:szCs w:val="21"/>
          <w:highlight w:val="none"/>
        </w:rPr>
        <w:t>10.3供应商的磋商响应文件以及供应商与采购代理机构所有来往函电统一使用中文（特别规定除外）。</w:t>
      </w:r>
    </w:p>
    <w:p w14:paraId="75C58EB4">
      <w:pPr>
        <w:pStyle w:val="21"/>
        <w:adjustRightInd w:val="0"/>
        <w:snapToGrid w:val="0"/>
        <w:spacing w:line="400" w:lineRule="exact"/>
        <w:ind w:firstLine="420"/>
        <w:rPr>
          <w:rFonts w:hint="eastAsia" w:hAnsi="宋体" w:cs="宋体"/>
          <w:color w:val="auto"/>
          <w:szCs w:val="21"/>
          <w:highlight w:val="none"/>
        </w:rPr>
      </w:pPr>
      <w:r>
        <w:rPr>
          <w:rFonts w:hint="eastAsia" w:hAnsi="宋体" w:cs="宋体"/>
          <w:color w:val="auto"/>
          <w:szCs w:val="21"/>
          <w:highlight w:val="none"/>
        </w:rPr>
        <w:t>10.4磋商响应文件中使用的计量单位除竞争性磋商文件中有特殊规定外，一律使用法定计量单位。</w:t>
      </w:r>
    </w:p>
    <w:p w14:paraId="4BD7099B">
      <w:pPr>
        <w:pStyle w:val="21"/>
        <w:adjustRightInd w:val="0"/>
        <w:snapToGrid w:val="0"/>
        <w:spacing w:line="400" w:lineRule="exact"/>
        <w:rPr>
          <w:rFonts w:hint="eastAsia" w:hAnsi="宋体" w:cs="宋体"/>
          <w:b/>
          <w:color w:val="auto"/>
          <w:szCs w:val="21"/>
          <w:highlight w:val="none"/>
        </w:rPr>
      </w:pPr>
      <w:r>
        <w:rPr>
          <w:rFonts w:hint="eastAsia" w:hAnsi="宋体" w:cs="宋体"/>
          <w:b/>
          <w:color w:val="auto"/>
          <w:szCs w:val="21"/>
          <w:highlight w:val="none"/>
        </w:rPr>
        <w:t>11.磋商响应文件构成</w:t>
      </w:r>
    </w:p>
    <w:p w14:paraId="15F83D8A">
      <w:pPr>
        <w:pStyle w:val="21"/>
        <w:adjustRightInd w:val="0"/>
        <w:snapToGrid w:val="0"/>
        <w:spacing w:line="400" w:lineRule="exact"/>
        <w:ind w:firstLine="357" w:firstLineChars="170"/>
        <w:rPr>
          <w:rFonts w:hint="eastAsia" w:hAnsi="宋体" w:cs="宋体"/>
          <w:color w:val="auto"/>
          <w:szCs w:val="21"/>
          <w:highlight w:val="none"/>
        </w:rPr>
      </w:pPr>
      <w:r>
        <w:rPr>
          <w:rFonts w:hint="eastAsia" w:hAnsi="宋体" w:cs="宋体"/>
          <w:color w:val="auto"/>
          <w:kern w:val="0"/>
          <w:szCs w:val="21"/>
          <w:highlight w:val="none"/>
        </w:rPr>
        <w:t>11.1.磋商响应文件由以下</w:t>
      </w:r>
      <w:r>
        <w:rPr>
          <w:rFonts w:hint="eastAsia" w:hAnsi="宋体" w:cs="宋体"/>
          <w:color w:val="auto"/>
          <w:szCs w:val="21"/>
          <w:highlight w:val="none"/>
          <w:lang w:val="en-US" w:eastAsia="zh-CN"/>
        </w:rPr>
        <w:t>价格文件、商务技术文件</w:t>
      </w:r>
      <w:r>
        <w:rPr>
          <w:rFonts w:hint="eastAsia" w:hAnsi="宋体" w:cs="宋体"/>
          <w:color w:val="auto"/>
          <w:kern w:val="0"/>
          <w:szCs w:val="21"/>
          <w:highlight w:val="none"/>
        </w:rPr>
        <w:t>组成，供应商</w:t>
      </w:r>
      <w:r>
        <w:rPr>
          <w:rFonts w:hint="eastAsia" w:hAnsi="宋体" w:cs="宋体"/>
          <w:color w:val="auto"/>
          <w:kern w:val="0"/>
          <w:szCs w:val="21"/>
          <w:highlight w:val="none"/>
          <w:lang w:val="en-US" w:eastAsia="zh-CN"/>
        </w:rPr>
        <w:t>应该</w:t>
      </w:r>
      <w:r>
        <w:rPr>
          <w:rFonts w:hint="eastAsia" w:hAnsi="宋体" w:cs="宋体"/>
          <w:color w:val="auto"/>
          <w:kern w:val="0"/>
          <w:szCs w:val="21"/>
          <w:highlight w:val="none"/>
        </w:rPr>
        <w:t>自编目录及页码</w:t>
      </w:r>
      <w:r>
        <w:rPr>
          <w:rFonts w:hint="eastAsia" w:hAnsi="宋体" w:cs="宋体"/>
          <w:color w:val="auto"/>
          <w:szCs w:val="21"/>
          <w:highlight w:val="none"/>
        </w:rPr>
        <w:t>。</w:t>
      </w:r>
    </w:p>
    <w:p w14:paraId="1E1FA9F4">
      <w:pPr>
        <w:pStyle w:val="21"/>
        <w:adjustRightInd w:val="0"/>
        <w:snapToGrid w:val="0"/>
        <w:spacing w:line="400" w:lineRule="exact"/>
        <w:ind w:firstLine="359" w:firstLineChars="171"/>
        <w:rPr>
          <w:rFonts w:hint="eastAsia" w:hAnsi="宋体" w:cs="宋体"/>
          <w:color w:val="auto"/>
          <w:szCs w:val="21"/>
          <w:highlight w:val="none"/>
          <w:lang w:val="en-US" w:eastAsia="zh-CN"/>
        </w:rPr>
      </w:pPr>
      <w:r>
        <w:rPr>
          <w:rFonts w:hint="eastAsia" w:hAnsi="宋体" w:cs="宋体"/>
          <w:color w:val="auto"/>
          <w:szCs w:val="21"/>
          <w:highlight w:val="none"/>
          <w:lang w:val="en-US" w:eastAsia="zh-CN"/>
        </w:rPr>
        <w:t>（1）价格文件：（详见须知前附表）</w:t>
      </w:r>
    </w:p>
    <w:p w14:paraId="6816340D">
      <w:pPr>
        <w:pStyle w:val="21"/>
        <w:adjustRightInd w:val="0"/>
        <w:snapToGrid w:val="0"/>
        <w:spacing w:line="400" w:lineRule="exact"/>
        <w:ind w:firstLine="359" w:firstLineChars="171"/>
        <w:rPr>
          <w:rFonts w:hint="eastAsia" w:hAnsi="宋体" w:eastAsia="宋体" w:cs="宋体"/>
          <w:color w:val="auto"/>
          <w:szCs w:val="21"/>
          <w:highlight w:val="none"/>
          <w:lang w:val="en-US" w:eastAsia="zh-CN"/>
        </w:rPr>
      </w:pPr>
      <w:r>
        <w:rPr>
          <w:rFonts w:hint="eastAsia" w:hAnsi="宋体" w:cs="宋体"/>
          <w:color w:val="auto"/>
          <w:szCs w:val="21"/>
          <w:highlight w:val="none"/>
        </w:rPr>
        <w:t>（</w:t>
      </w:r>
      <w:r>
        <w:rPr>
          <w:rFonts w:hint="eastAsia" w:hAnsi="宋体" w:cs="宋体"/>
          <w:color w:val="auto"/>
          <w:szCs w:val="21"/>
          <w:highlight w:val="none"/>
          <w:lang w:val="en-US" w:eastAsia="zh-CN"/>
        </w:rPr>
        <w:t>2</w:t>
      </w:r>
      <w:r>
        <w:rPr>
          <w:rFonts w:hint="eastAsia" w:hAnsi="宋体" w:cs="宋体"/>
          <w:color w:val="auto"/>
          <w:szCs w:val="21"/>
          <w:highlight w:val="none"/>
        </w:rPr>
        <w:t>）</w:t>
      </w:r>
      <w:r>
        <w:rPr>
          <w:rFonts w:hint="eastAsia" w:hAnsi="宋体" w:cs="宋体"/>
          <w:color w:val="auto"/>
          <w:szCs w:val="21"/>
          <w:highlight w:val="none"/>
          <w:lang w:val="en-US" w:eastAsia="zh-CN"/>
        </w:rPr>
        <w:t>商务技术文件：（详见须知前附表）</w:t>
      </w:r>
    </w:p>
    <w:p w14:paraId="0473F92C">
      <w:pPr>
        <w:pStyle w:val="21"/>
        <w:adjustRightInd w:val="0"/>
        <w:spacing w:line="400" w:lineRule="exact"/>
        <w:ind w:firstLine="359" w:firstLineChars="171"/>
        <w:rPr>
          <w:rFonts w:hint="eastAsia" w:hAnsi="宋体" w:cs="宋体"/>
          <w:color w:val="auto"/>
          <w:szCs w:val="21"/>
          <w:highlight w:val="none"/>
        </w:rPr>
      </w:pPr>
      <w:r>
        <w:rPr>
          <w:rFonts w:hint="eastAsia" w:hAnsi="宋体" w:cs="宋体"/>
          <w:color w:val="auto"/>
          <w:szCs w:val="21"/>
          <w:highlight w:val="none"/>
        </w:rPr>
        <w:t>11.</w:t>
      </w:r>
      <w:r>
        <w:rPr>
          <w:rFonts w:hint="eastAsia" w:hAnsi="宋体" w:cs="宋体"/>
          <w:color w:val="auto"/>
          <w:szCs w:val="21"/>
          <w:highlight w:val="none"/>
          <w:lang w:val="en-US" w:eastAsia="zh-CN"/>
        </w:rPr>
        <w:t>2</w:t>
      </w:r>
      <w:r>
        <w:rPr>
          <w:rFonts w:hint="eastAsia" w:hAnsi="宋体" w:cs="宋体"/>
          <w:color w:val="auto"/>
          <w:szCs w:val="21"/>
          <w:highlight w:val="none"/>
        </w:rPr>
        <w:t>本项目的项目经理及技术负责人采取实名制，若工程施工过程中发现项目经理及技术负责人与磋商时拟派的项目经理及技术负责人不符的，视为转包，采购人有权解除合同。</w:t>
      </w:r>
    </w:p>
    <w:p w14:paraId="2E79B9A6">
      <w:pPr>
        <w:pStyle w:val="4"/>
        <w:snapToGrid w:val="0"/>
        <w:spacing w:before="0" w:beforeLines="0" w:after="0" w:afterLines="0" w:line="440" w:lineRule="exact"/>
        <w:rPr>
          <w:rFonts w:hint="eastAsia" w:ascii="宋体" w:hAnsi="宋体" w:cs="宋体"/>
          <w:b w:val="0"/>
          <w:color w:val="auto"/>
          <w:kern w:val="0"/>
          <w:sz w:val="21"/>
          <w:szCs w:val="21"/>
          <w:highlight w:val="none"/>
        </w:rPr>
      </w:pPr>
      <w:bookmarkStart w:id="180" w:name="_Toc47088136"/>
      <w:bookmarkStart w:id="181" w:name="_Toc47088280"/>
      <w:bookmarkStart w:id="182" w:name="_Toc277016793"/>
      <w:bookmarkStart w:id="183" w:name="_Toc277058916"/>
      <w:bookmarkStart w:id="184" w:name="_Toc277017133"/>
      <w:bookmarkStart w:id="185" w:name="_Toc75182681"/>
      <w:bookmarkStart w:id="186" w:name="_Toc482785079"/>
      <w:bookmarkStart w:id="187" w:name="_Toc277016211"/>
      <w:r>
        <w:rPr>
          <w:rFonts w:hint="eastAsia" w:ascii="宋体" w:hAnsi="宋体" w:cs="宋体"/>
          <w:color w:val="auto"/>
          <w:kern w:val="0"/>
          <w:sz w:val="21"/>
          <w:szCs w:val="21"/>
          <w:highlight w:val="none"/>
        </w:rPr>
        <w:t>12</w:t>
      </w:r>
      <w:r>
        <w:rPr>
          <w:rFonts w:hint="eastAsia" w:ascii="宋体" w:hAnsi="宋体" w:cs="宋体"/>
          <w:color w:val="auto"/>
          <w:kern w:val="0"/>
          <w:sz w:val="21"/>
          <w:szCs w:val="21"/>
          <w:highlight w:val="none"/>
          <w:lang w:val="en-US" w:eastAsia="zh-CN"/>
        </w:rPr>
        <w:t>.</w:t>
      </w:r>
      <w:r>
        <w:rPr>
          <w:rFonts w:hint="eastAsia" w:ascii="宋体" w:hAnsi="宋体" w:cs="宋体"/>
          <w:color w:val="auto"/>
          <w:kern w:val="0"/>
          <w:sz w:val="21"/>
          <w:szCs w:val="21"/>
          <w:highlight w:val="none"/>
        </w:rPr>
        <w:t>磋商响应文件格式</w:t>
      </w:r>
      <w:bookmarkEnd w:id="180"/>
      <w:bookmarkEnd w:id="181"/>
      <w:bookmarkEnd w:id="182"/>
      <w:bookmarkEnd w:id="183"/>
      <w:bookmarkEnd w:id="184"/>
      <w:bookmarkEnd w:id="185"/>
      <w:bookmarkEnd w:id="186"/>
      <w:bookmarkEnd w:id="187"/>
    </w:p>
    <w:p w14:paraId="310514E3">
      <w:pPr>
        <w:autoSpaceDE w:val="0"/>
        <w:autoSpaceDN w:val="0"/>
        <w:adjustRightInd w:val="0"/>
        <w:snapToGrid w:val="0"/>
        <w:spacing w:line="44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12.1 磋商响应文件包括本须知第11条中规定的</w:t>
      </w:r>
      <w:r>
        <w:rPr>
          <w:rFonts w:hint="eastAsia" w:hAnsi="宋体" w:cs="宋体"/>
          <w:color w:val="auto"/>
          <w:szCs w:val="21"/>
          <w:highlight w:val="none"/>
          <w:lang w:val="en-US" w:eastAsia="zh-CN"/>
        </w:rPr>
        <w:t>价格文件、商务技术文件</w:t>
      </w:r>
      <w:r>
        <w:rPr>
          <w:rFonts w:hint="eastAsia" w:ascii="宋体" w:hAnsi="宋体" w:cs="宋体"/>
          <w:color w:val="auto"/>
          <w:kern w:val="0"/>
          <w:szCs w:val="21"/>
          <w:highlight w:val="none"/>
        </w:rPr>
        <w:t>，供应商递交的磋商响应文件应当使用竞争性磋商文件所提供的磋商响应文件全部格式</w:t>
      </w:r>
      <w:bookmarkStart w:id="188" w:name="_Hlt76287184"/>
      <w:bookmarkEnd w:id="188"/>
      <w:r>
        <w:rPr>
          <w:rFonts w:hint="eastAsia" w:ascii="宋体" w:hAnsi="宋体" w:cs="宋体"/>
          <w:color w:val="auto"/>
          <w:kern w:val="0"/>
          <w:szCs w:val="21"/>
          <w:highlight w:val="none"/>
        </w:rPr>
        <w:t>（表格可以按同样格</w:t>
      </w:r>
      <w:bookmarkStart w:id="189" w:name="_Hlt76233225"/>
      <w:bookmarkEnd w:id="189"/>
      <w:r>
        <w:rPr>
          <w:rFonts w:hint="eastAsia" w:ascii="宋体" w:hAnsi="宋体" w:cs="宋体"/>
          <w:color w:val="auto"/>
          <w:kern w:val="0"/>
          <w:szCs w:val="21"/>
          <w:highlight w:val="none"/>
        </w:rPr>
        <w:t>式扩展）。</w:t>
      </w:r>
    </w:p>
    <w:p w14:paraId="47850314">
      <w:pPr>
        <w:pStyle w:val="21"/>
        <w:numPr>
          <w:ilvl w:val="0"/>
          <w:numId w:val="0"/>
        </w:numPr>
        <w:adjustRightInd w:val="0"/>
        <w:snapToGrid w:val="0"/>
        <w:spacing w:line="400" w:lineRule="exact"/>
        <w:ind w:leftChars="0"/>
        <w:rPr>
          <w:rFonts w:hint="eastAsia" w:hAnsi="宋体" w:cs="宋体"/>
          <w:b/>
          <w:color w:val="auto"/>
          <w:szCs w:val="21"/>
          <w:highlight w:val="none"/>
        </w:rPr>
      </w:pPr>
      <w:r>
        <w:rPr>
          <w:rFonts w:hint="eastAsia" w:hAnsi="宋体" w:cs="宋体"/>
          <w:b/>
          <w:color w:val="auto"/>
          <w:szCs w:val="21"/>
          <w:highlight w:val="none"/>
          <w:lang w:val="en-US" w:eastAsia="zh-CN"/>
        </w:rPr>
        <w:t>13.</w:t>
      </w:r>
      <w:r>
        <w:rPr>
          <w:rFonts w:hint="eastAsia" w:hAnsi="宋体" w:cs="宋体"/>
          <w:b/>
          <w:color w:val="auto"/>
          <w:szCs w:val="21"/>
          <w:highlight w:val="none"/>
        </w:rPr>
        <w:t>磋商报价</w:t>
      </w:r>
    </w:p>
    <w:p w14:paraId="5152581F">
      <w:pPr>
        <w:tabs>
          <w:tab w:val="left" w:pos="2160"/>
        </w:tabs>
        <w:autoSpaceDE w:val="0"/>
        <w:autoSpaceDN w:val="0"/>
        <w:adjustRightInd w:val="0"/>
        <w:snapToGrid w:val="0"/>
        <w:spacing w:line="440" w:lineRule="exact"/>
        <w:ind w:right="84" w:firstLine="420" w:firstLineChars="200"/>
        <w:rPr>
          <w:rFonts w:hint="eastAsia" w:ascii="宋体" w:hAnsi="宋体" w:cs="宋体"/>
          <w:color w:val="auto"/>
          <w:kern w:val="0"/>
          <w:szCs w:val="21"/>
          <w:highlight w:val="none"/>
        </w:rPr>
      </w:pPr>
      <w:bookmarkStart w:id="190" w:name="_Toc71782115"/>
      <w:r>
        <w:rPr>
          <w:rFonts w:hint="eastAsia" w:ascii="宋体" w:hAnsi="宋体" w:cs="宋体"/>
          <w:color w:val="auto"/>
          <w:kern w:val="0"/>
          <w:szCs w:val="21"/>
          <w:highlight w:val="none"/>
        </w:rPr>
        <w:t>13.1招标控制价的修改</w:t>
      </w:r>
      <w:bookmarkEnd w:id="190"/>
      <w:r>
        <w:rPr>
          <w:rFonts w:hint="eastAsia" w:ascii="宋体" w:hAnsi="宋体" w:cs="宋体"/>
          <w:color w:val="auto"/>
          <w:kern w:val="0"/>
          <w:szCs w:val="21"/>
          <w:highlight w:val="none"/>
        </w:rPr>
        <w:t>。</w:t>
      </w:r>
    </w:p>
    <w:p w14:paraId="016B41FE">
      <w:pPr>
        <w:snapToGrid w:val="0"/>
        <w:spacing w:line="440" w:lineRule="exact"/>
        <w:ind w:left="19" w:leftChars="9"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13.1.1本工程的招标控制价由具备相应造价咨询资质的单位编制。</w:t>
      </w:r>
    </w:p>
    <w:p w14:paraId="53D9AA99">
      <w:pPr>
        <w:snapToGrid w:val="0"/>
        <w:spacing w:line="440" w:lineRule="exact"/>
        <w:ind w:left="19" w:leftChars="9"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13.1.2供应商应认真对照施工设计图纸等文件核对采购人公布的工程招标控制价，发现工程招标控制价明显误差的，必须在磋商截止时间5天前向采购人提出书面异议或修正要求。</w:t>
      </w:r>
    </w:p>
    <w:p w14:paraId="3E41A5FF">
      <w:pPr>
        <w:snapToGrid w:val="0"/>
        <w:spacing w:line="440" w:lineRule="exact"/>
        <w:ind w:left="19" w:leftChars="9"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13.1.3采购人在收到供应商提出的书面异议或修正要求后，将对异议或修正要求进行核实。如采购人认为有必要对工程招标控制价进行修正的，将在磋商截止时间前重新公布修正后的工程招标控制价，并相应的延期磋商截止时间。</w:t>
      </w:r>
    </w:p>
    <w:p w14:paraId="748E4607">
      <w:pPr>
        <w:snapToGrid w:val="0"/>
        <w:spacing w:line="440" w:lineRule="exact"/>
        <w:ind w:left="19" w:leftChars="9"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13.1.4供应商应在磋商报价表上标明磋商单价和磋商总价。大写金额和小写金额不一致的，以大写金额为准，如总价金额与按单价汇总金额不一致的，以单价金额计算结果为准；单价金额小数点有明显错位的，应以总价为准，并修改单价。如果供应商不接受对其错误的更正，其磋商将被拒绝。</w:t>
      </w:r>
    </w:p>
    <w:p w14:paraId="469ED259">
      <w:pPr>
        <w:snapToGrid w:val="0"/>
        <w:spacing w:line="440" w:lineRule="exact"/>
        <w:ind w:left="19" w:leftChars="9"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13.2 磋商总报价不高于招标控制价的为有效报价。</w:t>
      </w:r>
    </w:p>
    <w:p w14:paraId="6DB3C7FA">
      <w:pPr>
        <w:pStyle w:val="21"/>
        <w:adjustRightInd w:val="0"/>
        <w:snapToGrid w:val="0"/>
        <w:spacing w:line="400" w:lineRule="exact"/>
        <w:rPr>
          <w:rFonts w:hint="eastAsia" w:hAnsi="宋体" w:cs="宋体"/>
          <w:b/>
          <w:color w:val="auto"/>
          <w:szCs w:val="21"/>
          <w:highlight w:val="none"/>
        </w:rPr>
      </w:pPr>
      <w:r>
        <w:rPr>
          <w:rFonts w:hint="eastAsia" w:hAnsi="宋体" w:cs="宋体"/>
          <w:b/>
          <w:color w:val="auto"/>
          <w:szCs w:val="21"/>
          <w:highlight w:val="none"/>
        </w:rPr>
        <w:t>14.</w:t>
      </w:r>
      <w:r>
        <w:rPr>
          <w:rFonts w:hint="eastAsia" w:hAnsi="宋体" w:cs="宋体"/>
          <w:color w:val="auto"/>
          <w:szCs w:val="21"/>
          <w:highlight w:val="none"/>
        </w:rPr>
        <w:t xml:space="preserve"> </w:t>
      </w:r>
      <w:r>
        <w:rPr>
          <w:rFonts w:hint="eastAsia" w:hAnsi="宋体" w:cs="宋体"/>
          <w:b/>
          <w:color w:val="auto"/>
          <w:szCs w:val="21"/>
          <w:highlight w:val="none"/>
        </w:rPr>
        <w:t>磋商有效期</w:t>
      </w:r>
    </w:p>
    <w:p w14:paraId="3859255C">
      <w:pPr>
        <w:pStyle w:val="21"/>
        <w:adjustRightInd w:val="0"/>
        <w:snapToGrid w:val="0"/>
        <w:spacing w:line="400" w:lineRule="exact"/>
        <w:ind w:firstLine="420" w:firstLineChars="200"/>
        <w:rPr>
          <w:rFonts w:hint="eastAsia" w:hAnsi="宋体" w:cs="宋体"/>
          <w:b/>
          <w:color w:val="auto"/>
          <w:szCs w:val="21"/>
          <w:highlight w:val="none"/>
        </w:rPr>
      </w:pPr>
      <w:r>
        <w:rPr>
          <w:rFonts w:hint="eastAsia" w:hAnsi="宋体" w:cs="宋体"/>
          <w:color w:val="auto"/>
          <w:szCs w:val="21"/>
          <w:highlight w:val="none"/>
        </w:rPr>
        <w:t>14.1磋商有效期从提交竞争性磋商文件的截止之日起算。有效期内供应商不得改变磋商报价、成交标的及</w:t>
      </w:r>
      <w:r>
        <w:rPr>
          <w:rFonts w:hint="eastAsia" w:hAnsi="宋体" w:cs="宋体"/>
          <w:color w:val="auto"/>
          <w:szCs w:val="21"/>
          <w:highlight w:val="none"/>
          <w:lang w:eastAsia="zh-CN"/>
        </w:rPr>
        <w:t>承诺</w:t>
      </w:r>
      <w:r>
        <w:rPr>
          <w:rFonts w:hint="eastAsia" w:hAnsi="宋体" w:cs="宋体"/>
          <w:color w:val="auto"/>
          <w:szCs w:val="21"/>
          <w:highlight w:val="none"/>
        </w:rPr>
        <w:t>的全部义务。磋商有效期较短的，采购人可以视为非响应性磋商予以拒绝。</w:t>
      </w:r>
      <w:r>
        <w:rPr>
          <w:rFonts w:hint="eastAsia" w:hAnsi="宋体" w:cs="宋体"/>
          <w:color w:val="auto"/>
          <w:szCs w:val="21"/>
          <w:highlight w:val="none"/>
        </w:rPr>
        <w:br w:type="textWrapping"/>
      </w:r>
      <w:r>
        <w:rPr>
          <w:rFonts w:hAnsi="宋体" w:cs="宋体"/>
          <w:color w:val="auto"/>
          <w:szCs w:val="21"/>
          <w:highlight w:val="none"/>
        </w:rPr>
        <w:t xml:space="preserve">    </w:t>
      </w:r>
      <w:r>
        <w:rPr>
          <w:rFonts w:hint="eastAsia" w:hAnsi="宋体" w:cs="宋体"/>
          <w:color w:val="auto"/>
          <w:szCs w:val="21"/>
          <w:highlight w:val="none"/>
        </w:rPr>
        <w:t>14.2如出现特殊情况需要延长磋商有效期的，采购人可向供应商提出延长磋商有效期的要求。这种要求与答复均应采用书面形式。供应商可以拒绝采购人的这种要求但不被没收磋商保证金。同意延长磋商有效期的供应商既不能要求也不允许修改其磋商文件。</w:t>
      </w:r>
      <w:r>
        <w:rPr>
          <w:rFonts w:hint="eastAsia" w:hAnsi="宋体" w:cs="宋体"/>
          <w:color w:val="auto"/>
          <w:szCs w:val="21"/>
          <w:highlight w:val="none"/>
        </w:rPr>
        <w:br w:type="textWrapping"/>
      </w:r>
      <w:r>
        <w:rPr>
          <w:rFonts w:hAnsi="宋体" w:cs="宋体"/>
          <w:color w:val="auto"/>
          <w:szCs w:val="21"/>
          <w:highlight w:val="none"/>
        </w:rPr>
        <w:t xml:space="preserve">    </w:t>
      </w:r>
      <w:r>
        <w:rPr>
          <w:rFonts w:hint="eastAsia" w:hAnsi="宋体" w:cs="宋体"/>
          <w:color w:val="auto"/>
          <w:szCs w:val="21"/>
          <w:highlight w:val="none"/>
        </w:rPr>
        <w:t xml:space="preserve">14.3成交供应商的竞争性磋商文件自开标之日起至合同履行完毕止均应保持有效。 </w:t>
      </w:r>
    </w:p>
    <w:p w14:paraId="311BA0E1">
      <w:pPr>
        <w:pStyle w:val="21"/>
        <w:adjustRightInd w:val="0"/>
        <w:snapToGrid w:val="0"/>
        <w:spacing w:line="400" w:lineRule="exact"/>
        <w:rPr>
          <w:rFonts w:hint="eastAsia" w:hAnsi="宋体" w:cs="宋体"/>
          <w:b/>
          <w:color w:val="auto"/>
          <w:szCs w:val="21"/>
          <w:highlight w:val="none"/>
        </w:rPr>
      </w:pPr>
      <w:r>
        <w:rPr>
          <w:rFonts w:hint="eastAsia" w:hAnsi="宋体" w:cs="宋体"/>
          <w:b/>
          <w:color w:val="auto"/>
          <w:szCs w:val="21"/>
          <w:highlight w:val="none"/>
        </w:rPr>
        <w:t>15.磋商响应文件的编制</w:t>
      </w:r>
    </w:p>
    <w:p w14:paraId="724DC051">
      <w:pPr>
        <w:pStyle w:val="21"/>
        <w:adjustRightInd w:val="0"/>
        <w:snapToGrid w:val="0"/>
        <w:spacing w:line="400" w:lineRule="exact"/>
        <w:ind w:firstLine="420"/>
        <w:rPr>
          <w:rFonts w:hint="eastAsia" w:hAnsi="宋体" w:cs="宋体"/>
          <w:color w:val="auto"/>
          <w:szCs w:val="21"/>
          <w:highlight w:val="none"/>
        </w:rPr>
      </w:pPr>
      <w:bookmarkStart w:id="191" w:name="_Hlk85728365"/>
      <w:r>
        <w:rPr>
          <w:rFonts w:hint="eastAsia" w:hAnsi="宋体" w:cs="宋体"/>
          <w:color w:val="auto"/>
          <w:szCs w:val="21"/>
          <w:highlight w:val="none"/>
        </w:rPr>
        <w:t>15.1</w:t>
      </w:r>
      <w:r>
        <w:rPr>
          <w:rFonts w:hint="eastAsia" w:hAnsi="宋体" w:cs="宋体"/>
          <w:color w:val="auto"/>
          <w:highlight w:val="none"/>
        </w:rPr>
        <w:t>响应文件应按“响应文件格式”进行编写，如有必要，可以增加附页，作为响应文件的组成部分。</w:t>
      </w:r>
    </w:p>
    <w:p w14:paraId="6BC7C541">
      <w:pPr>
        <w:spacing w:line="400" w:lineRule="exact"/>
        <w:ind w:firstLine="420" w:firstLineChars="200"/>
        <w:rPr>
          <w:rFonts w:hAnsi="宋体" w:cs="宋体"/>
          <w:color w:val="auto"/>
          <w:szCs w:val="21"/>
          <w:highlight w:val="none"/>
        </w:rPr>
      </w:pPr>
      <w:r>
        <w:rPr>
          <w:rFonts w:hint="eastAsia" w:ascii="宋体" w:hAnsi="宋体" w:cs="宋体"/>
          <w:color w:val="auto"/>
          <w:szCs w:val="21"/>
          <w:highlight w:val="none"/>
        </w:rPr>
        <w:t>15.2供</w:t>
      </w:r>
      <w:r>
        <w:rPr>
          <w:rFonts w:hint="eastAsia" w:ascii="宋体" w:hAnsi="宋体" w:cs="宋体"/>
          <w:color w:val="auto"/>
          <w:highlight w:val="none"/>
        </w:rPr>
        <w:t>应商应按本响应文件规定的响应文件格式和顺序编制并编制完整的页码、目录，响应文件内容不完整、编排混乱导致响应文件被误读、漏读或者查找不到相关内容导致的后果由供应商自行负责。</w:t>
      </w:r>
    </w:p>
    <w:p w14:paraId="5AC75158">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15.3响应文件应无涂改、行间插字或删除，如果出现上述情况，改动之处应加盖单位章或由供应商的法定代表人或其授权的代理人签字确认。响应文件因字迹潦草或表达不清所引起的后果由供应商负责。</w:t>
      </w:r>
    </w:p>
    <w:p w14:paraId="65A50430">
      <w:pPr>
        <w:pStyle w:val="21"/>
        <w:adjustRightInd w:val="0"/>
        <w:snapToGrid w:val="0"/>
        <w:spacing w:line="400" w:lineRule="exact"/>
        <w:ind w:firstLine="420"/>
        <w:rPr>
          <w:rFonts w:hint="eastAsia" w:hAnsi="宋体" w:cs="宋体"/>
          <w:color w:val="auto"/>
          <w:szCs w:val="21"/>
          <w:highlight w:val="none"/>
        </w:rPr>
      </w:pPr>
      <w:r>
        <w:rPr>
          <w:rFonts w:hint="eastAsia" w:hAnsi="宋体" w:cs="宋体"/>
          <w:color w:val="auto"/>
          <w:szCs w:val="21"/>
          <w:highlight w:val="none"/>
        </w:rPr>
        <w:t>15.</w:t>
      </w:r>
      <w:r>
        <w:rPr>
          <w:rFonts w:hAnsi="宋体" w:cs="宋体"/>
          <w:color w:val="auto"/>
          <w:szCs w:val="21"/>
          <w:highlight w:val="none"/>
        </w:rPr>
        <w:t>4</w:t>
      </w:r>
      <w:r>
        <w:rPr>
          <w:rFonts w:hint="eastAsia" w:hAnsi="宋体" w:cs="宋体"/>
          <w:color w:val="auto"/>
          <w:szCs w:val="21"/>
          <w:highlight w:val="none"/>
        </w:rPr>
        <w:t>字迹潦草（签名不得使用草书或艺术字）、表达不清、未按竞争性磋商文件要求填写或可能导致非唯一理解的磋商响应文件，评委有权判定为无效的磋商响应文件。</w:t>
      </w:r>
    </w:p>
    <w:p w14:paraId="3FC7A5A7">
      <w:pPr>
        <w:pStyle w:val="21"/>
        <w:adjustRightInd w:val="0"/>
        <w:snapToGrid w:val="0"/>
        <w:spacing w:line="400" w:lineRule="exact"/>
        <w:ind w:firstLine="420" w:firstLineChars="200"/>
        <w:jc w:val="left"/>
        <w:rPr>
          <w:rFonts w:hAnsi="宋体"/>
          <w:color w:val="auto"/>
          <w:highlight w:val="none"/>
        </w:rPr>
      </w:pPr>
      <w:r>
        <w:rPr>
          <w:rFonts w:hint="eastAsia" w:hAnsi="宋体" w:cs="宋体"/>
          <w:color w:val="auto"/>
          <w:highlight w:val="none"/>
        </w:rPr>
        <w:t>15.</w:t>
      </w:r>
      <w:r>
        <w:rPr>
          <w:rFonts w:hAnsi="宋体" w:cs="宋体"/>
          <w:color w:val="auto"/>
          <w:highlight w:val="none"/>
        </w:rPr>
        <w:t>5</w:t>
      </w:r>
      <w:r>
        <w:rPr>
          <w:rFonts w:hint="eastAsia" w:hAnsi="宋体"/>
          <w:color w:val="auto"/>
          <w:highlight w:val="none"/>
        </w:rPr>
        <w:t xml:space="preserve">本项目实行电子竞标，供应商应准备电子响应文件、以介质存储的数据电文形式的电子备份响应文件两类： </w:t>
      </w:r>
    </w:p>
    <w:p w14:paraId="60A631AD">
      <w:pPr>
        <w:pStyle w:val="21"/>
        <w:adjustRightInd w:val="0"/>
        <w:snapToGrid w:val="0"/>
        <w:spacing w:line="400" w:lineRule="exact"/>
        <w:ind w:firstLine="420" w:firstLineChars="200"/>
        <w:jc w:val="left"/>
        <w:rPr>
          <w:rFonts w:hAnsi="宋体"/>
          <w:color w:val="auto"/>
          <w:highlight w:val="none"/>
        </w:rPr>
      </w:pPr>
      <w:r>
        <w:rPr>
          <w:rFonts w:hint="eastAsia" w:hAnsi="宋体" w:cs="宋体"/>
          <w:color w:val="auto"/>
          <w:highlight w:val="none"/>
        </w:rPr>
        <w:t>15.</w:t>
      </w:r>
      <w:r>
        <w:rPr>
          <w:rFonts w:hAnsi="宋体" w:cs="宋体"/>
          <w:color w:val="auto"/>
          <w:highlight w:val="none"/>
        </w:rPr>
        <w:t>6</w:t>
      </w:r>
      <w:r>
        <w:rPr>
          <w:rFonts w:hint="eastAsia" w:hAnsi="宋体"/>
          <w:color w:val="auto"/>
          <w:highlight w:val="none"/>
        </w:rPr>
        <w:t>电子响应文件按</w:t>
      </w:r>
      <w:r>
        <w:rPr>
          <w:rFonts w:hint="eastAsia" w:hAnsi="宋体"/>
          <w:color w:val="auto"/>
          <w:highlight w:val="none"/>
          <w:lang w:eastAsia="zh-CN"/>
        </w:rPr>
        <w:t>广西政府采购云平台</w:t>
      </w:r>
      <w:r>
        <w:rPr>
          <w:rFonts w:hint="eastAsia" w:hAnsi="宋体"/>
          <w:color w:val="auto"/>
          <w:highlight w:val="none"/>
        </w:rPr>
        <w:t>要求及本竞争性磋商文件要求制作、加密并递交。具体操作流程可参考《</w:t>
      </w:r>
      <w:r>
        <w:rPr>
          <w:rFonts w:hint="eastAsia" w:hAnsi="宋体"/>
          <w:color w:val="auto"/>
          <w:highlight w:val="none"/>
          <w:lang w:eastAsia="zh-CN"/>
        </w:rPr>
        <w:t>广西政府采购云平台</w:t>
      </w:r>
      <w:r>
        <w:rPr>
          <w:rFonts w:hint="eastAsia" w:hAnsi="宋体"/>
          <w:color w:val="auto"/>
          <w:highlight w:val="none"/>
        </w:rPr>
        <w:t>操作指南》，指南可在“</w:t>
      </w:r>
      <w:r>
        <w:rPr>
          <w:rFonts w:hint="eastAsia" w:hAnsi="宋体"/>
          <w:color w:val="auto"/>
          <w:highlight w:val="none"/>
          <w:lang w:eastAsia="zh-CN"/>
        </w:rPr>
        <w:t>广西政府采购云平台</w:t>
      </w:r>
      <w:r>
        <w:rPr>
          <w:rFonts w:hint="eastAsia" w:hAnsi="宋体"/>
          <w:color w:val="auto"/>
          <w:highlight w:val="none"/>
        </w:rPr>
        <w:t xml:space="preserve">”下载。 </w:t>
      </w:r>
    </w:p>
    <w:p w14:paraId="13A7A5E2">
      <w:pPr>
        <w:pStyle w:val="21"/>
        <w:adjustRightInd w:val="0"/>
        <w:snapToGrid w:val="0"/>
        <w:spacing w:line="400" w:lineRule="exact"/>
        <w:ind w:firstLine="420" w:firstLineChars="200"/>
        <w:jc w:val="left"/>
        <w:rPr>
          <w:rFonts w:hAnsi="宋体"/>
          <w:color w:val="auto"/>
          <w:highlight w:val="none"/>
        </w:rPr>
      </w:pPr>
      <w:r>
        <w:rPr>
          <w:rFonts w:hint="eastAsia" w:hAnsi="宋体" w:cs="宋体"/>
          <w:color w:val="auto"/>
          <w:highlight w:val="none"/>
        </w:rPr>
        <w:t>15.</w:t>
      </w:r>
      <w:r>
        <w:rPr>
          <w:rFonts w:hAnsi="宋体" w:cs="宋体"/>
          <w:color w:val="auto"/>
          <w:highlight w:val="none"/>
        </w:rPr>
        <w:t>7</w:t>
      </w:r>
      <w:r>
        <w:rPr>
          <w:rFonts w:hint="eastAsia" w:hAnsi="宋体"/>
          <w:color w:val="auto"/>
          <w:highlight w:val="none"/>
        </w:rPr>
        <w:t>电子备份响应文件系上传</w:t>
      </w:r>
      <w:r>
        <w:rPr>
          <w:rFonts w:hint="eastAsia" w:hAnsi="宋体"/>
          <w:color w:val="auto"/>
          <w:highlight w:val="none"/>
          <w:lang w:eastAsia="zh-CN"/>
        </w:rPr>
        <w:t>广西政府采购云</w:t>
      </w:r>
      <w:r>
        <w:rPr>
          <w:rFonts w:hint="eastAsia" w:hAnsi="宋体"/>
          <w:color w:val="auto"/>
          <w:highlight w:val="none"/>
        </w:rPr>
        <w:t xml:space="preserve">平台的响应文件电子版，按照本竞争性磋商文件要求制作。 </w:t>
      </w:r>
    </w:p>
    <w:p w14:paraId="561EC785">
      <w:pPr>
        <w:pStyle w:val="21"/>
        <w:adjustRightInd w:val="0"/>
        <w:snapToGrid w:val="0"/>
        <w:spacing w:line="400" w:lineRule="exact"/>
        <w:ind w:firstLine="420" w:firstLineChars="200"/>
        <w:jc w:val="left"/>
        <w:rPr>
          <w:rFonts w:hint="eastAsia"/>
          <w:color w:val="auto"/>
          <w:highlight w:val="none"/>
        </w:rPr>
      </w:pPr>
      <w:r>
        <w:rPr>
          <w:rFonts w:hint="eastAsia" w:hAnsi="宋体" w:cs="宋体"/>
          <w:color w:val="auto"/>
          <w:highlight w:val="none"/>
        </w:rPr>
        <w:t>15.</w:t>
      </w:r>
      <w:r>
        <w:rPr>
          <w:rFonts w:hAnsi="宋体" w:cs="宋体"/>
          <w:color w:val="auto"/>
          <w:highlight w:val="none"/>
        </w:rPr>
        <w:t>8</w:t>
      </w:r>
      <w:r>
        <w:rPr>
          <w:rFonts w:hint="eastAsia" w:hAnsi="宋体"/>
          <w:color w:val="auto"/>
          <w:highlight w:val="none"/>
        </w:rPr>
        <w:t>响应文件启用顺序和效力：响应文件的启用，按先后顺位分别为电子响应文件、以介质存储的数据电文形式的电子备份响应文件。全部供应商的电子响应文件均已按时解密的，以介质存储的数据电文形式的电子备份响应文件自动失效。如果某位供应商的电子响应文件无法按时解密的，其电子响应文件为无效，启用以介质存储的数据电文形式的电子备份响应文件。供应商未在“政府采购云平台”上传 “电子加密响应文件”，仅递交电子备份响应文件的，磋商无效。</w:t>
      </w:r>
    </w:p>
    <w:p w14:paraId="67AA6121">
      <w:pPr>
        <w:pStyle w:val="21"/>
        <w:adjustRightInd w:val="0"/>
        <w:snapToGrid w:val="0"/>
        <w:spacing w:line="400" w:lineRule="exact"/>
        <w:ind w:firstLine="422" w:firstLineChars="200"/>
        <w:jc w:val="left"/>
        <w:rPr>
          <w:rFonts w:hAnsi="宋体"/>
          <w:color w:val="auto"/>
          <w:highlight w:val="none"/>
        </w:rPr>
      </w:pPr>
      <w:r>
        <w:rPr>
          <w:rFonts w:hint="eastAsia" w:hAnsi="宋体" w:cs="宋体"/>
          <w:b/>
          <w:bCs/>
          <w:color w:val="auto"/>
          <w:highlight w:val="none"/>
          <w:lang w:val="en-US" w:eastAsia="zh-CN"/>
        </w:rPr>
        <w:t>15.9</w:t>
      </w:r>
      <w:r>
        <w:rPr>
          <w:rFonts w:hint="eastAsia" w:hAnsi="宋体" w:cs="宋体"/>
          <w:b/>
          <w:bCs/>
          <w:color w:val="auto"/>
          <w:highlight w:val="none"/>
        </w:rPr>
        <w:t>磋商响应文件中所提供的资格证明文件及相关材料若为复印件必须加盖磋商单位电子公章，否则视为无效。</w:t>
      </w:r>
      <w:r>
        <w:rPr>
          <w:rFonts w:hint="eastAsia" w:hAnsi="宋体"/>
          <w:color w:val="auto"/>
          <w:highlight w:val="none"/>
        </w:rPr>
        <w:t xml:space="preserve"> </w:t>
      </w:r>
    </w:p>
    <w:bookmarkEnd w:id="191"/>
    <w:p w14:paraId="6EB26F83">
      <w:pPr>
        <w:pStyle w:val="21"/>
        <w:adjustRightInd w:val="0"/>
        <w:snapToGrid w:val="0"/>
        <w:spacing w:line="400" w:lineRule="exact"/>
        <w:rPr>
          <w:rFonts w:hint="eastAsia" w:hAnsi="宋体" w:cs="宋体"/>
          <w:b/>
          <w:color w:val="auto"/>
          <w:szCs w:val="21"/>
          <w:highlight w:val="none"/>
        </w:rPr>
      </w:pPr>
      <w:r>
        <w:rPr>
          <w:rFonts w:hint="eastAsia" w:hAnsi="宋体" w:cs="宋体"/>
          <w:b/>
          <w:color w:val="auto"/>
          <w:szCs w:val="21"/>
          <w:highlight w:val="none"/>
        </w:rPr>
        <w:t>16.磋商保证金：</w:t>
      </w:r>
      <w:bookmarkStart w:id="192" w:name="_Hlk85728431"/>
      <w:r>
        <w:rPr>
          <w:rFonts w:hint="eastAsia" w:hAnsi="宋体" w:cs="宋体"/>
          <w:b/>
          <w:color w:val="auto"/>
          <w:szCs w:val="21"/>
          <w:highlight w:val="none"/>
        </w:rPr>
        <w:t>本项目不需要缴纳磋商保证金。</w:t>
      </w:r>
      <w:bookmarkEnd w:id="192"/>
    </w:p>
    <w:p w14:paraId="66A7A442">
      <w:pPr>
        <w:pStyle w:val="4"/>
        <w:keepNext w:val="0"/>
        <w:keepLines w:val="0"/>
        <w:adjustRightInd w:val="0"/>
        <w:snapToGrid w:val="0"/>
        <w:spacing w:line="400" w:lineRule="exact"/>
        <w:jc w:val="center"/>
        <w:rPr>
          <w:rFonts w:hint="eastAsia" w:ascii="宋体" w:hAnsi="宋体" w:cs="宋体"/>
          <w:color w:val="auto"/>
          <w:sz w:val="28"/>
          <w:highlight w:val="none"/>
        </w:rPr>
      </w:pPr>
      <w:bookmarkStart w:id="193" w:name="_Toc75182682"/>
      <w:bookmarkStart w:id="194" w:name="_Toc78294032"/>
      <w:bookmarkStart w:id="195" w:name="_Toc85085495"/>
      <w:r>
        <w:rPr>
          <w:rFonts w:hint="eastAsia" w:ascii="宋体" w:hAnsi="宋体" w:cs="宋体"/>
          <w:color w:val="auto"/>
          <w:sz w:val="28"/>
          <w:highlight w:val="none"/>
        </w:rPr>
        <w:t>(四) 磋商响应文件的递交</w:t>
      </w:r>
      <w:bookmarkEnd w:id="193"/>
      <w:bookmarkEnd w:id="194"/>
      <w:bookmarkEnd w:id="195"/>
    </w:p>
    <w:p w14:paraId="476AD58D">
      <w:pPr>
        <w:pStyle w:val="21"/>
        <w:adjustRightInd w:val="0"/>
        <w:snapToGrid w:val="0"/>
        <w:spacing w:line="400" w:lineRule="exact"/>
        <w:rPr>
          <w:rFonts w:hAnsi="宋体" w:cs="宋体"/>
          <w:b/>
          <w:color w:val="auto"/>
          <w:highlight w:val="none"/>
        </w:rPr>
      </w:pPr>
      <w:bookmarkStart w:id="196" w:name="_Toc85085496"/>
      <w:bookmarkStart w:id="197" w:name="_Toc78294033"/>
      <w:r>
        <w:rPr>
          <w:rFonts w:hint="eastAsia" w:hAnsi="宋体" w:cs="宋体"/>
          <w:b/>
          <w:color w:val="auto"/>
          <w:highlight w:val="none"/>
        </w:rPr>
        <w:t>17.磋商响应文件的密封与标记：/</w:t>
      </w:r>
    </w:p>
    <w:p w14:paraId="59085773">
      <w:pPr>
        <w:pStyle w:val="21"/>
        <w:adjustRightInd w:val="0"/>
        <w:snapToGrid w:val="0"/>
        <w:spacing w:line="400" w:lineRule="exact"/>
        <w:jc w:val="left"/>
        <w:rPr>
          <w:rFonts w:hint="eastAsia" w:hAnsi="宋体" w:eastAsia="宋体"/>
          <w:b/>
          <w:bCs/>
          <w:color w:val="auto"/>
          <w:highlight w:val="none"/>
          <w:lang w:eastAsia="zh-CN"/>
        </w:rPr>
      </w:pPr>
      <w:bookmarkStart w:id="198" w:name="_Toc482785081"/>
      <w:bookmarkStart w:id="199" w:name="_Toc26920"/>
      <w:r>
        <w:rPr>
          <w:rFonts w:hint="eastAsia" w:hAnsi="宋体"/>
          <w:b/>
          <w:bCs/>
          <w:color w:val="auto"/>
          <w:highlight w:val="none"/>
        </w:rPr>
        <w:t>18.</w:t>
      </w:r>
      <w:bookmarkStart w:id="200" w:name="_Toc514238609"/>
      <w:bookmarkStart w:id="201" w:name="_Toc55206470"/>
      <w:bookmarkStart w:id="202" w:name="_Toc277017142"/>
      <w:bookmarkStart w:id="203" w:name="_Toc277016802"/>
      <w:bookmarkStart w:id="204" w:name="_Toc277058925"/>
      <w:bookmarkStart w:id="205" w:name="_Toc277016220"/>
      <w:r>
        <w:rPr>
          <w:rFonts w:hint="eastAsia" w:hAnsi="宋体"/>
          <w:b/>
          <w:bCs/>
          <w:color w:val="auto"/>
          <w:highlight w:val="none"/>
        </w:rPr>
        <w:t>磋商响应文件的</w:t>
      </w:r>
      <w:bookmarkEnd w:id="200"/>
      <w:bookmarkEnd w:id="201"/>
      <w:r>
        <w:rPr>
          <w:rFonts w:hint="eastAsia" w:hAnsi="宋体"/>
          <w:b/>
          <w:bCs/>
          <w:color w:val="auto"/>
          <w:highlight w:val="none"/>
        </w:rPr>
        <w:t>递交</w:t>
      </w:r>
      <w:bookmarkEnd w:id="198"/>
      <w:bookmarkEnd w:id="199"/>
      <w:bookmarkEnd w:id="202"/>
      <w:bookmarkEnd w:id="203"/>
      <w:bookmarkEnd w:id="204"/>
      <w:bookmarkEnd w:id="205"/>
      <w:r>
        <w:rPr>
          <w:rFonts w:hint="eastAsia" w:hAnsi="宋体"/>
          <w:b/>
          <w:bCs/>
          <w:color w:val="auto"/>
          <w:highlight w:val="none"/>
          <w:lang w:eastAsia="zh-CN"/>
        </w:rPr>
        <w:t>：</w:t>
      </w:r>
    </w:p>
    <w:p w14:paraId="576FD60F">
      <w:pPr>
        <w:pStyle w:val="21"/>
        <w:adjustRightInd w:val="0"/>
        <w:snapToGrid w:val="0"/>
        <w:spacing w:line="400" w:lineRule="exact"/>
        <w:ind w:firstLine="422" w:firstLineChars="200"/>
        <w:rPr>
          <w:rFonts w:hint="eastAsia" w:hAnsi="宋体"/>
          <w:color w:val="auto"/>
          <w:highlight w:val="none"/>
        </w:rPr>
      </w:pPr>
      <w:r>
        <w:rPr>
          <w:rFonts w:hint="eastAsia" w:hAnsi="宋体" w:cs="宋体"/>
          <w:b/>
          <w:bCs/>
          <w:color w:val="auto"/>
          <w:highlight w:val="none"/>
        </w:rPr>
        <w:t>18</w:t>
      </w:r>
      <w:r>
        <w:rPr>
          <w:rFonts w:hint="eastAsia" w:hAnsi="宋体"/>
          <w:color w:val="auto"/>
          <w:highlight w:val="none"/>
        </w:rPr>
        <w:t>.1 所有响应文件应于竞争性磋商文件中规定的时间上传递交至</w:t>
      </w:r>
      <w:r>
        <w:rPr>
          <w:rFonts w:hint="eastAsia" w:hAnsi="宋体"/>
          <w:color w:val="auto"/>
          <w:highlight w:val="none"/>
          <w:lang w:eastAsia="zh-CN"/>
        </w:rPr>
        <w:t>广西政府采购云</w:t>
      </w:r>
      <w:r>
        <w:rPr>
          <w:rFonts w:hint="eastAsia" w:hAnsi="宋体"/>
          <w:color w:val="auto"/>
          <w:highlight w:val="none"/>
        </w:rPr>
        <w:t>平台。</w:t>
      </w:r>
    </w:p>
    <w:p w14:paraId="30B16604">
      <w:pPr>
        <w:pStyle w:val="21"/>
        <w:adjustRightInd w:val="0"/>
        <w:snapToGrid w:val="0"/>
        <w:spacing w:line="400" w:lineRule="exact"/>
        <w:ind w:firstLine="420" w:firstLineChars="200"/>
        <w:rPr>
          <w:rFonts w:hAnsi="宋体"/>
          <w:color w:val="auto"/>
          <w:highlight w:val="none"/>
        </w:rPr>
      </w:pPr>
      <w:r>
        <w:rPr>
          <w:rFonts w:hint="eastAsia" w:hAnsi="宋体"/>
          <w:color w:val="auto"/>
          <w:highlight w:val="none"/>
        </w:rPr>
        <w:t>1</w:t>
      </w:r>
      <w:r>
        <w:rPr>
          <w:rFonts w:hint="eastAsia" w:hAnsi="宋体" w:cs="宋体"/>
          <w:b/>
          <w:bCs/>
          <w:color w:val="auto"/>
          <w:highlight w:val="none"/>
        </w:rPr>
        <w:t>8</w:t>
      </w:r>
      <w:r>
        <w:rPr>
          <w:rFonts w:hint="eastAsia" w:hAnsi="宋体"/>
          <w:color w:val="auto"/>
          <w:highlight w:val="none"/>
        </w:rPr>
        <w:t xml:space="preserve">.2 电子响应文件的相关说明 </w:t>
      </w:r>
    </w:p>
    <w:p w14:paraId="423AC469">
      <w:pPr>
        <w:pStyle w:val="21"/>
        <w:adjustRightInd w:val="0"/>
        <w:snapToGrid w:val="0"/>
        <w:spacing w:line="400" w:lineRule="exact"/>
        <w:ind w:firstLine="420" w:firstLineChars="200"/>
        <w:rPr>
          <w:rFonts w:hAnsi="宋体"/>
          <w:color w:val="auto"/>
          <w:highlight w:val="none"/>
        </w:rPr>
      </w:pPr>
      <w:r>
        <w:rPr>
          <w:rFonts w:hint="eastAsia" w:hAnsi="宋体"/>
          <w:color w:val="auto"/>
          <w:highlight w:val="none"/>
        </w:rPr>
        <w:t>1</w:t>
      </w:r>
      <w:r>
        <w:rPr>
          <w:rFonts w:hint="eastAsia" w:hAnsi="宋体" w:cs="宋体"/>
          <w:b/>
          <w:bCs/>
          <w:color w:val="auto"/>
          <w:highlight w:val="none"/>
        </w:rPr>
        <w:t>8</w:t>
      </w:r>
      <w:r>
        <w:rPr>
          <w:rFonts w:hint="eastAsia" w:hAnsi="宋体"/>
          <w:color w:val="auto"/>
          <w:highlight w:val="none"/>
        </w:rPr>
        <w:t xml:space="preserve">.2.1 供应商进行电子竞标应安装客户端软件，并按照采购文件和电子交易平台的要求编制并加密响应文件。供应商未按规定加密的响应文件，电子交易平台将拒收。供应商应当在响应文件递交截止时间前完成响应文件的传输递交，并可以补充、修改或者撤回响应文件。补充或者修改响应文件的，应当先行撤回原文件，补充、修改后重新传输递交。响应文件递交截止时间前未完成传输的，视为撤回响应文件。响应文件递交截止时间后递交的响应文件，电子交易平台将拒收。 </w:t>
      </w:r>
    </w:p>
    <w:p w14:paraId="120AD6B1">
      <w:pPr>
        <w:pStyle w:val="21"/>
        <w:adjustRightInd w:val="0"/>
        <w:snapToGrid w:val="0"/>
        <w:spacing w:line="400" w:lineRule="exact"/>
        <w:ind w:firstLine="420" w:firstLineChars="200"/>
        <w:rPr>
          <w:rFonts w:hAnsi="宋体"/>
          <w:color w:val="auto"/>
          <w:highlight w:val="none"/>
        </w:rPr>
      </w:pPr>
      <w:r>
        <w:rPr>
          <w:rFonts w:hint="eastAsia" w:hAnsi="宋体"/>
          <w:color w:val="auto"/>
          <w:highlight w:val="none"/>
        </w:rPr>
        <w:t>1</w:t>
      </w:r>
      <w:r>
        <w:rPr>
          <w:rFonts w:hint="eastAsia" w:hAnsi="宋体" w:cs="宋体"/>
          <w:b/>
          <w:bCs/>
          <w:color w:val="auto"/>
          <w:highlight w:val="none"/>
        </w:rPr>
        <w:t>8</w:t>
      </w:r>
      <w:r>
        <w:rPr>
          <w:rFonts w:hint="eastAsia" w:hAnsi="宋体"/>
          <w:color w:val="auto"/>
          <w:highlight w:val="none"/>
        </w:rPr>
        <w:t xml:space="preserve">.2.2 供应商在电子交易平台传输递交响应文件后，必须在响应文件递交截止时间前提交电子备份响应文件，若供应商未提交电子备份响应文件，其后果由供应商自行承担。 </w:t>
      </w:r>
    </w:p>
    <w:p w14:paraId="24FB696A">
      <w:pPr>
        <w:autoSpaceDE w:val="0"/>
        <w:autoSpaceDN w:val="0"/>
        <w:adjustRightInd w:val="0"/>
        <w:spacing w:line="440" w:lineRule="exact"/>
        <w:ind w:firstLine="420" w:firstLineChars="200"/>
        <w:jc w:val="left"/>
        <w:rPr>
          <w:rFonts w:hint="eastAsia" w:ascii="宋体" w:hAnsi="宋体" w:cs="宋体"/>
          <w:color w:val="auto"/>
          <w:kern w:val="0"/>
          <w:szCs w:val="21"/>
          <w:highlight w:val="none"/>
        </w:rPr>
      </w:pPr>
      <w:r>
        <w:rPr>
          <w:rFonts w:hint="eastAsia" w:ascii="宋体" w:hAnsi="宋体"/>
          <w:color w:val="auto"/>
          <w:highlight w:val="none"/>
        </w:rPr>
        <w:t>18.2.</w:t>
      </w:r>
      <w:r>
        <w:rPr>
          <w:rFonts w:ascii="宋体" w:hAnsi="宋体"/>
          <w:color w:val="auto"/>
          <w:highlight w:val="none"/>
        </w:rPr>
        <w:t>3</w:t>
      </w:r>
      <w:r>
        <w:rPr>
          <w:rFonts w:hint="eastAsia" w:ascii="宋体" w:hAnsi="宋体"/>
          <w:color w:val="auto"/>
          <w:highlight w:val="none"/>
        </w:rPr>
        <w:t xml:space="preserve"> </w:t>
      </w:r>
      <w:r>
        <w:rPr>
          <w:rFonts w:hint="eastAsia" w:hAnsi="宋体"/>
          <w:color w:val="auto"/>
          <w:highlight w:val="none"/>
        </w:rPr>
        <w:t>如有特殊情况，本项目延长截止时间和开标时间，采购人、采购代理机构和供应商的权利和义务将受到新的截止时间和开标时间的约束。</w:t>
      </w:r>
    </w:p>
    <w:p w14:paraId="3612DB83">
      <w:pPr>
        <w:pStyle w:val="21"/>
        <w:adjustRightInd w:val="0"/>
        <w:snapToGrid w:val="0"/>
        <w:spacing w:line="400" w:lineRule="exact"/>
        <w:jc w:val="left"/>
        <w:rPr>
          <w:rFonts w:hint="eastAsia" w:hAnsi="宋体" w:cs="宋体"/>
          <w:b/>
          <w:color w:val="auto"/>
          <w:highlight w:val="none"/>
        </w:rPr>
      </w:pPr>
      <w:r>
        <w:rPr>
          <w:rFonts w:hint="eastAsia" w:hAnsi="宋体" w:cs="宋体"/>
          <w:b/>
          <w:color w:val="auto"/>
          <w:highlight w:val="none"/>
        </w:rPr>
        <w:t>19.磋商截止时间</w:t>
      </w:r>
    </w:p>
    <w:p w14:paraId="2DEDD42A">
      <w:pPr>
        <w:spacing w:line="400" w:lineRule="exact"/>
        <w:ind w:firstLine="417" w:firstLineChars="195"/>
        <w:rPr>
          <w:rFonts w:hint="eastAsia" w:ascii="宋体" w:hAnsi="宋体" w:cs="宋体"/>
          <w:color w:val="auto"/>
          <w:highlight w:val="none"/>
        </w:rPr>
      </w:pPr>
      <w:bookmarkStart w:id="206" w:name="_Toc277058927"/>
      <w:bookmarkStart w:id="207" w:name="_Toc277017144"/>
      <w:bookmarkStart w:id="208" w:name="_Toc55206472"/>
      <w:bookmarkStart w:id="209" w:name="_Toc277016804"/>
      <w:bookmarkStart w:id="210" w:name="_Toc277016222"/>
      <w:r>
        <w:rPr>
          <w:rFonts w:hint="eastAsia" w:ascii="宋体" w:hAnsi="宋体" w:cs="宋体"/>
          <w:color w:val="auto"/>
          <w:spacing w:val="2"/>
          <w:highlight w:val="none"/>
          <w:lang w:val="en-US" w:eastAsia="zh-CN"/>
        </w:rPr>
        <w:t>详见供应商须知前附表。</w:t>
      </w:r>
      <w:r>
        <w:rPr>
          <w:rFonts w:hint="eastAsia" w:ascii="宋体" w:hAnsi="宋体" w:cs="宋体"/>
          <w:color w:val="auto"/>
          <w:kern w:val="0"/>
          <w:szCs w:val="21"/>
          <w:highlight w:val="none"/>
        </w:rPr>
        <w:t>本项目为全流程电子标项目，无需供应商来开标现场递交响应文件，供应商授权委托代理人可以不用到开标现场参加开标（截标）会。代理机构将电话通知供应商进行磋商等相关事宜。</w:t>
      </w:r>
    </w:p>
    <w:p w14:paraId="1E09BC69">
      <w:pPr>
        <w:pStyle w:val="4"/>
        <w:spacing w:before="0" w:beforeLines="0" w:after="0" w:afterLines="0" w:line="440" w:lineRule="exact"/>
        <w:rPr>
          <w:rFonts w:hint="eastAsia" w:ascii="宋体" w:hAnsi="宋体" w:cs="宋体"/>
          <w:color w:val="auto"/>
          <w:kern w:val="0"/>
          <w:sz w:val="21"/>
          <w:szCs w:val="21"/>
          <w:highlight w:val="none"/>
        </w:rPr>
      </w:pPr>
      <w:bookmarkStart w:id="211" w:name="_Toc482785082"/>
      <w:bookmarkStart w:id="212" w:name="_Toc47088139"/>
      <w:bookmarkStart w:id="213" w:name="_Toc47088283"/>
      <w:bookmarkStart w:id="214" w:name="_Toc75182684"/>
      <w:r>
        <w:rPr>
          <w:rFonts w:hint="eastAsia" w:ascii="宋体" w:hAnsi="宋体" w:cs="宋体"/>
          <w:color w:val="auto"/>
          <w:kern w:val="0"/>
          <w:sz w:val="21"/>
          <w:szCs w:val="21"/>
          <w:highlight w:val="none"/>
        </w:rPr>
        <w:t>20、</w:t>
      </w:r>
      <w:bookmarkEnd w:id="206"/>
      <w:bookmarkEnd w:id="207"/>
      <w:bookmarkEnd w:id="208"/>
      <w:bookmarkEnd w:id="209"/>
      <w:bookmarkEnd w:id="210"/>
      <w:bookmarkEnd w:id="211"/>
      <w:bookmarkEnd w:id="212"/>
      <w:bookmarkEnd w:id="213"/>
      <w:bookmarkEnd w:id="214"/>
      <w:r>
        <w:rPr>
          <w:rFonts w:hint="eastAsia" w:ascii="宋体" w:hAnsi="宋体" w:cs="宋体"/>
          <w:color w:val="auto"/>
          <w:kern w:val="0"/>
          <w:sz w:val="21"/>
          <w:szCs w:val="21"/>
          <w:highlight w:val="none"/>
        </w:rPr>
        <w:t>磋商响应文件</w:t>
      </w:r>
      <w:r>
        <w:rPr>
          <w:rFonts w:hint="eastAsia" w:ascii="宋体" w:hAnsi="宋体" w:cs="宋体"/>
          <w:color w:val="auto"/>
          <w:kern w:val="0"/>
          <w:sz w:val="21"/>
          <w:szCs w:val="21"/>
          <w:highlight w:val="none"/>
          <w:lang w:val="en-US" w:eastAsia="zh-CN"/>
        </w:rPr>
        <w:t>的解密</w:t>
      </w:r>
    </w:p>
    <w:p w14:paraId="61D05C31">
      <w:pPr>
        <w:spacing w:line="440" w:lineRule="exact"/>
        <w:ind w:firstLine="420" w:firstLineChars="200"/>
        <w:rPr>
          <w:rFonts w:hint="eastAsia" w:ascii="宋体" w:hAnsi="宋体" w:cs="宋体"/>
          <w:color w:val="auto"/>
          <w:kern w:val="0"/>
          <w:szCs w:val="21"/>
          <w:highlight w:val="none"/>
        </w:rPr>
      </w:pPr>
      <w:r>
        <w:rPr>
          <w:rFonts w:hint="eastAsia" w:ascii="宋体" w:hAnsi="宋体" w:eastAsia="宋体" w:cs="宋体"/>
          <w:color w:val="auto"/>
          <w:sz w:val="21"/>
          <w:szCs w:val="21"/>
          <w:highlight w:val="none"/>
        </w:rPr>
        <w:t>响应文件提交截止时间后，代理机构向各供应商发出电子加密响应文件【开始解密】通知，代理机构发起解密通知后30分钟内，响应文件提交截止时间前已将生成的“电子加密响应文件”上传递交至</w:t>
      </w:r>
      <w:r>
        <w:rPr>
          <w:rFonts w:hint="eastAsia" w:ascii="宋体" w:hAnsi="宋体" w:eastAsia="宋体" w:cs="宋体"/>
          <w:color w:val="auto"/>
          <w:sz w:val="21"/>
          <w:szCs w:val="21"/>
          <w:highlight w:val="none"/>
          <w:lang w:eastAsia="zh-CN"/>
        </w:rPr>
        <w:t>广西政府采购云平台</w:t>
      </w:r>
      <w:r>
        <w:rPr>
          <w:rFonts w:hint="eastAsia" w:ascii="宋体" w:hAnsi="宋体" w:eastAsia="宋体" w:cs="宋体"/>
          <w:color w:val="auto"/>
          <w:sz w:val="21"/>
          <w:szCs w:val="21"/>
          <w:highlight w:val="none"/>
        </w:rPr>
        <w:t>的供应商，必须在此时间段内登录</w:t>
      </w:r>
      <w:r>
        <w:rPr>
          <w:rFonts w:hint="eastAsia" w:ascii="宋体" w:hAnsi="宋体" w:eastAsia="宋体" w:cs="宋体"/>
          <w:color w:val="auto"/>
          <w:sz w:val="21"/>
          <w:szCs w:val="21"/>
          <w:highlight w:val="none"/>
          <w:lang w:eastAsia="zh-CN"/>
        </w:rPr>
        <w:t>广西政府采购云平台</w:t>
      </w:r>
      <w:r>
        <w:rPr>
          <w:rFonts w:hint="eastAsia" w:ascii="宋体" w:hAnsi="宋体" w:eastAsia="宋体" w:cs="宋体"/>
          <w:color w:val="auto"/>
          <w:sz w:val="21"/>
          <w:szCs w:val="21"/>
          <w:highlight w:val="none"/>
        </w:rPr>
        <w:t>，用“项目采购-开标评标”功能完成电子响应文件的解密。供应商响应文件提交截止前通过“</w:t>
      </w:r>
      <w:r>
        <w:rPr>
          <w:rFonts w:hint="eastAsia" w:ascii="宋体" w:hAnsi="宋体" w:eastAsia="宋体" w:cs="宋体"/>
          <w:color w:val="auto"/>
          <w:sz w:val="21"/>
          <w:szCs w:val="21"/>
          <w:highlight w:val="none"/>
          <w:lang w:eastAsia="zh-CN"/>
        </w:rPr>
        <w:t>广西政府采购云平台</w:t>
      </w:r>
      <w:r>
        <w:rPr>
          <w:rFonts w:hint="eastAsia" w:ascii="宋体" w:hAnsi="宋体" w:eastAsia="宋体" w:cs="宋体"/>
          <w:color w:val="auto"/>
          <w:sz w:val="21"/>
          <w:szCs w:val="21"/>
          <w:highlight w:val="none"/>
        </w:rPr>
        <w:t>”上传递交的“电子加密响应文件”无法正常解密的，请及时联系代理机构，代理机构与项目归属监督部门备案后告知供应商通过邮件传输递交电子备份文件，通过邮件传输递交电子备份文件也必须在发起解密通知后30分钟内完成，逾期未完成传输的，拒收其响应文件。</w:t>
      </w:r>
    </w:p>
    <w:p w14:paraId="5826087D">
      <w:pPr>
        <w:pStyle w:val="21"/>
        <w:adjustRightInd w:val="0"/>
        <w:snapToGrid w:val="0"/>
        <w:spacing w:line="440" w:lineRule="exact"/>
        <w:rPr>
          <w:rFonts w:hint="eastAsia" w:hAnsi="宋体" w:cs="宋体"/>
          <w:color w:val="auto"/>
          <w:highlight w:val="none"/>
        </w:rPr>
      </w:pPr>
      <w:r>
        <w:rPr>
          <w:rFonts w:hint="eastAsia" w:hAnsi="宋体" w:cs="宋体"/>
          <w:b/>
          <w:color w:val="auto"/>
          <w:highlight w:val="none"/>
        </w:rPr>
        <w:t>21.磋商响应文件的修改及撤回</w:t>
      </w:r>
    </w:p>
    <w:p w14:paraId="3D29F8AE">
      <w:pPr>
        <w:spacing w:after="0" w:afterLines="0" w:line="440" w:lineRule="exact"/>
        <w:ind w:firstLine="422" w:firstLineChars="201"/>
        <w:rPr>
          <w:rFonts w:hint="eastAsia" w:ascii="宋体" w:hAnsi="宋体" w:eastAsia="宋体" w:cs="宋体"/>
          <w:b/>
          <w:bCs/>
          <w:color w:val="auto"/>
          <w:sz w:val="21"/>
          <w:szCs w:val="21"/>
          <w:highlight w:val="none"/>
        </w:rPr>
      </w:pPr>
      <w:r>
        <w:rPr>
          <w:rFonts w:hint="eastAsia" w:ascii="宋体" w:hAnsi="宋体" w:eastAsia="宋体" w:cs="宋体"/>
          <w:bCs/>
          <w:color w:val="auto"/>
          <w:kern w:val="2"/>
          <w:sz w:val="21"/>
          <w:szCs w:val="21"/>
          <w:highlight w:val="none"/>
          <w:lang w:val="en-US" w:eastAsia="zh-CN"/>
        </w:rPr>
        <w:t xml:space="preserve">21.1 </w:t>
      </w:r>
      <w:r>
        <w:rPr>
          <w:rFonts w:hint="eastAsia" w:ascii="宋体" w:hAnsi="宋体" w:eastAsia="宋体" w:cs="宋体"/>
          <w:bCs/>
          <w:color w:val="auto"/>
          <w:kern w:val="2"/>
          <w:sz w:val="21"/>
          <w:szCs w:val="21"/>
          <w:highlight w:val="none"/>
        </w:rPr>
        <w:t>供应商应当在响应文件递交截止时间前，将生成的“电子加密响应文件”上传递交至</w:t>
      </w:r>
      <w:r>
        <w:rPr>
          <w:rFonts w:hint="eastAsia" w:ascii="宋体" w:hAnsi="宋体" w:eastAsia="宋体" w:cs="宋体"/>
          <w:bCs/>
          <w:color w:val="auto"/>
          <w:kern w:val="2"/>
          <w:sz w:val="21"/>
          <w:szCs w:val="21"/>
          <w:highlight w:val="none"/>
          <w:lang w:eastAsia="zh-CN"/>
        </w:rPr>
        <w:t>广西政府采购云平台</w:t>
      </w:r>
      <w:r>
        <w:rPr>
          <w:rFonts w:hint="eastAsia" w:ascii="宋体" w:hAnsi="宋体" w:eastAsia="宋体" w:cs="宋体"/>
          <w:bCs/>
          <w:color w:val="auto"/>
          <w:kern w:val="2"/>
          <w:sz w:val="21"/>
          <w:szCs w:val="21"/>
          <w:highlight w:val="none"/>
        </w:rPr>
        <w:t>。响应文件递交截止时间前可以补充、修改或者撤回电子响应文件。补充或者修改电子响应文件的，应当先行撤回原文件，补充、修改后重新传输递交，响应文件递交截止时间前未完成传输的，视为撤回响应文件。</w:t>
      </w:r>
    </w:p>
    <w:bookmarkEnd w:id="196"/>
    <w:bookmarkEnd w:id="197"/>
    <w:p w14:paraId="5C3778B7">
      <w:pPr>
        <w:pStyle w:val="4"/>
        <w:keepNext w:val="0"/>
        <w:keepLines w:val="0"/>
        <w:adjustRightInd w:val="0"/>
        <w:snapToGrid w:val="0"/>
        <w:spacing w:line="480" w:lineRule="exact"/>
        <w:jc w:val="center"/>
        <w:rPr>
          <w:rFonts w:hint="eastAsia" w:ascii="宋体" w:hAnsi="宋体" w:cs="宋体"/>
          <w:color w:val="auto"/>
          <w:sz w:val="28"/>
          <w:highlight w:val="none"/>
        </w:rPr>
      </w:pPr>
      <w:bookmarkStart w:id="215" w:name="_Toc211398810"/>
      <w:bookmarkStart w:id="216" w:name="_Toc75182685"/>
      <w:bookmarkStart w:id="217" w:name="_Toc65237652"/>
      <w:bookmarkStart w:id="218" w:name="_Toc78294034"/>
      <w:bookmarkStart w:id="219" w:name="_Toc85085497"/>
      <w:r>
        <w:rPr>
          <w:rFonts w:hint="eastAsia" w:ascii="宋体" w:hAnsi="宋体" w:cs="宋体"/>
          <w:color w:val="auto"/>
          <w:sz w:val="28"/>
          <w:highlight w:val="none"/>
        </w:rPr>
        <w:t>(五) 磋商与评标</w:t>
      </w:r>
      <w:bookmarkEnd w:id="215"/>
      <w:bookmarkEnd w:id="216"/>
      <w:bookmarkEnd w:id="217"/>
    </w:p>
    <w:p w14:paraId="4714FB01">
      <w:pPr>
        <w:pStyle w:val="4"/>
        <w:spacing w:before="0" w:beforeLines="0" w:after="0" w:afterLines="0" w:line="440" w:lineRule="exact"/>
        <w:rPr>
          <w:rFonts w:hint="eastAsia" w:ascii="宋体" w:hAnsi="宋体" w:cs="宋体"/>
          <w:color w:val="auto"/>
          <w:kern w:val="0"/>
          <w:sz w:val="21"/>
          <w:szCs w:val="21"/>
          <w:highlight w:val="none"/>
        </w:rPr>
      </w:pPr>
      <w:bookmarkStart w:id="220" w:name="_Toc269225986"/>
      <w:bookmarkStart w:id="221" w:name="_Toc256265773"/>
      <w:bookmarkStart w:id="222" w:name="_Toc256424762"/>
      <w:bookmarkStart w:id="223" w:name="_Toc246259637"/>
      <w:bookmarkStart w:id="224" w:name="_Toc236815995"/>
      <w:bookmarkStart w:id="225" w:name="_Toc246693206"/>
      <w:bookmarkStart w:id="226" w:name="_Toc245915331"/>
      <w:r>
        <w:rPr>
          <w:rFonts w:hint="eastAsia" w:ascii="宋体" w:hAnsi="宋体" w:cs="宋体"/>
          <w:color w:val="auto"/>
          <w:kern w:val="0"/>
          <w:sz w:val="21"/>
          <w:szCs w:val="21"/>
          <w:highlight w:val="none"/>
        </w:rPr>
        <w:t>22．磋商</w:t>
      </w:r>
      <w:bookmarkEnd w:id="220"/>
      <w:bookmarkEnd w:id="221"/>
      <w:bookmarkEnd w:id="222"/>
      <w:bookmarkEnd w:id="223"/>
      <w:bookmarkEnd w:id="224"/>
      <w:bookmarkEnd w:id="225"/>
      <w:bookmarkEnd w:id="226"/>
      <w:r>
        <w:rPr>
          <w:rFonts w:hint="eastAsia" w:ascii="宋体" w:hAnsi="宋体" w:cs="宋体"/>
          <w:color w:val="auto"/>
          <w:kern w:val="0"/>
          <w:sz w:val="21"/>
          <w:szCs w:val="21"/>
          <w:highlight w:val="none"/>
        </w:rPr>
        <w:t xml:space="preserve"> </w:t>
      </w:r>
    </w:p>
    <w:p w14:paraId="225EC832">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22.1</w:t>
      </w:r>
      <w:r>
        <w:rPr>
          <w:rFonts w:hint="eastAsia" w:ascii="宋体" w:hAnsi="宋体" w:eastAsia="宋体" w:cs="宋体"/>
          <w:color w:val="auto"/>
          <w:sz w:val="21"/>
          <w:szCs w:val="21"/>
          <w:highlight w:val="none"/>
        </w:rPr>
        <w:t>磋商时间及地点：按须知前附表规定。</w:t>
      </w:r>
    </w:p>
    <w:p w14:paraId="53DE05D4">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22.2</w:t>
      </w:r>
      <w:r>
        <w:rPr>
          <w:rFonts w:hint="eastAsia" w:ascii="宋体" w:hAnsi="宋体" w:eastAsia="宋体" w:cs="宋体"/>
          <w:color w:val="auto"/>
          <w:sz w:val="21"/>
          <w:szCs w:val="21"/>
          <w:highlight w:val="none"/>
        </w:rPr>
        <w:t>供应商参加磋商需要携带的材料：按须知前附表规定。</w:t>
      </w:r>
    </w:p>
    <w:p w14:paraId="4308A312">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w:t>
      </w:r>
      <w:r>
        <w:rPr>
          <w:rFonts w:hint="eastAsia" w:ascii="宋体" w:hAnsi="宋体" w:eastAsia="宋体" w:cs="宋体"/>
          <w:color w:val="auto"/>
          <w:sz w:val="21"/>
          <w:szCs w:val="21"/>
          <w:highlight w:val="none"/>
        </w:rPr>
        <w:t>.3在磋商过程中，磋商小组可以根据磋商文件和磋商情况实质性变动采购需求中的技术、服务要求以及合同草案条款，但不得变动磋商文件中的其他内容。实质性变动的内容，须经采购人代表确认。</w:t>
      </w:r>
    </w:p>
    <w:p w14:paraId="73D4B578">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对磋商文件作出的实质性变动是磋商文件的有效组成部分，磋商小组应当及时以</w:t>
      </w:r>
      <w:r>
        <w:rPr>
          <w:rFonts w:hint="eastAsia" w:ascii="宋体" w:hAnsi="宋体" w:eastAsia="宋体" w:cs="宋体"/>
          <w:color w:val="auto"/>
          <w:sz w:val="21"/>
          <w:szCs w:val="21"/>
          <w:highlight w:val="none"/>
          <w:lang w:val="en-US" w:eastAsia="zh-CN"/>
        </w:rPr>
        <w:t>电子</w:t>
      </w:r>
      <w:r>
        <w:rPr>
          <w:rFonts w:hint="eastAsia" w:ascii="宋体" w:hAnsi="宋体" w:eastAsia="宋体" w:cs="宋体"/>
          <w:color w:val="auto"/>
          <w:sz w:val="21"/>
          <w:szCs w:val="21"/>
          <w:highlight w:val="none"/>
        </w:rPr>
        <w:t>形式同时通知所有参加磋商的供应商。</w:t>
      </w:r>
    </w:p>
    <w:p w14:paraId="510137A1">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应当按照磋商文件的变动情况和磋商小组的要求重新提交响应文件，并由其法定代表人（负责人）或授权代表签字或者加盖公章。由授权代表签字的，应当附法定代表人（负责人）授权书。供应商为自然人的，应当由本人签字并附身份证明。</w:t>
      </w:r>
    </w:p>
    <w:p w14:paraId="362B8D07">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磋商过程中，磋商的任何一方不得透露与磋商有关的其他供应商的技术资料、价格和其他信息。</w:t>
      </w:r>
    </w:p>
    <w:p w14:paraId="2D8F0DE4">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供应商未在通知的时间内参加磋商的，或未提交书面说明退出磋商的，或未在规定时间内提交书面应答文件和最后报价的，视为供应商自动放弃磋商。</w:t>
      </w:r>
    </w:p>
    <w:p w14:paraId="28B995DD">
      <w:pPr>
        <w:tabs>
          <w:tab w:val="left" w:pos="540"/>
        </w:tabs>
        <w:spacing w:after="0" w:afterLines="0" w:line="440" w:lineRule="exact"/>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22.4</w:t>
      </w:r>
      <w:r>
        <w:rPr>
          <w:rFonts w:hint="eastAsia" w:ascii="宋体" w:hAnsi="宋体" w:eastAsia="宋体" w:cs="宋体"/>
          <w:b/>
          <w:color w:val="auto"/>
          <w:sz w:val="21"/>
          <w:szCs w:val="21"/>
          <w:highlight w:val="none"/>
        </w:rPr>
        <w:t>最后报价</w:t>
      </w:r>
    </w:p>
    <w:p w14:paraId="25AB2F43">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22.4.1</w:t>
      </w:r>
      <w:r>
        <w:rPr>
          <w:rFonts w:hint="eastAsia" w:ascii="宋体" w:hAnsi="宋体" w:eastAsia="宋体" w:cs="宋体"/>
          <w:color w:val="auto"/>
          <w:sz w:val="21"/>
          <w:szCs w:val="21"/>
          <w:highlight w:val="none"/>
        </w:rPr>
        <w:t>磋商文件能够详细列明采购标的的技术、服务要求的，磋商结束后，由磋商小组要求所有继续参加磋商的供应商在规定时间内密封提交最后报价，除本章第</w:t>
      </w: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4条外，提交最后报价的供应商不得少于3家，否则必须重新采购。</w:t>
      </w:r>
    </w:p>
    <w:p w14:paraId="2692F8BA">
      <w:pPr>
        <w:tabs>
          <w:tab w:val="left" w:pos="540"/>
        </w:tabs>
        <w:spacing w:after="0" w:afterLines="0" w:line="440" w:lineRule="exact"/>
        <w:ind w:firstLine="424" w:firstLineChars="201"/>
        <w:rPr>
          <w:rFonts w:hint="eastAsia"/>
          <w:b/>
          <w:bCs w:val="0"/>
          <w:color w:val="auto"/>
          <w:highlight w:val="none"/>
        </w:rPr>
      </w:pPr>
      <w:r>
        <w:rPr>
          <w:rFonts w:hint="eastAsia" w:ascii="宋体" w:hAnsi="宋体" w:cs="宋体"/>
          <w:b/>
          <w:bCs w:val="0"/>
          <w:color w:val="auto"/>
          <w:highlight w:val="none"/>
          <w:u w:val="none"/>
        </w:rPr>
        <w:t>最终报价时</w:t>
      </w:r>
      <w:r>
        <w:rPr>
          <w:rFonts w:hint="eastAsia" w:ascii="宋体" w:hAnsi="宋体" w:cs="宋体"/>
          <w:b/>
          <w:bCs w:val="0"/>
          <w:color w:val="auto"/>
          <w:highlight w:val="none"/>
          <w:u w:val="none"/>
          <w:lang w:val="en-US" w:eastAsia="zh-CN"/>
        </w:rPr>
        <w:t>专家评审小组组长在广西政府采购云系统上开启最终报价程序</w:t>
      </w:r>
      <w:r>
        <w:rPr>
          <w:rFonts w:hint="eastAsia" w:ascii="宋体" w:hAnsi="宋体" w:cs="宋体"/>
          <w:b/>
          <w:bCs w:val="0"/>
          <w:color w:val="auto"/>
          <w:highlight w:val="none"/>
          <w:u w:val="none"/>
        </w:rPr>
        <w:t>，所有继续参加磋商的供应商</w:t>
      </w:r>
      <w:r>
        <w:rPr>
          <w:rFonts w:hint="eastAsia" w:ascii="宋体" w:hAnsi="宋体" w:cs="宋体"/>
          <w:b/>
          <w:bCs w:val="0"/>
          <w:color w:val="auto"/>
          <w:highlight w:val="none"/>
          <w:u w:val="none"/>
          <w:lang w:val="en-US" w:eastAsia="zh-CN"/>
        </w:rPr>
        <w:t>在接到系统短信提醒或代理电话通知后，必须</w:t>
      </w:r>
      <w:r>
        <w:rPr>
          <w:rFonts w:hint="eastAsia" w:ascii="宋体" w:hAnsi="宋体" w:cs="宋体"/>
          <w:b/>
          <w:bCs w:val="0"/>
          <w:color w:val="auto"/>
          <w:highlight w:val="none"/>
          <w:u w:val="none"/>
        </w:rPr>
        <w:t>在规定时间内提交最终报价</w:t>
      </w:r>
      <w:r>
        <w:rPr>
          <w:rFonts w:hint="eastAsia" w:ascii="宋体" w:hAnsi="宋体" w:cs="宋体"/>
          <w:b/>
          <w:bCs w:val="0"/>
          <w:color w:val="auto"/>
          <w:highlight w:val="none"/>
          <w:u w:val="none"/>
          <w:lang w:eastAsia="zh-CN"/>
        </w:rPr>
        <w:t>，</w:t>
      </w:r>
      <w:r>
        <w:rPr>
          <w:rFonts w:hint="eastAsia" w:ascii="宋体" w:hAnsi="宋体" w:cs="宋体"/>
          <w:b/>
          <w:bCs w:val="0"/>
          <w:color w:val="auto"/>
          <w:highlight w:val="none"/>
          <w:u w:val="none"/>
        </w:rPr>
        <w:t>因此各供应商必须提前做好相关准备并按时递交最终报价文件</w:t>
      </w:r>
      <w:r>
        <w:rPr>
          <w:rFonts w:hint="eastAsia" w:ascii="宋体" w:hAnsi="宋体" w:cs="宋体"/>
          <w:b/>
          <w:bCs w:val="0"/>
          <w:color w:val="auto"/>
          <w:highlight w:val="none"/>
          <w:u w:val="none"/>
          <w:lang w:eastAsia="zh-CN"/>
        </w:rPr>
        <w:t>【</w:t>
      </w:r>
      <w:r>
        <w:rPr>
          <w:rFonts w:hint="eastAsia" w:ascii="宋体" w:hAnsi="宋体" w:cs="宋体"/>
          <w:b/>
          <w:bCs w:val="0"/>
          <w:color w:val="auto"/>
          <w:highlight w:val="none"/>
          <w:u w:val="none"/>
        </w:rPr>
        <w:t>最终报价不得以总价报价或总价下浮的方式（最终报价与首次报价的总价及投标报价表完全一致除外，但在最终报价时必须写明清楚）</w:t>
      </w:r>
      <w:r>
        <w:rPr>
          <w:rFonts w:hint="eastAsia" w:ascii="宋体" w:hAnsi="宋体" w:cs="宋体"/>
          <w:b/>
          <w:bCs w:val="0"/>
          <w:color w:val="auto"/>
          <w:highlight w:val="none"/>
          <w:u w:val="none"/>
          <w:lang w:eastAsia="zh-CN"/>
        </w:rPr>
        <w:t>】；</w:t>
      </w:r>
      <w:r>
        <w:rPr>
          <w:rFonts w:hint="eastAsia" w:ascii="宋体" w:hAnsi="宋体" w:cs="宋体"/>
          <w:b/>
          <w:bCs w:val="0"/>
          <w:color w:val="auto"/>
          <w:highlight w:val="none"/>
          <w:u w:val="none"/>
          <w:lang w:val="en-US" w:eastAsia="zh-CN"/>
        </w:rPr>
        <w:t>如</w:t>
      </w:r>
      <w:r>
        <w:rPr>
          <w:rFonts w:hint="eastAsia" w:ascii="宋体" w:hAnsi="宋体" w:cs="宋体"/>
          <w:b/>
          <w:bCs w:val="0"/>
          <w:color w:val="auto"/>
          <w:highlight w:val="none"/>
          <w:u w:val="none"/>
        </w:rPr>
        <w:t>各供应商的最终报价</w:t>
      </w:r>
      <w:r>
        <w:rPr>
          <w:rFonts w:hint="eastAsia" w:ascii="宋体" w:hAnsi="宋体" w:cs="宋体"/>
          <w:b/>
          <w:bCs w:val="0"/>
          <w:color w:val="auto"/>
          <w:highlight w:val="none"/>
          <w:u w:val="none"/>
          <w:lang w:val="en-US" w:eastAsia="zh-CN"/>
        </w:rPr>
        <w:t>有变动的，则</w:t>
      </w:r>
      <w:r>
        <w:rPr>
          <w:rFonts w:hint="eastAsia" w:ascii="宋体" w:hAnsi="宋体" w:cs="宋体"/>
          <w:b/>
          <w:bCs w:val="0"/>
          <w:color w:val="auto"/>
          <w:highlight w:val="none"/>
          <w:u w:val="none"/>
        </w:rPr>
        <w:t>必须</w:t>
      </w:r>
      <w:r>
        <w:rPr>
          <w:rFonts w:hint="eastAsia" w:ascii="宋体" w:hAnsi="宋体" w:cs="宋体"/>
          <w:b/>
          <w:bCs w:val="0"/>
          <w:color w:val="auto"/>
          <w:highlight w:val="none"/>
          <w:u w:val="none"/>
          <w:lang w:val="en-US" w:eastAsia="zh-CN"/>
        </w:rPr>
        <w:t>重新提交</w:t>
      </w:r>
      <w:r>
        <w:rPr>
          <w:rFonts w:hint="eastAsia" w:ascii="宋体" w:hAnsi="宋体" w:cs="宋体"/>
          <w:b/>
          <w:bCs w:val="0"/>
          <w:color w:val="auto"/>
          <w:highlight w:val="none"/>
          <w:u w:val="none"/>
        </w:rPr>
        <w:t>以投标报价表的格式编制</w:t>
      </w:r>
      <w:r>
        <w:rPr>
          <w:rFonts w:hint="eastAsia" w:ascii="宋体" w:hAnsi="宋体" w:cs="宋体"/>
          <w:b/>
          <w:bCs w:val="0"/>
          <w:color w:val="auto"/>
          <w:highlight w:val="none"/>
          <w:u w:val="none"/>
          <w:lang w:val="en-US" w:eastAsia="zh-CN"/>
        </w:rPr>
        <w:t>的</w:t>
      </w:r>
      <w:r>
        <w:rPr>
          <w:rFonts w:hint="eastAsia" w:ascii="宋体" w:hAnsi="宋体" w:cs="宋体"/>
          <w:b/>
          <w:bCs w:val="0"/>
          <w:color w:val="auto"/>
          <w:highlight w:val="none"/>
          <w:u w:val="none"/>
        </w:rPr>
        <w:t>最终报价，否则，作无效标处理。最终报价高于招标控制价的响应文件作无效标处理。</w:t>
      </w:r>
    </w:p>
    <w:p w14:paraId="48A727D8">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2磋商文件不能详细列明采购标的的技术、服务要求，需经磋商由供应商提供最后设计方案或者解决方案的，磋商结束后，由磋商小组按照少数服从多数的原则投票推荐3家以上供应商的设计方案或者解决方案，并要求其在规定时间内密封提交最后报价。</w:t>
      </w:r>
    </w:p>
    <w:p w14:paraId="088DEE83">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3 最后报价是供应商响应文件的有效组成部分。符合《政府采购竞争性磋商采购方式管理暂行办法》（财库〔2014〕214号）第三条第四项“市场竞争不充分的科研项目，以及需要扶持的科技成果转化项目”的，提交最后报价的供应商可以为2家。</w:t>
      </w:r>
    </w:p>
    <w:p w14:paraId="2BAD5801">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4已经提交响应文件的供应商，在提交最后报价之前，可以根据磋商情况退出磋商，退出磋商的供应商的响应文件按无效响应处理。</w:t>
      </w:r>
    </w:p>
    <w:p w14:paraId="0C31B17A">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5供应商未在规定时间内提交最后报价的，视同退出磋商。</w:t>
      </w:r>
    </w:p>
    <w:p w14:paraId="4AA5ED04">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6磋商小组收齐某一分标最后报价后统一开启，磋商小组对最后报价进行有效性、完整性和响应程度的审查。</w:t>
      </w:r>
    </w:p>
    <w:p w14:paraId="2A808017">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7最终响应文件的报价出现前后不一致的，按照本章第</w:t>
      </w:r>
      <w:r>
        <w:rPr>
          <w:rFonts w:hint="eastAsia" w:ascii="宋体" w:hAnsi="宋体" w:eastAsia="宋体" w:cs="宋体"/>
          <w:color w:val="auto"/>
          <w:sz w:val="21"/>
          <w:szCs w:val="21"/>
          <w:highlight w:val="none"/>
          <w:lang w:val="en-US" w:eastAsia="zh-CN"/>
        </w:rPr>
        <w:t>21</w:t>
      </w:r>
      <w:r>
        <w:rPr>
          <w:rFonts w:hint="eastAsia" w:ascii="宋体" w:hAnsi="宋体" w:eastAsia="宋体" w:cs="宋体"/>
          <w:color w:val="auto"/>
          <w:sz w:val="21"/>
          <w:szCs w:val="21"/>
          <w:highlight w:val="none"/>
        </w:rPr>
        <w:t xml:space="preserve">条的规定修正。 </w:t>
      </w:r>
    </w:p>
    <w:p w14:paraId="0180C13B">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8修正后的最终报价出现下列情形的，按无效响应处理：</w:t>
      </w:r>
    </w:p>
    <w:p w14:paraId="75075DF3">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（1）供应商不确认的（全流程电子化评标采取在线确认）；</w:t>
      </w:r>
    </w:p>
    <w:p w14:paraId="11C03B69">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（2）经供应商确认修正后的响应报价（包含首次报价、最后报价）超过所竞标分标规定的采购预算金额或者最高限价的（如本项目公布了最高限价）；</w:t>
      </w:r>
    </w:p>
    <w:p w14:paraId="7C9CEB8A">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（3）经供应商确认修正后的响应报价（包含首次报价、最后报价）超过分项采购预算金额或者最高限价的（如本项目公布了最高限价）。</w:t>
      </w:r>
    </w:p>
    <w:p w14:paraId="0156374D">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9经供应商确认修正后的最后报价作为评审及签订合同的依据。</w:t>
      </w:r>
    </w:p>
    <w:p w14:paraId="24CEC59A">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.10供应商出现最后报价按无效响应处理或者响应文件按无效处理时，磋商小组应当告知有关供应商。</w:t>
      </w:r>
    </w:p>
    <w:p w14:paraId="766EB4E6">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11最后报价结束后，磋商小组不得再与供应商进行任何形式的商谈。</w:t>
      </w:r>
    </w:p>
    <w:p w14:paraId="6DA166E8">
      <w:pPr>
        <w:tabs>
          <w:tab w:val="left" w:pos="540"/>
        </w:tabs>
        <w:spacing w:after="0" w:afterLines="0" w:line="440" w:lineRule="exact"/>
        <w:ind w:firstLine="424" w:firstLineChars="20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22.5</w:t>
      </w:r>
      <w:r>
        <w:rPr>
          <w:rFonts w:hint="eastAsia" w:ascii="宋体" w:hAnsi="宋体" w:eastAsia="宋体" w:cs="宋体"/>
          <w:b/>
          <w:color w:val="auto"/>
          <w:sz w:val="21"/>
          <w:szCs w:val="21"/>
          <w:highlight w:val="none"/>
        </w:rPr>
        <w:t>评审与比较</w:t>
      </w:r>
    </w:p>
    <w:p w14:paraId="066FBBDB">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评审方法：综合评分法。</w:t>
      </w:r>
    </w:p>
    <w:p w14:paraId="13FBD6C9">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22.5.1</w:t>
      </w:r>
      <w:r>
        <w:rPr>
          <w:rFonts w:hint="eastAsia" w:ascii="宋体" w:hAnsi="宋体" w:eastAsia="宋体" w:cs="宋体"/>
          <w:color w:val="auto"/>
          <w:sz w:val="21"/>
          <w:szCs w:val="21"/>
          <w:highlight w:val="none"/>
        </w:rPr>
        <w:t>经磋商确定最终采购需求和提交最后报价的供应商后，由磋商小组采用综合评分法对提交最后报价的供应商的响应文件和最后报价进行综合评分。</w:t>
      </w:r>
    </w:p>
    <w:p w14:paraId="466AD6AA">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22.5.2</w:t>
      </w:r>
      <w:r>
        <w:rPr>
          <w:rFonts w:hint="eastAsia" w:ascii="宋体" w:hAnsi="宋体" w:eastAsia="宋体" w:cs="宋体"/>
          <w:color w:val="auto"/>
          <w:sz w:val="21"/>
          <w:szCs w:val="21"/>
          <w:highlight w:val="none"/>
        </w:rPr>
        <w:t>评审时，磋商小组各成员应当独立对每个有效响应的文件进行评价、打分，然后汇总每个供应商每项评分因素的得分。</w:t>
      </w:r>
    </w:p>
    <w:p w14:paraId="0CEF0F7F">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（1）磋商小组按照磋商文件中规定的评审标准计算各供应商的报价得分。项目评审过程中，不得去掉最后报价中的最高报价和最低报价。</w:t>
      </w:r>
    </w:p>
    <w:p w14:paraId="07584799">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（2）各供应商的得分为磋商小组所有成员的有效评分的算术平均数。</w:t>
      </w:r>
    </w:p>
    <w:p w14:paraId="1CC5B22B">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22.5.3</w:t>
      </w:r>
      <w:r>
        <w:rPr>
          <w:rFonts w:hint="eastAsia" w:ascii="宋体" w:hAnsi="宋体" w:eastAsia="宋体" w:cs="宋体"/>
          <w:color w:val="auto"/>
          <w:sz w:val="21"/>
          <w:szCs w:val="21"/>
          <w:highlight w:val="none"/>
        </w:rPr>
        <w:t>评审价为供应商的最后报价进行政策性扣除后的价格，评审价只是作为评审时使用。最终成交供应商的成交金额等于最后报价（如有修正，以确认修正后的最后报价为准）。</w:t>
      </w:r>
    </w:p>
    <w:p w14:paraId="0CD942A2">
      <w:pPr>
        <w:tabs>
          <w:tab w:val="left" w:pos="540"/>
        </w:tabs>
        <w:spacing w:after="0" w:afterLines="0" w:line="440" w:lineRule="exact"/>
        <w:ind w:firstLine="422" w:firstLineChars="201"/>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22.5.4</w:t>
      </w:r>
      <w:r>
        <w:rPr>
          <w:rFonts w:hint="eastAsia" w:ascii="宋体" w:hAnsi="宋体" w:eastAsia="宋体" w:cs="宋体"/>
          <w:color w:val="auto"/>
          <w:sz w:val="21"/>
          <w:szCs w:val="21"/>
          <w:highlight w:val="none"/>
        </w:rPr>
        <w:t>由磋商小组根据综合评分情况，按照评审得分由高到低顺序推荐3名以上成交候选供应商，并编写评</w:t>
      </w:r>
      <w:r>
        <w:rPr>
          <w:rFonts w:hint="eastAsia" w:ascii="宋体" w:hAnsi="宋体" w:eastAsia="宋体" w:cs="宋体"/>
          <w:color w:val="auto"/>
          <w:kern w:val="0"/>
          <w:sz w:val="21"/>
          <w:szCs w:val="21"/>
          <w:highlight w:val="none"/>
        </w:rPr>
        <w:t>审报告。符合本章第</w:t>
      </w:r>
      <w:r>
        <w:rPr>
          <w:rFonts w:hint="eastAsia" w:ascii="宋体" w:hAnsi="宋体" w:eastAsia="宋体" w:cs="宋体"/>
          <w:b w:val="0"/>
          <w:bCs/>
          <w:color w:val="auto"/>
          <w:sz w:val="21"/>
          <w:szCs w:val="21"/>
          <w:highlight w:val="none"/>
          <w:lang w:val="en-US" w:eastAsia="zh-CN"/>
        </w:rPr>
        <w:t>22.4.</w:t>
      </w:r>
      <w:r>
        <w:rPr>
          <w:rFonts w:hint="eastAsia" w:ascii="宋体" w:hAnsi="宋体" w:eastAsia="宋体" w:cs="宋体"/>
          <w:color w:val="auto"/>
          <w:sz w:val="21"/>
          <w:szCs w:val="21"/>
          <w:highlight w:val="none"/>
        </w:rPr>
        <w:t>4</w:t>
      </w:r>
      <w:r>
        <w:rPr>
          <w:rFonts w:hint="eastAsia" w:ascii="宋体" w:hAnsi="宋体" w:eastAsia="宋体" w:cs="宋体"/>
          <w:color w:val="auto"/>
          <w:kern w:val="0"/>
          <w:sz w:val="21"/>
          <w:szCs w:val="21"/>
          <w:highlight w:val="none"/>
        </w:rPr>
        <w:t>条情形的，可以推荐2家成交候选供应商。评审得分相同的，按照最后报价由低到高的顺序推荐。评审得分且最后报价相同的，按照技术指标优劣顺序推荐。</w:t>
      </w:r>
    </w:p>
    <w:p w14:paraId="7A4E2E8B">
      <w:pPr>
        <w:tabs>
          <w:tab w:val="left" w:pos="540"/>
        </w:tabs>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22.5.5</w:t>
      </w:r>
      <w:r>
        <w:rPr>
          <w:rFonts w:hint="eastAsia" w:ascii="宋体" w:hAnsi="宋体" w:eastAsia="宋体" w:cs="宋体"/>
          <w:color w:val="auto"/>
          <w:kern w:val="0"/>
          <w:sz w:val="21"/>
          <w:szCs w:val="21"/>
          <w:highlight w:val="none"/>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A4C6DC0">
      <w:pPr>
        <w:pStyle w:val="21"/>
        <w:snapToGrid w:val="0"/>
        <w:spacing w:line="440" w:lineRule="exact"/>
        <w:ind w:firstLine="422" w:firstLineChars="200"/>
        <w:rPr>
          <w:rFonts w:hint="eastAsia" w:hAnsi="宋体" w:cs="宋体"/>
          <w:color w:val="auto"/>
          <w:highlight w:val="none"/>
        </w:rPr>
      </w:pPr>
      <w:r>
        <w:rPr>
          <w:rFonts w:hint="eastAsia" w:ascii="宋体" w:hAnsi="宋体" w:eastAsia="宋体" w:cs="宋体"/>
          <w:b/>
          <w:bCs/>
          <w:color w:val="auto"/>
          <w:sz w:val="21"/>
          <w:szCs w:val="21"/>
          <w:highlight w:val="none"/>
          <w:lang w:val="en-US" w:eastAsia="zh-CN"/>
        </w:rPr>
        <w:t>22.5.6</w:t>
      </w:r>
      <w:r>
        <w:rPr>
          <w:rFonts w:hint="eastAsia" w:ascii="宋体" w:hAnsi="宋体" w:eastAsia="宋体" w:cs="宋体"/>
          <w:b/>
          <w:bCs/>
          <w:color w:val="auto"/>
          <w:sz w:val="21"/>
          <w:szCs w:val="21"/>
          <w:highlight w:val="none"/>
        </w:rPr>
        <w:t>在评审过程中出现法律法规和磋商文件均没有明确规定的情形时，由磋商小组现场协商解决，协商不一致的，由全体磋商小组投票表决，以得票率二分之一以上专家的意见为准。</w:t>
      </w:r>
    </w:p>
    <w:p w14:paraId="51738156">
      <w:pPr>
        <w:pStyle w:val="21"/>
        <w:adjustRightInd w:val="0"/>
        <w:snapToGrid w:val="0"/>
        <w:spacing w:line="440" w:lineRule="exact"/>
        <w:rPr>
          <w:rFonts w:hint="eastAsia" w:hAnsi="宋体" w:cs="宋体"/>
          <w:b/>
          <w:color w:val="auto"/>
          <w:highlight w:val="none"/>
        </w:rPr>
      </w:pPr>
      <w:r>
        <w:rPr>
          <w:rFonts w:hint="eastAsia" w:hAnsi="宋体" w:cs="宋体"/>
          <w:b/>
          <w:color w:val="auto"/>
          <w:highlight w:val="none"/>
        </w:rPr>
        <w:t xml:space="preserve">23. 评标 </w:t>
      </w:r>
    </w:p>
    <w:p w14:paraId="3C5EC150">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23.1本项目的评标采用封闭方式评标，评标办法：</w:t>
      </w:r>
      <w:r>
        <w:rPr>
          <w:rFonts w:hint="eastAsia" w:hAnsi="宋体" w:cs="宋体"/>
          <w:b/>
          <w:color w:val="auto"/>
          <w:highlight w:val="none"/>
          <w:u w:val="single"/>
        </w:rPr>
        <w:t>综合评分法</w:t>
      </w:r>
      <w:r>
        <w:rPr>
          <w:rFonts w:hint="eastAsia" w:hAnsi="宋体" w:cs="宋体"/>
          <w:color w:val="auto"/>
          <w:highlight w:val="none"/>
        </w:rPr>
        <w:t>；</w:t>
      </w:r>
    </w:p>
    <w:p w14:paraId="151CE672">
      <w:pPr>
        <w:pStyle w:val="21"/>
        <w:adjustRightInd w:val="0"/>
        <w:snapToGrid w:val="0"/>
        <w:spacing w:line="440" w:lineRule="exact"/>
        <w:ind w:firstLine="420"/>
        <w:rPr>
          <w:rFonts w:hint="eastAsia" w:hAnsi="宋体" w:cs="宋体"/>
          <w:color w:val="auto"/>
          <w:kern w:val="0"/>
          <w:highlight w:val="none"/>
        </w:rPr>
      </w:pPr>
      <w:r>
        <w:rPr>
          <w:rFonts w:hint="eastAsia" w:hAnsi="宋体" w:cs="宋体"/>
          <w:color w:val="auto"/>
          <w:highlight w:val="none"/>
        </w:rPr>
        <w:t>23.2磋商小组成员组成：共3人；</w:t>
      </w:r>
    </w:p>
    <w:p w14:paraId="7206F38C">
      <w:pPr>
        <w:autoSpaceDE w:val="0"/>
        <w:autoSpaceDN w:val="0"/>
        <w:adjustRightInd w:val="0"/>
        <w:spacing w:before="50" w:beforeLines="0" w:line="440" w:lineRule="exact"/>
        <w:ind w:firstLine="390" w:firstLineChars="186"/>
        <w:jc w:val="left"/>
        <w:rPr>
          <w:rFonts w:hint="eastAsia" w:ascii="宋体" w:hAnsi="宋体" w:cs="宋体"/>
          <w:color w:val="auto"/>
          <w:highlight w:val="none"/>
        </w:rPr>
      </w:pPr>
      <w:r>
        <w:rPr>
          <w:rFonts w:hint="eastAsia" w:ascii="宋体" w:hAnsi="宋体" w:cs="宋体"/>
          <w:color w:val="auto"/>
          <w:highlight w:val="none"/>
        </w:rPr>
        <w:t>23.3 本项目超出预算控制价的磋商最终报价为无效报价；</w:t>
      </w:r>
    </w:p>
    <w:p w14:paraId="71997002">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23.4参与磋商会议的所有人员不得透露对磋商响应文件的评审和比较、成交候选人的推荐以及与评标有关的其他情况，否则由此引起的一切后果自负；</w:t>
      </w:r>
    </w:p>
    <w:p w14:paraId="40F9807A">
      <w:pPr>
        <w:pStyle w:val="21"/>
        <w:spacing w:line="440" w:lineRule="exact"/>
        <w:ind w:firstLine="420"/>
        <w:rPr>
          <w:rFonts w:hint="eastAsia" w:hAnsi="宋体" w:cs="宋体"/>
          <w:color w:val="auto"/>
          <w:highlight w:val="none"/>
        </w:rPr>
      </w:pPr>
      <w:r>
        <w:rPr>
          <w:rFonts w:hint="eastAsia" w:hAnsi="宋体" w:cs="宋体"/>
          <w:color w:val="auto"/>
          <w:highlight w:val="none"/>
        </w:rPr>
        <w:t>23.5供应商在磋商过程中，如果有</w:t>
      </w:r>
      <w:r>
        <w:rPr>
          <w:rFonts w:hint="eastAsia" w:hAnsi="宋体" w:cs="宋体"/>
          <w:color w:val="auto"/>
          <w:highlight w:val="none"/>
          <w:lang w:eastAsia="zh-CN"/>
        </w:rPr>
        <w:t>意图</w:t>
      </w:r>
      <w:r>
        <w:rPr>
          <w:rFonts w:hint="eastAsia" w:hAnsi="宋体" w:cs="宋体"/>
          <w:color w:val="auto"/>
          <w:highlight w:val="none"/>
        </w:rPr>
        <w:t>影响评标结果或干扰磋商秩序的行为，磋商小组成员有权判定其磋商无效。</w:t>
      </w:r>
    </w:p>
    <w:p w14:paraId="466D5832">
      <w:pPr>
        <w:spacing w:line="440" w:lineRule="exact"/>
        <w:ind w:firstLine="422" w:firstLineChars="200"/>
        <w:rPr>
          <w:rFonts w:hint="eastAsia" w:ascii="宋体" w:hAnsi="宋体" w:cs="宋体"/>
          <w:b/>
          <w:color w:val="auto"/>
          <w:spacing w:val="2"/>
          <w:highlight w:val="none"/>
        </w:rPr>
      </w:pPr>
      <w:r>
        <w:rPr>
          <w:rFonts w:hint="eastAsia" w:ascii="宋体" w:hAnsi="宋体" w:cs="宋体"/>
          <w:b/>
          <w:color w:val="auto"/>
          <w:highlight w:val="none"/>
        </w:rPr>
        <w:t>23.6</w:t>
      </w:r>
      <w:r>
        <w:rPr>
          <w:rFonts w:hint="eastAsia" w:ascii="宋体" w:hAnsi="宋体" w:cs="宋体"/>
          <w:b/>
          <w:color w:val="auto"/>
          <w:spacing w:val="2"/>
          <w:highlight w:val="none"/>
        </w:rPr>
        <w:t>无效磋商条款：</w:t>
      </w:r>
    </w:p>
    <w:p w14:paraId="4C5365C8">
      <w:pPr>
        <w:spacing w:line="440" w:lineRule="exact"/>
        <w:ind w:firstLine="411" w:firstLineChars="196"/>
        <w:rPr>
          <w:rFonts w:hint="eastAsia" w:ascii="宋体" w:hAnsi="宋体" w:cs="宋体"/>
          <w:color w:val="auto"/>
          <w:spacing w:val="2"/>
          <w:highlight w:val="none"/>
        </w:rPr>
      </w:pPr>
      <w:r>
        <w:rPr>
          <w:rFonts w:hint="eastAsia" w:ascii="宋体" w:hAnsi="宋体" w:cs="宋体"/>
          <w:color w:val="auto"/>
          <w:highlight w:val="none"/>
        </w:rPr>
        <w:t>磋商响应文件如有下列情况之一，在评审中按照无效磋商处理</w:t>
      </w:r>
    </w:p>
    <w:p w14:paraId="1394BE0D">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1</w:t>
      </w:r>
      <w:r>
        <w:rPr>
          <w:rFonts w:hint="eastAsia" w:ascii="宋体" w:hAnsi="宋体" w:cs="宋体"/>
          <w:color w:val="auto"/>
          <w:spacing w:val="2"/>
          <w:highlight w:val="none"/>
        </w:rPr>
        <w:t>）供应商法定代表人或其委托代理人未按规定签字；</w:t>
      </w:r>
    </w:p>
    <w:p w14:paraId="7CD85444">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2</w:t>
      </w:r>
      <w:r>
        <w:rPr>
          <w:rFonts w:hint="eastAsia" w:ascii="宋体" w:hAnsi="宋体" w:cs="宋体"/>
          <w:color w:val="auto"/>
          <w:spacing w:val="2"/>
          <w:highlight w:val="none"/>
        </w:rPr>
        <w:t>）供应商未按规定加盖单位公章；</w:t>
      </w:r>
    </w:p>
    <w:p w14:paraId="153EC609">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3</w:t>
      </w:r>
      <w:r>
        <w:rPr>
          <w:rFonts w:hint="eastAsia" w:ascii="宋体" w:hAnsi="宋体" w:cs="宋体"/>
          <w:color w:val="auto"/>
          <w:spacing w:val="2"/>
          <w:highlight w:val="none"/>
        </w:rPr>
        <w:t>）未按规定的格式填写或者字迹模糊、辨认不清；</w:t>
      </w:r>
    </w:p>
    <w:p w14:paraId="0F588AF4">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4</w:t>
      </w:r>
      <w:r>
        <w:rPr>
          <w:rFonts w:hint="eastAsia" w:ascii="宋体" w:hAnsi="宋体" w:cs="宋体"/>
          <w:color w:val="auto"/>
          <w:spacing w:val="2"/>
          <w:highlight w:val="none"/>
        </w:rPr>
        <w:t>）供应商法定代表人或授权代表未按时参加开标会议的；</w:t>
      </w:r>
    </w:p>
    <w:p w14:paraId="2EE859F8">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5</w:t>
      </w: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未成功解密的</w:t>
      </w:r>
      <w:r>
        <w:rPr>
          <w:rFonts w:hint="eastAsia" w:ascii="宋体" w:hAnsi="宋体" w:cs="宋体"/>
          <w:color w:val="auto"/>
          <w:spacing w:val="2"/>
          <w:highlight w:val="none"/>
        </w:rPr>
        <w:t>磋商响应文件；</w:t>
      </w:r>
    </w:p>
    <w:p w14:paraId="67AA59BC">
      <w:pPr>
        <w:spacing w:line="440" w:lineRule="exact"/>
        <w:ind w:firstLine="419" w:firstLineChars="196"/>
        <w:rPr>
          <w:rFonts w:hint="eastAsia" w:ascii="宋体" w:hAnsi="宋体" w:cs="宋体"/>
          <w:color w:val="auto"/>
          <w:spacing w:val="2"/>
          <w:highlight w:val="none"/>
        </w:rPr>
      </w:pPr>
      <w:r>
        <w:rPr>
          <w:rFonts w:hint="eastAsia" w:ascii="宋体" w:hAnsi="宋体" w:cs="宋体"/>
          <w:color w:val="auto"/>
          <w:spacing w:val="2"/>
          <w:highlight w:val="none"/>
        </w:rPr>
        <w:t>（</w:t>
      </w:r>
      <w:r>
        <w:rPr>
          <w:rFonts w:hint="eastAsia" w:ascii="宋体" w:hAnsi="宋体" w:cs="宋体"/>
          <w:color w:val="auto"/>
          <w:spacing w:val="2"/>
          <w:highlight w:val="none"/>
          <w:lang w:val="en-US" w:eastAsia="zh-CN"/>
        </w:rPr>
        <w:t>6</w:t>
      </w:r>
      <w:r>
        <w:rPr>
          <w:rFonts w:hint="eastAsia" w:ascii="宋体" w:hAnsi="宋体" w:cs="宋体"/>
          <w:color w:val="auto"/>
          <w:spacing w:val="2"/>
          <w:highlight w:val="none"/>
        </w:rPr>
        <w:t>）磋商响应文件内容不真实；</w:t>
      </w:r>
    </w:p>
    <w:p w14:paraId="12B84665">
      <w:pPr>
        <w:pStyle w:val="21"/>
        <w:adjustRightInd w:val="0"/>
        <w:snapToGrid w:val="0"/>
        <w:spacing w:line="440" w:lineRule="exact"/>
        <w:ind w:firstLine="417" w:firstLineChars="199"/>
        <w:rPr>
          <w:rFonts w:hint="eastAsia" w:hAnsi="宋体" w:cs="宋体"/>
          <w:color w:val="auto"/>
          <w:highlight w:val="none"/>
        </w:rPr>
      </w:pPr>
      <w:r>
        <w:rPr>
          <w:rFonts w:hint="eastAsia" w:hAnsi="宋体" w:cs="宋体"/>
          <w:bCs/>
          <w:color w:val="auto"/>
          <w:highlight w:val="none"/>
        </w:rPr>
        <w:t>（</w:t>
      </w:r>
      <w:r>
        <w:rPr>
          <w:rFonts w:hint="eastAsia" w:hAnsi="宋体" w:cs="宋体"/>
          <w:bCs/>
          <w:color w:val="auto"/>
          <w:highlight w:val="none"/>
          <w:lang w:val="en-US" w:eastAsia="zh-CN"/>
        </w:rPr>
        <w:t>7</w:t>
      </w:r>
      <w:r>
        <w:rPr>
          <w:rFonts w:hint="eastAsia" w:hAnsi="宋体" w:cs="宋体"/>
          <w:bCs/>
          <w:color w:val="auto"/>
          <w:highlight w:val="none"/>
        </w:rPr>
        <w:t>）供应商不按要求提交</w:t>
      </w:r>
      <w:r>
        <w:rPr>
          <w:rFonts w:hint="eastAsia" w:hAnsi="宋体" w:cs="宋体"/>
          <w:color w:val="auto"/>
          <w:highlight w:val="none"/>
        </w:rPr>
        <w:t>农民工工资保障承诺书的；</w:t>
      </w:r>
    </w:p>
    <w:p w14:paraId="422E9BE2">
      <w:pPr>
        <w:spacing w:line="440" w:lineRule="exact"/>
        <w:ind w:firstLine="420"/>
        <w:rPr>
          <w:rFonts w:hint="eastAsia" w:ascii="宋体" w:hAnsi="宋体" w:cs="宋体"/>
          <w:bCs/>
          <w:color w:val="auto"/>
          <w:highlight w:val="none"/>
        </w:rPr>
      </w:pPr>
      <w:r>
        <w:rPr>
          <w:rFonts w:hint="eastAsia" w:ascii="宋体" w:hAnsi="宋体" w:cs="宋体"/>
          <w:bCs/>
          <w:color w:val="auto"/>
          <w:highlight w:val="none"/>
        </w:rPr>
        <w:t>（</w:t>
      </w:r>
      <w:r>
        <w:rPr>
          <w:rFonts w:hint="eastAsia" w:ascii="宋体" w:hAnsi="宋体" w:cs="宋体"/>
          <w:bCs/>
          <w:color w:val="auto"/>
          <w:highlight w:val="none"/>
          <w:lang w:val="en-US" w:eastAsia="zh-CN"/>
        </w:rPr>
        <w:t>8</w:t>
      </w:r>
      <w:r>
        <w:rPr>
          <w:rFonts w:hint="eastAsia" w:ascii="宋体" w:hAnsi="宋体" w:cs="宋体"/>
          <w:bCs/>
          <w:color w:val="auto"/>
          <w:highlight w:val="none"/>
        </w:rPr>
        <w:t>）无安全生产许可证的；</w:t>
      </w:r>
    </w:p>
    <w:p w14:paraId="6BCA77BC">
      <w:pPr>
        <w:tabs>
          <w:tab w:val="left" w:pos="540"/>
        </w:tabs>
        <w:spacing w:after="0" w:afterLines="0" w:line="440" w:lineRule="exact"/>
        <w:ind w:firstLine="424" w:firstLineChars="201"/>
        <w:rPr>
          <w:rFonts w:hint="eastAsia" w:ascii="宋体" w:hAnsi="宋体" w:eastAsia="宋体" w:cs="宋体"/>
          <w:b/>
          <w:bCs/>
          <w:color w:val="auto"/>
          <w:sz w:val="21"/>
          <w:szCs w:val="21"/>
          <w:highlight w:val="none"/>
        </w:rPr>
      </w:pPr>
      <w:r>
        <w:rPr>
          <w:rFonts w:hint="eastAsia" w:hAnsi="宋体" w:cs="宋体"/>
          <w:b/>
          <w:bCs/>
          <w:color w:val="auto"/>
          <w:highlight w:val="none"/>
        </w:rPr>
        <w:t>23.7</w:t>
      </w:r>
      <w:r>
        <w:rPr>
          <w:rFonts w:hint="eastAsia" w:ascii="宋体" w:hAnsi="宋体" w:eastAsia="宋体" w:cs="宋体"/>
          <w:b/>
          <w:bCs/>
          <w:color w:val="auto"/>
          <w:sz w:val="21"/>
          <w:szCs w:val="21"/>
          <w:highlight w:val="none"/>
        </w:rPr>
        <w:t>终止采购</w:t>
      </w:r>
    </w:p>
    <w:p w14:paraId="70FCF316">
      <w:pPr>
        <w:tabs>
          <w:tab w:val="left" w:pos="540"/>
        </w:tabs>
        <w:spacing w:after="0" w:afterLines="0" w:line="440" w:lineRule="exact"/>
        <w:ind w:firstLine="422" w:firstLineChars="201"/>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出现下列情形之一的，采购人或者采购代理机构终止竞争性磋商采购活动，发布项目终止公告并说明原因，重新开展采购活动：</w:t>
      </w:r>
    </w:p>
    <w:p w14:paraId="3EC39079">
      <w:pPr>
        <w:tabs>
          <w:tab w:val="left" w:pos="540"/>
        </w:tabs>
        <w:spacing w:after="0" w:afterLines="0" w:line="44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A </w:t>
      </w:r>
      <w:r>
        <w:rPr>
          <w:rFonts w:hint="eastAsia" w:ascii="宋体" w:hAnsi="宋体" w:eastAsia="宋体" w:cs="宋体"/>
          <w:bCs/>
          <w:color w:val="auto"/>
          <w:sz w:val="21"/>
          <w:szCs w:val="21"/>
          <w:highlight w:val="none"/>
        </w:rPr>
        <w:t>因情况变化，不再符合规定的竞争性磋商采购方式适用情形的；</w:t>
      </w:r>
    </w:p>
    <w:p w14:paraId="7D29881D">
      <w:pPr>
        <w:tabs>
          <w:tab w:val="left" w:pos="540"/>
        </w:tabs>
        <w:spacing w:after="0" w:afterLines="0" w:line="44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B </w:t>
      </w:r>
      <w:r>
        <w:rPr>
          <w:rFonts w:hint="eastAsia" w:ascii="宋体" w:hAnsi="宋体" w:eastAsia="宋体" w:cs="宋体"/>
          <w:bCs/>
          <w:color w:val="auto"/>
          <w:sz w:val="21"/>
          <w:szCs w:val="21"/>
          <w:highlight w:val="none"/>
        </w:rPr>
        <w:t>出现影响采购公正的违法、违规行为的；</w:t>
      </w:r>
    </w:p>
    <w:p w14:paraId="17A8CAAD">
      <w:pPr>
        <w:tabs>
          <w:tab w:val="left" w:pos="540"/>
        </w:tabs>
        <w:spacing w:after="0" w:afterLines="0" w:line="44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C </w:t>
      </w:r>
      <w:r>
        <w:rPr>
          <w:rFonts w:hint="eastAsia" w:ascii="宋体" w:hAnsi="宋体" w:eastAsia="宋体" w:cs="宋体"/>
          <w:bCs/>
          <w:color w:val="auto"/>
          <w:sz w:val="21"/>
          <w:szCs w:val="21"/>
          <w:highlight w:val="none"/>
        </w:rPr>
        <w:t>在采购过程中符合竞争要求的供应商或者报价未超过采购预算的供应商不足3家的，但《政府采购竞争性磋商采购方式管理暂行办法》第二十一条第三款规定的情形除外。</w:t>
      </w:r>
    </w:p>
    <w:p w14:paraId="5AFE9F31">
      <w:pPr>
        <w:spacing w:after="0" w:afterLines="0" w:line="440" w:lineRule="exact"/>
        <w:ind w:firstLine="422" w:firstLineChars="20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在采购活动中因重大变故，采购任务取消的，采购人或者采购代理机构应当终止采购活动，通知所有参加采购活动的供应商，并将项目实施情况和采购任务取消原因报送本级监督部门。</w:t>
      </w:r>
    </w:p>
    <w:p w14:paraId="5FE18224">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电子交易活动的中止。采购过程中出现以下情形，导致电子交易平台无法正常运行，或者无法保证电子交易的公平、公正和安全时，采购机构可中止电子交易活动：</w:t>
      </w:r>
    </w:p>
    <w:p w14:paraId="61573C3C">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A </w:t>
      </w:r>
      <w:r>
        <w:rPr>
          <w:rFonts w:hint="eastAsia" w:ascii="宋体" w:hAnsi="宋体" w:eastAsia="宋体" w:cs="宋体"/>
          <w:bCs/>
          <w:color w:val="auto"/>
          <w:sz w:val="21"/>
          <w:szCs w:val="21"/>
          <w:highlight w:val="none"/>
        </w:rPr>
        <w:t xml:space="preserve">电子交易平台发生故障而无法登录访问的； </w:t>
      </w:r>
    </w:p>
    <w:p w14:paraId="1605C30E">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B </w:t>
      </w:r>
      <w:r>
        <w:rPr>
          <w:rFonts w:hint="eastAsia" w:ascii="宋体" w:hAnsi="宋体" w:eastAsia="宋体" w:cs="宋体"/>
          <w:bCs/>
          <w:color w:val="auto"/>
          <w:sz w:val="21"/>
          <w:szCs w:val="21"/>
          <w:highlight w:val="none"/>
        </w:rPr>
        <w:t>电子交易平台应用或数据库出现错误，不能进行正常操作的；</w:t>
      </w:r>
    </w:p>
    <w:p w14:paraId="1B394AC2">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C </w:t>
      </w:r>
      <w:r>
        <w:rPr>
          <w:rFonts w:hint="eastAsia" w:ascii="宋体" w:hAnsi="宋体" w:eastAsia="宋体" w:cs="宋体"/>
          <w:bCs/>
          <w:color w:val="auto"/>
          <w:sz w:val="21"/>
          <w:szCs w:val="21"/>
          <w:highlight w:val="none"/>
        </w:rPr>
        <w:t>电子交易平台发现严重安全漏洞，有潜在泄密危险的；</w:t>
      </w:r>
    </w:p>
    <w:p w14:paraId="36B75B09">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D </w:t>
      </w:r>
      <w:r>
        <w:rPr>
          <w:rFonts w:hint="eastAsia" w:ascii="宋体" w:hAnsi="宋体" w:eastAsia="宋体" w:cs="宋体"/>
          <w:bCs/>
          <w:color w:val="auto"/>
          <w:sz w:val="21"/>
          <w:szCs w:val="21"/>
          <w:highlight w:val="none"/>
          <w:lang w:val="en-US" w:eastAsia="zh-CN"/>
        </w:rPr>
        <w:t>系统</w:t>
      </w:r>
      <w:r>
        <w:rPr>
          <w:rFonts w:hint="eastAsia" w:ascii="宋体" w:hAnsi="宋体" w:eastAsia="宋体" w:cs="宋体"/>
          <w:bCs/>
          <w:color w:val="auto"/>
          <w:sz w:val="21"/>
          <w:szCs w:val="21"/>
          <w:highlight w:val="none"/>
        </w:rPr>
        <w:t xml:space="preserve">病毒发作导致不能进行正常操作的； </w:t>
      </w:r>
    </w:p>
    <w:p w14:paraId="0ED9E534">
      <w:pPr>
        <w:tabs>
          <w:tab w:val="left" w:pos="540"/>
        </w:tabs>
        <w:spacing w:after="0" w:afterLines="0" w:line="500" w:lineRule="exact"/>
        <w:ind w:firstLine="422" w:firstLineChars="201"/>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val="en-US" w:eastAsia="zh-CN"/>
        </w:rPr>
        <w:t xml:space="preserve">E </w:t>
      </w:r>
      <w:r>
        <w:rPr>
          <w:rFonts w:hint="eastAsia" w:ascii="宋体" w:hAnsi="宋体" w:eastAsia="宋体" w:cs="宋体"/>
          <w:bCs/>
          <w:color w:val="auto"/>
          <w:sz w:val="21"/>
          <w:szCs w:val="21"/>
          <w:highlight w:val="none"/>
        </w:rPr>
        <w:t>其他无法保证电子交易的公平、公正和安全的情况。</w:t>
      </w:r>
    </w:p>
    <w:p w14:paraId="5F50414A">
      <w:pPr>
        <w:pStyle w:val="21"/>
        <w:spacing w:line="440" w:lineRule="exact"/>
        <w:ind w:firstLine="420"/>
        <w:rPr>
          <w:rFonts w:hint="eastAsia" w:hAnsi="宋体" w:cs="宋体"/>
          <w:color w:val="auto"/>
          <w:highlight w:val="none"/>
        </w:rPr>
      </w:pPr>
      <w:r>
        <w:rPr>
          <w:rFonts w:hint="eastAsia" w:ascii="宋体" w:hAnsi="宋体" w:eastAsia="宋体" w:cs="宋体"/>
          <w:bCs/>
          <w:color w:val="auto"/>
          <w:sz w:val="21"/>
          <w:szCs w:val="21"/>
          <w:highlight w:val="none"/>
        </w:rPr>
        <w:t>出现以上情形，不影响采购公平、公正性的，采购组织机构可以待上述情形消除后继续组织电子交易活动；影响或可能影响采购公平、公正性的，经采购代理机构确认后，应当重新采购。采购代理机构必须对原有的资料及信息</w:t>
      </w:r>
      <w:r>
        <w:rPr>
          <w:rFonts w:hint="eastAsia" w:hAnsi="宋体" w:eastAsia="宋体" w:cs="宋体"/>
          <w:bCs/>
          <w:color w:val="auto"/>
          <w:sz w:val="21"/>
          <w:szCs w:val="21"/>
          <w:highlight w:val="none"/>
          <w:lang w:eastAsia="zh-CN"/>
        </w:rPr>
        <w:t>做出</w:t>
      </w:r>
      <w:r>
        <w:rPr>
          <w:rFonts w:hint="eastAsia" w:ascii="宋体" w:hAnsi="宋体" w:eastAsia="宋体" w:cs="宋体"/>
          <w:bCs/>
          <w:color w:val="auto"/>
          <w:sz w:val="21"/>
          <w:szCs w:val="21"/>
          <w:highlight w:val="none"/>
        </w:rPr>
        <w:t>妥善保密处理，并报财政部门备案。</w:t>
      </w:r>
    </w:p>
    <w:p w14:paraId="2E37E9AB">
      <w:pPr>
        <w:snapToGrid w:val="0"/>
        <w:spacing w:line="440" w:lineRule="exact"/>
        <w:ind w:firstLine="413" w:firstLineChars="196"/>
        <w:outlineLvl w:val="4"/>
        <w:rPr>
          <w:rFonts w:hint="eastAsia" w:ascii="宋体" w:hAnsi="宋体" w:cs="宋体"/>
          <w:color w:val="auto"/>
          <w:highlight w:val="none"/>
        </w:rPr>
      </w:pPr>
      <w:r>
        <w:rPr>
          <w:rFonts w:hint="eastAsia" w:ascii="宋体" w:hAnsi="宋体" w:cs="宋体"/>
          <w:b/>
          <w:color w:val="auto"/>
          <w:highlight w:val="none"/>
        </w:rPr>
        <w:t>24.磋商响应文件的澄清或说明</w:t>
      </w:r>
    </w:p>
    <w:p w14:paraId="2C48163E">
      <w:pPr>
        <w:pStyle w:val="21"/>
        <w:spacing w:line="440" w:lineRule="exact"/>
        <w:ind w:firstLine="420"/>
        <w:rPr>
          <w:rFonts w:hint="eastAsia" w:hAnsi="宋体" w:cs="宋体"/>
          <w:color w:val="auto"/>
          <w:highlight w:val="none"/>
        </w:rPr>
      </w:pPr>
      <w:r>
        <w:rPr>
          <w:rFonts w:hint="eastAsia" w:hAnsi="宋体" w:cs="宋体"/>
          <w:color w:val="auto"/>
          <w:spacing w:val="-4"/>
          <w:highlight w:val="none"/>
        </w:rPr>
        <w:t>24.1磋商小组成员有权要求供应商就其磋商响应文件中含义不明确的内容</w:t>
      </w:r>
      <w:r>
        <w:rPr>
          <w:rFonts w:hint="eastAsia" w:hAnsi="宋体" w:cs="宋体"/>
          <w:color w:val="auto"/>
          <w:highlight w:val="none"/>
        </w:rPr>
        <w:t>在规定时间内以书面形式予以澄清</w:t>
      </w:r>
      <w:r>
        <w:rPr>
          <w:rFonts w:hint="eastAsia" w:hAnsi="宋体" w:cs="宋体"/>
          <w:color w:val="auto"/>
          <w:spacing w:val="-4"/>
          <w:highlight w:val="none"/>
        </w:rPr>
        <w:t>或说明，</w:t>
      </w:r>
      <w:r>
        <w:rPr>
          <w:rFonts w:hint="eastAsia" w:hAnsi="宋体" w:cs="宋体"/>
          <w:color w:val="auto"/>
          <w:highlight w:val="none"/>
        </w:rPr>
        <w:t>并由其法定代表人或授权委托代理人签名并盖单位公章。</w:t>
      </w:r>
    </w:p>
    <w:p w14:paraId="07578ACF">
      <w:pPr>
        <w:pStyle w:val="21"/>
        <w:spacing w:line="440" w:lineRule="exact"/>
        <w:ind w:firstLine="420"/>
        <w:rPr>
          <w:rFonts w:hint="eastAsia" w:hAnsi="宋体" w:cs="宋体"/>
          <w:color w:val="auto"/>
          <w:highlight w:val="none"/>
        </w:rPr>
      </w:pPr>
      <w:r>
        <w:rPr>
          <w:rFonts w:hint="eastAsia" w:hAnsi="宋体" w:cs="宋体"/>
          <w:color w:val="auto"/>
          <w:highlight w:val="none"/>
        </w:rPr>
        <w:t>24.2供应商的澄清或说明函是磋商响应文件的组成部分。</w:t>
      </w:r>
    </w:p>
    <w:p w14:paraId="2B543F39">
      <w:pPr>
        <w:pStyle w:val="21"/>
        <w:spacing w:line="440" w:lineRule="exact"/>
        <w:ind w:firstLine="420"/>
        <w:rPr>
          <w:rFonts w:hint="eastAsia" w:hAnsi="宋体" w:cs="宋体"/>
          <w:color w:val="auto"/>
          <w:highlight w:val="none"/>
        </w:rPr>
      </w:pPr>
      <w:r>
        <w:rPr>
          <w:rFonts w:hint="eastAsia" w:hAnsi="宋体" w:cs="宋体"/>
          <w:color w:val="auto"/>
          <w:highlight w:val="none"/>
        </w:rPr>
        <w:t>24.3供应商对磋商响应文件的澄清或说明不得超出磋商响应文件的范围或改变磋商响应文件的实质性内容。</w:t>
      </w:r>
    </w:p>
    <w:p w14:paraId="50854926">
      <w:pPr>
        <w:adjustRightInd w:val="0"/>
        <w:snapToGrid w:val="0"/>
        <w:spacing w:line="440" w:lineRule="exact"/>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25.确定成交供应商办法</w:t>
      </w:r>
    </w:p>
    <w:p w14:paraId="68C1DA2D">
      <w:pPr>
        <w:adjustRightInd w:val="0"/>
        <w:snapToGrid w:val="0"/>
        <w:spacing w:line="4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25.1 根据以下原则确定成交供应商：</w:t>
      </w:r>
    </w:p>
    <w:p w14:paraId="5EA88528">
      <w:pPr>
        <w:adjustRightInd w:val="0"/>
        <w:snapToGrid w:val="0"/>
        <w:spacing w:line="4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采购项目的评审依据为竞争性磋商文件和竞争性磋商响应文件，采用的评定标准为：综合评分法。磋商小组应当根据综合评分情况，按照评审得分由高到低顺序推荐3名以上成交候选供应商，并编写评审报告。符合</w:t>
      </w:r>
      <w:r>
        <w:rPr>
          <w:rFonts w:hint="eastAsia" w:ascii="宋体" w:hAnsi="宋体" w:cs="宋体"/>
          <w:color w:val="auto"/>
          <w:highlight w:val="none"/>
        </w:rPr>
        <w:t>《政府采购竞争性磋商采购方式管理暂行办法》第二十一条第三款情形的</w:t>
      </w:r>
      <w:r>
        <w:rPr>
          <w:rFonts w:hint="eastAsia" w:ascii="宋体" w:hAnsi="宋体" w:cs="宋体"/>
          <w:color w:val="auto"/>
          <w:kern w:val="0"/>
          <w:szCs w:val="21"/>
          <w:highlight w:val="none"/>
        </w:rPr>
        <w:t>，可以推荐2家成交候选供应商。评审总得分相同的，按照报价分高低顺序推荐（得分高者排序靠前），报价分相同的，按照技术标得分高低顺序推荐（得分高者排序靠前）。</w:t>
      </w:r>
    </w:p>
    <w:p w14:paraId="2B1DD324">
      <w:pPr>
        <w:pStyle w:val="21"/>
        <w:spacing w:line="440" w:lineRule="exact"/>
        <w:ind w:firstLine="420" w:firstLineChars="200"/>
        <w:rPr>
          <w:rFonts w:hint="eastAsia" w:hAnsi="宋体" w:cs="宋体"/>
          <w:color w:val="auto"/>
          <w:highlight w:val="none"/>
        </w:rPr>
      </w:pPr>
      <w:r>
        <w:rPr>
          <w:rFonts w:hint="eastAsia" w:hAnsi="宋体" w:cs="宋体"/>
          <w:color w:val="auto"/>
          <w:highlight w:val="none"/>
        </w:rPr>
        <w:t>25.2</w:t>
      </w:r>
      <w:r>
        <w:rPr>
          <w:rFonts w:hint="eastAsia" w:hAnsi="宋体" w:cs="宋体"/>
          <w:color w:val="auto"/>
          <w:kern w:val="0"/>
          <w:highlight w:val="none"/>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48F42CE6">
      <w:pPr>
        <w:pStyle w:val="21"/>
        <w:adjustRightInd w:val="0"/>
        <w:snapToGrid w:val="0"/>
        <w:spacing w:line="440" w:lineRule="exact"/>
        <w:ind w:firstLine="422" w:firstLineChars="200"/>
        <w:rPr>
          <w:rFonts w:hint="eastAsia" w:hAnsi="宋体" w:cs="宋体"/>
          <w:b/>
          <w:color w:val="auto"/>
          <w:highlight w:val="none"/>
        </w:rPr>
      </w:pPr>
      <w:r>
        <w:rPr>
          <w:rFonts w:hint="eastAsia" w:hAnsi="宋体" w:cs="宋体"/>
          <w:b/>
          <w:color w:val="auto"/>
          <w:highlight w:val="none"/>
        </w:rPr>
        <w:t>26.成交公告</w:t>
      </w:r>
    </w:p>
    <w:p w14:paraId="081F99B3">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26.1采购代理机构于评标结束后两个工作日内将评审报告送交采购人，采购人应当自收到评审报告五个工作日内在评审报告推荐的成交候选供应商中按顺序确定成交供应商，采购代理机构</w:t>
      </w:r>
      <w:r>
        <w:rPr>
          <w:rFonts w:hint="eastAsia" w:hAnsi="宋体" w:cs="宋体"/>
          <w:color w:val="auto"/>
          <w:highlight w:val="none"/>
          <w:lang w:eastAsia="zh-CN"/>
        </w:rPr>
        <w:t>应当</w:t>
      </w:r>
      <w:r>
        <w:rPr>
          <w:rFonts w:hint="eastAsia" w:hAnsi="宋体" w:cs="宋体"/>
          <w:color w:val="auto"/>
          <w:highlight w:val="none"/>
        </w:rPr>
        <w:t>自成交供应商确定之日起两个工作日内，在本项目指定媒体上公示成交结果，在公告成交结果的同时，采购人或者采购代理机构可向成交供应商发出成交通知书。</w:t>
      </w:r>
    </w:p>
    <w:p w14:paraId="1DD2F205">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26.2成交供应商应自收到成交通知之日起必须及时办理成交通知书领取手续，如不按期办理领取手续，超过签订合同约定时间的，视为自动放弃中标资格。成交供应商所投相应标的磋商保证金将不予退还，上缴同级财政国库，并从评标委员会推荐的成交候选供应商中按顺序重新确定成交供应商。</w:t>
      </w:r>
    </w:p>
    <w:p w14:paraId="7BDFCFC8">
      <w:pPr>
        <w:pStyle w:val="21"/>
        <w:spacing w:line="440" w:lineRule="exact"/>
        <w:rPr>
          <w:rFonts w:hint="eastAsia" w:hAnsi="宋体" w:cs="宋体"/>
          <w:b/>
          <w:color w:val="auto"/>
          <w:highlight w:val="none"/>
        </w:rPr>
      </w:pPr>
      <w:r>
        <w:rPr>
          <w:rFonts w:hint="eastAsia" w:hAnsi="宋体" w:cs="宋体"/>
          <w:b/>
          <w:color w:val="auto"/>
          <w:highlight w:val="none"/>
        </w:rPr>
        <w:t>27.质疑及投诉</w:t>
      </w:r>
    </w:p>
    <w:p w14:paraId="6B2D4F70">
      <w:pPr>
        <w:pStyle w:val="21"/>
        <w:spacing w:line="440" w:lineRule="exact"/>
        <w:ind w:firstLine="420" w:firstLineChars="200"/>
        <w:rPr>
          <w:rFonts w:hint="eastAsia" w:hAnsi="宋体" w:cs="宋体"/>
          <w:color w:val="auto"/>
          <w:highlight w:val="none"/>
          <w:shd w:val="clear" w:color="auto" w:fill="FFFFFF"/>
        </w:rPr>
      </w:pPr>
      <w:r>
        <w:rPr>
          <w:rFonts w:hint="eastAsia" w:hAnsi="宋体" w:cs="宋体"/>
          <w:color w:val="auto"/>
          <w:highlight w:val="none"/>
          <w:shd w:val="clear" w:color="auto" w:fill="FFFFFF"/>
        </w:rPr>
        <w:t>27.1.1供应商认为本采购活动损害其权益的，须按《中华人民共和国财政部令第94号—政府采购质疑和投诉办法》的要求进行提出质疑。</w:t>
      </w:r>
    </w:p>
    <w:p w14:paraId="43E6FD01">
      <w:pPr>
        <w:spacing w:line="44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27.1.2 采购代理机构将按规定</w:t>
      </w:r>
      <w:r>
        <w:rPr>
          <w:rFonts w:hint="eastAsia" w:ascii="宋体" w:hAnsi="宋体" w:cs="宋体"/>
          <w:color w:val="auto"/>
          <w:highlight w:val="none"/>
          <w:shd w:val="clear" w:color="auto" w:fill="FFFFFF"/>
        </w:rPr>
        <w:t>《中华人民共和国财政部令第94号—政府采购质疑和投诉办法》</w:t>
      </w:r>
      <w:r>
        <w:rPr>
          <w:rFonts w:hint="eastAsia" w:ascii="宋体" w:hAnsi="宋体" w:cs="宋体"/>
          <w:color w:val="auto"/>
          <w:szCs w:val="21"/>
          <w:highlight w:val="none"/>
          <w:shd w:val="clear" w:color="auto" w:fill="FFFFFF"/>
        </w:rPr>
        <w:t>的要求在有效时间内</w:t>
      </w:r>
      <w:r>
        <w:rPr>
          <w:rFonts w:hint="eastAsia" w:ascii="宋体" w:hAnsi="宋体" w:cs="宋体"/>
          <w:color w:val="auto"/>
          <w:szCs w:val="21"/>
          <w:highlight w:val="none"/>
          <w:shd w:val="clear" w:color="auto" w:fill="FFFFFF"/>
          <w:lang w:eastAsia="zh-CN"/>
        </w:rPr>
        <w:t>作出</w:t>
      </w:r>
      <w:r>
        <w:rPr>
          <w:rFonts w:hint="eastAsia" w:ascii="宋体" w:hAnsi="宋体" w:cs="宋体"/>
          <w:color w:val="auto"/>
          <w:szCs w:val="21"/>
          <w:highlight w:val="none"/>
          <w:shd w:val="clear" w:color="auto" w:fill="FFFFFF"/>
        </w:rPr>
        <w:t>答复，但答复的内容不涉及商业秘密。</w:t>
      </w:r>
    </w:p>
    <w:p w14:paraId="7E9FB9B1">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27.1.3 质疑的书面要求</w:t>
      </w:r>
    </w:p>
    <w:p w14:paraId="281317C5">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质疑人提供的书面材料（如材料中有外文资料应</w:t>
      </w:r>
      <w:r>
        <w:rPr>
          <w:rFonts w:hint="eastAsia" w:ascii="宋体" w:hAnsi="宋体" w:cs="宋体"/>
          <w:color w:val="auto"/>
          <w:szCs w:val="21"/>
          <w:highlight w:val="none"/>
          <w:lang w:eastAsia="zh-CN"/>
        </w:rPr>
        <w:t>同时</w:t>
      </w:r>
      <w:r>
        <w:rPr>
          <w:rFonts w:hint="eastAsia" w:ascii="宋体" w:hAnsi="宋体" w:cs="宋体"/>
          <w:color w:val="auto"/>
          <w:szCs w:val="21"/>
          <w:highlight w:val="none"/>
        </w:rPr>
        <w:t>附上中文译本）应当包括以下材料：</w:t>
      </w:r>
    </w:p>
    <w:p w14:paraId="40332021">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）供应商的姓名或者名称、地址、邮编、联系人及联系电话；</w:t>
      </w:r>
    </w:p>
    <w:p w14:paraId="710A74A8">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）质疑项目的名称、编号；</w:t>
      </w:r>
    </w:p>
    <w:p w14:paraId="3A460EA4">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）具体、明确的质疑事项和与质疑事项相关的请求；</w:t>
      </w:r>
    </w:p>
    <w:p w14:paraId="2ADFB0D1">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）事实依据；</w:t>
      </w:r>
    </w:p>
    <w:p w14:paraId="2AFBB780">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）必要的法律依据；</w:t>
      </w:r>
    </w:p>
    <w:p w14:paraId="4B346D7A">
      <w:pPr>
        <w:spacing w:line="440" w:lineRule="exact"/>
        <w:ind w:firstLine="630" w:firstLineChars="3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）提出质疑的日期。</w:t>
      </w:r>
    </w:p>
    <w:p w14:paraId="746A735A">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如不按以上规定质疑或投诉的，视为无效质疑或无效投诉，不予受理。</w:t>
      </w:r>
    </w:p>
    <w:p w14:paraId="12CB31DA">
      <w:pPr>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27.2 投诉</w:t>
      </w:r>
    </w:p>
    <w:p w14:paraId="032E0461">
      <w:pPr>
        <w:pStyle w:val="21"/>
        <w:spacing w:line="440" w:lineRule="exact"/>
        <w:ind w:firstLine="420" w:firstLineChars="200"/>
        <w:rPr>
          <w:rFonts w:hint="eastAsia" w:hAnsi="宋体" w:cs="宋体"/>
          <w:color w:val="auto"/>
          <w:highlight w:val="none"/>
        </w:rPr>
      </w:pPr>
      <w:r>
        <w:rPr>
          <w:rFonts w:hint="eastAsia" w:hAnsi="宋体" w:cs="宋体"/>
          <w:color w:val="auto"/>
          <w:szCs w:val="21"/>
          <w:highlight w:val="none"/>
        </w:rPr>
        <w:t>27.2.1 供应商必须首先经过质疑程序，在对采购代理机构的答复不满意或者采购代理机构未在规定时间内</w:t>
      </w:r>
      <w:r>
        <w:rPr>
          <w:rFonts w:hint="eastAsia" w:hAnsi="宋体" w:cs="宋体"/>
          <w:color w:val="auto"/>
          <w:szCs w:val="21"/>
          <w:highlight w:val="none"/>
          <w:lang w:eastAsia="zh-CN"/>
        </w:rPr>
        <w:t>作出</w:t>
      </w:r>
      <w:r>
        <w:rPr>
          <w:rFonts w:hint="eastAsia" w:hAnsi="宋体" w:cs="宋体"/>
          <w:color w:val="auto"/>
          <w:szCs w:val="21"/>
          <w:highlight w:val="none"/>
        </w:rPr>
        <w:t>答复，可以在答复期满十五个工作日内以书面向同级政府采购监管部门投诉。</w:t>
      </w:r>
    </w:p>
    <w:p w14:paraId="1B69060A">
      <w:pPr>
        <w:pStyle w:val="4"/>
        <w:keepNext w:val="0"/>
        <w:keepLines w:val="0"/>
        <w:adjustRightInd w:val="0"/>
        <w:snapToGrid w:val="0"/>
        <w:spacing w:line="440" w:lineRule="exact"/>
        <w:jc w:val="center"/>
        <w:rPr>
          <w:rFonts w:hint="eastAsia" w:ascii="宋体" w:hAnsi="宋体" w:cs="宋体"/>
          <w:color w:val="auto"/>
          <w:sz w:val="28"/>
          <w:highlight w:val="none"/>
        </w:rPr>
      </w:pPr>
      <w:r>
        <w:rPr>
          <w:rFonts w:hint="eastAsia" w:ascii="宋体" w:hAnsi="宋体" w:cs="宋体"/>
          <w:color w:val="auto"/>
          <w:sz w:val="28"/>
          <w:highlight w:val="none"/>
        </w:rPr>
        <w:t xml:space="preserve"> </w:t>
      </w:r>
      <w:bookmarkStart w:id="227" w:name="_Toc75182686"/>
      <w:r>
        <w:rPr>
          <w:rFonts w:hint="eastAsia" w:ascii="宋体" w:hAnsi="宋体" w:cs="宋体"/>
          <w:color w:val="auto"/>
          <w:sz w:val="28"/>
          <w:highlight w:val="none"/>
        </w:rPr>
        <w:t>(六) 签订合同</w:t>
      </w:r>
      <w:bookmarkEnd w:id="218"/>
      <w:bookmarkEnd w:id="219"/>
      <w:bookmarkEnd w:id="227"/>
    </w:p>
    <w:p w14:paraId="43C6E417">
      <w:pPr>
        <w:pStyle w:val="21"/>
        <w:adjustRightInd w:val="0"/>
        <w:snapToGrid w:val="0"/>
        <w:spacing w:line="440" w:lineRule="exact"/>
        <w:rPr>
          <w:rFonts w:hint="eastAsia" w:hAnsi="宋体" w:cs="宋体"/>
          <w:b/>
          <w:color w:val="auto"/>
          <w:highlight w:val="none"/>
        </w:rPr>
      </w:pPr>
      <w:bookmarkStart w:id="228" w:name="_Toc130105445"/>
      <w:bookmarkStart w:id="229" w:name="_Toc78294035"/>
      <w:bookmarkStart w:id="230" w:name="_Toc85085498"/>
      <w:r>
        <w:rPr>
          <w:rFonts w:hint="eastAsia" w:hAnsi="宋体" w:cs="宋体"/>
          <w:b/>
          <w:color w:val="auto"/>
          <w:highlight w:val="none"/>
        </w:rPr>
        <w:t>28.合同授予标准</w:t>
      </w:r>
    </w:p>
    <w:p w14:paraId="18666C02">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28.1采购人将合同授予评委推荐的成交候选人中实质性最大限度地满足竞争性磋商文件要求的供应商。</w:t>
      </w:r>
    </w:p>
    <w:p w14:paraId="0598B8AE">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28.2成交供应商因不可抗力或者自身原因不能履行施工合同的，采购人可以按成交候选人排序顺序依次与下一家候选人签订施工合同，</w:t>
      </w:r>
      <w:r>
        <w:rPr>
          <w:rFonts w:hint="eastAsia" w:hAnsi="宋体" w:cs="宋体"/>
          <w:color w:val="auto"/>
          <w:highlight w:val="none"/>
          <w:lang w:eastAsia="zh-CN"/>
        </w:rPr>
        <w:t>以</w:t>
      </w:r>
      <w:r>
        <w:rPr>
          <w:rFonts w:hint="eastAsia" w:hAnsi="宋体" w:cs="宋体"/>
          <w:color w:val="auto"/>
          <w:highlight w:val="none"/>
        </w:rPr>
        <w:t>此类推。</w:t>
      </w:r>
    </w:p>
    <w:p w14:paraId="7B6EAC2D">
      <w:pPr>
        <w:pStyle w:val="21"/>
        <w:adjustRightInd w:val="0"/>
        <w:snapToGrid w:val="0"/>
        <w:spacing w:line="440" w:lineRule="exact"/>
        <w:rPr>
          <w:rFonts w:hint="eastAsia" w:hAnsi="宋体" w:cs="宋体"/>
          <w:b/>
          <w:color w:val="auto"/>
          <w:highlight w:val="none"/>
        </w:rPr>
      </w:pPr>
      <w:r>
        <w:rPr>
          <w:rFonts w:hint="eastAsia" w:hAnsi="宋体" w:cs="宋体"/>
          <w:b/>
          <w:color w:val="auto"/>
          <w:highlight w:val="none"/>
        </w:rPr>
        <w:t>29.签订合同</w:t>
      </w:r>
    </w:p>
    <w:p w14:paraId="63DA5C82">
      <w:pPr>
        <w:pStyle w:val="21"/>
        <w:spacing w:line="440" w:lineRule="exact"/>
        <w:ind w:firstLine="420" w:firstLineChars="200"/>
        <w:rPr>
          <w:rFonts w:hint="eastAsia" w:hAnsi="宋体" w:cs="宋体"/>
          <w:color w:val="auto"/>
          <w:highlight w:val="none"/>
        </w:rPr>
      </w:pPr>
      <w:r>
        <w:rPr>
          <w:rFonts w:hint="eastAsia" w:hAnsi="宋体" w:cs="宋体"/>
          <w:color w:val="auto"/>
          <w:highlight w:val="none"/>
        </w:rPr>
        <w:t>成交通知书发出之日起15日内，采购人与成交供应商必须按竞争性磋商文件确定的事项及磋商响应文件承诺签订合同。若由于采购人原因不与成交供应商签订合同的，采购人依法承担法律责任，并按磋商保证金的两倍赔偿成交供应商。若由于成交供应商原因不与采购人签订合同的，成交供应商依法承担法律责任，并按磋商保证金的两倍赔偿采购人。</w:t>
      </w:r>
    </w:p>
    <w:p w14:paraId="67474CB9">
      <w:pPr>
        <w:pStyle w:val="21"/>
        <w:adjustRightInd w:val="0"/>
        <w:snapToGrid w:val="0"/>
        <w:spacing w:line="440" w:lineRule="exact"/>
        <w:rPr>
          <w:rFonts w:hint="eastAsia" w:hAnsi="宋体" w:cs="宋体"/>
          <w:color w:val="auto"/>
          <w:highlight w:val="none"/>
        </w:rPr>
      </w:pPr>
      <w:r>
        <w:rPr>
          <w:rFonts w:hint="eastAsia" w:hAnsi="宋体" w:cs="宋体"/>
          <w:b/>
          <w:color w:val="auto"/>
          <w:highlight w:val="none"/>
        </w:rPr>
        <w:t>30.</w:t>
      </w:r>
      <w:r>
        <w:rPr>
          <w:rFonts w:hint="eastAsia" w:hAnsi="宋体" w:cs="宋体"/>
          <w:color w:val="auto"/>
          <w:highlight w:val="none"/>
        </w:rPr>
        <w:t>本项目不允许转包和分包，若发现将立即取消合同资格。</w:t>
      </w:r>
    </w:p>
    <w:p w14:paraId="296AE75B">
      <w:pPr>
        <w:pStyle w:val="21"/>
        <w:adjustRightInd w:val="0"/>
        <w:snapToGrid w:val="0"/>
        <w:spacing w:line="440" w:lineRule="exact"/>
        <w:rPr>
          <w:rFonts w:hint="eastAsia" w:hAnsi="宋体" w:cs="宋体"/>
          <w:b/>
          <w:color w:val="auto"/>
          <w:highlight w:val="none"/>
        </w:rPr>
      </w:pPr>
      <w:r>
        <w:rPr>
          <w:rFonts w:hint="eastAsia" w:hAnsi="宋体" w:cs="宋体"/>
          <w:b/>
          <w:color w:val="auto"/>
          <w:highlight w:val="none"/>
        </w:rPr>
        <w:t>31. 履约保证金</w:t>
      </w:r>
    </w:p>
    <w:p w14:paraId="70941C16">
      <w:pPr>
        <w:pStyle w:val="21"/>
        <w:spacing w:line="440" w:lineRule="exact"/>
        <w:ind w:firstLine="420" w:firstLineChars="200"/>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履约保证金的形式：可以银行保函、工程担保或保证保险等形式；</w:t>
      </w:r>
    </w:p>
    <w:p w14:paraId="70BD6DBB">
      <w:pPr>
        <w:pStyle w:val="21"/>
        <w:spacing w:line="440" w:lineRule="exact"/>
        <w:ind w:firstLine="420" w:firstLineChars="200"/>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履约保证金的金额：合同价款扣除发包人材料价款、暂估专业工程、暂列金额后的2%。</w:t>
      </w:r>
    </w:p>
    <w:p w14:paraId="3C39A4B4">
      <w:pPr>
        <w:pStyle w:val="21"/>
        <w:spacing w:line="440" w:lineRule="exact"/>
        <w:ind w:firstLine="420" w:firstLineChars="200"/>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磋商供应商在收到成交通知书后，须在 7 日内向采购人足额提交履约保证金，中标单位在与采购人签订合同前，需要向采购人出示履约保证金银行转账底单或银行保函或工程担保或保证保险的证明材料。</w:t>
      </w:r>
    </w:p>
    <w:bookmarkEnd w:id="228"/>
    <w:p w14:paraId="152205FB">
      <w:pPr>
        <w:pStyle w:val="4"/>
        <w:keepNext w:val="0"/>
        <w:keepLines w:val="0"/>
        <w:adjustRightInd w:val="0"/>
        <w:snapToGrid w:val="0"/>
        <w:spacing w:line="440" w:lineRule="exact"/>
        <w:jc w:val="center"/>
        <w:rPr>
          <w:rFonts w:hint="eastAsia" w:ascii="宋体" w:hAnsi="宋体" w:cs="宋体"/>
          <w:color w:val="auto"/>
          <w:sz w:val="28"/>
          <w:highlight w:val="none"/>
        </w:rPr>
      </w:pPr>
      <w:bookmarkStart w:id="231" w:name="_Toc75182687"/>
      <w:r>
        <w:rPr>
          <w:rFonts w:hint="eastAsia" w:ascii="宋体" w:hAnsi="宋体" w:cs="宋体"/>
          <w:color w:val="auto"/>
          <w:sz w:val="28"/>
          <w:highlight w:val="none"/>
        </w:rPr>
        <w:t>(七) 其他事项</w:t>
      </w:r>
      <w:bookmarkEnd w:id="229"/>
      <w:bookmarkEnd w:id="230"/>
      <w:bookmarkEnd w:id="231"/>
    </w:p>
    <w:p w14:paraId="6FA65A49">
      <w:pPr>
        <w:spacing w:line="440" w:lineRule="exact"/>
        <w:rPr>
          <w:rFonts w:hint="eastAsia" w:ascii="宋体" w:hAnsi="宋体" w:cs="宋体"/>
          <w:b/>
          <w:color w:val="auto"/>
          <w:szCs w:val="21"/>
          <w:highlight w:val="none"/>
        </w:rPr>
      </w:pPr>
      <w:r>
        <w:rPr>
          <w:rFonts w:hint="eastAsia" w:ascii="宋体" w:hAnsi="宋体" w:cs="宋体"/>
          <w:b/>
          <w:color w:val="auto"/>
          <w:szCs w:val="21"/>
          <w:highlight w:val="none"/>
        </w:rPr>
        <w:t>32.代理服务费</w:t>
      </w:r>
    </w:p>
    <w:p w14:paraId="0E65F346">
      <w:pPr>
        <w:pStyle w:val="21"/>
        <w:adjustRightInd w:val="0"/>
        <w:snapToGrid w:val="0"/>
        <w:spacing w:line="440" w:lineRule="exact"/>
        <w:ind w:firstLine="420" w:firstLineChars="200"/>
        <w:rPr>
          <w:rFonts w:hint="eastAsia" w:hAnsi="宋体" w:cs="宋体"/>
          <w:color w:val="auto"/>
          <w:highlight w:val="none"/>
        </w:rPr>
      </w:pPr>
      <w:r>
        <w:rPr>
          <w:rFonts w:hint="eastAsia" w:hAnsi="宋体" w:cs="宋体"/>
          <w:color w:val="auto"/>
          <w:highlight w:val="none"/>
        </w:rPr>
        <w:t>32.1 招标代理费由成交供应商支付。根据采购人与采购代理机构签订的本项目招标代理合同约定，本工程招标代理费由成交供应商在领取成交通知书时，以现金或</w:t>
      </w:r>
      <w:r>
        <w:rPr>
          <w:rFonts w:hint="eastAsia" w:hAnsi="宋体" w:cs="宋体"/>
          <w:color w:val="auto"/>
          <w:highlight w:val="none"/>
          <w:lang w:eastAsia="zh-CN"/>
        </w:rPr>
        <w:t>转账方式</w:t>
      </w:r>
      <w:r>
        <w:rPr>
          <w:rFonts w:hint="eastAsia" w:hAnsi="宋体" w:cs="宋体"/>
          <w:color w:val="auto"/>
          <w:highlight w:val="none"/>
        </w:rPr>
        <w:t>一次性支付给采购代理机构。本工程招标代理费取中标价作为计算基数，按差额定率累进法计算，其费率为：100万元以下--1.0%；100～500万元--0.7%；500～1000万元--0.55%；1000-5000万元--0.35%。</w:t>
      </w:r>
    </w:p>
    <w:p w14:paraId="03A5E4AD">
      <w:pPr>
        <w:pStyle w:val="21"/>
        <w:adjustRightInd w:val="0"/>
        <w:snapToGrid w:val="0"/>
        <w:spacing w:line="440" w:lineRule="exact"/>
        <w:rPr>
          <w:rFonts w:hint="eastAsia" w:hAnsi="宋体" w:cs="宋体"/>
          <w:b/>
          <w:color w:val="auto"/>
          <w:highlight w:val="none"/>
        </w:rPr>
      </w:pPr>
      <w:r>
        <w:rPr>
          <w:rFonts w:hint="eastAsia" w:hAnsi="宋体" w:cs="宋体"/>
          <w:b/>
          <w:color w:val="auto"/>
          <w:highlight w:val="none"/>
        </w:rPr>
        <w:t>33. 解释权</w:t>
      </w:r>
    </w:p>
    <w:p w14:paraId="74BD7E82">
      <w:pPr>
        <w:pStyle w:val="21"/>
        <w:spacing w:line="440" w:lineRule="exact"/>
        <w:ind w:left="97" w:leftChars="46" w:firstLine="323" w:firstLineChars="154"/>
        <w:rPr>
          <w:rFonts w:hint="eastAsia" w:hAnsi="宋体" w:cs="宋体"/>
          <w:b/>
          <w:color w:val="auto"/>
          <w:highlight w:val="none"/>
        </w:rPr>
      </w:pPr>
      <w:r>
        <w:rPr>
          <w:rFonts w:hint="eastAsia" w:hAnsi="宋体" w:cs="宋体"/>
          <w:color w:val="auto"/>
          <w:highlight w:val="none"/>
        </w:rPr>
        <w:t>本竞争性磋商文件是根据《</w:t>
      </w:r>
      <w:r>
        <w:rPr>
          <w:rFonts w:hint="eastAsia" w:hAnsi="宋体" w:cs="宋体"/>
          <w:color w:val="auto"/>
          <w:kern w:val="0"/>
          <w:szCs w:val="21"/>
          <w:highlight w:val="none"/>
        </w:rPr>
        <w:t>中华人民共和国政府采购法</w:t>
      </w:r>
      <w:r>
        <w:rPr>
          <w:rFonts w:hint="eastAsia" w:hAnsi="宋体" w:cs="宋体"/>
          <w:color w:val="auto"/>
          <w:highlight w:val="none"/>
        </w:rPr>
        <w:t>》、</w:t>
      </w:r>
      <w:r>
        <w:rPr>
          <w:rFonts w:hint="eastAsia" w:hAnsi="宋体" w:cs="宋体"/>
          <w:color w:val="auto"/>
          <w:kern w:val="0"/>
          <w:szCs w:val="21"/>
          <w:highlight w:val="none"/>
        </w:rPr>
        <w:t>《政府采购竞争性磋商采购方式管理暂行办法》等</w:t>
      </w:r>
      <w:r>
        <w:rPr>
          <w:rFonts w:hint="eastAsia" w:hAnsi="宋体" w:cs="宋体"/>
          <w:color w:val="auto"/>
          <w:highlight w:val="none"/>
        </w:rPr>
        <w:t>有关规定及参照国际惯例编制，解释权属本采购代理机构。</w:t>
      </w:r>
    </w:p>
    <w:p w14:paraId="58D3FD1A">
      <w:pPr>
        <w:pStyle w:val="21"/>
        <w:adjustRightInd w:val="0"/>
        <w:snapToGrid w:val="0"/>
        <w:spacing w:line="440" w:lineRule="exact"/>
        <w:rPr>
          <w:rFonts w:hint="eastAsia" w:hAnsi="宋体" w:cs="宋体"/>
          <w:b/>
          <w:color w:val="auto"/>
          <w:highlight w:val="none"/>
        </w:rPr>
      </w:pPr>
      <w:r>
        <w:rPr>
          <w:rFonts w:hint="eastAsia" w:hAnsi="宋体" w:cs="宋体"/>
          <w:b/>
          <w:color w:val="auto"/>
          <w:highlight w:val="none"/>
        </w:rPr>
        <w:t>34. 通讯地址</w:t>
      </w:r>
    </w:p>
    <w:p w14:paraId="3F26CD4B">
      <w:pPr>
        <w:pStyle w:val="21"/>
        <w:adjustRightInd w:val="0"/>
        <w:snapToGrid w:val="0"/>
        <w:spacing w:line="440" w:lineRule="exact"/>
        <w:ind w:firstLine="420"/>
        <w:rPr>
          <w:rFonts w:hint="eastAsia" w:hAnsi="宋体" w:cs="宋体"/>
          <w:color w:val="auto"/>
          <w:highlight w:val="none"/>
        </w:rPr>
      </w:pPr>
      <w:r>
        <w:rPr>
          <w:rFonts w:hint="eastAsia" w:hAnsi="宋体" w:cs="宋体"/>
          <w:color w:val="auto"/>
          <w:highlight w:val="none"/>
        </w:rPr>
        <w:t>所有与本竞争性磋商文件有关的函电请按下列通讯地址联系：</w:t>
      </w:r>
    </w:p>
    <w:p w14:paraId="2D4753BA">
      <w:pPr>
        <w:pStyle w:val="21"/>
        <w:adjustRightInd w:val="0"/>
        <w:snapToGrid w:val="0"/>
        <w:spacing w:line="440" w:lineRule="exact"/>
        <w:ind w:firstLine="420" w:firstLineChars="200"/>
        <w:rPr>
          <w:rFonts w:hAnsi="宋体" w:cs="宋体"/>
          <w:color w:val="auto"/>
          <w:highlight w:val="none"/>
        </w:rPr>
      </w:pPr>
      <w:r>
        <w:rPr>
          <w:rFonts w:hint="eastAsia" w:hAnsi="宋体" w:cs="宋体"/>
          <w:color w:val="auto"/>
          <w:highlight w:val="none"/>
        </w:rPr>
        <w:t>联系人：</w:t>
      </w:r>
      <w:r>
        <w:rPr>
          <w:rFonts w:hint="eastAsia" w:hAnsi="宋体" w:cs="宋体"/>
          <w:color w:val="auto"/>
          <w:highlight w:val="none"/>
          <w:lang w:eastAsia="zh-CN"/>
        </w:rPr>
        <w:t>陈恩松</w:t>
      </w:r>
      <w:r>
        <w:rPr>
          <w:rFonts w:hint="eastAsia" w:hAnsi="宋体" w:cs="宋体"/>
          <w:color w:val="auto"/>
          <w:highlight w:val="none"/>
        </w:rPr>
        <w:t xml:space="preserve">          电话：</w:t>
      </w:r>
      <w:bookmarkStart w:id="232" w:name="_Hlk85728580"/>
      <w:r>
        <w:rPr>
          <w:rFonts w:hint="eastAsia" w:hAnsi="宋体" w:cs="宋体"/>
          <w:color w:val="auto"/>
          <w:highlight w:val="none"/>
        </w:rPr>
        <w:t>0778-2211981</w:t>
      </w:r>
      <w:bookmarkEnd w:id="232"/>
    </w:p>
    <w:p w14:paraId="4FC4ACE1">
      <w:pPr>
        <w:pStyle w:val="21"/>
        <w:adjustRightInd w:val="0"/>
        <w:snapToGrid w:val="0"/>
        <w:spacing w:line="440" w:lineRule="exact"/>
        <w:ind w:left="420" w:leftChars="200"/>
        <w:rPr>
          <w:rFonts w:hint="eastAsia" w:hAnsi="宋体" w:cs="宋体"/>
          <w:color w:val="auto"/>
          <w:szCs w:val="21"/>
          <w:highlight w:val="none"/>
        </w:rPr>
      </w:pPr>
      <w:r>
        <w:rPr>
          <w:rFonts w:hint="eastAsia" w:hAnsi="宋体" w:cs="宋体"/>
          <w:color w:val="auto"/>
          <w:highlight w:val="none"/>
        </w:rPr>
        <w:t>通讯地址：</w:t>
      </w:r>
      <w:bookmarkStart w:id="233" w:name="_Toc85085499"/>
      <w:bookmarkStart w:id="234" w:name="_Toc514238621"/>
      <w:bookmarkStart w:id="235" w:name="_Toc55206491"/>
      <w:bookmarkStart w:id="236" w:name="_Toc78294036"/>
      <w:bookmarkStart w:id="237" w:name="_Toc75923256"/>
      <w:r>
        <w:rPr>
          <w:rFonts w:hint="eastAsia" w:hAnsi="宋体" w:cs="宋体"/>
          <w:color w:val="auto"/>
          <w:szCs w:val="21"/>
          <w:highlight w:val="none"/>
        </w:rPr>
        <w:t>广西睿翼工程咨询有限公司（金城江区金城中路2-4号铜鼓园写字楼3楼）</w:t>
      </w:r>
    </w:p>
    <w:bookmarkEnd w:id="233"/>
    <w:bookmarkEnd w:id="234"/>
    <w:bookmarkEnd w:id="235"/>
    <w:bookmarkEnd w:id="236"/>
    <w:bookmarkEnd w:id="237"/>
    <w:p w14:paraId="3CDFF2EF">
      <w:pPr>
        <w:rPr>
          <w:rFonts w:hint="eastAsia" w:ascii="宋体" w:hAnsi="宋体" w:cs="宋体"/>
          <w:color w:val="auto"/>
          <w:highlight w:val="none"/>
        </w:rPr>
        <w:sectPr>
          <w:headerReference r:id="rId5" w:type="default"/>
          <w:footerReference r:id="rId6" w:type="default"/>
          <w:footerReference r:id="rId7" w:type="even"/>
          <w:pgSz w:w="11910" w:h="16850"/>
          <w:pgMar w:top="1480" w:right="1200" w:bottom="1040" w:left="1220" w:header="876" w:footer="853" w:gutter="0"/>
          <w:pgNumType w:start="1"/>
          <w:cols w:space="720" w:num="1"/>
        </w:sectPr>
      </w:pPr>
      <w:bookmarkStart w:id="238" w:name="_Toc106708118"/>
      <w:bookmarkStart w:id="239" w:name="_Toc514238626"/>
      <w:bookmarkStart w:id="240" w:name="_Toc138046208"/>
      <w:bookmarkStart w:id="241" w:name="_Toc55206554"/>
      <w:bookmarkStart w:id="242" w:name="_Toc103581194"/>
      <w:bookmarkStart w:id="243" w:name="_Toc256259983"/>
      <w:bookmarkStart w:id="244" w:name="_Toc130105464"/>
      <w:bookmarkStart w:id="245" w:name="_Toc130105466"/>
      <w:bookmarkStart w:id="246" w:name="_Toc75923328"/>
      <w:bookmarkStart w:id="247" w:name="_Toc85085521"/>
      <w:bookmarkStart w:id="248" w:name="_Toc78294043"/>
      <w:bookmarkStart w:id="249" w:name="_Toc85085516"/>
      <w:bookmarkStart w:id="250" w:name="_Toc75923323"/>
      <w:bookmarkStart w:id="251" w:name="_Toc55206560"/>
      <w:bookmarkStart w:id="252" w:name="_Toc93808081"/>
    </w:p>
    <w:bookmarkEnd w:id="238"/>
    <w:bookmarkEnd w:id="239"/>
    <w:bookmarkEnd w:id="240"/>
    <w:bookmarkEnd w:id="241"/>
    <w:p w14:paraId="544224B0">
      <w:pPr>
        <w:pStyle w:val="2"/>
        <w:spacing w:line="500" w:lineRule="exact"/>
        <w:ind w:firstLine="2891" w:firstLineChars="900"/>
        <w:jc w:val="both"/>
        <w:rPr>
          <w:rFonts w:hint="eastAsia" w:ascii="宋体" w:hAnsi="宋体" w:eastAsia="宋体" w:cs="宋体"/>
          <w:color w:val="auto"/>
          <w:highlight w:val="none"/>
        </w:rPr>
      </w:pPr>
      <w:bookmarkStart w:id="253" w:name="_bookmark158"/>
      <w:bookmarkEnd w:id="253"/>
      <w:bookmarkStart w:id="254" w:name="_Toc75182688"/>
      <w:r>
        <w:rPr>
          <w:rFonts w:hint="eastAsia" w:ascii="宋体" w:hAnsi="宋体" w:eastAsia="宋体" w:cs="宋体"/>
          <w:b/>
          <w:color w:val="auto"/>
          <w:kern w:val="0"/>
          <w:szCs w:val="32"/>
          <w:highlight w:val="none"/>
        </w:rPr>
        <w:t>第二章 合同条款及格式</w:t>
      </w:r>
      <w:bookmarkEnd w:id="254"/>
      <w:bookmarkStart w:id="255" w:name="_Toc92103653"/>
      <w:bookmarkStart w:id="256" w:name="_Toc509932933"/>
      <w:bookmarkStart w:id="257" w:name="_Toc251265781"/>
      <w:bookmarkStart w:id="258" w:name="_Toc199256173"/>
      <w:bookmarkStart w:id="259" w:name="_Toc498596674"/>
      <w:bookmarkStart w:id="260" w:name="_Toc509933260"/>
      <w:bookmarkStart w:id="261" w:name="_Toc256405206"/>
      <w:bookmarkStart w:id="262" w:name="_Toc369725979"/>
      <w:bookmarkStart w:id="263" w:name="_Toc169249207"/>
    </w:p>
    <w:bookmarkEnd w:id="255"/>
    <w:bookmarkEnd w:id="256"/>
    <w:bookmarkEnd w:id="257"/>
    <w:bookmarkEnd w:id="258"/>
    <w:bookmarkEnd w:id="259"/>
    <w:bookmarkEnd w:id="260"/>
    <w:bookmarkEnd w:id="261"/>
    <w:bookmarkEnd w:id="262"/>
    <w:bookmarkEnd w:id="263"/>
    <w:p w14:paraId="3B13B510">
      <w:pPr>
        <w:spacing w:line="360" w:lineRule="auto"/>
        <w:ind w:firstLine="422" w:firstLineChars="200"/>
        <w:jc w:val="center"/>
        <w:rPr>
          <w:rFonts w:hint="eastAsia" w:ascii="宋体" w:hAnsi="宋体" w:cs="宋体"/>
          <w:b/>
          <w:color w:val="auto"/>
          <w:kern w:val="0"/>
          <w:szCs w:val="21"/>
          <w:highlight w:val="none"/>
        </w:rPr>
      </w:pPr>
      <w:bookmarkStart w:id="264" w:name="_Toc55206492"/>
      <w:bookmarkStart w:id="265" w:name="_Toc514238627"/>
      <w:bookmarkStart w:id="266" w:name="_Toc75923257"/>
      <w:bookmarkStart w:id="267" w:name="_Toc85085500"/>
      <w:r>
        <w:rPr>
          <w:rFonts w:hint="eastAsia" w:ascii="宋体" w:hAnsi="宋体" w:cs="宋体"/>
          <w:b/>
          <w:color w:val="auto"/>
          <w:kern w:val="0"/>
          <w:szCs w:val="21"/>
          <w:highlight w:val="none"/>
        </w:rPr>
        <w:t>采用《建设工程施工合同（示范文本）》（GF—2017—0201）。</w:t>
      </w:r>
    </w:p>
    <w:p w14:paraId="198FE013">
      <w:pPr>
        <w:pStyle w:val="3"/>
        <w:keepNext w:val="0"/>
        <w:keepLines w:val="0"/>
        <w:snapToGrid w:val="0"/>
        <w:spacing w:line="34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30"/>
          <w:szCs w:val="30"/>
          <w:highlight w:val="none"/>
        </w:rPr>
        <w:br w:type="page"/>
      </w:r>
      <w:bookmarkStart w:id="268" w:name="_Toc75182689"/>
      <w:bookmarkStart w:id="269" w:name="_Toc515488135"/>
      <w:r>
        <w:rPr>
          <w:rFonts w:hint="eastAsia" w:ascii="宋体" w:hAnsi="宋体" w:eastAsia="宋体" w:cs="宋体"/>
          <w:color w:val="auto"/>
          <w:sz w:val="28"/>
          <w:szCs w:val="28"/>
          <w:highlight w:val="none"/>
        </w:rPr>
        <w:t>第一部分  合同协议书</w:t>
      </w:r>
      <w:bookmarkEnd w:id="268"/>
      <w:bookmarkEnd w:id="269"/>
    </w:p>
    <w:p w14:paraId="400C6A8D">
      <w:pPr>
        <w:pStyle w:val="76"/>
        <w:spacing w:line="440" w:lineRule="exact"/>
        <w:rPr>
          <w:rFonts w:hint="eastAsia" w:ascii="宋体" w:hAnsi="宋体" w:cs="宋体"/>
          <w:b/>
          <w:color w:val="auto"/>
          <w:szCs w:val="21"/>
          <w:highlight w:val="none"/>
          <w:u w:val="single"/>
        </w:rPr>
      </w:pPr>
      <w:r>
        <w:rPr>
          <w:rFonts w:hint="eastAsia" w:ascii="宋体" w:hAnsi="宋体" w:cs="宋体"/>
          <w:b/>
          <w:color w:val="auto"/>
          <w:szCs w:val="21"/>
          <w:highlight w:val="none"/>
        </w:rPr>
        <w:t>发包人（全称）：</w:t>
      </w:r>
      <w:r>
        <w:rPr>
          <w:rFonts w:hint="eastAsia" w:ascii="宋体" w:hAnsi="宋体" w:cs="宋体"/>
          <w:b/>
          <w:color w:val="auto"/>
          <w:szCs w:val="21"/>
          <w:highlight w:val="none"/>
          <w:u w:val="single"/>
        </w:rPr>
        <w:t>                       </w:t>
      </w:r>
    </w:p>
    <w:p w14:paraId="2215EB6F">
      <w:pPr>
        <w:pStyle w:val="76"/>
        <w:spacing w:line="440" w:lineRule="exact"/>
        <w:rPr>
          <w:rFonts w:hint="eastAsia" w:ascii="宋体" w:hAnsi="宋体" w:cs="宋体"/>
          <w:b/>
          <w:color w:val="auto"/>
          <w:szCs w:val="21"/>
          <w:highlight w:val="none"/>
          <w:u w:val="single"/>
        </w:rPr>
      </w:pPr>
      <w:r>
        <w:rPr>
          <w:rFonts w:hint="eastAsia" w:ascii="宋体" w:hAnsi="宋体" w:cs="宋体"/>
          <w:b/>
          <w:color w:val="auto"/>
          <w:szCs w:val="21"/>
          <w:highlight w:val="none"/>
        </w:rPr>
        <w:t>承包人（全称）：</w:t>
      </w:r>
      <w:r>
        <w:rPr>
          <w:rFonts w:hint="eastAsia" w:ascii="宋体" w:hAnsi="宋体" w:cs="宋体"/>
          <w:b/>
          <w:color w:val="auto"/>
          <w:szCs w:val="21"/>
          <w:highlight w:val="none"/>
          <w:u w:val="single"/>
        </w:rPr>
        <w:t>                      </w:t>
      </w:r>
    </w:p>
    <w:p w14:paraId="4E763511">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根据《中华人民共和国民法典》、《中华人民共和国建筑法》及有关法律规定，遵循平等、自愿、公平和诚实信用的原则，双方就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工程施工及有关事项协商一致，共同达成如下协议：</w:t>
      </w:r>
    </w:p>
    <w:p w14:paraId="030D9611">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val="0"/>
          <w:color w:val="auto"/>
          <w:sz w:val="21"/>
          <w:szCs w:val="21"/>
          <w:highlight w:val="none"/>
        </w:rPr>
        <w:t xml:space="preserve"> </w:t>
      </w:r>
      <w:bookmarkStart w:id="270" w:name="_Toc351203481"/>
      <w:r>
        <w:rPr>
          <w:rFonts w:hint="eastAsia" w:ascii="宋体" w:hAnsi="宋体" w:cs="宋体"/>
          <w:b w:val="0"/>
          <w:color w:val="auto"/>
          <w:sz w:val="21"/>
          <w:szCs w:val="21"/>
          <w:highlight w:val="none"/>
        </w:rPr>
        <w:t>一、工程概况</w:t>
      </w:r>
      <w:bookmarkEnd w:id="270"/>
    </w:p>
    <w:p w14:paraId="12869A8C">
      <w:pPr>
        <w:pStyle w:val="76"/>
        <w:spacing w:line="440" w:lineRule="exact"/>
        <w:rPr>
          <w:rFonts w:hint="eastAsia"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bCs/>
          <w:color w:val="auto"/>
          <w:szCs w:val="21"/>
          <w:highlight w:val="none"/>
          <w:lang w:eastAsia="zh-CN"/>
        </w:rPr>
        <w:t>河池市巴马民族师范学校体育馆附属楼项目</w:t>
      </w:r>
      <w:r>
        <w:rPr>
          <w:rFonts w:hint="eastAsia" w:ascii="宋体" w:hAnsi="宋体" w:cs="宋体"/>
          <w:bCs/>
          <w:color w:val="auto"/>
          <w:szCs w:val="21"/>
          <w:highlight w:val="none"/>
        </w:rPr>
        <w:t>。</w:t>
      </w:r>
    </w:p>
    <w:p w14:paraId="4262F1D2">
      <w:pPr>
        <w:pStyle w:val="76"/>
        <w:spacing w:line="440" w:lineRule="exact"/>
        <w:rPr>
          <w:rFonts w:hint="eastAsia" w:ascii="宋体" w:hAnsi="宋体" w:cs="宋体"/>
          <w:bCs/>
          <w:color w:val="auto"/>
          <w:szCs w:val="21"/>
          <w:highlight w:val="none"/>
        </w:rPr>
      </w:pPr>
      <w:r>
        <w:rPr>
          <w:rFonts w:hint="eastAsia" w:ascii="宋体" w:hAnsi="宋体" w:cs="宋体"/>
          <w:bCs/>
          <w:color w:val="auto"/>
          <w:szCs w:val="21"/>
          <w:highlight w:val="none"/>
        </w:rPr>
        <w:t>2.工程地点：</w:t>
      </w:r>
      <w:r>
        <w:rPr>
          <w:rFonts w:hint="eastAsia" w:ascii="宋体" w:hAnsi="宋体" w:cs="宋体"/>
          <w:bCs/>
          <w:color w:val="auto"/>
          <w:szCs w:val="21"/>
          <w:highlight w:val="none"/>
          <w:lang w:eastAsia="zh-CN"/>
        </w:rPr>
        <w:t>巴马瑶族自治县</w:t>
      </w:r>
      <w:r>
        <w:rPr>
          <w:rFonts w:hint="eastAsia" w:ascii="宋体" w:hAnsi="宋体" w:cs="宋体"/>
          <w:bCs/>
          <w:color w:val="auto"/>
          <w:szCs w:val="21"/>
          <w:highlight w:val="none"/>
          <w:lang w:val="en-US" w:eastAsia="zh-CN"/>
        </w:rPr>
        <w:t>巴马镇文化街154号</w:t>
      </w:r>
      <w:r>
        <w:rPr>
          <w:rFonts w:hint="eastAsia" w:ascii="宋体" w:hAnsi="宋体" w:cs="宋体"/>
          <w:color w:val="auto"/>
          <w:szCs w:val="21"/>
          <w:highlight w:val="none"/>
        </w:rPr>
        <w:t>。</w:t>
      </w:r>
    </w:p>
    <w:p w14:paraId="07CFA203">
      <w:pPr>
        <w:pStyle w:val="76"/>
        <w:spacing w:line="440" w:lineRule="exact"/>
        <w:rPr>
          <w:rFonts w:hint="default" w:ascii="宋体" w:hAnsi="宋体" w:cs="宋体"/>
          <w:bCs/>
          <w:color w:val="auto"/>
          <w:szCs w:val="21"/>
          <w:highlight w:val="none"/>
          <w:lang w:val="en-US"/>
        </w:rPr>
      </w:pPr>
      <w:r>
        <w:rPr>
          <w:rFonts w:hint="eastAsia" w:ascii="宋体" w:hAnsi="宋体" w:cs="宋体"/>
          <w:bCs/>
          <w:color w:val="auto"/>
          <w:szCs w:val="21"/>
          <w:highlight w:val="none"/>
        </w:rPr>
        <w:t>3.工程立项批准文号：</w:t>
      </w:r>
      <w:r>
        <w:rPr>
          <w:rFonts w:hint="eastAsia" w:ascii="宋体" w:hAnsi="宋体" w:cs="宋体"/>
          <w:bCs/>
          <w:color w:val="auto"/>
          <w:szCs w:val="21"/>
          <w:highlight w:val="none"/>
          <w:lang w:val="en-US" w:eastAsia="zh-CN"/>
        </w:rPr>
        <w:t>河发改审批[2024]19号 。</w:t>
      </w:r>
    </w:p>
    <w:p w14:paraId="2CF58E1B">
      <w:pPr>
        <w:pStyle w:val="76"/>
        <w:spacing w:line="440" w:lineRule="exact"/>
        <w:rPr>
          <w:rFonts w:hint="eastAsia"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color w:val="auto"/>
          <w:szCs w:val="21"/>
          <w:highlight w:val="none"/>
          <w:lang w:eastAsia="zh-CN"/>
        </w:rPr>
        <w:t>2024年中央现代职业教育质量提升计划经费和地方财政配套资金</w:t>
      </w:r>
      <w:r>
        <w:rPr>
          <w:rFonts w:hint="eastAsia" w:ascii="宋体" w:hAnsi="宋体" w:cs="宋体"/>
          <w:bCs/>
          <w:color w:val="auto"/>
          <w:szCs w:val="21"/>
          <w:highlight w:val="none"/>
        </w:rPr>
        <w:t>。</w:t>
      </w:r>
    </w:p>
    <w:p w14:paraId="6771463F">
      <w:pPr>
        <w:pStyle w:val="187"/>
        <w:spacing w:before="0" w:beforeLines="0" w:after="0" w:afterLines="0" w:line="440" w:lineRule="exact"/>
        <w:rPr>
          <w:rFonts w:hint="eastAsia" w:ascii="宋体" w:hAnsi="宋体" w:cs="宋体"/>
          <w:b w:val="0"/>
          <w:color w:val="auto"/>
          <w:sz w:val="21"/>
          <w:szCs w:val="21"/>
          <w:highlight w:val="none"/>
        </w:rPr>
      </w:pPr>
      <w:r>
        <w:rPr>
          <w:rFonts w:hint="eastAsia" w:ascii="宋体" w:hAnsi="宋体" w:cs="宋体"/>
          <w:b w:val="0"/>
          <w:color w:val="auto"/>
          <w:sz w:val="21"/>
          <w:szCs w:val="21"/>
          <w:highlight w:val="none"/>
        </w:rPr>
        <w:t xml:space="preserve">   </w:t>
      </w:r>
      <w:bookmarkStart w:id="271" w:name="_Toc351203482"/>
      <w:r>
        <w:rPr>
          <w:rFonts w:hint="eastAsia" w:ascii="宋体" w:hAnsi="宋体" w:cs="宋体"/>
          <w:b w:val="0"/>
          <w:color w:val="auto"/>
          <w:sz w:val="21"/>
          <w:szCs w:val="21"/>
          <w:highlight w:val="none"/>
        </w:rPr>
        <w:t>二、合同工期</w:t>
      </w:r>
      <w:bookmarkEnd w:id="271"/>
    </w:p>
    <w:p w14:paraId="1D1EB1FF">
      <w:pPr>
        <w:pStyle w:val="76"/>
        <w:spacing w:line="440" w:lineRule="exact"/>
        <w:ind w:firstLine="459"/>
        <w:rPr>
          <w:rFonts w:hint="eastAsia" w:ascii="宋体" w:hAnsi="宋体" w:cs="宋体"/>
          <w:color w:val="auto"/>
          <w:szCs w:val="21"/>
          <w:highlight w:val="none"/>
        </w:rPr>
      </w:pPr>
      <w:r>
        <w:rPr>
          <w:rFonts w:hint="eastAsia" w:ascii="宋体" w:hAnsi="宋体" w:cs="宋体"/>
          <w:color w:val="auto"/>
          <w:szCs w:val="21"/>
          <w:highlight w:val="none"/>
        </w:rPr>
        <w:t>计划开工日期：</w:t>
      </w:r>
      <w:r>
        <w:rPr>
          <w:rFonts w:hint="eastAsia" w:ascii="宋体" w:hAnsi="宋体" w:cs="宋体"/>
          <w:color w:val="auto"/>
          <w:szCs w:val="21"/>
          <w:highlight w:val="none"/>
          <w:u w:val="single"/>
        </w:rPr>
        <w:t></w:t>
      </w:r>
      <w:r>
        <w:rPr>
          <w:rFonts w:hint="eastAsia" w:ascii="宋体" w:hAnsi="宋体" w:cs="宋体"/>
          <w:color w:val="auto"/>
          <w:szCs w:val="21"/>
          <w:highlight w:val="none"/>
        </w:rPr>
        <w:t>年</w:t>
      </w:r>
      <w:r>
        <w:rPr>
          <w:rFonts w:hint="eastAsia" w:ascii="宋体" w:hAnsi="宋体" w:cs="宋体"/>
          <w:color w:val="auto"/>
          <w:szCs w:val="21"/>
          <w:highlight w:val="none"/>
          <w:u w:val="single"/>
        </w:rPr>
        <w:t></w:t>
      </w:r>
      <w:r>
        <w:rPr>
          <w:rFonts w:hint="eastAsia" w:ascii="宋体" w:hAnsi="宋体" w:cs="宋体"/>
          <w:color w:val="auto"/>
          <w:szCs w:val="21"/>
          <w:highlight w:val="none"/>
        </w:rPr>
        <w:t>月</w:t>
      </w:r>
      <w:r>
        <w:rPr>
          <w:rFonts w:hint="eastAsia" w:ascii="宋体" w:hAnsi="宋体" w:cs="宋体"/>
          <w:color w:val="auto"/>
          <w:szCs w:val="21"/>
          <w:highlight w:val="none"/>
          <w:u w:val="single"/>
        </w:rPr>
        <w:t></w:t>
      </w:r>
      <w:r>
        <w:rPr>
          <w:rFonts w:hint="eastAsia" w:ascii="宋体" w:hAnsi="宋体" w:cs="宋体"/>
          <w:color w:val="auto"/>
          <w:szCs w:val="21"/>
          <w:highlight w:val="none"/>
        </w:rPr>
        <w:t>日。</w:t>
      </w:r>
    </w:p>
    <w:p w14:paraId="700BA720">
      <w:pPr>
        <w:pStyle w:val="76"/>
        <w:spacing w:line="440" w:lineRule="exact"/>
        <w:ind w:firstLine="459"/>
        <w:rPr>
          <w:rFonts w:hint="eastAsia" w:ascii="宋体" w:hAnsi="宋体" w:cs="宋体"/>
          <w:color w:val="auto"/>
          <w:szCs w:val="21"/>
          <w:highlight w:val="none"/>
        </w:rPr>
      </w:pPr>
      <w:r>
        <w:rPr>
          <w:rFonts w:hint="eastAsia" w:ascii="宋体" w:hAnsi="宋体" w:cs="宋体"/>
          <w:color w:val="auto"/>
          <w:szCs w:val="21"/>
          <w:highlight w:val="none"/>
        </w:rPr>
        <w:t>计划竣工日期：</w:t>
      </w:r>
      <w:r>
        <w:rPr>
          <w:rFonts w:hint="eastAsia" w:ascii="宋体" w:hAnsi="宋体" w:cs="宋体"/>
          <w:color w:val="auto"/>
          <w:szCs w:val="21"/>
          <w:highlight w:val="none"/>
          <w:u w:val="single"/>
        </w:rPr>
        <w:t></w:t>
      </w:r>
      <w:r>
        <w:rPr>
          <w:rFonts w:hint="eastAsia" w:ascii="宋体" w:hAnsi="宋体" w:cs="宋体"/>
          <w:color w:val="auto"/>
          <w:szCs w:val="21"/>
          <w:highlight w:val="none"/>
        </w:rPr>
        <w:t>年</w:t>
      </w:r>
      <w:r>
        <w:rPr>
          <w:rFonts w:hint="eastAsia" w:ascii="宋体" w:hAnsi="宋体" w:cs="宋体"/>
          <w:color w:val="auto"/>
          <w:szCs w:val="21"/>
          <w:highlight w:val="none"/>
          <w:u w:val="single"/>
        </w:rPr>
        <w:t></w:t>
      </w:r>
      <w:r>
        <w:rPr>
          <w:rFonts w:hint="eastAsia" w:ascii="宋体" w:hAnsi="宋体" w:cs="宋体"/>
          <w:color w:val="auto"/>
          <w:szCs w:val="21"/>
          <w:highlight w:val="none"/>
        </w:rPr>
        <w:t>月</w:t>
      </w:r>
      <w:r>
        <w:rPr>
          <w:rFonts w:hint="eastAsia" w:ascii="宋体" w:hAnsi="宋体" w:cs="宋体"/>
          <w:color w:val="auto"/>
          <w:szCs w:val="21"/>
          <w:highlight w:val="none"/>
          <w:u w:val="single"/>
        </w:rPr>
        <w:t></w:t>
      </w:r>
      <w:r>
        <w:rPr>
          <w:rFonts w:hint="eastAsia" w:ascii="宋体" w:hAnsi="宋体" w:cs="宋体"/>
          <w:color w:val="auto"/>
          <w:szCs w:val="21"/>
          <w:highlight w:val="none"/>
        </w:rPr>
        <w:t>日。</w:t>
      </w:r>
    </w:p>
    <w:p w14:paraId="3D9417AC">
      <w:pPr>
        <w:pStyle w:val="76"/>
        <w:spacing w:line="440" w:lineRule="exact"/>
        <w:ind w:firstLine="459"/>
        <w:rPr>
          <w:rFonts w:hint="eastAsia" w:ascii="宋体" w:hAnsi="宋体" w:cs="宋体"/>
          <w:color w:val="auto"/>
          <w:szCs w:val="21"/>
          <w:highlight w:val="none"/>
        </w:rPr>
      </w:pPr>
      <w:r>
        <w:rPr>
          <w:rFonts w:hint="eastAsia" w:ascii="宋体" w:hAnsi="宋体" w:cs="宋体"/>
          <w:color w:val="auto"/>
          <w:szCs w:val="21"/>
          <w:highlight w:val="none"/>
        </w:rPr>
        <w:t>工期总日历天数：</w:t>
      </w:r>
      <w:r>
        <w:rPr>
          <w:rFonts w:hint="eastAsia" w:ascii="宋体" w:hAnsi="宋体" w:cs="宋体"/>
          <w:color w:val="auto"/>
          <w:szCs w:val="21"/>
          <w:highlight w:val="none"/>
          <w:u w:val="single"/>
        </w:rPr>
        <w:t></w:t>
      </w:r>
      <w:r>
        <w:rPr>
          <w:rFonts w:hint="eastAsia" w:ascii="宋体" w:hAnsi="宋体" w:cs="宋体"/>
          <w:color w:val="auto"/>
          <w:szCs w:val="21"/>
          <w:highlight w:val="none"/>
        </w:rPr>
        <w:t>天。工期总日历天数与根据前述计划开竣工日期计算的工期天数不一致的，以工期总日历天数为准。</w:t>
      </w:r>
    </w:p>
    <w:p w14:paraId="353270E0">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bookmarkStart w:id="272" w:name="_Toc351203483"/>
      <w:r>
        <w:rPr>
          <w:rFonts w:hint="eastAsia" w:ascii="宋体" w:hAnsi="宋体" w:cs="宋体"/>
          <w:b w:val="0"/>
          <w:color w:val="auto"/>
          <w:sz w:val="21"/>
          <w:szCs w:val="21"/>
          <w:highlight w:val="none"/>
        </w:rPr>
        <w:t>三、质量标准</w:t>
      </w:r>
      <w:bookmarkEnd w:id="272"/>
    </w:p>
    <w:p w14:paraId="2535960A">
      <w:pPr>
        <w:pStyle w:val="76"/>
        <w:spacing w:line="440" w:lineRule="exact"/>
        <w:ind w:firstLine="459"/>
        <w:rPr>
          <w:rFonts w:hint="eastAsia" w:ascii="宋体" w:hAnsi="宋体" w:cs="宋体"/>
          <w:color w:val="auto"/>
          <w:szCs w:val="21"/>
          <w:highlight w:val="none"/>
        </w:rPr>
      </w:pPr>
      <w:r>
        <w:rPr>
          <w:rFonts w:hint="eastAsia" w:ascii="宋体" w:hAnsi="宋体" w:cs="宋体"/>
          <w:color w:val="auto"/>
          <w:szCs w:val="21"/>
          <w:highlight w:val="none"/>
        </w:rPr>
        <w:t>工程质量符合</w:t>
      </w:r>
      <w:r>
        <w:rPr>
          <w:rFonts w:hint="eastAsia" w:ascii="宋体" w:hAnsi="宋体" w:cs="宋体"/>
          <w:color w:val="auto"/>
          <w:szCs w:val="21"/>
          <w:highlight w:val="none"/>
          <w:u w:val="single"/>
        </w:rPr>
        <w:t></w:t>
      </w:r>
      <w:r>
        <w:rPr>
          <w:rFonts w:hint="eastAsia" w:ascii="宋体" w:hAnsi="宋体" w:cs="宋体"/>
          <w:color w:val="auto"/>
          <w:szCs w:val="21"/>
          <w:highlight w:val="none"/>
        </w:rPr>
        <w:t>标准。</w:t>
      </w:r>
    </w:p>
    <w:p w14:paraId="755A7529">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val="0"/>
          <w:color w:val="auto"/>
          <w:sz w:val="21"/>
          <w:szCs w:val="21"/>
          <w:highlight w:val="none"/>
        </w:rPr>
        <w:t xml:space="preserve"> </w:t>
      </w:r>
      <w:bookmarkStart w:id="273" w:name="_Toc351203484"/>
      <w:r>
        <w:rPr>
          <w:rFonts w:hint="eastAsia" w:ascii="宋体" w:hAnsi="宋体" w:cs="宋体"/>
          <w:b w:val="0"/>
          <w:color w:val="auto"/>
          <w:sz w:val="21"/>
          <w:szCs w:val="21"/>
          <w:highlight w:val="none"/>
        </w:rPr>
        <w:t>四、签约合同价与合同价格形式</w:t>
      </w:r>
      <w:bookmarkEnd w:id="273"/>
      <w:r>
        <w:rPr>
          <w:rFonts w:hint="eastAsia" w:ascii="宋体" w:hAnsi="宋体" w:cs="宋体"/>
          <w:b w:val="0"/>
          <w:color w:val="auto"/>
          <w:sz w:val="21"/>
          <w:szCs w:val="21"/>
          <w:highlight w:val="none"/>
        </w:rPr>
        <w:tab/>
      </w:r>
    </w:p>
    <w:p w14:paraId="3D1E5985">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1.签约合同价为：</w:t>
      </w:r>
    </w:p>
    <w:p w14:paraId="55BC51F9">
      <w:pPr>
        <w:pStyle w:val="76"/>
        <w:spacing w:line="440" w:lineRule="exact"/>
        <w:ind w:firstLine="525" w:firstLineChars="2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3E6FA49F">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其中：</w:t>
      </w:r>
    </w:p>
    <w:p w14:paraId="09AD8A83">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（1）安全文明施工费：</w:t>
      </w:r>
    </w:p>
    <w:p w14:paraId="10A50A24">
      <w:pPr>
        <w:pStyle w:val="76"/>
        <w:spacing w:line="44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F10B27C">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（2）材料和工程设备暂估价金额：</w:t>
      </w:r>
    </w:p>
    <w:p w14:paraId="4C499A41">
      <w:pPr>
        <w:pStyle w:val="76"/>
        <w:spacing w:line="44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22303705">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（3）专业工程暂估价金额：</w:t>
      </w:r>
    </w:p>
    <w:p w14:paraId="57D173B2">
      <w:pPr>
        <w:pStyle w:val="76"/>
        <w:spacing w:line="44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3A4036DB">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（4）暂列金额：</w:t>
      </w:r>
    </w:p>
    <w:p w14:paraId="51A48B9B">
      <w:pPr>
        <w:pStyle w:val="76"/>
        <w:spacing w:line="440" w:lineRule="exact"/>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78C4C90">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2.合同价格形式：</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2606C843">
      <w:pPr>
        <w:pStyle w:val="187"/>
        <w:spacing w:before="0" w:beforeLines="0" w:after="0" w:afterLines="0" w:line="440" w:lineRule="exact"/>
        <w:rPr>
          <w:rFonts w:hint="eastAsia" w:ascii="宋体" w:hAnsi="宋体" w:cs="宋体"/>
          <w:b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val="0"/>
          <w:color w:val="auto"/>
          <w:sz w:val="21"/>
          <w:szCs w:val="21"/>
          <w:highlight w:val="none"/>
        </w:rPr>
        <w:t xml:space="preserve"> </w:t>
      </w:r>
      <w:bookmarkStart w:id="274" w:name="_Toc351203485"/>
      <w:r>
        <w:rPr>
          <w:rFonts w:hint="eastAsia" w:ascii="宋体" w:hAnsi="宋体" w:cs="宋体"/>
          <w:b w:val="0"/>
          <w:color w:val="auto"/>
          <w:sz w:val="21"/>
          <w:szCs w:val="21"/>
          <w:highlight w:val="none"/>
        </w:rPr>
        <w:t>五、</w:t>
      </w:r>
      <w:bookmarkEnd w:id="274"/>
      <w:r>
        <w:rPr>
          <w:rFonts w:hint="eastAsia" w:ascii="宋体" w:hAnsi="宋体" w:cs="宋体"/>
          <w:b w:val="0"/>
          <w:color w:val="auto"/>
          <w:sz w:val="21"/>
          <w:szCs w:val="21"/>
          <w:highlight w:val="none"/>
        </w:rPr>
        <w:t>项目经理</w:t>
      </w:r>
    </w:p>
    <w:p w14:paraId="4D5E0558">
      <w:pPr>
        <w:pStyle w:val="76"/>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承包人项目经理：</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76097DA6">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val="0"/>
          <w:color w:val="auto"/>
          <w:sz w:val="21"/>
          <w:szCs w:val="21"/>
          <w:highlight w:val="none"/>
        </w:rPr>
        <w:t xml:space="preserve"> </w:t>
      </w:r>
      <w:bookmarkStart w:id="275" w:name="_Toc351203486"/>
      <w:r>
        <w:rPr>
          <w:rFonts w:hint="eastAsia" w:ascii="宋体" w:hAnsi="宋体" w:cs="宋体"/>
          <w:b w:val="0"/>
          <w:color w:val="auto"/>
          <w:sz w:val="21"/>
          <w:szCs w:val="21"/>
          <w:highlight w:val="none"/>
        </w:rPr>
        <w:t>六、合同文件构成</w:t>
      </w:r>
      <w:bookmarkEnd w:id="275"/>
    </w:p>
    <w:p w14:paraId="59DB4757">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本协议书与下列文件一起构成合同文件：</w:t>
      </w:r>
    </w:p>
    <w:p w14:paraId="1822D2F2">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（1）成交通知书（如果有）；</w:t>
      </w:r>
    </w:p>
    <w:p w14:paraId="4913E0D3">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（2）磋商函及其附录（如果有）； </w:t>
      </w:r>
    </w:p>
    <w:p w14:paraId="726BB4DA">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（3）专用合同条款及其附件；</w:t>
      </w:r>
    </w:p>
    <w:p w14:paraId="3A188989">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（4）通用合同条款；</w:t>
      </w:r>
    </w:p>
    <w:p w14:paraId="5753DFA0">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（5）技术标准和要求；</w:t>
      </w:r>
    </w:p>
    <w:p w14:paraId="645CA627">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（6）图纸；</w:t>
      </w:r>
    </w:p>
    <w:p w14:paraId="5CE003EF">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（7）已标价工程量清单或预算书；</w:t>
      </w:r>
    </w:p>
    <w:p w14:paraId="7C119A2D">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（8）其他合同文件。</w:t>
      </w:r>
    </w:p>
    <w:p w14:paraId="46E6A4D4">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在合同订立及履行过程中形成的与合同有关的文件均构成合同文件组成部分。</w:t>
      </w:r>
    </w:p>
    <w:p w14:paraId="4176B14B">
      <w:pPr>
        <w:pStyle w:val="76"/>
        <w:autoSpaceDE w:val="0"/>
        <w:autoSpaceDN w:val="0"/>
        <w:adjustRightInd w:val="0"/>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7D644ADE">
      <w:pPr>
        <w:pStyle w:val="187"/>
        <w:spacing w:before="0" w:beforeLines="0" w:after="0" w:afterLines="0" w:line="440" w:lineRule="exac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 xml:space="preserve">   </w:t>
      </w:r>
      <w:r>
        <w:rPr>
          <w:rFonts w:hint="eastAsia" w:ascii="宋体" w:hAnsi="宋体" w:cs="宋体"/>
          <w:b w:val="0"/>
          <w:color w:val="auto"/>
          <w:sz w:val="21"/>
          <w:szCs w:val="21"/>
          <w:highlight w:val="none"/>
        </w:rPr>
        <w:t xml:space="preserve"> </w:t>
      </w:r>
      <w:bookmarkStart w:id="276" w:name="_Toc351203487"/>
      <w:r>
        <w:rPr>
          <w:rFonts w:hint="eastAsia" w:ascii="宋体" w:hAnsi="宋体" w:cs="宋体"/>
          <w:b w:val="0"/>
          <w:color w:val="auto"/>
          <w:sz w:val="21"/>
          <w:szCs w:val="21"/>
          <w:highlight w:val="none"/>
        </w:rPr>
        <w:t>七、承诺</w:t>
      </w:r>
      <w:bookmarkEnd w:id="276"/>
    </w:p>
    <w:p w14:paraId="37AA7EF9">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14:paraId="275F8047">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17CC0D8B">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3.发包人和承包人通过招磋商形式签订合同的，双方理解并承诺不再就同一工程另行签订与合同实质性内容相背离的协议。</w:t>
      </w:r>
    </w:p>
    <w:p w14:paraId="3FCBCF36">
      <w:pPr>
        <w:pStyle w:val="76"/>
        <w:spacing w:line="440" w:lineRule="exact"/>
        <w:rPr>
          <w:rFonts w:hint="eastAsia" w:ascii="宋体" w:hAnsi="宋体" w:cs="宋体"/>
          <w:bCs/>
          <w:color w:val="auto"/>
          <w:szCs w:val="21"/>
          <w:highlight w:val="none"/>
        </w:rPr>
      </w:pPr>
      <w:bookmarkStart w:id="277" w:name="_Toc351203488"/>
      <w:r>
        <w:rPr>
          <w:rFonts w:hint="eastAsia" w:ascii="宋体" w:hAnsi="宋体" w:cs="宋体"/>
          <w:b/>
          <w:color w:val="auto"/>
          <w:szCs w:val="21"/>
          <w:highlight w:val="none"/>
        </w:rPr>
        <w:t xml:space="preserve">    八、词语含义</w:t>
      </w:r>
      <w:bookmarkEnd w:id="277"/>
    </w:p>
    <w:p w14:paraId="2FD181E2">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本协议书中词语含义与第二部分通用合同条款中赋予的含义相同。</w:t>
      </w:r>
    </w:p>
    <w:p w14:paraId="2308797B">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val="0"/>
          <w:color w:val="auto"/>
          <w:sz w:val="21"/>
          <w:szCs w:val="21"/>
          <w:highlight w:val="none"/>
        </w:rPr>
        <w:t xml:space="preserve"> </w:t>
      </w:r>
      <w:r>
        <w:rPr>
          <w:rFonts w:hint="eastAsia" w:ascii="宋体" w:hAnsi="宋体" w:cs="宋体"/>
          <w:b/>
          <w:bCs w:val="0"/>
          <w:color w:val="auto"/>
          <w:sz w:val="21"/>
          <w:szCs w:val="21"/>
          <w:highlight w:val="none"/>
        </w:rPr>
        <w:t xml:space="preserve"> </w:t>
      </w:r>
      <w:bookmarkStart w:id="278" w:name="_Toc351203489"/>
      <w:r>
        <w:rPr>
          <w:rFonts w:hint="eastAsia" w:ascii="宋体" w:hAnsi="宋体" w:cs="宋体"/>
          <w:b/>
          <w:bCs w:val="0"/>
          <w:color w:val="auto"/>
          <w:sz w:val="21"/>
          <w:szCs w:val="21"/>
          <w:highlight w:val="none"/>
        </w:rPr>
        <w:t>九、签订时间</w:t>
      </w:r>
      <w:bookmarkEnd w:id="278"/>
    </w:p>
    <w:p w14:paraId="1611690B">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本合同于</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日签订。</w:t>
      </w:r>
    </w:p>
    <w:p w14:paraId="10AB5814">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bCs w:val="0"/>
          <w:color w:val="auto"/>
          <w:sz w:val="21"/>
          <w:szCs w:val="21"/>
          <w:highlight w:val="none"/>
        </w:rPr>
        <w:t xml:space="preserve"> </w:t>
      </w:r>
      <w:bookmarkStart w:id="279" w:name="_Toc351203490"/>
      <w:r>
        <w:rPr>
          <w:rFonts w:hint="eastAsia" w:ascii="宋体" w:hAnsi="宋体" w:cs="宋体"/>
          <w:b/>
          <w:bCs w:val="0"/>
          <w:color w:val="auto"/>
          <w:sz w:val="21"/>
          <w:szCs w:val="21"/>
          <w:highlight w:val="none"/>
        </w:rPr>
        <w:t>十、签订地点</w:t>
      </w:r>
      <w:bookmarkEnd w:id="279"/>
    </w:p>
    <w:p w14:paraId="6D41D64F">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本合同在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签订。</w:t>
      </w:r>
    </w:p>
    <w:p w14:paraId="5C0E623A">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bCs w:val="0"/>
          <w:color w:val="auto"/>
          <w:sz w:val="21"/>
          <w:szCs w:val="21"/>
          <w:highlight w:val="none"/>
        </w:rPr>
        <w:t xml:space="preserve">  </w:t>
      </w:r>
      <w:bookmarkStart w:id="280" w:name="_Toc351203491"/>
      <w:r>
        <w:rPr>
          <w:rFonts w:hint="eastAsia" w:ascii="宋体" w:hAnsi="宋体" w:cs="宋体"/>
          <w:b/>
          <w:bCs w:val="0"/>
          <w:color w:val="auto"/>
          <w:sz w:val="21"/>
          <w:szCs w:val="21"/>
          <w:highlight w:val="none"/>
        </w:rPr>
        <w:t>十一、补充协议</w:t>
      </w:r>
      <w:bookmarkEnd w:id="280"/>
    </w:p>
    <w:p w14:paraId="33D6EA58">
      <w:pPr>
        <w:pStyle w:val="76"/>
        <w:spacing w:line="440" w:lineRule="exact"/>
        <w:ind w:firstLine="420" w:firstLineChars="200"/>
        <w:rPr>
          <w:rFonts w:hint="eastAsia"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14:paraId="5BC5426F">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r>
        <w:rPr>
          <w:rFonts w:hint="eastAsia" w:ascii="宋体" w:hAnsi="宋体" w:cs="宋体"/>
          <w:b/>
          <w:bCs w:val="0"/>
          <w:color w:val="auto"/>
          <w:sz w:val="21"/>
          <w:szCs w:val="21"/>
          <w:highlight w:val="none"/>
        </w:rPr>
        <w:t xml:space="preserve"> </w:t>
      </w:r>
      <w:bookmarkStart w:id="281" w:name="_Toc351203492"/>
      <w:r>
        <w:rPr>
          <w:rFonts w:hint="eastAsia" w:ascii="宋体" w:hAnsi="宋体" w:cs="宋体"/>
          <w:b/>
          <w:bCs w:val="0"/>
          <w:color w:val="auto"/>
          <w:sz w:val="21"/>
          <w:szCs w:val="21"/>
          <w:highlight w:val="none"/>
        </w:rPr>
        <w:t>十二、合同生效</w:t>
      </w:r>
      <w:bookmarkEnd w:id="281"/>
    </w:p>
    <w:p w14:paraId="1271C3E5">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本合同自</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生效。</w:t>
      </w:r>
    </w:p>
    <w:p w14:paraId="7D2017F7">
      <w:pPr>
        <w:pStyle w:val="187"/>
        <w:spacing w:before="0" w:beforeLines="0" w:after="0" w:afterLines="0" w:line="440" w:lineRule="exact"/>
        <w:rPr>
          <w:rFonts w:hint="eastAsia" w:ascii="宋体" w:hAnsi="宋体" w:cs="宋体"/>
          <w:bCs w:val="0"/>
          <w:color w:val="auto"/>
          <w:sz w:val="21"/>
          <w:szCs w:val="21"/>
          <w:highlight w:val="none"/>
        </w:rPr>
      </w:pPr>
      <w:r>
        <w:rPr>
          <w:rFonts w:hint="eastAsia" w:ascii="宋体" w:hAnsi="宋体" w:cs="宋体"/>
          <w:bCs w:val="0"/>
          <w:color w:val="auto"/>
          <w:sz w:val="21"/>
          <w:szCs w:val="21"/>
          <w:highlight w:val="none"/>
        </w:rPr>
        <w:t xml:space="preserve">    </w:t>
      </w:r>
      <w:bookmarkStart w:id="282" w:name="_Toc351203493"/>
      <w:r>
        <w:rPr>
          <w:rFonts w:hint="eastAsia" w:ascii="宋体" w:hAnsi="宋体" w:cs="宋体"/>
          <w:b/>
          <w:bCs w:val="0"/>
          <w:color w:val="auto"/>
          <w:sz w:val="21"/>
          <w:szCs w:val="21"/>
          <w:highlight w:val="none"/>
        </w:rPr>
        <w:t>十三、合同份数</w:t>
      </w:r>
      <w:bookmarkEnd w:id="282"/>
    </w:p>
    <w:p w14:paraId="3C7AF770">
      <w:pPr>
        <w:pStyle w:val="76"/>
        <w:spacing w:line="440" w:lineRule="exac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本合同一式</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份，均具有同等法律效力，发包人执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份，承包人执</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份。</w:t>
      </w:r>
    </w:p>
    <w:p w14:paraId="0C9C7909">
      <w:pPr>
        <w:pStyle w:val="76"/>
        <w:spacing w:line="440" w:lineRule="exact"/>
        <w:rPr>
          <w:rFonts w:hint="eastAsia" w:ascii="宋体" w:hAnsi="宋体" w:cs="宋体"/>
          <w:bCs/>
          <w:color w:val="auto"/>
          <w:szCs w:val="21"/>
          <w:highlight w:val="none"/>
        </w:rPr>
      </w:pPr>
    </w:p>
    <w:p w14:paraId="1F2B6BB9">
      <w:pPr>
        <w:pStyle w:val="76"/>
        <w:spacing w:line="440" w:lineRule="exact"/>
        <w:rPr>
          <w:rFonts w:hint="eastAsia" w:ascii="宋体" w:hAnsi="宋体" w:cs="宋体"/>
          <w:bCs/>
          <w:color w:val="auto"/>
          <w:szCs w:val="21"/>
          <w:highlight w:val="none"/>
        </w:rPr>
      </w:pPr>
    </w:p>
    <w:p w14:paraId="3133A3EC">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发包人：  (公章)             承包人：  (公章)</w:t>
      </w:r>
    </w:p>
    <w:p w14:paraId="3025D7C0">
      <w:pPr>
        <w:pStyle w:val="76"/>
        <w:spacing w:line="440" w:lineRule="exact"/>
        <w:rPr>
          <w:rFonts w:hint="eastAsia" w:ascii="宋体" w:hAnsi="宋体" w:cs="宋体"/>
          <w:color w:val="auto"/>
          <w:szCs w:val="21"/>
          <w:highlight w:val="none"/>
          <w:u w:val="single"/>
        </w:rPr>
      </w:pPr>
      <w:r>
        <w:rPr>
          <w:rFonts w:hint="eastAsia" w:ascii="宋体" w:hAnsi="宋体" w:cs="宋体"/>
          <w:color w:val="auto"/>
          <w:szCs w:val="21"/>
          <w:highlight w:val="none"/>
        </w:rPr>
        <w:t xml:space="preserve">                                 </w:t>
      </w:r>
    </w:p>
    <w:p w14:paraId="7363DB56">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  法定代表人或其委托代理人：</w:t>
      </w:r>
    </w:p>
    <w:p w14:paraId="3D9C5AD0">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（签字）                    （签字）</w:t>
      </w:r>
    </w:p>
    <w:p w14:paraId="08371528">
      <w:pPr>
        <w:pStyle w:val="76"/>
        <w:spacing w:line="440" w:lineRule="exact"/>
        <w:rPr>
          <w:rFonts w:hint="eastAsia" w:ascii="宋体" w:hAnsi="宋体" w:cs="宋体"/>
          <w:color w:val="auto"/>
          <w:szCs w:val="21"/>
          <w:highlight w:val="none"/>
          <w:u w:val="single"/>
        </w:rPr>
      </w:pPr>
    </w:p>
    <w:p w14:paraId="7CE8E64E">
      <w:pPr>
        <w:pStyle w:val="76"/>
        <w:tabs>
          <w:tab w:val="left" w:pos="4410"/>
        </w:tabs>
        <w:spacing w:line="440" w:lineRule="exact"/>
        <w:rPr>
          <w:rFonts w:hint="eastAsia" w:ascii="宋体" w:hAnsi="宋体" w:cs="宋体"/>
          <w:color w:val="auto"/>
          <w:szCs w:val="21"/>
          <w:highlight w:val="none"/>
        </w:rPr>
      </w:pPr>
      <w:r>
        <w:rPr>
          <w:rFonts w:hint="eastAsia" w:ascii="宋体" w:hAnsi="宋体" w:cs="宋体"/>
          <w:color w:val="auto"/>
          <w:szCs w:val="21"/>
          <w:highlight w:val="none"/>
        </w:rPr>
        <w:t>组织机构代码：</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组织机构代码：</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w:t>
      </w:r>
    </w:p>
    <w:p w14:paraId="6F179BE0">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地  址：</w:t>
      </w:r>
      <w:r>
        <w:rPr>
          <w:rFonts w:hint="eastAsia" w:ascii="宋体" w:hAnsi="宋体" w:cs="宋体"/>
          <w:color w:val="auto"/>
          <w:szCs w:val="21"/>
          <w:highlight w:val="none"/>
          <w:u w:val="single"/>
        </w:rPr>
        <w:t xml:space="preserve">        </w:t>
      </w:r>
    </w:p>
    <w:p w14:paraId="2239514E">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14:paraId="71441D2F">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法定代表人：</w:t>
      </w:r>
      <w:r>
        <w:rPr>
          <w:rFonts w:hint="eastAsia" w:ascii="宋体" w:hAnsi="宋体" w:cs="宋体"/>
          <w:color w:val="auto"/>
          <w:szCs w:val="21"/>
          <w:highlight w:val="none"/>
          <w:u w:val="single"/>
        </w:rPr>
        <w:t xml:space="preserve">             </w:t>
      </w:r>
    </w:p>
    <w:p w14:paraId="072B969B">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委托代理人：</w:t>
      </w:r>
      <w:r>
        <w:rPr>
          <w:rFonts w:hint="eastAsia" w:ascii="宋体" w:hAnsi="宋体" w:cs="宋体"/>
          <w:color w:val="auto"/>
          <w:szCs w:val="21"/>
          <w:highlight w:val="none"/>
          <w:u w:val="single"/>
        </w:rPr>
        <w:t xml:space="preserve">                        </w:t>
      </w:r>
    </w:p>
    <w:p w14:paraId="3286B492">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 xml:space="preserve">     </w:t>
      </w:r>
    </w:p>
    <w:p w14:paraId="3CB9D572">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  真：</w:t>
      </w:r>
      <w:r>
        <w:rPr>
          <w:rFonts w:hint="eastAsia" w:ascii="宋体" w:hAnsi="宋体" w:cs="宋体"/>
          <w:color w:val="auto"/>
          <w:szCs w:val="21"/>
          <w:highlight w:val="none"/>
          <w:u w:val="single"/>
        </w:rPr>
        <w:t xml:space="preserve">     </w:t>
      </w:r>
    </w:p>
    <w:p w14:paraId="7D2E422D">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电子信箱：</w:t>
      </w:r>
      <w:r>
        <w:rPr>
          <w:rFonts w:hint="eastAsia" w:ascii="宋体" w:hAnsi="宋体" w:cs="宋体"/>
          <w:color w:val="auto"/>
          <w:szCs w:val="21"/>
          <w:highlight w:val="none"/>
          <w:u w:val="single"/>
        </w:rPr>
        <w:t xml:space="preserve">   </w:t>
      </w:r>
    </w:p>
    <w:p w14:paraId="015B5177">
      <w:pPr>
        <w:pStyle w:val="76"/>
        <w:spacing w:line="440" w:lineRule="exact"/>
        <w:rPr>
          <w:rFonts w:hint="eastAsia"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14:paraId="6613452C">
      <w:pPr>
        <w:pStyle w:val="3"/>
        <w:keepNext w:val="0"/>
        <w:keepLines w:val="0"/>
        <w:snapToGrid w:val="0"/>
        <w:spacing w:before="0" w:beforeLines="0" w:after="0" w:afterLines="0" w:line="440" w:lineRule="exact"/>
        <w:rPr>
          <w:rFonts w:hint="eastAsia" w:ascii="宋体" w:hAnsi="宋体" w:eastAsia="宋体" w:cs="宋体"/>
          <w:b w:val="0"/>
          <w:color w:val="auto"/>
          <w:sz w:val="21"/>
          <w:szCs w:val="21"/>
          <w:highlight w:val="none"/>
        </w:rPr>
      </w:pPr>
      <w:bookmarkStart w:id="283" w:name="_Toc515488136"/>
      <w:bookmarkStart w:id="284" w:name="_Toc75182690"/>
      <w:bookmarkStart w:id="285" w:name="_Toc47088289"/>
      <w:r>
        <w:rPr>
          <w:rFonts w:hint="eastAsia" w:ascii="宋体" w:hAnsi="宋体" w:eastAsia="宋体" w:cs="宋体"/>
          <w:b w:val="0"/>
          <w:color w:val="auto"/>
          <w:sz w:val="21"/>
          <w:szCs w:val="21"/>
          <w:highlight w:val="none"/>
        </w:rPr>
        <w:t>账  号：</w:t>
      </w:r>
      <w:r>
        <w:rPr>
          <w:rFonts w:hint="eastAsia" w:ascii="宋体" w:hAnsi="宋体" w:eastAsia="宋体" w:cs="宋体"/>
          <w:b w:val="0"/>
          <w:color w:val="auto"/>
          <w:sz w:val="21"/>
          <w:szCs w:val="21"/>
          <w:highlight w:val="none"/>
          <w:u w:val="single"/>
        </w:rPr>
        <w:t xml:space="preserve">       </w:t>
      </w:r>
      <w:r>
        <w:rPr>
          <w:rFonts w:hint="eastAsia" w:ascii="宋体" w:hAnsi="宋体" w:eastAsia="宋体" w:cs="宋体"/>
          <w:b w:val="0"/>
          <w:color w:val="auto"/>
          <w:sz w:val="21"/>
          <w:szCs w:val="21"/>
          <w:highlight w:val="none"/>
        </w:rPr>
        <w:t xml:space="preserve">   账   号：</w:t>
      </w:r>
      <w:r>
        <w:rPr>
          <w:rFonts w:hint="eastAsia" w:ascii="宋体" w:hAnsi="宋体" w:eastAsia="宋体" w:cs="宋体"/>
          <w:b w:val="0"/>
          <w:color w:val="auto"/>
          <w:sz w:val="21"/>
          <w:szCs w:val="21"/>
          <w:highlight w:val="none"/>
          <w:u w:val="single"/>
        </w:rPr>
        <w:t></w:t>
      </w:r>
      <w:bookmarkEnd w:id="283"/>
      <w:bookmarkEnd w:id="284"/>
      <w:bookmarkEnd w:id="285"/>
      <w:r>
        <w:rPr>
          <w:rFonts w:hint="eastAsia" w:ascii="宋体" w:hAnsi="宋体" w:eastAsia="宋体" w:cs="宋体"/>
          <w:b w:val="0"/>
          <w:color w:val="auto"/>
          <w:sz w:val="21"/>
          <w:szCs w:val="21"/>
          <w:highlight w:val="none"/>
          <w:u w:val="single"/>
        </w:rPr>
        <w:t xml:space="preserve">     </w:t>
      </w:r>
    </w:p>
    <w:p w14:paraId="7EAB3C88">
      <w:pPr>
        <w:pStyle w:val="2"/>
        <w:keepNext w:val="0"/>
        <w:keepLines w:val="0"/>
        <w:rPr>
          <w:rFonts w:hint="eastAsia" w:ascii="宋体" w:hAnsi="宋体" w:eastAsia="宋体" w:cs="宋体"/>
          <w:color w:val="auto"/>
          <w:sz w:val="30"/>
          <w:szCs w:val="30"/>
          <w:highlight w:val="none"/>
        </w:rPr>
      </w:pPr>
    </w:p>
    <w:p w14:paraId="7ABED809">
      <w:pPr>
        <w:pStyle w:val="3"/>
        <w:keepNext w:val="0"/>
        <w:keepLines w:val="0"/>
        <w:snapToGrid w:val="0"/>
        <w:spacing w:line="340" w:lineRule="exact"/>
        <w:jc w:val="center"/>
        <w:rPr>
          <w:rFonts w:hint="eastAsia" w:ascii="宋体" w:hAnsi="宋体" w:cs="宋体"/>
          <w:color w:val="auto"/>
          <w:highlight w:val="none"/>
        </w:rPr>
      </w:pPr>
      <w:r>
        <w:rPr>
          <w:rFonts w:hint="eastAsia" w:ascii="宋体" w:hAnsi="宋体" w:cs="宋体"/>
          <w:color w:val="auto"/>
          <w:sz w:val="30"/>
          <w:szCs w:val="30"/>
          <w:highlight w:val="none"/>
        </w:rPr>
        <w:br w:type="page"/>
      </w:r>
      <w:bookmarkEnd w:id="264"/>
      <w:bookmarkEnd w:id="265"/>
      <w:bookmarkEnd w:id="266"/>
      <w:bookmarkEnd w:id="267"/>
      <w:bookmarkStart w:id="286" w:name="_Toc488905910"/>
      <w:bookmarkStart w:id="287" w:name="_Toc515488137"/>
      <w:bookmarkStart w:id="288" w:name="_Toc75182691"/>
      <w:bookmarkStart w:id="289" w:name="_Toc196295903"/>
      <w:bookmarkStart w:id="290" w:name="_Toc181001705"/>
      <w:bookmarkStart w:id="291" w:name="_Toc196306370"/>
      <w:bookmarkStart w:id="292" w:name="_Toc12222"/>
      <w:bookmarkStart w:id="293" w:name="_Toc487965758"/>
      <w:bookmarkStart w:id="294" w:name="_Toc75182783"/>
      <w:bookmarkStart w:id="295" w:name="_Toc196306371"/>
      <w:bookmarkStart w:id="296" w:name="_Toc85085520"/>
      <w:bookmarkStart w:id="297" w:name="_Toc121150091"/>
      <w:bookmarkStart w:id="298" w:name="_Toc75923334"/>
      <w:r>
        <w:rPr>
          <w:rFonts w:hint="eastAsia" w:ascii="宋体" w:hAnsi="宋体" w:eastAsia="宋体" w:cs="宋体"/>
          <w:color w:val="auto"/>
          <w:sz w:val="28"/>
          <w:szCs w:val="28"/>
          <w:highlight w:val="none"/>
        </w:rPr>
        <w:t xml:space="preserve">第二部分 </w:t>
      </w:r>
      <w:bookmarkEnd w:id="286"/>
      <w:bookmarkEnd w:id="287"/>
      <w:r>
        <w:rPr>
          <w:rFonts w:hint="eastAsia" w:ascii="宋体" w:hAnsi="宋体" w:eastAsia="宋体" w:cs="宋体"/>
          <w:color w:val="auto"/>
          <w:sz w:val="28"/>
          <w:szCs w:val="28"/>
          <w:highlight w:val="none"/>
        </w:rPr>
        <w:t>通用合同条款</w:t>
      </w:r>
      <w:bookmarkEnd w:id="288"/>
    </w:p>
    <w:p w14:paraId="6FE25D15">
      <w:pPr>
        <w:pStyle w:val="2"/>
        <w:keepNext w:val="0"/>
        <w:keepLines w:val="0"/>
        <w:rPr>
          <w:rFonts w:hint="eastAsia" w:ascii="宋体" w:hAnsi="宋体" w:eastAsia="宋体" w:cs="宋体"/>
          <w:color w:val="auto"/>
          <w:sz w:val="21"/>
          <w:szCs w:val="21"/>
          <w:highlight w:val="none"/>
        </w:rPr>
      </w:pPr>
      <w:bookmarkStart w:id="299" w:name="_Toc75182692"/>
      <w:bookmarkStart w:id="300" w:name="_Toc47088291"/>
      <w:r>
        <w:rPr>
          <w:rFonts w:hint="eastAsia" w:ascii="宋体" w:hAnsi="宋体" w:eastAsia="宋体" w:cs="宋体"/>
          <w:b/>
          <w:color w:val="auto"/>
          <w:sz w:val="21"/>
          <w:szCs w:val="21"/>
          <w:highlight w:val="none"/>
        </w:rPr>
        <w:t>采用《建设工程施工合同（示范文本）》（GF—2017—0201）。</w:t>
      </w:r>
      <w:bookmarkEnd w:id="299"/>
      <w:bookmarkEnd w:id="300"/>
    </w:p>
    <w:p w14:paraId="1955D2DF">
      <w:pPr>
        <w:pStyle w:val="2"/>
        <w:keepNext w:val="0"/>
        <w:keepLines w:val="0"/>
        <w:rPr>
          <w:rFonts w:hint="eastAsia" w:ascii="宋体" w:hAnsi="宋体" w:eastAsia="宋体" w:cs="宋体"/>
          <w:color w:val="auto"/>
          <w:sz w:val="30"/>
          <w:szCs w:val="30"/>
          <w:highlight w:val="none"/>
        </w:rPr>
      </w:pPr>
    </w:p>
    <w:p w14:paraId="55BCE19B">
      <w:pPr>
        <w:pStyle w:val="2"/>
        <w:keepNext w:val="0"/>
        <w:keepLines w:val="0"/>
        <w:rPr>
          <w:rFonts w:hint="eastAsia" w:ascii="宋体" w:hAnsi="宋体" w:eastAsia="宋体" w:cs="宋体"/>
          <w:b/>
          <w:bCs/>
          <w:color w:val="auto"/>
          <w:sz w:val="30"/>
          <w:szCs w:val="30"/>
          <w:highlight w:val="none"/>
        </w:rPr>
      </w:pPr>
      <w:bookmarkStart w:id="301" w:name="_Toc75182693"/>
      <w:r>
        <w:rPr>
          <w:rFonts w:hint="eastAsia" w:ascii="宋体" w:hAnsi="宋体" w:eastAsia="宋体" w:cs="宋体"/>
          <w:b/>
          <w:bCs/>
          <w:color w:val="auto"/>
          <w:sz w:val="30"/>
          <w:szCs w:val="30"/>
          <w:highlight w:val="none"/>
        </w:rPr>
        <w:t>第三部分 专用合同条款</w:t>
      </w:r>
      <w:bookmarkEnd w:id="301"/>
    </w:p>
    <w:p w14:paraId="60CBAD1C">
      <w:pPr>
        <w:pStyle w:val="174"/>
        <w:spacing w:before="0" w:beforeLines="0" w:after="0" w:afterLines="0" w:line="420" w:lineRule="exact"/>
        <w:rPr>
          <w:rFonts w:hint="eastAsia" w:ascii="宋体" w:hAnsi="宋体" w:cs="宋体"/>
          <w:color w:val="auto"/>
          <w:sz w:val="24"/>
          <w:szCs w:val="24"/>
          <w:highlight w:val="none"/>
        </w:rPr>
      </w:pPr>
      <w:bookmarkStart w:id="302" w:name="_Toc497215706"/>
      <w:bookmarkStart w:id="303" w:name="_Toc407135194"/>
      <w:bookmarkStart w:id="304" w:name="_Toc497147149"/>
      <w:bookmarkStart w:id="305" w:name="_Toc497901105"/>
      <w:bookmarkStart w:id="306" w:name="_Toc75182694"/>
      <w:bookmarkStart w:id="307" w:name="_Toc47088293"/>
      <w:r>
        <w:rPr>
          <w:rFonts w:hint="eastAsia" w:ascii="宋体" w:hAnsi="宋体" w:cs="宋体"/>
          <w:color w:val="auto"/>
          <w:sz w:val="24"/>
          <w:szCs w:val="24"/>
          <w:highlight w:val="none"/>
        </w:rPr>
        <w:t>1. 一般约定</w:t>
      </w:r>
      <w:bookmarkEnd w:id="302"/>
      <w:bookmarkEnd w:id="303"/>
      <w:bookmarkEnd w:id="304"/>
      <w:bookmarkEnd w:id="305"/>
      <w:bookmarkEnd w:id="306"/>
      <w:bookmarkEnd w:id="307"/>
    </w:p>
    <w:p w14:paraId="325759BF">
      <w:pPr>
        <w:pStyle w:val="107"/>
        <w:spacing w:before="0" w:beforeLines="0" w:after="0" w:afterLines="0" w:line="420" w:lineRule="exact"/>
        <w:rPr>
          <w:rFonts w:hint="eastAsia" w:ascii="宋体" w:hAnsi="宋体" w:cs="宋体"/>
          <w:color w:val="auto"/>
          <w:sz w:val="24"/>
          <w:szCs w:val="24"/>
          <w:highlight w:val="none"/>
        </w:rPr>
      </w:pPr>
      <w:bookmarkStart w:id="308" w:name="_Toc497901106"/>
      <w:bookmarkStart w:id="309" w:name="_Toc497215707"/>
      <w:bookmarkStart w:id="310" w:name="_Toc47088294"/>
      <w:bookmarkStart w:id="311" w:name="_Toc75182695"/>
      <w:bookmarkStart w:id="312" w:name="_Toc407135195"/>
      <w:bookmarkStart w:id="313" w:name="_Toc497147150"/>
      <w:r>
        <w:rPr>
          <w:rFonts w:hint="eastAsia" w:ascii="宋体" w:hAnsi="宋体" w:cs="宋体"/>
          <w:color w:val="auto"/>
          <w:sz w:val="24"/>
          <w:szCs w:val="24"/>
          <w:highlight w:val="none"/>
        </w:rPr>
        <w:t>1.1 词语定义</w:t>
      </w:r>
      <w:bookmarkEnd w:id="308"/>
      <w:bookmarkEnd w:id="309"/>
      <w:bookmarkEnd w:id="310"/>
      <w:bookmarkEnd w:id="311"/>
      <w:bookmarkEnd w:id="312"/>
      <w:bookmarkEnd w:id="313"/>
    </w:p>
    <w:p w14:paraId="3E018397">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 合同</w:t>
      </w:r>
    </w:p>
    <w:p w14:paraId="74B3F5AD">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1.1.1.1 其他合同文件包括：</w:t>
      </w:r>
      <w:r>
        <w:rPr>
          <w:rFonts w:hint="eastAsia" w:ascii="宋体" w:hAnsi="宋体" w:cs="宋体"/>
          <w:color w:val="auto"/>
          <w:szCs w:val="21"/>
          <w:highlight w:val="none"/>
          <w:u w:val="single"/>
        </w:rPr>
        <w:t>履行合同过程中双方工地代表人书面确认的对合同内容有实质性影响的会议纪要、签证、设计变更等资料</w:t>
      </w:r>
      <w:r>
        <w:rPr>
          <w:rFonts w:hint="eastAsia" w:ascii="宋体" w:hAnsi="宋体" w:cs="宋体"/>
          <w:color w:val="auto"/>
          <w:szCs w:val="21"/>
          <w:highlight w:val="none"/>
        </w:rPr>
        <w:t>。</w:t>
      </w:r>
    </w:p>
    <w:p w14:paraId="2D848BE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1.1.2 合同当事人及其他相关方</w:t>
      </w:r>
    </w:p>
    <w:p w14:paraId="3E1092EA">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1.1.2.</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 xml:space="preserve"> 监理人：</w:t>
      </w:r>
    </w:p>
    <w:p w14:paraId="1D6AA53E">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名    称：</w:t>
      </w:r>
      <w:r>
        <w:rPr>
          <w:rFonts w:hint="eastAsia" w:ascii="宋体" w:hAnsi="宋体" w:cs="宋体"/>
          <w:color w:val="auto"/>
          <w:szCs w:val="21"/>
          <w:highlight w:val="none"/>
          <w:u w:val="single"/>
        </w:rPr>
        <w:t xml:space="preserve">中标后填写             </w:t>
      </w:r>
      <w:r>
        <w:rPr>
          <w:rFonts w:hint="eastAsia" w:ascii="宋体" w:hAnsi="宋体" w:cs="宋体"/>
          <w:color w:val="auto"/>
          <w:szCs w:val="21"/>
          <w:highlight w:val="none"/>
        </w:rPr>
        <w:t>；</w:t>
      </w:r>
    </w:p>
    <w:p w14:paraId="7868F429">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资质类别和等级：</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599CC6B4">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中标后填写     </w:t>
      </w:r>
      <w:r>
        <w:rPr>
          <w:rFonts w:hint="eastAsia" w:ascii="宋体" w:hAnsi="宋体" w:cs="宋体"/>
          <w:color w:val="auto"/>
          <w:szCs w:val="21"/>
          <w:highlight w:val="none"/>
        </w:rPr>
        <w:t>；</w:t>
      </w:r>
    </w:p>
    <w:p w14:paraId="084B6378">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17E8CC9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40EC5AF0">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设计人：</w:t>
      </w:r>
    </w:p>
    <w:p w14:paraId="099C345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名    称：</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ED3A29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资质类别和等级：</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2FD61680">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77CE88A7">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E788B01">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27DD5388">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1.1.3 工程和设备</w:t>
      </w:r>
    </w:p>
    <w:p w14:paraId="693C0B09">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1.1.3.</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 xml:space="preserve"> 作为施工现场组成部分的其他场所包括：</w:t>
      </w:r>
    </w:p>
    <w:p w14:paraId="607A233E">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发包人提交的本合同工程所涉地块土地红线范围内所包括的场所</w:t>
      </w:r>
      <w:r>
        <w:rPr>
          <w:rFonts w:hint="eastAsia" w:ascii="宋体" w:hAnsi="宋体" w:cs="宋体"/>
          <w:color w:val="auto"/>
          <w:szCs w:val="21"/>
          <w:highlight w:val="none"/>
        </w:rPr>
        <w:t>。</w:t>
      </w:r>
    </w:p>
    <w:p w14:paraId="0957E9B3">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1.1.3.</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永久占地包括：</w:t>
      </w:r>
      <w:r>
        <w:rPr>
          <w:rFonts w:hint="eastAsia" w:ascii="宋体" w:hAnsi="宋体" w:cs="宋体"/>
          <w:color w:val="auto"/>
          <w:szCs w:val="21"/>
          <w:highlight w:val="none"/>
          <w:u w:val="single"/>
        </w:rPr>
        <w:t xml:space="preserve">           </w:t>
      </w:r>
      <w:r>
        <w:rPr>
          <w:rFonts w:hint="eastAsia" w:ascii="宋体" w:hAnsi="宋体" w:cs="宋体"/>
          <w:color w:val="auto"/>
          <w:kern w:val="0"/>
          <w:szCs w:val="21"/>
          <w:highlight w:val="none"/>
        </w:rPr>
        <w:t>。</w:t>
      </w:r>
    </w:p>
    <w:p w14:paraId="25E30F97">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1.1.3.</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 xml:space="preserve"> 临时占地包括：</w:t>
      </w:r>
      <w:r>
        <w:rPr>
          <w:rFonts w:hint="eastAsia" w:ascii="宋体" w:hAnsi="宋体" w:cs="宋体"/>
          <w:color w:val="auto"/>
          <w:szCs w:val="21"/>
          <w:highlight w:val="none"/>
          <w:u w:val="single"/>
        </w:rPr>
        <w:t xml:space="preserve">        无      </w:t>
      </w:r>
      <w:r>
        <w:rPr>
          <w:rFonts w:hint="eastAsia" w:ascii="宋体" w:hAnsi="宋体" w:cs="宋体"/>
          <w:color w:val="auto"/>
          <w:kern w:val="0"/>
          <w:szCs w:val="21"/>
          <w:highlight w:val="none"/>
        </w:rPr>
        <w:t>。</w:t>
      </w:r>
    </w:p>
    <w:p w14:paraId="51D759E4">
      <w:pPr>
        <w:pStyle w:val="174"/>
        <w:spacing w:before="0" w:beforeLines="0" w:after="0" w:afterLines="0" w:line="420" w:lineRule="exact"/>
        <w:rPr>
          <w:rFonts w:hint="eastAsia" w:ascii="宋体" w:hAnsi="宋体" w:cs="宋体"/>
          <w:color w:val="auto"/>
          <w:sz w:val="24"/>
          <w:szCs w:val="24"/>
          <w:highlight w:val="none"/>
        </w:rPr>
      </w:pPr>
      <w:bookmarkStart w:id="314" w:name="_Toc497147151"/>
      <w:bookmarkStart w:id="315" w:name="_Toc75182696"/>
      <w:bookmarkStart w:id="316" w:name="_Toc497901107"/>
      <w:bookmarkStart w:id="317" w:name="_Toc407135196"/>
      <w:bookmarkStart w:id="318" w:name="_Toc497215708"/>
      <w:bookmarkStart w:id="319" w:name="_Toc47088295"/>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法律</w:t>
      </w:r>
      <w:bookmarkEnd w:id="314"/>
      <w:bookmarkEnd w:id="315"/>
      <w:bookmarkEnd w:id="316"/>
      <w:bookmarkEnd w:id="317"/>
      <w:bookmarkEnd w:id="318"/>
      <w:bookmarkEnd w:id="319"/>
    </w:p>
    <w:p w14:paraId="6E00559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适用于合同的其他规范性文件：</w:t>
      </w:r>
      <w:r>
        <w:rPr>
          <w:rFonts w:hint="eastAsia" w:ascii="宋体" w:hAnsi="宋体" w:cs="宋体"/>
          <w:b/>
          <w:color w:val="auto"/>
          <w:szCs w:val="21"/>
          <w:highlight w:val="none"/>
          <w:u w:val="single"/>
        </w:rPr>
        <w:t>国家现行法律、行政法规及地方政府的有关法规和规章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7864AA5">
      <w:pPr>
        <w:pStyle w:val="174"/>
        <w:spacing w:before="0" w:beforeLines="0" w:after="0" w:afterLines="0" w:line="420" w:lineRule="exact"/>
        <w:rPr>
          <w:rFonts w:hint="eastAsia" w:ascii="宋体" w:hAnsi="宋体" w:cs="宋体"/>
          <w:color w:val="auto"/>
          <w:sz w:val="24"/>
          <w:szCs w:val="24"/>
          <w:highlight w:val="none"/>
        </w:rPr>
      </w:pPr>
      <w:bookmarkStart w:id="320" w:name="_Toc47088296"/>
      <w:bookmarkStart w:id="321" w:name="_Toc497147152"/>
      <w:bookmarkStart w:id="322" w:name="_Toc497215709"/>
      <w:bookmarkStart w:id="323" w:name="_Toc407135197"/>
      <w:bookmarkStart w:id="324" w:name="_Toc75182697"/>
      <w:bookmarkStart w:id="325" w:name="_Toc497901108"/>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标准和规范</w:t>
      </w:r>
      <w:bookmarkEnd w:id="320"/>
      <w:bookmarkEnd w:id="321"/>
      <w:bookmarkEnd w:id="322"/>
      <w:bookmarkEnd w:id="323"/>
      <w:bookmarkEnd w:id="324"/>
      <w:bookmarkEnd w:id="325"/>
    </w:p>
    <w:p w14:paraId="5CBBFFF1">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 适用于工程的标准规范包括：</w:t>
      </w:r>
      <w:r>
        <w:rPr>
          <w:rFonts w:hint="eastAsia" w:ascii="宋体" w:hAnsi="宋体" w:cs="宋体"/>
          <w:b/>
          <w:color w:val="auto"/>
          <w:szCs w:val="21"/>
          <w:highlight w:val="none"/>
          <w:u w:val="single"/>
        </w:rPr>
        <w:t>现行的国家标准、规范以及行业标准、规范及地方标准、规范</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652B20D">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.2 发包人提供国外标准、规范的名称：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ABFE28D">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发包人提供国外标准、规范的份数：</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8E5864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发包人提供国外标准、规范的名称：</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6745AE1">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.3 发包人对工程的技术标准和功能要求的特殊要求：</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39757C9D">
      <w:pPr>
        <w:pStyle w:val="174"/>
        <w:spacing w:before="0" w:beforeLines="0" w:after="0" w:afterLines="0" w:line="420" w:lineRule="exact"/>
        <w:rPr>
          <w:rFonts w:hint="eastAsia" w:ascii="宋体" w:hAnsi="宋体" w:cs="宋体"/>
          <w:color w:val="auto"/>
          <w:sz w:val="24"/>
          <w:szCs w:val="24"/>
          <w:highlight w:val="none"/>
        </w:rPr>
      </w:pPr>
      <w:bookmarkStart w:id="326" w:name="_Toc497215710"/>
      <w:bookmarkStart w:id="327" w:name="_Toc407135198"/>
      <w:bookmarkStart w:id="328" w:name="_Toc47088297"/>
      <w:bookmarkStart w:id="329" w:name="_Toc497147153"/>
      <w:bookmarkStart w:id="330" w:name="_Toc497901109"/>
      <w:bookmarkStart w:id="331" w:name="_Toc75182698"/>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合同文件的优先顺序</w:t>
      </w:r>
      <w:bookmarkEnd w:id="326"/>
      <w:bookmarkEnd w:id="327"/>
      <w:bookmarkEnd w:id="328"/>
      <w:bookmarkEnd w:id="329"/>
      <w:bookmarkEnd w:id="330"/>
      <w:bookmarkEnd w:id="331"/>
    </w:p>
    <w:p w14:paraId="2AE4CD0F">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合同文件组成及优先顺序为：</w:t>
      </w:r>
    </w:p>
    <w:p w14:paraId="07A9518C">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（1）合同协议书；</w:t>
      </w:r>
    </w:p>
    <w:p w14:paraId="5504B96C">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（2）成交通知书（如果有）；</w:t>
      </w:r>
    </w:p>
    <w:p w14:paraId="7721833C">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lang w:val="en-US" w:eastAsia="zh-CN"/>
        </w:rPr>
        <w:t>磋商</w:t>
      </w:r>
      <w:r>
        <w:rPr>
          <w:rFonts w:hint="eastAsia" w:ascii="宋体" w:hAnsi="宋体" w:cs="宋体"/>
          <w:color w:val="auto"/>
          <w:kern w:val="0"/>
          <w:szCs w:val="21"/>
          <w:highlight w:val="none"/>
        </w:rPr>
        <w:t>函及其附录（如果有）；</w:t>
      </w:r>
    </w:p>
    <w:p w14:paraId="34A5D29A">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（4）专用合同条款及其附件；</w:t>
      </w:r>
    </w:p>
    <w:p w14:paraId="17718D23">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（5）通用合同条款；</w:t>
      </w:r>
    </w:p>
    <w:p w14:paraId="7EBA0960">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w:t>
      </w:r>
      <w:r>
        <w:rPr>
          <w:rFonts w:hint="eastAsia" w:ascii="宋体" w:hAnsi="宋体" w:cs="宋体"/>
          <w:color w:val="auto"/>
          <w:kern w:val="0"/>
          <w:szCs w:val="21"/>
          <w:highlight w:val="none"/>
          <w:u w:val="single"/>
        </w:rPr>
        <w:t>技术标准和要求</w:t>
      </w:r>
      <w:r>
        <w:rPr>
          <w:rFonts w:hint="eastAsia" w:ascii="宋体" w:hAnsi="宋体" w:cs="宋体"/>
          <w:color w:val="auto"/>
          <w:kern w:val="0"/>
          <w:szCs w:val="21"/>
          <w:highlight w:val="none"/>
        </w:rPr>
        <w:t>；</w:t>
      </w:r>
    </w:p>
    <w:p w14:paraId="6F9B292E">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w:t>
      </w:r>
      <w:r>
        <w:rPr>
          <w:rFonts w:hint="eastAsia" w:ascii="宋体" w:hAnsi="宋体" w:cs="宋体"/>
          <w:color w:val="auto"/>
          <w:kern w:val="0"/>
          <w:szCs w:val="21"/>
          <w:highlight w:val="none"/>
          <w:u w:val="single"/>
        </w:rPr>
        <w:t>图纸</w:t>
      </w:r>
      <w:r>
        <w:rPr>
          <w:rFonts w:hint="eastAsia" w:ascii="宋体" w:hAnsi="宋体" w:cs="宋体"/>
          <w:color w:val="auto"/>
          <w:kern w:val="0"/>
          <w:szCs w:val="21"/>
          <w:highlight w:val="none"/>
        </w:rPr>
        <w:t>；</w:t>
      </w:r>
    </w:p>
    <w:p w14:paraId="23DB1842">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hint="eastAsia" w:ascii="宋体" w:hAnsi="宋体" w:cs="宋体"/>
          <w:color w:val="auto"/>
          <w:kern w:val="0"/>
          <w:szCs w:val="21"/>
          <w:highlight w:val="none"/>
          <w:u w:val="single"/>
        </w:rPr>
        <w:t>已标价工程量清单或预算书</w:t>
      </w:r>
      <w:r>
        <w:rPr>
          <w:rFonts w:hint="eastAsia" w:ascii="宋体" w:hAnsi="宋体" w:cs="宋体"/>
          <w:color w:val="auto"/>
          <w:kern w:val="0"/>
          <w:szCs w:val="21"/>
          <w:highlight w:val="none"/>
        </w:rPr>
        <w:t>；</w:t>
      </w:r>
    </w:p>
    <w:p w14:paraId="05594135">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（9）</w:t>
      </w:r>
      <w:r>
        <w:rPr>
          <w:rFonts w:hint="eastAsia" w:ascii="宋体" w:hAnsi="宋体" w:cs="宋体"/>
          <w:color w:val="auto"/>
          <w:kern w:val="0"/>
          <w:szCs w:val="21"/>
          <w:highlight w:val="none"/>
          <w:u w:val="single"/>
        </w:rPr>
        <w:t>其他合同文件</w:t>
      </w:r>
      <w:r>
        <w:rPr>
          <w:rFonts w:hint="eastAsia" w:ascii="宋体" w:hAnsi="宋体" w:cs="宋体"/>
          <w:color w:val="auto"/>
          <w:kern w:val="0"/>
          <w:szCs w:val="21"/>
          <w:highlight w:val="none"/>
        </w:rPr>
        <w:t>。</w:t>
      </w:r>
    </w:p>
    <w:p w14:paraId="6D7B222E">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建设工程工程量清单计价规范（GB5050-2013）》及其广西实施细则及《关于建筑业实施营业税改征增值税后广西壮族自治区建设工程计价依据调整的通知》（桂建标〔2016〕17号）、《建设工程工程量清单计算规范（GB5854~50862-2013）》及其广西实施细则（修订本）。</w:t>
      </w:r>
    </w:p>
    <w:p w14:paraId="3CE5CF1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说明：（6）、（7）、（8）、（9）填空内容分别限于技术标准和要求、图纸、已标价工程量清单或预算书、其他合同文件四者之一，其优先顺序可根据采取的不同合同方式由双方约定。</w:t>
      </w:r>
    </w:p>
    <w:p w14:paraId="5EE8CA80">
      <w:pPr>
        <w:pStyle w:val="174"/>
        <w:spacing w:before="0" w:beforeLines="0" w:after="0" w:afterLines="0" w:line="420" w:lineRule="exact"/>
        <w:rPr>
          <w:rFonts w:hint="eastAsia" w:ascii="宋体" w:hAnsi="宋体" w:cs="宋体"/>
          <w:color w:val="auto"/>
          <w:sz w:val="24"/>
          <w:szCs w:val="24"/>
          <w:highlight w:val="none"/>
        </w:rPr>
      </w:pPr>
      <w:bookmarkStart w:id="332" w:name="_Toc407135199"/>
      <w:bookmarkStart w:id="333" w:name="_Toc497147154"/>
      <w:bookmarkStart w:id="334" w:name="_Toc47088298"/>
      <w:bookmarkStart w:id="335" w:name="_Toc75182699"/>
      <w:bookmarkStart w:id="336" w:name="_Toc497215711"/>
      <w:bookmarkStart w:id="337" w:name="_Toc497901110"/>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 xml:space="preserve"> 图纸和承包人文件</w:t>
      </w:r>
      <w:bookmarkEnd w:id="332"/>
      <w:bookmarkEnd w:id="333"/>
      <w:bookmarkEnd w:id="334"/>
      <w:bookmarkEnd w:id="335"/>
      <w:bookmarkEnd w:id="336"/>
      <w:bookmarkEnd w:id="337"/>
      <w:r>
        <w:rPr>
          <w:rFonts w:hint="eastAsia" w:ascii="宋体" w:hAnsi="宋体" w:cs="宋体"/>
          <w:color w:val="auto"/>
          <w:sz w:val="24"/>
          <w:szCs w:val="24"/>
          <w:highlight w:val="none"/>
        </w:rPr>
        <w:tab/>
      </w:r>
    </w:p>
    <w:p w14:paraId="784FA90E">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.1 图纸的提供</w:t>
      </w:r>
    </w:p>
    <w:p w14:paraId="28C5E9AE">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发包人向承包人提供图纸的期限：</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合同生效后7天内</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5B54D9D4">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发包人向承包人提供图纸的数量：</w:t>
      </w:r>
      <w:r>
        <w:rPr>
          <w:rFonts w:hint="eastAsia" w:ascii="宋体" w:hAnsi="宋体" w:cs="宋体"/>
          <w:color w:val="auto"/>
          <w:szCs w:val="21"/>
          <w:highlight w:val="none"/>
          <w:u w:val="single"/>
        </w:rPr>
        <w:t>三套，承包人需要增加图纸套数的，发包人应代为复制，复制费用由承包人承担</w:t>
      </w:r>
      <w:r>
        <w:rPr>
          <w:rFonts w:hint="eastAsia" w:ascii="宋体" w:hAnsi="宋体" w:cs="宋体"/>
          <w:color w:val="auto"/>
          <w:szCs w:val="21"/>
          <w:highlight w:val="none"/>
        </w:rPr>
        <w:t>；</w:t>
      </w:r>
    </w:p>
    <w:p w14:paraId="3EFF14DC">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发包人向承包人提供图纸的内容：</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经审图单位盖章合格的全套施工图</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4F7BC5E7">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承包人文件</w:t>
      </w:r>
    </w:p>
    <w:p w14:paraId="208E84DB">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需要由承包人提供的文件，包括：</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必要的加工图、大样图及国家建筑标准设计图集</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2047C528">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承包人提供的文件的期限为：</w:t>
      </w:r>
      <w:r>
        <w:rPr>
          <w:rFonts w:hint="eastAsia" w:ascii="宋体" w:hAnsi="宋体" w:cs="宋体"/>
          <w:color w:val="auto"/>
          <w:szCs w:val="21"/>
          <w:highlight w:val="none"/>
          <w:u w:val="single"/>
        </w:rPr>
        <w:t></w:t>
      </w:r>
      <w:r>
        <w:rPr>
          <w:rFonts w:hint="eastAsia" w:ascii="宋体" w:hAnsi="宋体" w:cs="宋体"/>
          <w:b/>
          <w:bCs/>
          <w:color w:val="auto"/>
          <w:szCs w:val="21"/>
          <w:highlight w:val="none"/>
          <w:u w:val="single"/>
        </w:rPr>
        <w:t>工程</w:t>
      </w:r>
      <w:r>
        <w:rPr>
          <w:rFonts w:hint="eastAsia" w:ascii="宋体" w:hAnsi="宋体" w:cs="宋体"/>
          <w:b/>
          <w:color w:val="auto"/>
          <w:szCs w:val="21"/>
          <w:highlight w:val="none"/>
          <w:u w:val="single"/>
        </w:rPr>
        <w:t>开始施工前7天内</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09395BA6">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承包人提供的文件的数量为：</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一式四份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838A659">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承包人提供的文件的形式为：</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纸质</w:t>
      </w:r>
      <w:r>
        <w:rPr>
          <w:rFonts w:hint="eastAsia" w:ascii="宋体" w:hAnsi="宋体" w:cs="宋体"/>
          <w:color w:val="auto"/>
          <w:szCs w:val="21"/>
          <w:highlight w:val="none"/>
          <w:u w:val="single"/>
        </w:rPr>
        <w:t xml:space="preserve">       </w:t>
      </w:r>
      <w:r>
        <w:rPr>
          <w:rFonts w:hint="eastAsia" w:ascii="宋体" w:hAnsi="宋体" w:cs="宋体"/>
          <w:color w:val="auto"/>
          <w:szCs w:val="21"/>
          <w:highlight w:val="none"/>
        </w:rPr>
        <w:t>；</w:t>
      </w:r>
    </w:p>
    <w:p w14:paraId="6A89FAA5">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color w:val="auto"/>
          <w:szCs w:val="21"/>
          <w:highlight w:val="none"/>
          <w:u w:val="single"/>
        </w:rPr>
        <w:t></w:t>
      </w:r>
      <w:r>
        <w:rPr>
          <w:rFonts w:hint="eastAsia" w:ascii="宋体" w:hAnsi="宋体" w:cs="宋体"/>
          <w:b/>
          <w:color w:val="auto"/>
          <w:kern w:val="0"/>
          <w:szCs w:val="21"/>
          <w:highlight w:val="none"/>
          <w:u w:val="single"/>
        </w:rPr>
        <w:t>文件签收后7天内</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32443096">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现场图纸准备</w:t>
      </w:r>
    </w:p>
    <w:p w14:paraId="4BDF29F7">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关于现场图纸准备的约定：</w:t>
      </w:r>
      <w:r>
        <w:rPr>
          <w:rFonts w:hint="eastAsia" w:ascii="宋体" w:hAnsi="宋体" w:cs="宋体"/>
          <w:color w:val="auto"/>
          <w:szCs w:val="21"/>
          <w:highlight w:val="none"/>
          <w:u w:val="single"/>
        </w:rPr>
        <w:t></w:t>
      </w:r>
      <w:r>
        <w:rPr>
          <w:rFonts w:hint="eastAsia" w:ascii="宋体" w:hAnsi="宋体" w:cs="宋体"/>
          <w:b/>
          <w:color w:val="auto"/>
          <w:kern w:val="0"/>
          <w:szCs w:val="21"/>
          <w:highlight w:val="none"/>
          <w:u w:val="single"/>
        </w:rPr>
        <w:t>在该工程或相应部位施工前7天</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64489740">
      <w:pPr>
        <w:pStyle w:val="174"/>
        <w:spacing w:before="0" w:beforeLines="0" w:after="0" w:afterLines="0" w:line="420" w:lineRule="exact"/>
        <w:rPr>
          <w:rFonts w:hint="eastAsia" w:ascii="宋体" w:hAnsi="宋体" w:cs="宋体"/>
          <w:color w:val="auto"/>
          <w:sz w:val="24"/>
          <w:szCs w:val="24"/>
          <w:highlight w:val="none"/>
        </w:rPr>
      </w:pPr>
      <w:bookmarkStart w:id="338" w:name="_Toc497147155"/>
      <w:bookmarkStart w:id="339" w:name="_Toc75182700"/>
      <w:bookmarkStart w:id="340" w:name="_Toc497215712"/>
      <w:bookmarkStart w:id="341" w:name="_Toc407135200"/>
      <w:bookmarkStart w:id="342" w:name="_Toc47088299"/>
      <w:bookmarkStart w:id="343" w:name="_Toc497901111"/>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 xml:space="preserve"> 联络</w:t>
      </w:r>
      <w:bookmarkEnd w:id="338"/>
      <w:bookmarkEnd w:id="339"/>
      <w:bookmarkEnd w:id="340"/>
      <w:bookmarkEnd w:id="341"/>
      <w:bookmarkEnd w:id="342"/>
      <w:bookmarkEnd w:id="343"/>
    </w:p>
    <w:p w14:paraId="6A3B5508">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.1发包人和承包人应当在</w:t>
      </w:r>
      <w:r>
        <w:rPr>
          <w:rFonts w:hint="eastAsia" w:ascii="宋体" w:hAnsi="宋体" w:cs="宋体"/>
          <w:color w:val="auto"/>
          <w:szCs w:val="21"/>
          <w:highlight w:val="none"/>
          <w:u w:val="single"/>
        </w:rPr>
        <w:t xml:space="preserve">7 </w:t>
      </w:r>
      <w:r>
        <w:rPr>
          <w:rFonts w:hint="eastAsia" w:ascii="宋体" w:hAnsi="宋体" w:cs="宋体"/>
          <w:color w:val="auto"/>
          <w:kern w:val="0"/>
          <w:szCs w:val="21"/>
          <w:highlight w:val="none"/>
        </w:rPr>
        <w:t>天内将与合同有关的通知、批准、证明、证书、指示、指令、要求、请求、同意、意见、确定和决定等书面函件送达对方当事人。</w:t>
      </w:r>
    </w:p>
    <w:p w14:paraId="04E479FF">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.2 发包人接收文件的地点：</w:t>
      </w:r>
      <w:r>
        <w:rPr>
          <w:rFonts w:hint="eastAsia" w:ascii="宋体" w:hAnsi="宋体" w:cs="宋体"/>
          <w:color w:val="auto"/>
          <w:szCs w:val="21"/>
          <w:highlight w:val="none"/>
          <w:u w:val="single"/>
        </w:rPr>
        <w:t></w:t>
      </w:r>
      <w:r>
        <w:rPr>
          <w:rFonts w:hint="eastAsia" w:ascii="宋体" w:hAnsi="宋体" w:cs="宋体"/>
          <w:b/>
          <w:color w:val="auto"/>
          <w:kern w:val="0"/>
          <w:szCs w:val="21"/>
          <w:highlight w:val="none"/>
          <w:u w:val="single"/>
        </w:rPr>
        <w:t>工程项目部</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5C1D3890">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发包人指定的接收人为：</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发包人现场代表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14E888ED">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color w:val="auto"/>
          <w:szCs w:val="21"/>
          <w:highlight w:val="none"/>
          <w:u w:val="single"/>
        </w:rPr>
        <w:t></w:t>
      </w:r>
      <w:r>
        <w:rPr>
          <w:rFonts w:hint="eastAsia" w:ascii="宋体" w:hAnsi="宋体" w:cs="宋体"/>
          <w:b/>
          <w:color w:val="auto"/>
          <w:kern w:val="0"/>
          <w:szCs w:val="21"/>
          <w:highlight w:val="none"/>
          <w:u w:val="single"/>
        </w:rPr>
        <w:t>工程项目部</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6F8B37BE">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承包人指定的接收人为：</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项目经理</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0180CFE0">
      <w:pPr>
        <w:pStyle w:val="115"/>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监理人接收文件的地点：</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项目监理办公室</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0D268301">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监理人指定的接收人为：</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现场监理工程师</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386161BA">
      <w:pPr>
        <w:pStyle w:val="174"/>
        <w:spacing w:before="0" w:beforeLines="0" w:after="0" w:afterLines="0" w:line="420" w:lineRule="exact"/>
        <w:rPr>
          <w:rFonts w:hint="eastAsia" w:ascii="宋体" w:hAnsi="宋体" w:cs="宋体"/>
          <w:color w:val="auto"/>
          <w:sz w:val="24"/>
          <w:szCs w:val="24"/>
          <w:highlight w:val="none"/>
        </w:rPr>
      </w:pPr>
      <w:bookmarkStart w:id="344" w:name="_Toc75182701"/>
      <w:bookmarkStart w:id="345" w:name="_Toc47088300"/>
      <w:bookmarkStart w:id="346" w:name="_Toc497215713"/>
      <w:bookmarkStart w:id="347" w:name="_Toc407135201"/>
      <w:bookmarkStart w:id="348" w:name="_Toc497147156"/>
      <w:bookmarkStart w:id="349" w:name="_Toc497901112"/>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交通运输</w:t>
      </w:r>
      <w:bookmarkEnd w:id="344"/>
      <w:bookmarkEnd w:id="345"/>
      <w:bookmarkEnd w:id="346"/>
      <w:bookmarkEnd w:id="347"/>
      <w:bookmarkEnd w:id="348"/>
      <w:bookmarkEnd w:id="349"/>
    </w:p>
    <w:p w14:paraId="40F32D42">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.1 出入现场的权利</w:t>
      </w:r>
    </w:p>
    <w:p w14:paraId="2FD4F495">
      <w:pPr>
        <w:pStyle w:val="115"/>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关于出入现场的权利的约定：</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由承包人按发包人要求负责取得出入施工现场所需的批准手续和全部权利</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7FA4C389">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场内交通</w:t>
      </w:r>
    </w:p>
    <w:p w14:paraId="45CA7F7A">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关于场外交通和场内交通的边界的约定：</w:t>
      </w:r>
      <w:r>
        <w:rPr>
          <w:rFonts w:hint="eastAsia" w:ascii="宋体" w:hAnsi="宋体" w:cs="宋体"/>
          <w:color w:val="auto"/>
          <w:szCs w:val="21"/>
          <w:highlight w:val="none"/>
          <w:u w:val="single"/>
        </w:rPr>
        <w:t></w:t>
      </w:r>
      <w:r>
        <w:rPr>
          <w:rFonts w:hint="eastAsia" w:ascii="宋体" w:hAnsi="宋体" w:cs="宋体"/>
          <w:b/>
          <w:color w:val="auto"/>
          <w:kern w:val="0"/>
          <w:szCs w:val="21"/>
          <w:highlight w:val="none"/>
          <w:u w:val="single"/>
        </w:rPr>
        <w:t>本项目约定工程所在地块红线范围内为场内</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33C7E0CD">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关于发包人向承包人免费提供满足工程施工需要的场内道路和交通设施的约定：</w:t>
      </w:r>
      <w:r>
        <w:rPr>
          <w:rFonts w:hint="eastAsia" w:ascii="宋体" w:hAnsi="宋体" w:cs="宋体"/>
          <w:color w:val="auto"/>
          <w:szCs w:val="21"/>
          <w:highlight w:val="none"/>
          <w:u w:val="single"/>
        </w:rPr>
        <w:t xml:space="preserve">开工前七天公共道路通道开通至施工场地外边缘即可，其余由承包人负责修建及保养  </w:t>
      </w:r>
      <w:r>
        <w:rPr>
          <w:rFonts w:hint="eastAsia" w:ascii="宋体" w:hAnsi="宋体" w:cs="宋体"/>
          <w:color w:val="auto"/>
          <w:szCs w:val="21"/>
          <w:highlight w:val="none"/>
        </w:rPr>
        <w:t>。</w:t>
      </w:r>
    </w:p>
    <w:p w14:paraId="29715350">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超大件和超重件的运输</w:t>
      </w:r>
    </w:p>
    <w:p w14:paraId="7DF04DCD">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运输超大件或超重件所需的道路和桥梁临时加固改造费用和其他有关费用由</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已计价的</w:t>
      </w:r>
      <w:r>
        <w:rPr>
          <w:rFonts w:hint="eastAsia" w:ascii="宋体" w:hAnsi="宋体" w:cs="宋体"/>
          <w:b/>
          <w:color w:val="auto"/>
          <w:szCs w:val="21"/>
          <w:highlight w:val="none"/>
          <w:u w:val="single"/>
        </w:rPr>
        <w:t>承包人承担，未计价的由发包人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承担。</w:t>
      </w:r>
    </w:p>
    <w:p w14:paraId="79EC7285">
      <w:pPr>
        <w:pStyle w:val="174"/>
        <w:spacing w:before="0" w:beforeLines="0" w:after="0" w:afterLines="0" w:line="420" w:lineRule="exact"/>
        <w:rPr>
          <w:rFonts w:hint="eastAsia" w:ascii="宋体" w:hAnsi="宋体" w:cs="宋体"/>
          <w:color w:val="auto"/>
          <w:sz w:val="24"/>
          <w:szCs w:val="24"/>
          <w:highlight w:val="none"/>
        </w:rPr>
      </w:pPr>
      <w:bookmarkStart w:id="350" w:name="_Toc497901113"/>
      <w:bookmarkStart w:id="351" w:name="_Toc497147157"/>
      <w:bookmarkStart w:id="352" w:name="_Toc407135202"/>
      <w:bookmarkStart w:id="353" w:name="_Toc497215714"/>
      <w:bookmarkStart w:id="354" w:name="_Toc47088301"/>
      <w:bookmarkStart w:id="355" w:name="_Toc75182702"/>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 xml:space="preserve"> 知识产权</w:t>
      </w:r>
      <w:bookmarkEnd w:id="350"/>
      <w:bookmarkEnd w:id="351"/>
      <w:bookmarkEnd w:id="352"/>
      <w:bookmarkEnd w:id="353"/>
      <w:bookmarkEnd w:id="354"/>
      <w:bookmarkEnd w:id="355"/>
    </w:p>
    <w:p w14:paraId="06F49A1B">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发包人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A266E9F">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关于发包人提供的上述文件的使用限制的要求：</w:t>
      </w:r>
      <w:r>
        <w:rPr>
          <w:rFonts w:hint="eastAsia" w:ascii="宋体" w:hAnsi="宋体" w:cs="宋体"/>
          <w:color w:val="auto"/>
          <w:szCs w:val="21"/>
          <w:highlight w:val="none"/>
          <w:u w:val="single"/>
        </w:rPr>
        <w:t xml:space="preserve">  承包人可以为实现合同目的而复制、使用此类文件，但不能用于与本合同无关的其他事项，未经发包人书面同意，承包人不得为了本合同以外的目的而复制、使用上述文件或将之提供给任何第三方</w:t>
      </w:r>
      <w:r>
        <w:rPr>
          <w:rFonts w:hint="eastAsia" w:ascii="宋体" w:hAnsi="宋体" w:cs="宋体"/>
          <w:color w:val="auto"/>
          <w:szCs w:val="21"/>
          <w:highlight w:val="none"/>
        </w:rPr>
        <w:t>。</w:t>
      </w:r>
    </w:p>
    <w:p w14:paraId="4AC19F72">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关于承包人为实施工程所编制文件的著作权的归属：</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 xml:space="preserve">承包人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420ECDD">
      <w:pPr>
        <w:pStyle w:val="115"/>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关于承包人提供的上述文件的使用限制的要求：</w:t>
      </w:r>
      <w:r>
        <w:rPr>
          <w:rFonts w:hint="eastAsia" w:ascii="宋体" w:hAnsi="宋体" w:cs="宋体"/>
          <w:color w:val="auto"/>
          <w:szCs w:val="21"/>
          <w:highlight w:val="none"/>
          <w:u w:val="single"/>
        </w:rPr>
        <w:t>发包人可因施工工程的运行、调试、维修、改造等目的而复制、使用此类文件。未经承包人书面同意，发包人不能为了合同以外的目的而复制、使用上述文件或将之提供给任何第三方</w:t>
      </w:r>
      <w:r>
        <w:rPr>
          <w:rFonts w:hint="eastAsia" w:ascii="宋体" w:hAnsi="宋体" w:cs="宋体"/>
          <w:color w:val="auto"/>
          <w:szCs w:val="21"/>
          <w:highlight w:val="none"/>
        </w:rPr>
        <w:t>。</w:t>
      </w:r>
    </w:p>
    <w:p w14:paraId="56394A0F">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承包人在施工过程中所采用的专利、专有技术、技术秘密的使用费的承担方式：</w:t>
      </w:r>
      <w:r>
        <w:rPr>
          <w:rFonts w:hint="eastAsia" w:ascii="宋体" w:hAnsi="宋体" w:cs="宋体"/>
          <w:b/>
          <w:color w:val="auto"/>
          <w:kern w:val="0"/>
          <w:highlight w:val="none"/>
          <w:u w:val="single"/>
        </w:rPr>
        <w:t>按通用条款</w:t>
      </w:r>
      <w:r>
        <w:rPr>
          <w:rFonts w:hint="eastAsia" w:ascii="宋体" w:hAnsi="宋体" w:cs="宋体"/>
          <w:b/>
          <w:color w:val="auto"/>
          <w:szCs w:val="21"/>
          <w:highlight w:val="none"/>
          <w:u w:val="single"/>
        </w:rPr>
        <w:t>1.11.4条执行</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71ABD878">
      <w:pPr>
        <w:pStyle w:val="174"/>
        <w:spacing w:before="0" w:beforeLines="0" w:after="0" w:afterLines="0" w:line="420" w:lineRule="exact"/>
        <w:rPr>
          <w:rFonts w:hint="eastAsia" w:ascii="宋体" w:hAnsi="宋体" w:cs="宋体"/>
          <w:color w:val="auto"/>
          <w:sz w:val="24"/>
          <w:szCs w:val="24"/>
          <w:highlight w:val="none"/>
        </w:rPr>
      </w:pPr>
      <w:bookmarkStart w:id="356" w:name="_Toc407135203"/>
      <w:bookmarkStart w:id="357" w:name="_Toc497215715"/>
      <w:bookmarkStart w:id="358" w:name="_Toc75182703"/>
      <w:bookmarkStart w:id="359" w:name="_Toc47088302"/>
      <w:bookmarkStart w:id="360" w:name="_Toc497901114"/>
      <w:bookmarkStart w:id="361" w:name="_Toc497147158"/>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工程量清单错误的修正</w:t>
      </w:r>
      <w:bookmarkEnd w:id="356"/>
      <w:bookmarkEnd w:id="357"/>
      <w:bookmarkEnd w:id="358"/>
      <w:bookmarkEnd w:id="359"/>
      <w:bookmarkEnd w:id="360"/>
      <w:bookmarkEnd w:id="361"/>
    </w:p>
    <w:p w14:paraId="6843B804">
      <w:pPr>
        <w:pStyle w:val="108"/>
        <w:spacing w:line="360" w:lineRule="auto"/>
        <w:rPr>
          <w:rFonts w:hint="eastAsia" w:ascii="宋体" w:hAnsi="宋体" w:cs="宋体"/>
          <w:color w:val="auto"/>
          <w:szCs w:val="21"/>
          <w:highlight w:val="none"/>
        </w:rPr>
      </w:pPr>
      <w:r>
        <w:rPr>
          <w:rFonts w:hint="eastAsia" w:ascii="宋体" w:hAnsi="宋体" w:cs="宋体"/>
          <w:color w:val="auto"/>
          <w:szCs w:val="21"/>
          <w:highlight w:val="none"/>
        </w:rPr>
        <w:t>出现工程量清单工程量偏差时，是否调整合同价格：</w:t>
      </w:r>
      <w:r>
        <w:rPr>
          <w:rFonts w:hint="eastAsia" w:ascii="宋体" w:hAnsi="宋体" w:cs="宋体"/>
          <w:color w:val="auto"/>
          <w:szCs w:val="21"/>
          <w:highlight w:val="none"/>
          <w:u w:val="single"/>
        </w:rPr>
        <w:t xml:space="preserve">  调整  </w:t>
      </w:r>
      <w:r>
        <w:rPr>
          <w:rFonts w:hint="eastAsia" w:ascii="宋体" w:hAnsi="宋体" w:cs="宋体"/>
          <w:color w:val="auto"/>
          <w:kern w:val="0"/>
          <w:szCs w:val="21"/>
          <w:highlight w:val="none"/>
        </w:rPr>
        <w:t>。</w:t>
      </w:r>
    </w:p>
    <w:p w14:paraId="509046EA">
      <w:pPr>
        <w:pStyle w:val="108"/>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允许调整合同价格的工程量偏差范围及其调整办法：</w:t>
      </w:r>
      <w:r>
        <w:rPr>
          <w:rFonts w:hint="eastAsia" w:ascii="宋体" w:hAnsi="宋体" w:cs="宋体"/>
          <w:b/>
          <w:bCs/>
          <w:color w:val="auto"/>
          <w:szCs w:val="32"/>
          <w:highlight w:val="none"/>
          <w:u w:val="single"/>
        </w:rPr>
        <w:t xml:space="preserve"> </w:t>
      </w:r>
      <w:r>
        <w:rPr>
          <w:rFonts w:hint="eastAsia" w:ascii="宋体" w:hAnsi="宋体" w:cs="宋体"/>
          <w:color w:val="auto"/>
          <w:szCs w:val="21"/>
          <w:highlight w:val="none"/>
          <w:u w:val="single"/>
        </w:rPr>
        <w:t>按（GB50500-2013）计价规范要求执行</w:t>
      </w:r>
      <w:r>
        <w:rPr>
          <w:rFonts w:hint="eastAsia" w:ascii="宋体" w:hAnsi="宋体" w:cs="宋体"/>
          <w:b/>
          <w:bCs/>
          <w:color w:val="auto"/>
          <w:szCs w:val="32"/>
          <w:highlight w:val="none"/>
          <w:u w:val="single"/>
        </w:rPr>
        <w:t>。</w:t>
      </w:r>
    </w:p>
    <w:p w14:paraId="0840DFC1">
      <w:pPr>
        <w:pStyle w:val="174"/>
        <w:spacing w:before="156" w:beforeLines="50" w:after="156" w:afterLines="50" w:line="420" w:lineRule="exact"/>
        <w:rPr>
          <w:rFonts w:hint="eastAsia" w:ascii="宋体" w:hAnsi="宋体" w:cs="宋体"/>
          <w:color w:val="auto"/>
          <w:sz w:val="24"/>
          <w:szCs w:val="24"/>
          <w:highlight w:val="none"/>
        </w:rPr>
      </w:pPr>
      <w:bookmarkStart w:id="362" w:name="_Toc47088303"/>
      <w:bookmarkStart w:id="363" w:name="_Toc497901115"/>
      <w:bookmarkStart w:id="364" w:name="_Toc497215716"/>
      <w:bookmarkStart w:id="365" w:name="_Toc75182704"/>
      <w:bookmarkStart w:id="366" w:name="_Toc497147159"/>
      <w:bookmarkStart w:id="367" w:name="_Toc407135204"/>
      <w:r>
        <w:rPr>
          <w:rFonts w:hint="eastAsia" w:ascii="宋体" w:hAnsi="宋体" w:cs="宋体"/>
          <w:color w:val="auto"/>
          <w:sz w:val="24"/>
          <w:szCs w:val="24"/>
          <w:highlight w:val="none"/>
        </w:rPr>
        <w:t>2. 发包人</w:t>
      </w:r>
      <w:bookmarkEnd w:id="362"/>
      <w:bookmarkEnd w:id="363"/>
      <w:bookmarkEnd w:id="364"/>
      <w:bookmarkEnd w:id="365"/>
      <w:bookmarkEnd w:id="366"/>
      <w:bookmarkEnd w:id="367"/>
    </w:p>
    <w:p w14:paraId="0A4CAB26">
      <w:pPr>
        <w:pStyle w:val="174"/>
        <w:spacing w:before="0" w:beforeLines="0" w:after="0" w:afterLines="0" w:line="420" w:lineRule="exact"/>
        <w:rPr>
          <w:rFonts w:hint="eastAsia" w:ascii="宋体" w:hAnsi="宋体" w:cs="宋体"/>
          <w:color w:val="auto"/>
          <w:sz w:val="24"/>
          <w:szCs w:val="24"/>
          <w:highlight w:val="none"/>
        </w:rPr>
      </w:pPr>
      <w:bookmarkStart w:id="368" w:name="_Toc47088304"/>
      <w:bookmarkStart w:id="369" w:name="_Toc407135205"/>
      <w:bookmarkStart w:id="370" w:name="_Toc497147160"/>
      <w:bookmarkStart w:id="371" w:name="_Toc75182705"/>
      <w:bookmarkStart w:id="372" w:name="_Toc497901116"/>
      <w:bookmarkStart w:id="373" w:name="_Toc497215717"/>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发包人代表</w:t>
      </w:r>
      <w:bookmarkEnd w:id="368"/>
      <w:bookmarkEnd w:id="369"/>
      <w:bookmarkEnd w:id="370"/>
      <w:bookmarkEnd w:id="371"/>
      <w:bookmarkEnd w:id="372"/>
      <w:bookmarkEnd w:id="373"/>
    </w:p>
    <w:p w14:paraId="31652837">
      <w:pPr>
        <w:pStyle w:val="108"/>
        <w:spacing w:line="360" w:lineRule="auto"/>
        <w:ind w:firstLine="420" w:firstLineChars="200"/>
        <w:rPr>
          <w:rFonts w:hint="eastAsia" w:ascii="宋体" w:hAnsi="宋体" w:cs="宋体"/>
          <w:color w:val="auto"/>
          <w:szCs w:val="21"/>
          <w:highlight w:val="none"/>
        </w:rPr>
      </w:pPr>
      <w:bookmarkStart w:id="374" w:name="_Toc407135206"/>
      <w:r>
        <w:rPr>
          <w:rFonts w:hint="eastAsia" w:ascii="宋体" w:hAnsi="宋体" w:cs="宋体"/>
          <w:color w:val="auto"/>
          <w:szCs w:val="21"/>
          <w:highlight w:val="none"/>
        </w:rPr>
        <w:t>发包人代表：</w:t>
      </w:r>
    </w:p>
    <w:p w14:paraId="4425F74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239BF8B">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C48B5BB">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7DCB74B">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4B0A9918">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5F567263">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rPr>
        <w:t>。</w:t>
      </w:r>
    </w:p>
    <w:p w14:paraId="2CD3FCB8">
      <w:pPr>
        <w:pStyle w:val="108"/>
        <w:spacing w:line="360" w:lineRule="auto"/>
        <w:ind w:firstLine="420" w:firstLineChars="200"/>
        <w:rPr>
          <w:rFonts w:hint="eastAsia" w:ascii="宋体" w:hAnsi="宋体" w:cs="宋体"/>
          <w:color w:val="auto"/>
          <w:szCs w:val="21"/>
          <w:highlight w:val="none"/>
        </w:rPr>
      </w:pPr>
      <w:bookmarkStart w:id="375" w:name="_Toc489136091"/>
      <w:bookmarkStart w:id="376" w:name="_Toc490835458"/>
      <w:r>
        <w:rPr>
          <w:rFonts w:hint="eastAsia" w:ascii="宋体" w:hAnsi="宋体" w:cs="宋体"/>
          <w:color w:val="auto"/>
          <w:szCs w:val="21"/>
          <w:highlight w:val="none"/>
        </w:rPr>
        <w:t>发包人对发包人代表的授权范围如下：</w:t>
      </w:r>
      <w:r>
        <w:rPr>
          <w:rFonts w:hint="eastAsia" w:ascii="宋体" w:hAnsi="宋体" w:cs="宋体"/>
          <w:color w:val="auto"/>
          <w:szCs w:val="21"/>
          <w:highlight w:val="none"/>
          <w:u w:val="single"/>
        </w:rPr>
        <w:t>在施工过程中，监督工程施工质量，负责工地现场的安全管理并代表发包人签署与此相关的文件</w:t>
      </w:r>
      <w:r>
        <w:rPr>
          <w:rFonts w:hint="eastAsia" w:ascii="宋体" w:hAnsi="宋体" w:cs="宋体"/>
          <w:color w:val="auto"/>
          <w:szCs w:val="21"/>
          <w:highlight w:val="none"/>
        </w:rPr>
        <w:t>。</w:t>
      </w:r>
      <w:bookmarkEnd w:id="375"/>
      <w:bookmarkEnd w:id="376"/>
    </w:p>
    <w:p w14:paraId="38796F91">
      <w:pPr>
        <w:pStyle w:val="174"/>
        <w:spacing w:before="0" w:beforeLines="0" w:after="0" w:afterLines="0" w:line="420" w:lineRule="exact"/>
        <w:rPr>
          <w:rFonts w:hint="eastAsia" w:ascii="宋体" w:hAnsi="宋体" w:cs="宋体"/>
          <w:color w:val="auto"/>
          <w:sz w:val="24"/>
          <w:szCs w:val="24"/>
          <w:highlight w:val="none"/>
        </w:rPr>
      </w:pPr>
      <w:bookmarkStart w:id="377" w:name="_Toc497215718"/>
      <w:bookmarkStart w:id="378" w:name="_Toc47088305"/>
      <w:bookmarkStart w:id="379" w:name="_Toc497147161"/>
      <w:bookmarkStart w:id="380" w:name="_Toc497901117"/>
      <w:bookmarkStart w:id="381" w:name="_Toc75182706"/>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施工现场、施工条件和基础资料的提供</w:t>
      </w:r>
      <w:bookmarkEnd w:id="374"/>
      <w:bookmarkEnd w:id="377"/>
      <w:bookmarkEnd w:id="378"/>
      <w:bookmarkEnd w:id="379"/>
      <w:bookmarkEnd w:id="380"/>
      <w:bookmarkEnd w:id="381"/>
    </w:p>
    <w:p w14:paraId="77D8F754">
      <w:pPr>
        <w:pStyle w:val="108"/>
        <w:spacing w:line="360" w:lineRule="auto"/>
        <w:ind w:firstLine="420" w:firstLineChars="200"/>
        <w:rPr>
          <w:rFonts w:hint="eastAsia" w:ascii="宋体" w:hAnsi="宋体" w:cs="宋体"/>
          <w:color w:val="auto"/>
          <w:szCs w:val="21"/>
          <w:highlight w:val="none"/>
        </w:rPr>
      </w:pPr>
      <w:bookmarkStart w:id="382" w:name="_Toc407135207"/>
      <w:r>
        <w:rPr>
          <w:rFonts w:hint="eastAsia" w:ascii="宋体" w:hAnsi="宋体" w:cs="宋体"/>
          <w:color w:val="auto"/>
          <w:szCs w:val="21"/>
          <w:highlight w:val="none"/>
        </w:rPr>
        <w:t>2.4.1 提供施工现场</w:t>
      </w:r>
    </w:p>
    <w:p w14:paraId="1FBC6056">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关于发包人移交施工现场的期限要求：</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开工前7天</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65AFC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2.4.2 提供施工条件</w:t>
      </w:r>
    </w:p>
    <w:p w14:paraId="013BE558">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关于发包人应负责提供施工所需要的条件，包括：按合同通用条款执行  。</w:t>
      </w:r>
    </w:p>
    <w:p w14:paraId="21BD7449">
      <w:pPr>
        <w:pStyle w:val="174"/>
        <w:spacing w:before="0" w:beforeLines="0" w:after="0" w:afterLines="0" w:line="420" w:lineRule="exact"/>
        <w:rPr>
          <w:rFonts w:hint="eastAsia" w:ascii="宋体" w:hAnsi="宋体" w:cs="宋体"/>
          <w:color w:val="auto"/>
          <w:sz w:val="24"/>
          <w:szCs w:val="24"/>
          <w:highlight w:val="none"/>
        </w:rPr>
      </w:pPr>
      <w:bookmarkStart w:id="383" w:name="_Toc497147162"/>
      <w:bookmarkStart w:id="384" w:name="_Toc497901118"/>
      <w:bookmarkStart w:id="385" w:name="_Toc497215719"/>
      <w:bookmarkStart w:id="386" w:name="_Toc75182707"/>
      <w:bookmarkStart w:id="387" w:name="_Toc47088306"/>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资金来源证明及支付担保</w:t>
      </w:r>
      <w:bookmarkEnd w:id="382"/>
      <w:bookmarkEnd w:id="383"/>
      <w:bookmarkEnd w:id="384"/>
      <w:bookmarkEnd w:id="385"/>
      <w:bookmarkEnd w:id="386"/>
      <w:bookmarkEnd w:id="387"/>
    </w:p>
    <w:p w14:paraId="4910E417">
      <w:pPr>
        <w:pStyle w:val="115"/>
        <w:spacing w:line="360" w:lineRule="auto"/>
        <w:ind w:firstLine="420" w:firstLineChars="200"/>
        <w:rPr>
          <w:rFonts w:hint="eastAsia" w:ascii="宋体" w:hAnsi="宋体" w:cs="宋体"/>
          <w:color w:val="auto"/>
          <w:szCs w:val="21"/>
          <w:highlight w:val="none"/>
        </w:rPr>
      </w:pPr>
      <w:bookmarkStart w:id="388" w:name="_Toc407135208"/>
      <w:r>
        <w:rPr>
          <w:rFonts w:hint="eastAsia" w:ascii="宋体" w:hAnsi="宋体" w:cs="宋体"/>
          <w:color w:val="auto"/>
          <w:szCs w:val="21"/>
          <w:highlight w:val="none"/>
        </w:rPr>
        <w:t>发包人提供资金来源证明的期限要求：</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505A793">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发包人是否提供支付担保：</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BE87A5F">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发包人提供支付担保的形式：</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316AC680">
      <w:pPr>
        <w:pStyle w:val="115"/>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发包人提供的支付担保格式：</w:t>
      </w:r>
      <w:r>
        <w:rPr>
          <w:rFonts w:hint="eastAsia" w:ascii="宋体" w:hAnsi="宋体" w:cs="宋体"/>
          <w:color w:val="auto"/>
          <w:szCs w:val="21"/>
          <w:highlight w:val="none"/>
          <w:u w:val="single"/>
        </w:rPr>
        <w:t>/</w:t>
      </w:r>
    </w:p>
    <w:p w14:paraId="36264262">
      <w:pPr>
        <w:pStyle w:val="174"/>
        <w:spacing w:before="156" w:beforeLines="50" w:after="156" w:afterLines="50" w:line="420" w:lineRule="exact"/>
        <w:rPr>
          <w:rFonts w:hint="eastAsia" w:ascii="宋体" w:hAnsi="宋体" w:cs="宋体"/>
          <w:color w:val="auto"/>
          <w:sz w:val="24"/>
          <w:szCs w:val="24"/>
          <w:highlight w:val="none"/>
        </w:rPr>
      </w:pPr>
      <w:bookmarkStart w:id="389" w:name="_Toc497901119"/>
      <w:bookmarkStart w:id="390" w:name="_Toc47088307"/>
      <w:bookmarkStart w:id="391" w:name="_Toc497215720"/>
      <w:bookmarkStart w:id="392" w:name="_Toc75182708"/>
      <w:bookmarkStart w:id="393" w:name="_Toc497147163"/>
      <w:r>
        <w:rPr>
          <w:rFonts w:hint="eastAsia" w:ascii="宋体" w:hAnsi="宋体" w:cs="宋体"/>
          <w:color w:val="auto"/>
          <w:sz w:val="24"/>
          <w:szCs w:val="24"/>
          <w:highlight w:val="none"/>
        </w:rPr>
        <w:t>3. 承包人</w:t>
      </w:r>
      <w:bookmarkEnd w:id="388"/>
      <w:bookmarkEnd w:id="389"/>
      <w:bookmarkEnd w:id="390"/>
      <w:bookmarkEnd w:id="391"/>
      <w:bookmarkEnd w:id="392"/>
      <w:bookmarkEnd w:id="393"/>
    </w:p>
    <w:p w14:paraId="19CCEF7C">
      <w:pPr>
        <w:pStyle w:val="174"/>
        <w:spacing w:before="0" w:beforeLines="0" w:after="0" w:afterLines="0" w:line="420" w:lineRule="exact"/>
        <w:rPr>
          <w:rFonts w:hint="eastAsia" w:ascii="宋体" w:hAnsi="宋体" w:cs="宋体"/>
          <w:color w:val="auto"/>
          <w:sz w:val="24"/>
          <w:szCs w:val="24"/>
          <w:highlight w:val="none"/>
        </w:rPr>
      </w:pPr>
      <w:bookmarkStart w:id="394" w:name="_Toc497901120"/>
      <w:bookmarkStart w:id="395" w:name="_Toc75182709"/>
      <w:bookmarkStart w:id="396" w:name="_Toc407135209"/>
      <w:bookmarkStart w:id="397" w:name="_Toc497147164"/>
      <w:bookmarkStart w:id="398" w:name="_Toc47088308"/>
      <w:bookmarkStart w:id="399" w:name="_Toc497215721"/>
      <w:r>
        <w:rPr>
          <w:rFonts w:hint="eastAsia" w:ascii="宋体" w:hAnsi="宋体" w:cs="宋体"/>
          <w:color w:val="auto"/>
          <w:sz w:val="24"/>
          <w:szCs w:val="24"/>
          <w:highlight w:val="none"/>
        </w:rPr>
        <w:t>3.1 承包人的一般义务</w:t>
      </w:r>
      <w:bookmarkEnd w:id="394"/>
      <w:bookmarkEnd w:id="395"/>
      <w:bookmarkEnd w:id="396"/>
      <w:bookmarkEnd w:id="397"/>
      <w:bookmarkEnd w:id="398"/>
      <w:bookmarkEnd w:id="399"/>
    </w:p>
    <w:p w14:paraId="3E8E85BB">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（9）</w:t>
      </w:r>
      <w:r>
        <w:rPr>
          <w:rFonts w:hint="eastAsia" w:ascii="宋体" w:hAnsi="宋体" w:cs="宋体"/>
          <w:color w:val="auto"/>
          <w:szCs w:val="21"/>
          <w:highlight w:val="none"/>
        </w:rPr>
        <w:t>承包人提交的竣工资料的内容：</w:t>
      </w:r>
      <w:r>
        <w:rPr>
          <w:rFonts w:hint="eastAsia" w:ascii="宋体" w:hAnsi="宋体" w:cs="宋体"/>
          <w:b/>
          <w:color w:val="auto"/>
          <w:szCs w:val="21"/>
          <w:highlight w:val="none"/>
          <w:u w:val="single"/>
        </w:rPr>
        <w:t>按国家和工程所在地建设行政管理部门竣工验收规范要求，提供竣工图、工程质保资料、备案资料等</w:t>
      </w:r>
      <w:r>
        <w:rPr>
          <w:rFonts w:hint="eastAsia" w:ascii="宋体" w:hAnsi="宋体" w:cs="宋体"/>
          <w:color w:val="auto"/>
          <w:szCs w:val="21"/>
          <w:highlight w:val="none"/>
        </w:rPr>
        <w:t>。</w:t>
      </w:r>
    </w:p>
    <w:p w14:paraId="6B8D6632">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承包人需要提交的竣工资料套数：</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3套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5FFC4F3">
      <w:pPr>
        <w:pStyle w:val="108"/>
        <w:spacing w:line="360" w:lineRule="auto"/>
        <w:ind w:left="424" w:leftChars="202"/>
        <w:jc w:val="left"/>
        <w:rPr>
          <w:rFonts w:hint="eastAsia" w:ascii="宋体" w:hAnsi="宋体" w:cs="宋体"/>
          <w:color w:val="auto"/>
          <w:szCs w:val="21"/>
          <w:highlight w:val="none"/>
        </w:rPr>
      </w:pPr>
      <w:r>
        <w:rPr>
          <w:rFonts w:hint="eastAsia" w:ascii="宋体" w:hAnsi="宋体" w:cs="宋体"/>
          <w:color w:val="auto"/>
          <w:szCs w:val="21"/>
          <w:highlight w:val="none"/>
        </w:rPr>
        <w:t>承包人提交的竣工资料的费用承担：</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由承包人自理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3316703">
      <w:pPr>
        <w:pStyle w:val="108"/>
        <w:spacing w:line="360" w:lineRule="auto"/>
        <w:ind w:left="424" w:leftChars="202"/>
        <w:jc w:val="left"/>
        <w:rPr>
          <w:rFonts w:hint="eastAsia" w:ascii="宋体" w:hAnsi="宋体" w:cs="宋体"/>
          <w:color w:val="auto"/>
          <w:szCs w:val="21"/>
          <w:highlight w:val="none"/>
        </w:rPr>
      </w:pPr>
      <w:r>
        <w:rPr>
          <w:rFonts w:hint="eastAsia" w:ascii="宋体" w:hAnsi="宋体" w:cs="宋体"/>
          <w:color w:val="auto"/>
          <w:szCs w:val="21"/>
          <w:highlight w:val="none"/>
        </w:rPr>
        <w:t>承包人提交的竣工资料移交时间：</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竣工验收合格30天内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39B9CF4">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承包人提交的竣工资料形式要求：</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原件纸质材料（需规范分类装订成册）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5BFCBB3">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（10）承包人应履行的其他义务：</w:t>
      </w:r>
      <w:r>
        <w:rPr>
          <w:rFonts w:hint="eastAsia" w:ascii="宋体" w:hAnsi="宋体" w:cs="宋体"/>
          <w:color w:val="auto"/>
          <w:kern w:val="0"/>
          <w:szCs w:val="21"/>
          <w:highlight w:val="none"/>
          <w:u w:val="single"/>
        </w:rPr>
        <w:t xml:space="preserve">承包人应负责提供完成合同所需的劳务、材料、施工设备、工程设备和其他物品，并按合同约定负责设施的设计、建造、运行、维护、管理和拆除。 </w:t>
      </w:r>
      <w:r>
        <w:rPr>
          <w:rFonts w:hint="eastAsia" w:ascii="宋体" w:hAnsi="宋体" w:cs="宋体"/>
          <w:color w:val="auto"/>
          <w:kern w:val="0"/>
          <w:szCs w:val="21"/>
          <w:highlight w:val="none"/>
        </w:rPr>
        <w:t>。</w:t>
      </w:r>
    </w:p>
    <w:p w14:paraId="513F3A98">
      <w:pPr>
        <w:pStyle w:val="174"/>
        <w:spacing w:before="0" w:beforeLines="0" w:after="0" w:afterLines="0" w:line="420" w:lineRule="exact"/>
        <w:rPr>
          <w:rFonts w:hint="eastAsia" w:ascii="宋体" w:hAnsi="宋体" w:cs="宋体"/>
          <w:color w:val="auto"/>
          <w:sz w:val="24"/>
          <w:szCs w:val="24"/>
          <w:highlight w:val="none"/>
        </w:rPr>
      </w:pPr>
      <w:bookmarkStart w:id="400" w:name="_Toc497901121"/>
      <w:bookmarkStart w:id="401" w:name="_Toc407135210"/>
      <w:bookmarkStart w:id="402" w:name="_Toc47088309"/>
      <w:bookmarkStart w:id="403" w:name="_Toc497215722"/>
      <w:bookmarkStart w:id="404" w:name="_Toc75182710"/>
      <w:bookmarkStart w:id="405" w:name="_Toc497147165"/>
      <w:r>
        <w:rPr>
          <w:rFonts w:hint="eastAsia" w:ascii="宋体" w:hAnsi="宋体" w:cs="宋体"/>
          <w:color w:val="auto"/>
          <w:sz w:val="24"/>
          <w:szCs w:val="24"/>
          <w:highlight w:val="none"/>
        </w:rPr>
        <w:t>3.2 项目经理</w:t>
      </w:r>
      <w:bookmarkEnd w:id="400"/>
      <w:bookmarkEnd w:id="401"/>
      <w:bookmarkEnd w:id="402"/>
      <w:bookmarkEnd w:id="403"/>
      <w:bookmarkEnd w:id="404"/>
      <w:bookmarkEnd w:id="405"/>
    </w:p>
    <w:p w14:paraId="040D2F1F">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 xml:space="preserve">3.2.1 </w:t>
      </w:r>
      <w:r>
        <w:rPr>
          <w:rFonts w:hint="eastAsia" w:ascii="宋体" w:hAnsi="宋体" w:cs="宋体"/>
          <w:color w:val="auto"/>
          <w:szCs w:val="21"/>
          <w:highlight w:val="none"/>
        </w:rPr>
        <w:t>项目经理：</w:t>
      </w:r>
    </w:p>
    <w:p w14:paraId="072A57C0">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4DA832D1">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39BF7911">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建造师执业资格等级：</w:t>
      </w:r>
      <w:r>
        <w:rPr>
          <w:rFonts w:hint="eastAsia" w:ascii="宋体" w:hAnsi="宋体" w:cs="宋体"/>
          <w:color w:val="auto"/>
          <w:szCs w:val="21"/>
          <w:highlight w:val="none"/>
          <w:u w:val="single"/>
        </w:rPr>
        <w:t>中标后填写</w:t>
      </w:r>
      <w:r>
        <w:rPr>
          <w:rFonts w:hint="eastAsia" w:ascii="宋体" w:hAnsi="宋体" w:cs="宋体"/>
          <w:color w:val="auto"/>
          <w:szCs w:val="21"/>
          <w:highlight w:val="none"/>
        </w:rPr>
        <w:t>；</w:t>
      </w:r>
    </w:p>
    <w:p w14:paraId="4DBE3745">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中标后填写</w:t>
      </w:r>
      <w:r>
        <w:rPr>
          <w:rFonts w:hint="eastAsia" w:ascii="宋体" w:hAnsi="宋体" w:cs="宋体"/>
          <w:color w:val="auto"/>
          <w:szCs w:val="21"/>
          <w:highlight w:val="none"/>
        </w:rPr>
        <w:t>；</w:t>
      </w:r>
    </w:p>
    <w:p w14:paraId="79DCB51B">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10F6C5B6">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6D35444C">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广西建筑市场诚信卡卡号：</w:t>
      </w:r>
      <w:r>
        <w:rPr>
          <w:rFonts w:hint="eastAsia" w:ascii="宋体" w:hAnsi="宋体" w:cs="宋体"/>
          <w:color w:val="auto"/>
          <w:szCs w:val="21"/>
          <w:highlight w:val="none"/>
          <w:u w:val="single"/>
        </w:rPr>
        <w:t xml:space="preserve">  中标后填写    </w:t>
      </w:r>
      <w:r>
        <w:rPr>
          <w:rFonts w:hint="eastAsia" w:ascii="宋体" w:hAnsi="宋体" w:cs="宋体"/>
          <w:color w:val="auto"/>
          <w:szCs w:val="21"/>
          <w:highlight w:val="none"/>
        </w:rPr>
        <w:t>；</w:t>
      </w:r>
    </w:p>
    <w:p w14:paraId="104F0D99">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6639CA41">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601C1431">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中标后填写 </w:t>
      </w:r>
      <w:r>
        <w:rPr>
          <w:rFonts w:hint="eastAsia" w:ascii="宋体" w:hAnsi="宋体" w:cs="宋体"/>
          <w:color w:val="auto"/>
          <w:szCs w:val="21"/>
          <w:highlight w:val="none"/>
        </w:rPr>
        <w:t>；</w:t>
      </w:r>
    </w:p>
    <w:p w14:paraId="52BA28E2">
      <w:pPr>
        <w:pStyle w:val="115"/>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 xml:space="preserve">承包人对项目经理的授权范围如下： </w:t>
      </w:r>
      <w:r>
        <w:rPr>
          <w:rFonts w:hint="eastAsia" w:ascii="宋体" w:hAnsi="宋体" w:cs="宋体"/>
          <w:color w:val="auto"/>
          <w:szCs w:val="21"/>
          <w:highlight w:val="none"/>
          <w:u w:val="single"/>
        </w:rPr>
        <w:t xml:space="preserve"> 实行项目经理责任制，负责项目的施工组织与管理 </w:t>
      </w:r>
      <w:r>
        <w:rPr>
          <w:rFonts w:hint="eastAsia" w:ascii="宋体" w:hAnsi="宋体" w:cs="宋体"/>
          <w:color w:val="auto"/>
          <w:szCs w:val="21"/>
          <w:highlight w:val="none"/>
        </w:rPr>
        <w:t>。</w:t>
      </w:r>
    </w:p>
    <w:p w14:paraId="76E94988">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szCs w:val="21"/>
          <w:highlight w:val="none"/>
          <w:u w:val="single"/>
        </w:rPr>
        <w:t xml:space="preserve"> </w:t>
      </w:r>
      <w:r>
        <w:rPr>
          <w:rFonts w:hint="eastAsia" w:ascii="宋体" w:hAnsi="宋体" w:cs="宋体"/>
          <w:b/>
          <w:color w:val="auto"/>
          <w:kern w:val="0"/>
          <w:szCs w:val="21"/>
          <w:highlight w:val="none"/>
          <w:u w:val="single"/>
        </w:rPr>
        <w:t>每月在施工现场时间不得少于20个工作日</w:t>
      </w:r>
      <w:r>
        <w:rPr>
          <w:rFonts w:hint="eastAsia" w:ascii="宋体" w:hAnsi="宋体" w:cs="宋体"/>
          <w:color w:val="auto"/>
          <w:szCs w:val="21"/>
          <w:highlight w:val="none"/>
        </w:rPr>
        <w:t>。</w:t>
      </w:r>
    </w:p>
    <w:p w14:paraId="51771BA3">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kern w:val="0"/>
          <w:szCs w:val="21"/>
          <w:highlight w:val="none"/>
        </w:rPr>
        <w:t>项目经理未经批准，擅自离开施工现场的违约责任：</w:t>
      </w:r>
      <w:r>
        <w:rPr>
          <w:rFonts w:hint="eastAsia" w:ascii="宋体" w:hAnsi="宋体" w:cs="宋体"/>
          <w:color w:val="auto"/>
          <w:szCs w:val="21"/>
          <w:highlight w:val="none"/>
          <w:u w:val="single"/>
        </w:rPr>
        <w:t>项目经理每月在岗带班时间不得少于当月施工时间的80%。未经发包人同意或正当理由，项目经理每月在岗带班时间少于当月施工时间80%的，少在岗带班一天，发包人有权处违约金</w:t>
      </w:r>
      <w:r>
        <w:rPr>
          <w:rFonts w:hint="eastAsia" w:ascii="宋体" w:hAnsi="宋体" w:cs="宋体"/>
          <w:b/>
          <w:color w:val="auto"/>
          <w:szCs w:val="21"/>
          <w:highlight w:val="none"/>
          <w:u w:val="single"/>
        </w:rPr>
        <w:t>2000元/日</w:t>
      </w:r>
      <w:r>
        <w:rPr>
          <w:rFonts w:hint="eastAsia" w:ascii="宋体" w:hAnsi="宋体" w:cs="宋体"/>
          <w:color w:val="auto"/>
          <w:szCs w:val="21"/>
          <w:highlight w:val="none"/>
          <w:u w:val="single"/>
        </w:rPr>
        <w:t xml:space="preserve">（人民币）  </w:t>
      </w:r>
      <w:r>
        <w:rPr>
          <w:rFonts w:hint="eastAsia" w:ascii="宋体" w:hAnsi="宋体" w:cs="宋体"/>
          <w:color w:val="auto"/>
          <w:szCs w:val="21"/>
          <w:highlight w:val="none"/>
        </w:rPr>
        <w:t>。</w:t>
      </w:r>
    </w:p>
    <w:p w14:paraId="24A3C9E4">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承包人擅自更换项目经理的违约责任：</w:t>
      </w:r>
      <w:r>
        <w:rPr>
          <w:rFonts w:hint="eastAsia" w:ascii="宋体" w:hAnsi="宋体" w:cs="宋体"/>
          <w:color w:val="auto"/>
          <w:szCs w:val="21"/>
          <w:highlight w:val="none"/>
          <w:u w:val="single"/>
        </w:rPr>
        <w:t>承包人项目经理必须与承包人投标时所承诺的人员一致，并在根据通用合同条款第11.1.1项确定的开工日期前到任。在监理人向承包人颁发竣工证明材料前，项目经理不得同时兼任其他任何项目的项目经理</w:t>
      </w:r>
      <w:r>
        <w:rPr>
          <w:rFonts w:hint="eastAsia" w:ascii="宋体" w:hAnsi="宋体" w:cs="宋体"/>
          <w:color w:val="auto"/>
          <w:kern w:val="0"/>
          <w:szCs w:val="21"/>
          <w:highlight w:val="none"/>
          <w:u w:val="single"/>
        </w:rPr>
        <w:t>（符合桂建管</w:t>
      </w:r>
      <w:r>
        <w:rPr>
          <w:rFonts w:hint="eastAsia" w:ascii="宋体" w:hAnsi="宋体" w:cs="宋体"/>
          <w:color w:val="auto"/>
          <w:szCs w:val="21"/>
          <w:highlight w:val="none"/>
          <w:u w:val="single"/>
        </w:rPr>
        <w:t>﹝2013﹞</w:t>
      </w:r>
      <w:r>
        <w:rPr>
          <w:rFonts w:hint="eastAsia" w:ascii="宋体" w:hAnsi="宋体" w:cs="宋体"/>
          <w:color w:val="auto"/>
          <w:kern w:val="0"/>
          <w:szCs w:val="21"/>
          <w:highlight w:val="none"/>
          <w:u w:val="single"/>
        </w:rPr>
        <w:t>17号和</w:t>
      </w:r>
      <w:r>
        <w:rPr>
          <w:rFonts w:hint="eastAsia" w:ascii="宋体" w:hAnsi="宋体" w:cs="宋体"/>
          <w:color w:val="auto"/>
          <w:szCs w:val="21"/>
          <w:highlight w:val="none"/>
          <w:u w:val="single"/>
        </w:rPr>
        <w:t>桂建管﹝2014﹞25号</w:t>
      </w:r>
      <w:r>
        <w:rPr>
          <w:rFonts w:hint="eastAsia" w:ascii="宋体" w:hAnsi="宋体" w:cs="宋体"/>
          <w:color w:val="auto"/>
          <w:kern w:val="0"/>
          <w:szCs w:val="21"/>
          <w:highlight w:val="none"/>
          <w:u w:val="single"/>
        </w:rPr>
        <w:t>文除外）</w:t>
      </w:r>
      <w:r>
        <w:rPr>
          <w:rFonts w:hint="eastAsia" w:ascii="宋体" w:hAnsi="宋体" w:cs="宋体"/>
          <w:color w:val="auto"/>
          <w:szCs w:val="21"/>
          <w:highlight w:val="none"/>
          <w:u w:val="single"/>
        </w:rPr>
        <w:t>。未经发包人书面同意，承包人擅自更换项目经理的视为违约，违约金处</w:t>
      </w:r>
      <w:r>
        <w:rPr>
          <w:rFonts w:hint="eastAsia" w:ascii="宋体" w:hAnsi="宋体" w:cs="宋体"/>
          <w:b/>
          <w:color w:val="auto"/>
          <w:szCs w:val="21"/>
          <w:highlight w:val="none"/>
          <w:u w:val="single"/>
        </w:rPr>
        <w:t>10万元/人•次（人民币）</w:t>
      </w:r>
      <w:r>
        <w:rPr>
          <w:rFonts w:hint="eastAsia" w:ascii="宋体" w:hAnsi="宋体" w:cs="宋体"/>
          <w:color w:val="auto"/>
          <w:szCs w:val="21"/>
          <w:highlight w:val="none"/>
        </w:rPr>
        <w:t>。</w:t>
      </w:r>
    </w:p>
    <w:p w14:paraId="29E586E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承包人无正当理由拒绝更换项目经理的违约责任：</w:t>
      </w:r>
      <w:r>
        <w:rPr>
          <w:rFonts w:hint="eastAsia" w:ascii="宋体" w:hAnsi="宋体" w:cs="宋体"/>
          <w:color w:val="auto"/>
          <w:szCs w:val="21"/>
          <w:highlight w:val="none"/>
          <w:u w:val="single"/>
        </w:rPr>
        <w:t>因承包人项目经理不称职，发包人要求调换而未及时调换的，视为承包人违约，必须向发包人交纳处罚金</w:t>
      </w:r>
      <w:r>
        <w:rPr>
          <w:rFonts w:hint="eastAsia" w:ascii="宋体" w:hAnsi="宋体" w:cs="宋体"/>
          <w:b/>
          <w:color w:val="auto"/>
          <w:szCs w:val="21"/>
          <w:highlight w:val="none"/>
          <w:u w:val="single"/>
        </w:rPr>
        <w:t>10万元/人•次（人民币）</w:t>
      </w:r>
      <w:r>
        <w:rPr>
          <w:rFonts w:hint="eastAsia" w:ascii="宋体" w:hAnsi="宋体" w:cs="宋体"/>
          <w:color w:val="auto"/>
          <w:szCs w:val="21"/>
          <w:highlight w:val="none"/>
        </w:rPr>
        <w:t>。</w:t>
      </w:r>
    </w:p>
    <w:p w14:paraId="3930113A">
      <w:pPr>
        <w:pStyle w:val="174"/>
        <w:spacing w:before="0" w:beforeLines="0" w:after="0" w:afterLines="0" w:line="420" w:lineRule="exact"/>
        <w:rPr>
          <w:rFonts w:hint="eastAsia" w:ascii="宋体" w:hAnsi="宋体" w:cs="宋体"/>
          <w:color w:val="auto"/>
          <w:sz w:val="24"/>
          <w:szCs w:val="24"/>
          <w:highlight w:val="none"/>
        </w:rPr>
      </w:pPr>
      <w:bookmarkStart w:id="406" w:name="_Toc497147166"/>
      <w:bookmarkStart w:id="407" w:name="_Toc47088310"/>
      <w:bookmarkStart w:id="408" w:name="_Toc75182711"/>
      <w:bookmarkStart w:id="409" w:name="_Toc497215723"/>
      <w:bookmarkStart w:id="410" w:name="_Toc407135211"/>
      <w:bookmarkStart w:id="411" w:name="_Toc497901122"/>
      <w:r>
        <w:rPr>
          <w:rFonts w:hint="eastAsia" w:ascii="宋体" w:hAnsi="宋体" w:cs="宋体"/>
          <w:color w:val="auto"/>
          <w:sz w:val="24"/>
          <w:szCs w:val="24"/>
          <w:highlight w:val="none"/>
        </w:rPr>
        <w:t>3.3 承包人人员</w:t>
      </w:r>
      <w:bookmarkEnd w:id="406"/>
      <w:bookmarkEnd w:id="407"/>
      <w:bookmarkEnd w:id="408"/>
      <w:bookmarkEnd w:id="409"/>
      <w:bookmarkEnd w:id="410"/>
      <w:bookmarkEnd w:id="411"/>
    </w:p>
    <w:p w14:paraId="14393BC8">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接到开工通知后7天内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9EB44AD">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承包人无正当理由拒绝撤换主要施工管理人员的违约责任：</w:t>
      </w:r>
      <w:r>
        <w:rPr>
          <w:rFonts w:hint="eastAsia" w:ascii="宋体" w:hAnsi="宋体" w:cs="宋体"/>
          <w:color w:val="auto"/>
          <w:szCs w:val="21"/>
          <w:highlight w:val="none"/>
          <w:u w:val="single"/>
        </w:rPr>
        <w:t>因承包人主要施工管理人员不称职，发包人要求调换而无正当理由拒绝撤换或未及时调换的，视为承包人违约，必须向发包人交纳处罚金，处罚标准：技术负责人</w:t>
      </w:r>
      <w:r>
        <w:rPr>
          <w:rFonts w:hint="eastAsia" w:ascii="宋体" w:hAnsi="宋体" w:cs="宋体"/>
          <w:b/>
          <w:color w:val="auto"/>
          <w:szCs w:val="21"/>
          <w:highlight w:val="none"/>
          <w:u w:val="single"/>
        </w:rPr>
        <w:t>5万元/人•次</w:t>
      </w:r>
      <w:r>
        <w:rPr>
          <w:rFonts w:hint="eastAsia" w:ascii="宋体" w:hAnsi="宋体" w:cs="宋体"/>
          <w:color w:val="auto"/>
          <w:szCs w:val="21"/>
          <w:highlight w:val="none"/>
          <w:u w:val="single"/>
        </w:rPr>
        <w:t>（人民币）；专业工程师</w:t>
      </w:r>
      <w:r>
        <w:rPr>
          <w:rFonts w:hint="eastAsia" w:ascii="宋体" w:hAnsi="宋体" w:cs="宋体"/>
          <w:b/>
          <w:color w:val="auto"/>
          <w:szCs w:val="21"/>
          <w:highlight w:val="none"/>
          <w:u w:val="single"/>
        </w:rPr>
        <w:t>5万元/人•次</w:t>
      </w:r>
      <w:r>
        <w:rPr>
          <w:rFonts w:hint="eastAsia" w:ascii="宋体" w:hAnsi="宋体" w:cs="宋体"/>
          <w:color w:val="auto"/>
          <w:szCs w:val="21"/>
          <w:highlight w:val="none"/>
          <w:u w:val="single"/>
        </w:rPr>
        <w:t>（人民币）</w:t>
      </w:r>
      <w:r>
        <w:rPr>
          <w:rFonts w:hint="eastAsia" w:ascii="宋体" w:hAnsi="宋体" w:cs="宋体"/>
          <w:color w:val="auto"/>
          <w:szCs w:val="21"/>
          <w:highlight w:val="none"/>
        </w:rPr>
        <w:t>。</w:t>
      </w:r>
    </w:p>
    <w:p w14:paraId="5757A34C">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3.3.</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 xml:space="preserve"> 承包人主要施工管理人员离开施工现场的批准要求：</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按承包人的规章制度办理并报告发包人代表并报发包人同意后方可离开</w:t>
      </w:r>
      <w:r>
        <w:rPr>
          <w:rFonts w:hint="eastAsia" w:ascii="宋体" w:hAnsi="宋体" w:cs="宋体"/>
          <w:color w:val="auto"/>
          <w:szCs w:val="21"/>
          <w:highlight w:val="none"/>
        </w:rPr>
        <w:t>。</w:t>
      </w:r>
    </w:p>
    <w:p w14:paraId="195162B4">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承包人擅自更换主要施工管理人员的违约责任：</w:t>
      </w:r>
      <w:r>
        <w:rPr>
          <w:rFonts w:hint="eastAsia" w:ascii="宋体" w:hAnsi="宋体" w:cs="宋体"/>
          <w:color w:val="auto"/>
          <w:szCs w:val="21"/>
          <w:highlight w:val="none"/>
          <w:u w:val="single"/>
        </w:rPr>
        <w:t>项目技术负责人、专职安全员及其承诺的其它在场管理人员未经发包人书面同意不准擅自更换，擅自更换项目技术负责人处</w:t>
      </w:r>
      <w:r>
        <w:rPr>
          <w:rFonts w:hint="eastAsia" w:ascii="宋体" w:hAnsi="宋体" w:cs="宋体"/>
          <w:b/>
          <w:color w:val="auto"/>
          <w:szCs w:val="21"/>
          <w:highlight w:val="none"/>
          <w:u w:val="single"/>
        </w:rPr>
        <w:t>5万元/人•次</w:t>
      </w:r>
      <w:r>
        <w:rPr>
          <w:rFonts w:hint="eastAsia" w:ascii="宋体" w:hAnsi="宋体" w:cs="宋体"/>
          <w:color w:val="auto"/>
          <w:szCs w:val="21"/>
          <w:highlight w:val="none"/>
          <w:u w:val="single"/>
        </w:rPr>
        <w:t>（人民币）违约金；擅自更换专职安全员处</w:t>
      </w:r>
      <w:r>
        <w:rPr>
          <w:rFonts w:hint="eastAsia" w:ascii="宋体" w:hAnsi="宋体" w:cs="宋体"/>
          <w:b/>
          <w:color w:val="auto"/>
          <w:szCs w:val="21"/>
          <w:highlight w:val="none"/>
          <w:u w:val="single"/>
        </w:rPr>
        <w:t>5万元/人•次</w:t>
      </w:r>
      <w:r>
        <w:rPr>
          <w:rFonts w:hint="eastAsia" w:ascii="宋体" w:hAnsi="宋体" w:cs="宋体"/>
          <w:color w:val="auto"/>
          <w:szCs w:val="21"/>
          <w:highlight w:val="none"/>
          <w:u w:val="single"/>
        </w:rPr>
        <w:t>（人民币）违约金；擅自更换其它在场管理人员处</w:t>
      </w:r>
      <w:r>
        <w:rPr>
          <w:rFonts w:hint="eastAsia" w:ascii="宋体" w:hAnsi="宋体" w:cs="宋体"/>
          <w:b/>
          <w:color w:val="auto"/>
          <w:szCs w:val="21"/>
          <w:highlight w:val="none"/>
          <w:u w:val="single"/>
        </w:rPr>
        <w:t>2万元/人•次</w:t>
      </w:r>
      <w:r>
        <w:rPr>
          <w:rFonts w:hint="eastAsia" w:ascii="宋体" w:hAnsi="宋体" w:cs="宋体"/>
          <w:color w:val="auto"/>
          <w:szCs w:val="21"/>
          <w:highlight w:val="none"/>
          <w:u w:val="single"/>
        </w:rPr>
        <w:t>（人民币）违约金</w:t>
      </w:r>
      <w:r>
        <w:rPr>
          <w:rFonts w:hint="eastAsia" w:ascii="宋体" w:hAnsi="宋体" w:cs="宋体"/>
          <w:color w:val="auto"/>
          <w:szCs w:val="21"/>
          <w:highlight w:val="none"/>
        </w:rPr>
        <w:t>。</w:t>
      </w:r>
    </w:p>
    <w:p w14:paraId="1643A67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承包人主要施工管理人员擅自离开施工现场的违约责任：</w:t>
      </w:r>
      <w:r>
        <w:rPr>
          <w:rFonts w:hint="eastAsia" w:ascii="宋体" w:hAnsi="宋体" w:cs="宋体"/>
          <w:color w:val="auto"/>
          <w:szCs w:val="21"/>
          <w:highlight w:val="none"/>
          <w:u w:val="single"/>
        </w:rPr>
        <w:t xml:space="preserve">未经发包人同意，项目技术负责人擅自离岗的，视为承包人违约，发包人有权处违约金 </w:t>
      </w:r>
      <w:r>
        <w:rPr>
          <w:rFonts w:hint="eastAsia" w:ascii="宋体" w:hAnsi="宋体" w:cs="宋体"/>
          <w:b/>
          <w:color w:val="auto"/>
          <w:szCs w:val="21"/>
          <w:highlight w:val="none"/>
          <w:u w:val="single"/>
        </w:rPr>
        <w:t>2000元/人•次</w:t>
      </w:r>
      <w:r>
        <w:rPr>
          <w:rFonts w:hint="eastAsia" w:ascii="宋体" w:hAnsi="宋体" w:cs="宋体"/>
          <w:color w:val="auto"/>
          <w:szCs w:val="21"/>
          <w:highlight w:val="none"/>
          <w:u w:val="single"/>
        </w:rPr>
        <w:t xml:space="preserve">（人民币）；未经发包人同意，专职安全员擅自离岗的，视为承包人违约，发包人有权处违约金 </w:t>
      </w:r>
      <w:r>
        <w:rPr>
          <w:rFonts w:hint="eastAsia" w:ascii="宋体" w:hAnsi="宋体" w:cs="宋体"/>
          <w:b/>
          <w:color w:val="auto"/>
          <w:szCs w:val="21"/>
          <w:highlight w:val="none"/>
          <w:u w:val="single"/>
        </w:rPr>
        <w:t>2000元/人•次</w:t>
      </w:r>
      <w:r>
        <w:rPr>
          <w:rFonts w:hint="eastAsia" w:ascii="宋体" w:hAnsi="宋体" w:cs="宋体"/>
          <w:color w:val="auto"/>
          <w:szCs w:val="21"/>
          <w:highlight w:val="none"/>
          <w:u w:val="single"/>
        </w:rPr>
        <w:t>（人民币）；其它在场管理人员擅自离岗的，视为承包人违约，发包人有权处违约金</w:t>
      </w:r>
      <w:r>
        <w:rPr>
          <w:rFonts w:hint="eastAsia" w:ascii="宋体" w:hAnsi="宋体" w:cs="宋体"/>
          <w:b/>
          <w:color w:val="auto"/>
          <w:szCs w:val="21"/>
          <w:highlight w:val="none"/>
          <w:u w:val="single"/>
        </w:rPr>
        <w:t>2000元/人•次</w:t>
      </w:r>
      <w:r>
        <w:rPr>
          <w:rFonts w:hint="eastAsia" w:ascii="宋体" w:hAnsi="宋体" w:cs="宋体"/>
          <w:color w:val="auto"/>
          <w:szCs w:val="21"/>
          <w:highlight w:val="none"/>
          <w:u w:val="single"/>
        </w:rPr>
        <w:t>（人民币）</w:t>
      </w:r>
      <w:r>
        <w:rPr>
          <w:rFonts w:hint="eastAsia" w:ascii="宋体" w:hAnsi="宋体" w:cs="宋体"/>
          <w:color w:val="auto"/>
          <w:szCs w:val="21"/>
          <w:highlight w:val="none"/>
        </w:rPr>
        <w:t>。</w:t>
      </w:r>
    </w:p>
    <w:p w14:paraId="2E0D0760">
      <w:pPr>
        <w:pStyle w:val="174"/>
        <w:spacing w:before="0" w:beforeLines="0" w:after="0" w:afterLines="0" w:line="420" w:lineRule="exact"/>
        <w:rPr>
          <w:rFonts w:hint="eastAsia" w:ascii="宋体" w:hAnsi="宋体" w:cs="宋体"/>
          <w:color w:val="auto"/>
          <w:sz w:val="24"/>
          <w:szCs w:val="24"/>
          <w:highlight w:val="none"/>
        </w:rPr>
      </w:pPr>
      <w:bookmarkStart w:id="412" w:name="_Toc497147167"/>
      <w:bookmarkStart w:id="413" w:name="_Toc407135212"/>
      <w:bookmarkStart w:id="414" w:name="_Toc497215724"/>
      <w:bookmarkStart w:id="415" w:name="_Toc47088311"/>
      <w:bookmarkStart w:id="416" w:name="_Toc75182712"/>
      <w:bookmarkStart w:id="417" w:name="_Toc497901123"/>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分包</w:t>
      </w:r>
      <w:bookmarkEnd w:id="412"/>
      <w:bookmarkEnd w:id="413"/>
      <w:bookmarkEnd w:id="414"/>
      <w:bookmarkEnd w:id="415"/>
      <w:bookmarkEnd w:id="416"/>
      <w:bookmarkEnd w:id="417"/>
    </w:p>
    <w:p w14:paraId="7CE1B2CA">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分包的一般约定</w:t>
      </w:r>
    </w:p>
    <w:p w14:paraId="4C382E32">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禁止分包的工程包括：</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本项目禁止分包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155E1C5">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主体结构、关键性工作的范围：</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3B779F6">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.2 分包的确定</w:t>
      </w:r>
    </w:p>
    <w:p w14:paraId="2B30B898">
      <w:pPr>
        <w:pStyle w:val="115"/>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允许分包的专业工程包括：</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94757C8">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其他关于分包的约定：</w:t>
      </w:r>
    </w:p>
    <w:p w14:paraId="562D26B4">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除前款约定的分包内容外，经过发包人和监理人同意，承包人可以将其他非主体、非关键性工作分包给第三人，但分包人应当经过发包人和监理人审批。发包人和监理人有权拒绝承包人的分包请求和承包人选择的分包人。本项目分包人主要施工管理人员名单详见合同。</w:t>
      </w:r>
    </w:p>
    <w:p w14:paraId="5A33233C">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（2）在相关分包合同签订并报送有关建设行政主管部门备案后7天内，承包人应当将一份副本提交给监理人，承包人应保障分包工作不得再次分包。</w:t>
      </w:r>
    </w:p>
    <w:p w14:paraId="664E81CA">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（3）未经承包人和监理人审批同意的分包工程和分包人，承包人有权拒绝验收分包工程和支付相应款项，由此引起的发包人费用增加和(或)延误的工期由发包人承担。</w:t>
      </w:r>
    </w:p>
    <w:p w14:paraId="0460C38E">
      <w:pPr>
        <w:pStyle w:val="190"/>
        <w:spacing w:line="360" w:lineRule="auto"/>
        <w:ind w:firstLine="420" w:firstLineChars="200"/>
        <w:rPr>
          <w:rFonts w:hint="eastAsia" w:hAnsi="宋体" w:cs="宋体"/>
          <w:color w:val="auto"/>
          <w:szCs w:val="21"/>
          <w:highlight w:val="none"/>
        </w:rPr>
      </w:pPr>
      <w:r>
        <w:rPr>
          <w:rFonts w:hint="eastAsia" w:hAnsi="宋体" w:cs="宋体"/>
          <w:color w:val="auto"/>
          <w:szCs w:val="21"/>
          <w:highlight w:val="none"/>
        </w:rPr>
        <w:t>（4）承包人有以下情况之一者，发包人有权解除合同，并视情况扣除其履约保证金：</w:t>
      </w:r>
    </w:p>
    <w:p w14:paraId="4197A23A">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①个人承包工程，包括本人单位及外单位人员承包，发包人不承认其个人拥有任何资质等级及营业许可资格。没收全部履约保证金。</w:t>
      </w:r>
    </w:p>
    <w:p w14:paraId="6BE564CA">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②几个人联合承包工程，就地组织暗分包队伍，不具备完成本工程的技术、机械能力，被发包人判定为没有能力履行的承包人。没收全部履约保证金。</w:t>
      </w:r>
    </w:p>
    <w:p w14:paraId="61F24E69">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③就地转包全部的工程，以谋取高额转让费、管理费的承包人。没收全部履约保证金。</w:t>
      </w:r>
    </w:p>
    <w:p w14:paraId="08614F6F">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④承包人有部分分包现象（其中包括冒充承包人下属单位的</w:t>
      </w:r>
      <w:r>
        <w:rPr>
          <w:rFonts w:hint="eastAsia" w:ascii="宋体" w:hAnsi="宋体" w:cs="宋体"/>
          <w:color w:val="auto"/>
          <w:szCs w:val="21"/>
          <w:highlight w:val="none"/>
          <w:lang w:eastAsia="zh-CN"/>
        </w:rPr>
        <w:t>挂钩</w:t>
      </w:r>
      <w:r>
        <w:rPr>
          <w:rFonts w:hint="eastAsia" w:ascii="宋体" w:hAnsi="宋体" w:cs="宋体"/>
          <w:color w:val="auto"/>
          <w:szCs w:val="21"/>
          <w:highlight w:val="none"/>
        </w:rPr>
        <w:t>单位，凭口头协议参与施工的分包人及其他暗分包个体户），一经发现核实，发包人将采取驱逐该暗分包人措施。没收全部履约保证金。</w:t>
      </w:r>
    </w:p>
    <w:p w14:paraId="62DF042F">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分包合同价款</w:t>
      </w:r>
    </w:p>
    <w:p w14:paraId="0DF7A18D">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关于分包合同价款支付的约定：</w:t>
      </w:r>
      <w:r>
        <w:rPr>
          <w:rFonts w:hint="eastAsia" w:ascii="宋体" w:hAnsi="宋体" w:cs="宋体"/>
          <w:color w:val="auto"/>
          <w:szCs w:val="21"/>
          <w:highlight w:val="none"/>
          <w:u w:val="single"/>
        </w:rPr>
        <w:t>分包工程价款由承包人与分包人（包括专业分包人）结算。发包人未经承包人同意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2267A601">
      <w:pPr>
        <w:pStyle w:val="174"/>
        <w:spacing w:before="0" w:beforeLines="0" w:after="0" w:afterLines="0" w:line="420" w:lineRule="exact"/>
        <w:rPr>
          <w:rFonts w:hint="eastAsia" w:ascii="宋体" w:hAnsi="宋体" w:cs="宋体"/>
          <w:color w:val="auto"/>
          <w:sz w:val="24"/>
          <w:szCs w:val="24"/>
          <w:highlight w:val="none"/>
        </w:rPr>
      </w:pPr>
      <w:bookmarkStart w:id="418" w:name="_Toc407135213"/>
      <w:bookmarkStart w:id="419" w:name="_Toc497215725"/>
      <w:bookmarkStart w:id="420" w:name="_Toc47088312"/>
      <w:bookmarkStart w:id="421" w:name="_Toc75182713"/>
      <w:bookmarkStart w:id="422" w:name="_Toc497901124"/>
      <w:bookmarkStart w:id="423" w:name="_Toc497147168"/>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 xml:space="preserve"> 工程照管与成品、半成品保护</w:t>
      </w:r>
      <w:bookmarkEnd w:id="418"/>
      <w:bookmarkEnd w:id="419"/>
      <w:bookmarkEnd w:id="420"/>
      <w:bookmarkEnd w:id="421"/>
      <w:bookmarkEnd w:id="422"/>
      <w:bookmarkEnd w:id="423"/>
    </w:p>
    <w:p w14:paraId="137DFF9F">
      <w:pPr>
        <w:pStyle w:val="108"/>
        <w:spacing w:line="360" w:lineRule="auto"/>
        <w:ind w:firstLine="420" w:firstLineChars="200"/>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承包人负责照管工程及工程相关的材料、工程设备的起始时间：</w:t>
      </w:r>
      <w:r>
        <w:rPr>
          <w:rFonts w:hint="eastAsia" w:ascii="宋体" w:hAnsi="宋体" w:cs="宋体"/>
          <w:b/>
          <w:color w:val="auto"/>
          <w:kern w:val="0"/>
          <w:szCs w:val="21"/>
          <w:highlight w:val="none"/>
          <w:u w:val="single"/>
        </w:rPr>
        <w:t>发包人（或发包人委托的监理机构）向承包人发出开工令之日起至项目交付使用之日</w:t>
      </w:r>
      <w:r>
        <w:rPr>
          <w:rFonts w:hint="eastAsia" w:ascii="宋体" w:hAnsi="宋体" w:cs="宋体"/>
          <w:b/>
          <w:color w:val="auto"/>
          <w:kern w:val="0"/>
          <w:sz w:val="24"/>
          <w:highlight w:val="none"/>
          <w:u w:val="single"/>
        </w:rPr>
        <w:t>止</w:t>
      </w:r>
      <w:r>
        <w:rPr>
          <w:rFonts w:hint="eastAsia" w:ascii="宋体" w:hAnsi="宋体" w:cs="宋体"/>
          <w:color w:val="auto"/>
          <w:kern w:val="0"/>
          <w:szCs w:val="21"/>
          <w:highlight w:val="none"/>
        </w:rPr>
        <w:t>。</w:t>
      </w:r>
    </w:p>
    <w:p w14:paraId="2C34CC1B">
      <w:pPr>
        <w:pStyle w:val="174"/>
        <w:spacing w:before="0" w:beforeLines="0" w:after="0" w:afterLines="0" w:line="420" w:lineRule="exact"/>
        <w:rPr>
          <w:rFonts w:hint="eastAsia" w:ascii="宋体" w:hAnsi="宋体" w:cs="宋体"/>
          <w:color w:val="auto"/>
          <w:sz w:val="24"/>
          <w:szCs w:val="24"/>
          <w:highlight w:val="none"/>
        </w:rPr>
      </w:pPr>
      <w:bookmarkStart w:id="424" w:name="_Toc47088313"/>
      <w:bookmarkStart w:id="425" w:name="_Toc407135214"/>
      <w:bookmarkStart w:id="426" w:name="_Toc497147169"/>
      <w:bookmarkStart w:id="427" w:name="_Toc497215726"/>
      <w:bookmarkStart w:id="428" w:name="_Toc75182714"/>
      <w:bookmarkStart w:id="429" w:name="_Toc497901125"/>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履约保证金</w:t>
      </w:r>
      <w:bookmarkEnd w:id="424"/>
      <w:bookmarkEnd w:id="425"/>
      <w:bookmarkEnd w:id="426"/>
      <w:bookmarkEnd w:id="427"/>
      <w:bookmarkEnd w:id="428"/>
      <w:bookmarkEnd w:id="429"/>
      <w:bookmarkStart w:id="430" w:name="_Toc497215727"/>
      <w:bookmarkStart w:id="431" w:name="_Toc497901126"/>
      <w:bookmarkStart w:id="432" w:name="_Toc75182715"/>
      <w:bookmarkStart w:id="433" w:name="_Toc497147170"/>
      <w:bookmarkStart w:id="434" w:name="_Toc407135215"/>
      <w:bookmarkStart w:id="435" w:name="_Toc47088314"/>
    </w:p>
    <w:p w14:paraId="27C5832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承包人提供履约担保的形式、金额及期限的：</w:t>
      </w:r>
      <w:r>
        <w:rPr>
          <w:rFonts w:hint="eastAsia" w:ascii="宋体" w:hAnsi="宋体" w:cs="宋体"/>
          <w:color w:val="auto"/>
          <w:szCs w:val="21"/>
          <w:highlight w:val="none"/>
          <w:u w:val="single"/>
        </w:rPr>
        <w:t>以银行保函、工程担保或保证保险等形式，承包人在收到成交通知书后，须在7日内向发包人提交合同价款扣除发包人材料价款、暂估专业工程、暂列金额后的</w:t>
      </w:r>
      <w:r>
        <w:rPr>
          <w:rFonts w:ascii="宋体" w:hAnsi="宋体" w:cs="宋体"/>
          <w:color w:val="auto"/>
          <w:szCs w:val="21"/>
          <w:highlight w:val="none"/>
          <w:u w:val="single"/>
        </w:rPr>
        <w:t>2</w:t>
      </w:r>
      <w:r>
        <w:rPr>
          <w:rFonts w:hint="eastAsia" w:ascii="宋体" w:hAnsi="宋体" w:cs="宋体"/>
          <w:color w:val="auto"/>
          <w:szCs w:val="21"/>
          <w:highlight w:val="none"/>
          <w:u w:val="single"/>
        </w:rPr>
        <w:t>%的履约担保。履约担保的有效期应当自本合同生效之日起至发包人签认并由监理人向承包人出具竣工验收合格通知书之日止。如果承包人无法获得一份不带具体截止日期的担保，履约担保中应当有“变更工程竣工日期的，保证期间按照变更后的竣工日期做相应调整”或类似约定的条款。</w:t>
      </w:r>
    </w:p>
    <w:p w14:paraId="3B9934A0">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u w:val="single"/>
        </w:rPr>
        <w:t>工程竣工验收合格并对验收发现的问题完成整改后的7个日历天内，发包人支付履约保证金的50%；承包人向发包人完成（施工）竣工资料移交手续后，可向发包人申请退还剩余履约保证金，发包人应在收到申请之日起28个日历天内扣减承包人赔偿金和其他应从承包人扣回的款项后，将履约保证金的余额退还给承包人（无息）。</w:t>
      </w:r>
    </w:p>
    <w:p w14:paraId="08FFDA34">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u w:val="single"/>
        </w:rPr>
        <w:t>承包人在中标后7个工作日内，按</w:t>
      </w:r>
      <w:r>
        <w:rPr>
          <w:rFonts w:hint="eastAsia" w:ascii="宋体" w:hAnsi="宋体" w:cs="宋体"/>
          <w:b/>
          <w:bCs/>
          <w:color w:val="auto"/>
          <w:szCs w:val="21"/>
          <w:highlight w:val="none"/>
          <w:u w:val="single"/>
        </w:rPr>
        <w:t>桂劳社发[2009]50号文规定</w:t>
      </w:r>
      <w:r>
        <w:rPr>
          <w:rFonts w:hint="eastAsia" w:ascii="宋体" w:hAnsi="宋体" w:cs="宋体"/>
          <w:color w:val="auto"/>
          <w:szCs w:val="21"/>
          <w:highlight w:val="none"/>
          <w:u w:val="single"/>
        </w:rPr>
        <w:t>将农民工工资保障金存入</w:t>
      </w:r>
      <w:r>
        <w:rPr>
          <w:rFonts w:hint="eastAsia" w:ascii="宋体" w:hAnsi="宋体" w:cs="宋体"/>
          <w:color w:val="auto"/>
          <w:szCs w:val="21"/>
          <w:highlight w:val="none"/>
          <w:u w:val="single"/>
          <w:lang w:eastAsia="zh-CN"/>
        </w:rPr>
        <w:t>账户</w:t>
      </w:r>
      <w:r>
        <w:rPr>
          <w:rFonts w:hint="eastAsia" w:ascii="宋体" w:hAnsi="宋体" w:cs="宋体"/>
          <w:color w:val="auto"/>
          <w:szCs w:val="21"/>
          <w:highlight w:val="none"/>
          <w:u w:val="single"/>
        </w:rPr>
        <w:t>。工程竣工验收结算经审定后，按照规定程序，将农民工工资保障金没有使用或剩余的金额退还给承包人。</w:t>
      </w:r>
    </w:p>
    <w:p w14:paraId="01884EAF">
      <w:pPr>
        <w:pStyle w:val="174"/>
        <w:spacing w:before="156" w:beforeLines="50" w:after="156" w:afterLines="50" w:line="42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4. 监理人</w:t>
      </w:r>
      <w:bookmarkEnd w:id="430"/>
      <w:bookmarkEnd w:id="431"/>
      <w:bookmarkEnd w:id="432"/>
      <w:bookmarkEnd w:id="433"/>
      <w:bookmarkEnd w:id="434"/>
      <w:bookmarkEnd w:id="435"/>
    </w:p>
    <w:p w14:paraId="4C1612F9">
      <w:pPr>
        <w:pStyle w:val="174"/>
        <w:spacing w:before="0" w:beforeLines="0" w:after="0" w:afterLines="0" w:line="420" w:lineRule="exact"/>
        <w:rPr>
          <w:rFonts w:hint="eastAsia" w:ascii="宋体" w:hAnsi="宋体" w:cs="宋体"/>
          <w:color w:val="auto"/>
          <w:sz w:val="24"/>
          <w:szCs w:val="24"/>
          <w:highlight w:val="none"/>
        </w:rPr>
      </w:pPr>
      <w:bookmarkStart w:id="436" w:name="_Toc47088315"/>
      <w:bookmarkStart w:id="437" w:name="_Toc75182716"/>
      <w:bookmarkStart w:id="438" w:name="_Toc497901127"/>
      <w:bookmarkStart w:id="439" w:name="_Toc407135216"/>
      <w:bookmarkStart w:id="440" w:name="_Toc497147171"/>
      <w:bookmarkStart w:id="441" w:name="_Toc497215728"/>
      <w:r>
        <w:rPr>
          <w:rFonts w:hint="eastAsia" w:ascii="宋体" w:hAnsi="宋体" w:cs="宋体"/>
          <w:color w:val="auto"/>
          <w:sz w:val="24"/>
          <w:szCs w:val="24"/>
          <w:highlight w:val="none"/>
        </w:rPr>
        <w:t>4.1 监理人的一般规定</w:t>
      </w:r>
      <w:bookmarkEnd w:id="436"/>
      <w:bookmarkEnd w:id="437"/>
      <w:bookmarkEnd w:id="438"/>
      <w:bookmarkEnd w:id="439"/>
      <w:bookmarkEnd w:id="440"/>
      <w:bookmarkEnd w:id="441"/>
    </w:p>
    <w:p w14:paraId="31AD900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关于监理人的监理内容：</w:t>
      </w:r>
      <w:r>
        <w:rPr>
          <w:rFonts w:hint="eastAsia" w:ascii="宋体" w:hAnsi="宋体" w:cs="宋体"/>
          <w:color w:val="auto"/>
          <w:kern w:val="0"/>
          <w:szCs w:val="21"/>
          <w:highlight w:val="none"/>
          <w:u w:val="single"/>
        </w:rPr>
        <w:t>按本项目的监理合同约定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320888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关于监理人的监理权限：</w:t>
      </w:r>
      <w:r>
        <w:rPr>
          <w:rFonts w:hint="eastAsia" w:ascii="宋体" w:hAnsi="宋体" w:cs="宋体"/>
          <w:color w:val="auto"/>
          <w:kern w:val="0"/>
          <w:szCs w:val="21"/>
          <w:highlight w:val="none"/>
          <w:u w:val="single"/>
        </w:rPr>
        <w:t>按本项目的监理合同约定</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59A8572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关于监理人在施工现场的办公场所、生活场所的提供和费用承担的约定：</w:t>
      </w:r>
      <w:r>
        <w:rPr>
          <w:rFonts w:hint="eastAsia" w:ascii="宋体" w:hAnsi="宋体" w:cs="宋体"/>
          <w:b/>
          <w:bCs/>
          <w:color w:val="auto"/>
          <w:kern w:val="0"/>
          <w:szCs w:val="21"/>
          <w:highlight w:val="none"/>
          <w:u w:val="single"/>
        </w:rPr>
        <w:t xml:space="preserve">由发包人提供监理办公室、资料室各一间，每间面积约12㎡   </w:t>
      </w:r>
      <w:r>
        <w:rPr>
          <w:rFonts w:hint="eastAsia" w:ascii="宋体" w:hAnsi="宋体" w:cs="宋体"/>
          <w:color w:val="auto"/>
          <w:szCs w:val="21"/>
          <w:highlight w:val="none"/>
        </w:rPr>
        <w:t>。</w:t>
      </w:r>
    </w:p>
    <w:p w14:paraId="7AE9450A">
      <w:pPr>
        <w:pStyle w:val="174"/>
        <w:spacing w:before="0" w:beforeLines="0" w:after="0" w:afterLines="0" w:line="420" w:lineRule="exact"/>
        <w:rPr>
          <w:rFonts w:hint="eastAsia" w:ascii="宋体" w:hAnsi="宋体" w:cs="宋体"/>
          <w:color w:val="auto"/>
          <w:sz w:val="24"/>
          <w:szCs w:val="24"/>
          <w:highlight w:val="none"/>
        </w:rPr>
      </w:pPr>
      <w:bookmarkStart w:id="442" w:name="_Toc407135217"/>
      <w:bookmarkStart w:id="443" w:name="_Toc497147172"/>
      <w:bookmarkStart w:id="444" w:name="_Toc497901128"/>
      <w:bookmarkStart w:id="445" w:name="_Toc497215729"/>
      <w:bookmarkStart w:id="446" w:name="_Toc47088316"/>
      <w:bookmarkStart w:id="447" w:name="_Toc75182717"/>
      <w:r>
        <w:rPr>
          <w:rFonts w:hint="eastAsia" w:ascii="宋体" w:hAnsi="宋体" w:cs="宋体"/>
          <w:color w:val="auto"/>
          <w:sz w:val="24"/>
          <w:szCs w:val="24"/>
          <w:highlight w:val="none"/>
        </w:rPr>
        <w:t>4.2 监理人员</w:t>
      </w:r>
      <w:bookmarkEnd w:id="442"/>
      <w:bookmarkEnd w:id="443"/>
      <w:bookmarkEnd w:id="444"/>
      <w:bookmarkEnd w:id="445"/>
      <w:bookmarkEnd w:id="446"/>
      <w:bookmarkEnd w:id="447"/>
    </w:p>
    <w:p w14:paraId="6187DF1B">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总监理工程师：</w:t>
      </w:r>
    </w:p>
    <w:p w14:paraId="1D14A90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14B50897">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 xml:space="preserve">中标后填写  </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7CCA49C0">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监理工程师执业资格证书号：</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w:t>
      </w:r>
      <w:r>
        <w:rPr>
          <w:rFonts w:hint="eastAsia" w:ascii="宋体" w:hAnsi="宋体" w:cs="宋体"/>
          <w:color w:val="auto"/>
          <w:szCs w:val="21"/>
          <w:highlight w:val="none"/>
        </w:rPr>
        <w:t>；</w:t>
      </w:r>
    </w:p>
    <w:p w14:paraId="257908C1">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广西建筑市场诚信卡卡号：</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FE90523">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   </w:t>
      </w:r>
      <w:r>
        <w:rPr>
          <w:rFonts w:hint="eastAsia" w:ascii="宋体" w:hAnsi="宋体" w:cs="宋体"/>
          <w:color w:val="auto"/>
          <w:szCs w:val="21"/>
          <w:highlight w:val="none"/>
        </w:rPr>
        <w:t>；</w:t>
      </w:r>
    </w:p>
    <w:p w14:paraId="6C35EA03">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 xml:space="preserve">中标后填写  </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7E857A3D">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EBB5093">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关于监理人的其他约定：</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中标后填写</w:t>
      </w:r>
      <w:r>
        <w:rPr>
          <w:rFonts w:hint="eastAsia" w:ascii="宋体" w:hAnsi="宋体" w:cs="宋体"/>
          <w:color w:val="auto"/>
          <w:szCs w:val="21"/>
          <w:highlight w:val="none"/>
          <w:u w:val="single"/>
        </w:rPr>
        <w:t> </w:t>
      </w:r>
      <w:r>
        <w:rPr>
          <w:rFonts w:hint="eastAsia" w:ascii="宋体" w:hAnsi="宋体" w:cs="宋体"/>
          <w:color w:val="auto"/>
          <w:szCs w:val="21"/>
          <w:highlight w:val="none"/>
        </w:rPr>
        <w:t>。</w:t>
      </w:r>
    </w:p>
    <w:p w14:paraId="178E4C09">
      <w:pPr>
        <w:pStyle w:val="174"/>
        <w:spacing w:before="0" w:beforeLines="0" w:after="0" w:afterLines="0" w:line="420" w:lineRule="exact"/>
        <w:rPr>
          <w:rFonts w:hint="eastAsia" w:ascii="宋体" w:hAnsi="宋体" w:cs="宋体"/>
          <w:color w:val="auto"/>
          <w:sz w:val="24"/>
          <w:szCs w:val="24"/>
          <w:highlight w:val="none"/>
        </w:rPr>
      </w:pPr>
      <w:bookmarkStart w:id="448" w:name="_Toc497147173"/>
      <w:bookmarkStart w:id="449" w:name="_Toc407135218"/>
      <w:bookmarkStart w:id="450" w:name="_Toc75182718"/>
      <w:bookmarkStart w:id="451" w:name="_Toc497901129"/>
      <w:bookmarkStart w:id="452" w:name="_Toc47088317"/>
      <w:bookmarkStart w:id="453" w:name="_Toc497215730"/>
      <w:r>
        <w:rPr>
          <w:rFonts w:hint="eastAsia" w:ascii="宋体" w:hAnsi="宋体" w:cs="宋体"/>
          <w:color w:val="auto"/>
          <w:sz w:val="24"/>
          <w:szCs w:val="24"/>
          <w:highlight w:val="none"/>
        </w:rPr>
        <w:t>4.</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商定或确定</w:t>
      </w:r>
      <w:bookmarkEnd w:id="448"/>
      <w:bookmarkEnd w:id="449"/>
      <w:bookmarkEnd w:id="450"/>
      <w:bookmarkEnd w:id="451"/>
      <w:bookmarkEnd w:id="452"/>
      <w:bookmarkEnd w:id="453"/>
    </w:p>
    <w:p w14:paraId="2CA00DE3">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在发包人和承包人不能通过协商达成一致意见时，发包人授权监理人对以下事项进行确定：</w:t>
      </w:r>
    </w:p>
    <w:p w14:paraId="7D4A6451">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836EB7E">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ED16632">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0148362">
      <w:pPr>
        <w:pStyle w:val="174"/>
        <w:spacing w:before="156" w:beforeLines="50" w:after="156" w:afterLines="50" w:line="420" w:lineRule="exact"/>
        <w:rPr>
          <w:rFonts w:hint="eastAsia" w:ascii="宋体" w:hAnsi="宋体" w:cs="宋体"/>
          <w:color w:val="auto"/>
          <w:sz w:val="24"/>
          <w:szCs w:val="24"/>
          <w:highlight w:val="none"/>
        </w:rPr>
      </w:pPr>
      <w:bookmarkStart w:id="454" w:name="_Toc407135219"/>
      <w:bookmarkStart w:id="455" w:name="_Toc497901130"/>
      <w:bookmarkStart w:id="456" w:name="_Toc497215731"/>
      <w:bookmarkStart w:id="457" w:name="_Toc75182719"/>
      <w:bookmarkStart w:id="458" w:name="_Toc497147174"/>
      <w:bookmarkStart w:id="459" w:name="_Toc47088318"/>
      <w:r>
        <w:rPr>
          <w:rFonts w:hint="eastAsia" w:ascii="宋体" w:hAnsi="宋体" w:cs="宋体"/>
          <w:color w:val="auto"/>
          <w:sz w:val="24"/>
          <w:szCs w:val="24"/>
          <w:highlight w:val="none"/>
        </w:rPr>
        <w:t>5. 工程质量</w:t>
      </w:r>
      <w:bookmarkEnd w:id="454"/>
      <w:bookmarkEnd w:id="455"/>
      <w:bookmarkEnd w:id="456"/>
      <w:bookmarkEnd w:id="457"/>
      <w:bookmarkEnd w:id="458"/>
      <w:bookmarkEnd w:id="459"/>
    </w:p>
    <w:p w14:paraId="2E77255D">
      <w:pPr>
        <w:pStyle w:val="174"/>
        <w:spacing w:before="0" w:beforeLines="0" w:after="0" w:afterLines="0" w:line="420" w:lineRule="exact"/>
        <w:rPr>
          <w:rFonts w:hint="eastAsia" w:ascii="宋体" w:hAnsi="宋体" w:cs="宋体"/>
          <w:color w:val="auto"/>
          <w:sz w:val="24"/>
          <w:szCs w:val="24"/>
          <w:highlight w:val="none"/>
        </w:rPr>
      </w:pPr>
      <w:bookmarkStart w:id="460" w:name="_Toc47088319"/>
      <w:bookmarkStart w:id="461" w:name="_Toc75182720"/>
      <w:bookmarkStart w:id="462" w:name="_Toc407135220"/>
      <w:bookmarkStart w:id="463" w:name="_Toc497901131"/>
      <w:bookmarkStart w:id="464" w:name="_Toc497215732"/>
      <w:bookmarkStart w:id="465" w:name="_Toc497147175"/>
      <w:r>
        <w:rPr>
          <w:rFonts w:hint="eastAsia" w:ascii="宋体" w:hAnsi="宋体" w:cs="宋体"/>
          <w:color w:val="auto"/>
          <w:sz w:val="24"/>
          <w:szCs w:val="24"/>
          <w:highlight w:val="none"/>
        </w:rPr>
        <w:t>5.1 质量要求</w:t>
      </w:r>
      <w:bookmarkEnd w:id="460"/>
      <w:bookmarkEnd w:id="461"/>
      <w:bookmarkEnd w:id="462"/>
      <w:bookmarkEnd w:id="463"/>
      <w:bookmarkEnd w:id="464"/>
      <w:bookmarkEnd w:id="465"/>
    </w:p>
    <w:p w14:paraId="60C81AD9">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5.1.1 特殊质量标准和要求：</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3411E63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关于工程奖项的约定：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357D6FB">
      <w:pPr>
        <w:pStyle w:val="108"/>
        <w:spacing w:line="360" w:lineRule="auto"/>
        <w:jc w:val="left"/>
        <w:rPr>
          <w:rFonts w:hint="eastAsia" w:ascii="宋体" w:hAnsi="宋体" w:cs="宋体"/>
          <w:b/>
          <w:bCs/>
          <w:color w:val="auto"/>
          <w:szCs w:val="21"/>
          <w:highlight w:val="none"/>
        </w:rPr>
      </w:pPr>
      <w:r>
        <w:rPr>
          <w:rFonts w:hint="eastAsia" w:ascii="宋体" w:hAnsi="宋体" w:cs="宋体"/>
          <w:b/>
          <w:bCs/>
          <w:color w:val="auto"/>
          <w:szCs w:val="21"/>
          <w:highlight w:val="none"/>
        </w:rPr>
        <w:t>5.</w:t>
      </w:r>
      <w:r>
        <w:rPr>
          <w:rFonts w:hint="eastAsia" w:ascii="宋体" w:hAnsi="宋体" w:cs="宋体"/>
          <w:b/>
          <w:bCs/>
          <w:color w:val="auto"/>
          <w:szCs w:val="21"/>
          <w:highlight w:val="none"/>
          <w:lang w:val="en-US" w:eastAsia="zh-CN"/>
        </w:rPr>
        <w:t>2</w:t>
      </w:r>
      <w:r>
        <w:rPr>
          <w:rFonts w:hint="eastAsia" w:ascii="宋体" w:hAnsi="宋体" w:cs="宋体"/>
          <w:b/>
          <w:bCs/>
          <w:color w:val="auto"/>
          <w:szCs w:val="21"/>
          <w:highlight w:val="none"/>
        </w:rPr>
        <w:t xml:space="preserve"> 隐蔽工程检查</w:t>
      </w:r>
    </w:p>
    <w:p w14:paraId="304C3B58">
      <w:pPr>
        <w:pStyle w:val="108"/>
        <w:spacing w:line="360" w:lineRule="auto"/>
        <w:jc w:val="left"/>
        <w:rPr>
          <w:rFonts w:hint="eastAsia" w:ascii="宋体" w:hAnsi="宋体" w:cs="宋体"/>
          <w:color w:val="auto"/>
          <w:szCs w:val="21"/>
          <w:highlight w:val="none"/>
          <w:u w:val="single"/>
        </w:rPr>
      </w:pPr>
      <w:r>
        <w:rPr>
          <w:rFonts w:hint="eastAsia" w:ascii="宋体" w:hAnsi="宋体" w:cs="宋体"/>
          <w:color w:val="auto"/>
          <w:szCs w:val="21"/>
          <w:highlight w:val="none"/>
        </w:rPr>
        <w:t>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承包人提前通知监理人隐蔽工程检查的期限的约定：</w:t>
      </w:r>
      <w:r>
        <w:rPr>
          <w:rFonts w:hint="eastAsia" w:ascii="宋体" w:hAnsi="宋体" w:cs="宋体"/>
          <w:bCs/>
          <w:color w:val="auto"/>
          <w:szCs w:val="21"/>
          <w:highlight w:val="none"/>
        </w:rPr>
        <w:t>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318DC0C9">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监理人不能按时进行检查时，应提前</w:t>
      </w:r>
      <w:r>
        <w:rPr>
          <w:rFonts w:hint="eastAsia" w:ascii="宋体" w:hAnsi="宋体" w:cs="宋体"/>
          <w:color w:val="auto"/>
          <w:szCs w:val="21"/>
          <w:highlight w:val="none"/>
          <w:u w:val="single"/>
        </w:rPr>
        <w:t xml:space="preserve">  24  </w:t>
      </w:r>
      <w:r>
        <w:rPr>
          <w:rFonts w:hint="eastAsia" w:ascii="宋体" w:hAnsi="宋体" w:cs="宋体"/>
          <w:color w:val="auto"/>
          <w:szCs w:val="21"/>
          <w:highlight w:val="none"/>
        </w:rPr>
        <w:t>小时提交书面延期要求。</w:t>
      </w:r>
    </w:p>
    <w:p w14:paraId="0C6641F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关于延期最长不得超过：</w:t>
      </w:r>
      <w:r>
        <w:rPr>
          <w:rFonts w:hint="eastAsia" w:ascii="宋体" w:hAnsi="宋体" w:cs="宋体"/>
          <w:color w:val="auto"/>
          <w:szCs w:val="21"/>
          <w:highlight w:val="none"/>
          <w:u w:val="single"/>
        </w:rPr>
        <w:t xml:space="preserve">   48    </w:t>
      </w:r>
      <w:r>
        <w:rPr>
          <w:rFonts w:hint="eastAsia" w:ascii="宋体" w:hAnsi="宋体" w:cs="宋体"/>
          <w:color w:val="auto"/>
          <w:szCs w:val="21"/>
          <w:highlight w:val="none"/>
        </w:rPr>
        <w:t>小时。</w:t>
      </w:r>
    </w:p>
    <w:p w14:paraId="2B7909CC">
      <w:pPr>
        <w:pStyle w:val="174"/>
        <w:spacing w:before="156" w:beforeLines="50" w:after="156" w:afterLines="50" w:line="420" w:lineRule="exact"/>
        <w:rPr>
          <w:rFonts w:hint="eastAsia" w:ascii="宋体" w:hAnsi="宋体" w:cs="宋体"/>
          <w:color w:val="auto"/>
          <w:sz w:val="24"/>
          <w:szCs w:val="24"/>
          <w:highlight w:val="none"/>
        </w:rPr>
      </w:pPr>
      <w:bookmarkStart w:id="466" w:name="_Toc75182721"/>
      <w:bookmarkStart w:id="467" w:name="_Toc407135221"/>
      <w:bookmarkStart w:id="468" w:name="_Toc47088320"/>
      <w:bookmarkStart w:id="469" w:name="_Toc497215733"/>
      <w:bookmarkStart w:id="470" w:name="_Toc497901132"/>
      <w:bookmarkStart w:id="471" w:name="_Toc497147176"/>
      <w:r>
        <w:rPr>
          <w:rFonts w:hint="eastAsia" w:ascii="宋体" w:hAnsi="宋体" w:cs="宋体"/>
          <w:color w:val="auto"/>
          <w:sz w:val="24"/>
          <w:szCs w:val="24"/>
          <w:highlight w:val="none"/>
        </w:rPr>
        <w:t>6. 安全文明施工与环境保护</w:t>
      </w:r>
      <w:bookmarkEnd w:id="466"/>
      <w:bookmarkEnd w:id="467"/>
      <w:bookmarkEnd w:id="468"/>
      <w:bookmarkEnd w:id="469"/>
      <w:bookmarkEnd w:id="470"/>
      <w:bookmarkEnd w:id="471"/>
    </w:p>
    <w:p w14:paraId="45AB2AED">
      <w:pPr>
        <w:pStyle w:val="174"/>
        <w:spacing w:before="0" w:beforeLines="0" w:after="0" w:afterLines="0" w:line="420" w:lineRule="exact"/>
        <w:rPr>
          <w:rFonts w:hint="eastAsia" w:ascii="宋体" w:hAnsi="宋体" w:cs="宋体"/>
          <w:color w:val="auto"/>
          <w:sz w:val="24"/>
          <w:szCs w:val="24"/>
          <w:highlight w:val="none"/>
        </w:rPr>
      </w:pPr>
      <w:bookmarkStart w:id="472" w:name="_Toc407135222"/>
      <w:bookmarkStart w:id="473" w:name="_Toc47088321"/>
      <w:bookmarkStart w:id="474" w:name="_Toc75182722"/>
      <w:bookmarkStart w:id="475" w:name="_Toc497215734"/>
      <w:bookmarkStart w:id="476" w:name="_Toc497901133"/>
      <w:bookmarkStart w:id="477" w:name="_Toc497147177"/>
      <w:r>
        <w:rPr>
          <w:rFonts w:hint="eastAsia" w:ascii="宋体" w:hAnsi="宋体" w:cs="宋体"/>
          <w:color w:val="auto"/>
          <w:sz w:val="24"/>
          <w:szCs w:val="24"/>
          <w:highlight w:val="none"/>
        </w:rPr>
        <w:t>6.1 安全文明施工</w:t>
      </w:r>
      <w:bookmarkEnd w:id="472"/>
      <w:bookmarkEnd w:id="473"/>
      <w:bookmarkEnd w:id="474"/>
      <w:bookmarkEnd w:id="475"/>
      <w:bookmarkEnd w:id="476"/>
      <w:bookmarkEnd w:id="477"/>
    </w:p>
    <w:p w14:paraId="4994B89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6.1.1 项目安全生产的达标目标及相应事项的约定：</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按通用条款6.1.1执行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84BC0B4">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关于安全文明施工奖项的约定：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7431DF4">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关于治安保卫的特别约定：</w:t>
      </w:r>
      <w:r>
        <w:rPr>
          <w:rFonts w:hint="eastAsia" w:ascii="宋体" w:hAnsi="宋体" w:cs="宋体"/>
          <w:color w:val="auto"/>
          <w:szCs w:val="21"/>
          <w:highlight w:val="none"/>
          <w:u w:val="single"/>
        </w:rPr>
        <w:t>承包人应承担施工安全保卫工作及非夜间施工照明的责任，承包人应采取一切合理的预防措施，防止人员伤亡、财产损失事故，费用由承包人承担。承包人生活设施及施工场应自费配备消防设备，防止火灾发生。</w:t>
      </w:r>
    </w:p>
    <w:p w14:paraId="385D655B">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关于编制施工场地治安管理计划的约定：</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按通用条款6.1.4执行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42D6072">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文明施工</w:t>
      </w:r>
    </w:p>
    <w:p w14:paraId="7852FB25">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合同当事人对文明施工的要求：</w:t>
      </w:r>
      <w:r>
        <w:rPr>
          <w:rFonts w:hint="eastAsia" w:ascii="宋体" w:hAnsi="宋体" w:cs="宋体"/>
          <w:color w:val="auto"/>
          <w:szCs w:val="21"/>
          <w:highlight w:val="none"/>
          <w:u w:val="single"/>
        </w:rPr>
        <w:t xml:space="preserve"> 按文明施工规范要求施工 </w:t>
      </w:r>
      <w:r>
        <w:rPr>
          <w:rFonts w:hint="eastAsia" w:ascii="宋体" w:hAnsi="宋体" w:cs="宋体"/>
          <w:color w:val="auto"/>
          <w:szCs w:val="21"/>
          <w:highlight w:val="none"/>
        </w:rPr>
        <w:t>。</w:t>
      </w:r>
    </w:p>
    <w:p w14:paraId="26F4C335">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6.1.</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 xml:space="preserve"> 关于安全文明施工费支付比例和支付期限的约定：</w:t>
      </w:r>
    </w:p>
    <w:p w14:paraId="20C80110">
      <w:pPr>
        <w:pStyle w:val="115"/>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（1）本合同价款已包含安全文明施工费</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中标合同价中的安全文明施工费金额） </w:t>
      </w:r>
      <w:r>
        <w:rPr>
          <w:rFonts w:hint="eastAsia" w:ascii="宋体" w:hAnsi="宋体" w:cs="宋体"/>
          <w:color w:val="auto"/>
          <w:kern w:val="0"/>
          <w:szCs w:val="21"/>
          <w:highlight w:val="none"/>
        </w:rPr>
        <w:t>元。</w:t>
      </w:r>
    </w:p>
    <w:p w14:paraId="07A4E9A3">
      <w:pPr>
        <w:pStyle w:val="115"/>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（2）使用要求：专款专用。具体按</w:t>
      </w:r>
      <w:r>
        <w:rPr>
          <w:rFonts w:hint="eastAsia" w:ascii="宋体" w:hAnsi="宋体" w:cs="宋体"/>
          <w:color w:val="auto"/>
          <w:kern w:val="0"/>
          <w:szCs w:val="21"/>
          <w:highlight w:val="none"/>
          <w:u w:val="single"/>
        </w:rPr>
        <w:t>《广西壮族自治区建设工程安全文明施工费使用管理细则》（桂建质〔2015〕16号）</w:t>
      </w:r>
      <w:r>
        <w:rPr>
          <w:rFonts w:hint="eastAsia" w:ascii="宋体" w:hAnsi="宋体" w:cs="宋体"/>
          <w:color w:val="auto"/>
          <w:kern w:val="0"/>
          <w:szCs w:val="21"/>
          <w:highlight w:val="none"/>
        </w:rPr>
        <w:t>和</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eastAsia="zh-CN"/>
        </w:rPr>
        <w:t>河池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市相关规定执行。</w:t>
      </w:r>
    </w:p>
    <w:p w14:paraId="0DBFE80A">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highlight w:val="none"/>
        </w:rPr>
        <w:t>（3）支付约定：</w:t>
      </w:r>
      <w:r>
        <w:rPr>
          <w:rFonts w:hint="eastAsia" w:ascii="宋体" w:hAnsi="宋体" w:cs="宋体"/>
          <w:color w:val="auto"/>
          <w:kern w:val="0"/>
          <w:highlight w:val="none"/>
          <w:u w:val="single"/>
        </w:rPr>
        <w:t>在本合同签订后7个工作日内，预付安全文明施工费总额的</w:t>
      </w:r>
      <w:r>
        <w:rPr>
          <w:rFonts w:hint="eastAsia" w:ascii="宋体" w:hAnsi="宋体" w:cs="宋体"/>
          <w:color w:val="auto"/>
          <w:kern w:val="0"/>
          <w:highlight w:val="none"/>
          <w:u w:val="single"/>
          <w:lang w:val="en-US" w:eastAsia="zh-CN"/>
        </w:rPr>
        <w:t>50</w:t>
      </w:r>
      <w:r>
        <w:rPr>
          <w:rFonts w:hint="eastAsia" w:ascii="宋体" w:hAnsi="宋体" w:cs="宋体"/>
          <w:color w:val="auto"/>
          <w:kern w:val="0"/>
          <w:highlight w:val="none"/>
          <w:u w:val="single"/>
        </w:rPr>
        <w:t>%，其余部分与进度款同期支付。</w:t>
      </w:r>
    </w:p>
    <w:p w14:paraId="05E94E8F">
      <w:pPr>
        <w:pStyle w:val="174"/>
        <w:spacing w:before="0" w:beforeLines="0" w:after="0" w:afterLines="0" w:line="420" w:lineRule="exact"/>
        <w:rPr>
          <w:rFonts w:hint="eastAsia" w:ascii="宋体" w:hAnsi="宋体" w:cs="宋体"/>
          <w:color w:val="auto"/>
          <w:sz w:val="24"/>
          <w:szCs w:val="24"/>
          <w:highlight w:val="none"/>
        </w:rPr>
      </w:pPr>
      <w:bookmarkStart w:id="478" w:name="_Toc407135223"/>
      <w:bookmarkStart w:id="479" w:name="_Toc497901134"/>
      <w:bookmarkStart w:id="480" w:name="_Toc497147178"/>
      <w:bookmarkStart w:id="481" w:name="_Toc47088322"/>
      <w:bookmarkStart w:id="482" w:name="_Toc497215735"/>
      <w:bookmarkStart w:id="483" w:name="_Toc75182723"/>
      <w:r>
        <w:rPr>
          <w:rFonts w:hint="eastAsia" w:ascii="宋体" w:hAnsi="宋体" w:cs="宋体"/>
          <w:color w:val="auto"/>
          <w:sz w:val="24"/>
          <w:szCs w:val="24"/>
          <w:highlight w:val="none"/>
        </w:rPr>
        <w:t>6.</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环境保护</w:t>
      </w:r>
      <w:bookmarkEnd w:id="478"/>
      <w:bookmarkEnd w:id="479"/>
      <w:bookmarkEnd w:id="480"/>
      <w:bookmarkEnd w:id="481"/>
      <w:bookmarkEnd w:id="482"/>
      <w:bookmarkEnd w:id="483"/>
    </w:p>
    <w:p w14:paraId="15614D02">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因施工需要，经发包人批准，由承包人办理有关施工场地交通、环卫和施工噪音管理等手续，费用由承包人负责。</w:t>
      </w:r>
    </w:p>
    <w:p w14:paraId="2DD26F72">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经过城市道路的施工车辆，必须按交警、城管、运输等部门相关规定执行。由于施工车辆造成的道路、环境等污染，其责任和费用均由承包人承担。</w:t>
      </w:r>
    </w:p>
    <w:p w14:paraId="0A7040BF">
      <w:pPr>
        <w:pStyle w:val="174"/>
        <w:spacing w:before="156" w:beforeLines="50" w:after="156" w:afterLines="50" w:line="420" w:lineRule="exact"/>
        <w:rPr>
          <w:rFonts w:hint="eastAsia" w:ascii="宋体" w:hAnsi="宋体" w:cs="宋体"/>
          <w:color w:val="auto"/>
          <w:sz w:val="24"/>
          <w:szCs w:val="24"/>
          <w:highlight w:val="none"/>
        </w:rPr>
      </w:pPr>
      <w:bookmarkStart w:id="484" w:name="_Toc47088323"/>
      <w:bookmarkStart w:id="485" w:name="_Toc75182724"/>
      <w:bookmarkStart w:id="486" w:name="_Toc497215736"/>
      <w:bookmarkStart w:id="487" w:name="_Toc497147179"/>
      <w:bookmarkStart w:id="488" w:name="_Toc407135224"/>
      <w:bookmarkStart w:id="489" w:name="_Toc497901135"/>
      <w:r>
        <w:rPr>
          <w:rFonts w:hint="eastAsia" w:ascii="宋体" w:hAnsi="宋体" w:cs="宋体"/>
          <w:color w:val="auto"/>
          <w:sz w:val="24"/>
          <w:szCs w:val="24"/>
          <w:highlight w:val="none"/>
        </w:rPr>
        <w:t>7. 工期和进度</w:t>
      </w:r>
      <w:bookmarkEnd w:id="484"/>
      <w:bookmarkEnd w:id="485"/>
      <w:bookmarkEnd w:id="486"/>
      <w:bookmarkEnd w:id="487"/>
      <w:bookmarkEnd w:id="488"/>
      <w:bookmarkEnd w:id="489"/>
    </w:p>
    <w:p w14:paraId="3ECB9873">
      <w:pPr>
        <w:pStyle w:val="174"/>
        <w:spacing w:before="0" w:beforeLines="0" w:after="0" w:afterLines="0" w:line="420" w:lineRule="exact"/>
        <w:rPr>
          <w:rFonts w:hint="eastAsia" w:ascii="宋体" w:hAnsi="宋体" w:cs="宋体"/>
          <w:color w:val="auto"/>
          <w:sz w:val="24"/>
          <w:szCs w:val="24"/>
          <w:highlight w:val="none"/>
        </w:rPr>
      </w:pPr>
      <w:bookmarkStart w:id="490" w:name="_Toc407135225"/>
      <w:bookmarkStart w:id="491" w:name="_Toc75182725"/>
      <w:bookmarkStart w:id="492" w:name="_Toc497901136"/>
      <w:bookmarkStart w:id="493" w:name="_Toc47088324"/>
      <w:bookmarkStart w:id="494" w:name="_Toc497147180"/>
      <w:bookmarkStart w:id="495" w:name="_Toc497215737"/>
      <w:r>
        <w:rPr>
          <w:rFonts w:hint="eastAsia" w:ascii="宋体" w:hAnsi="宋体" w:cs="宋体"/>
          <w:color w:val="auto"/>
          <w:sz w:val="24"/>
          <w:szCs w:val="24"/>
          <w:highlight w:val="none"/>
        </w:rPr>
        <w:t>7.1 施工组织设计</w:t>
      </w:r>
      <w:bookmarkEnd w:id="490"/>
      <w:bookmarkEnd w:id="491"/>
      <w:bookmarkEnd w:id="492"/>
      <w:bookmarkEnd w:id="493"/>
      <w:bookmarkEnd w:id="494"/>
      <w:bookmarkEnd w:id="495"/>
    </w:p>
    <w:p w14:paraId="76016321">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7.1.1 合</w:t>
      </w:r>
      <w:r>
        <w:rPr>
          <w:rFonts w:hint="eastAsia" w:ascii="宋体" w:hAnsi="宋体" w:cs="宋体"/>
          <w:color w:val="auto"/>
          <w:kern w:val="0"/>
          <w:szCs w:val="21"/>
          <w:highlight w:val="none"/>
        </w:rPr>
        <w:t>同当事人约定的施工组织设计应包括的其他内容：</w:t>
      </w:r>
      <w:r>
        <w:rPr>
          <w:rFonts w:hint="eastAsia" w:ascii="宋体" w:hAnsi="宋体" w:cs="宋体"/>
          <w:color w:val="auto"/>
          <w:szCs w:val="21"/>
          <w:highlight w:val="none"/>
          <w:u w:val="single"/>
        </w:rPr>
        <w:t>按通用条款7.1.1条执行</w:t>
      </w:r>
      <w:r>
        <w:rPr>
          <w:rFonts w:hint="eastAsia" w:ascii="宋体" w:hAnsi="宋体" w:cs="宋体"/>
          <w:color w:val="auto"/>
          <w:szCs w:val="21"/>
          <w:highlight w:val="none"/>
        </w:rPr>
        <w:t>。</w:t>
      </w:r>
    </w:p>
    <w:p w14:paraId="317014EE">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 xml:space="preserve">7.1.2 </w:t>
      </w:r>
      <w:r>
        <w:rPr>
          <w:rFonts w:hint="eastAsia" w:ascii="宋体" w:hAnsi="宋体" w:cs="宋体"/>
          <w:color w:val="auto"/>
          <w:kern w:val="0"/>
          <w:szCs w:val="21"/>
          <w:highlight w:val="none"/>
        </w:rPr>
        <w:t>施工组织设计的提交和修改</w:t>
      </w:r>
    </w:p>
    <w:p w14:paraId="46A2DC0B">
      <w:pPr>
        <w:pStyle w:val="115"/>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承包人提交详细施工组织设计的期限的约定：</w:t>
      </w:r>
      <w:r>
        <w:rPr>
          <w:rFonts w:hint="eastAsia" w:ascii="宋体" w:hAnsi="宋体" w:cs="宋体"/>
          <w:color w:val="auto"/>
          <w:szCs w:val="21"/>
          <w:highlight w:val="none"/>
          <w:u w:val="single"/>
        </w:rPr>
        <w:t xml:space="preserve">  按通用条款7.1.2条执行      </w:t>
      </w:r>
      <w:r>
        <w:rPr>
          <w:rFonts w:hint="eastAsia" w:ascii="宋体" w:hAnsi="宋体" w:cs="宋体"/>
          <w:color w:val="auto"/>
          <w:szCs w:val="21"/>
          <w:highlight w:val="none"/>
        </w:rPr>
        <w:t>。</w:t>
      </w:r>
    </w:p>
    <w:p w14:paraId="1BF5C24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发包人和监理人在收到详细的施工组织设计后确认或提出修改意见的期限：</w:t>
      </w:r>
      <w:r>
        <w:rPr>
          <w:rFonts w:hint="eastAsia" w:ascii="宋体" w:hAnsi="宋体" w:cs="宋体"/>
          <w:color w:val="auto"/>
          <w:szCs w:val="21"/>
          <w:highlight w:val="none"/>
          <w:u w:val="single"/>
        </w:rPr>
        <w:t>按通用条款7.1.2条执行。逾期未确定的，工期延误责任由发包人承担</w:t>
      </w:r>
      <w:r>
        <w:rPr>
          <w:rFonts w:hint="eastAsia" w:ascii="宋体" w:hAnsi="宋体" w:cs="宋体"/>
          <w:color w:val="auto"/>
          <w:szCs w:val="21"/>
          <w:highlight w:val="none"/>
        </w:rPr>
        <w:t>。</w:t>
      </w:r>
    </w:p>
    <w:p w14:paraId="0560C4D7">
      <w:pPr>
        <w:pStyle w:val="174"/>
        <w:spacing w:before="0" w:beforeLines="0" w:after="0" w:afterLines="0" w:line="420" w:lineRule="exact"/>
        <w:rPr>
          <w:rFonts w:hint="eastAsia" w:ascii="宋体" w:hAnsi="宋体" w:cs="宋体"/>
          <w:color w:val="auto"/>
          <w:sz w:val="24"/>
          <w:szCs w:val="24"/>
          <w:highlight w:val="none"/>
        </w:rPr>
      </w:pPr>
      <w:bookmarkStart w:id="496" w:name="_Toc75182726"/>
      <w:bookmarkStart w:id="497" w:name="_Toc497147181"/>
      <w:bookmarkStart w:id="498" w:name="_Toc47088325"/>
      <w:bookmarkStart w:id="499" w:name="_Toc497215738"/>
      <w:bookmarkStart w:id="500" w:name="_Toc407135226"/>
      <w:bookmarkStart w:id="501" w:name="_Toc497901137"/>
      <w:r>
        <w:rPr>
          <w:rFonts w:hint="eastAsia" w:ascii="宋体" w:hAnsi="宋体" w:cs="宋体"/>
          <w:color w:val="auto"/>
          <w:sz w:val="24"/>
          <w:szCs w:val="24"/>
          <w:highlight w:val="none"/>
        </w:rPr>
        <w:t>7.2 施工进度计划</w:t>
      </w:r>
      <w:bookmarkEnd w:id="496"/>
      <w:bookmarkEnd w:id="497"/>
      <w:bookmarkEnd w:id="498"/>
      <w:bookmarkEnd w:id="499"/>
      <w:bookmarkEnd w:id="500"/>
      <w:bookmarkEnd w:id="501"/>
    </w:p>
    <w:p w14:paraId="08ED7EB9">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7.2.</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 xml:space="preserve"> 施工进度计划的修订</w:t>
      </w:r>
    </w:p>
    <w:p w14:paraId="0023336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发包人和监理人在收到修订的施工进度计划后确认或提出修改意见的期限：</w:t>
      </w:r>
      <w:r>
        <w:rPr>
          <w:rFonts w:hint="eastAsia" w:ascii="宋体" w:hAnsi="宋体" w:cs="宋体"/>
          <w:color w:val="auto"/>
          <w:szCs w:val="21"/>
          <w:highlight w:val="none"/>
          <w:u w:val="single"/>
        </w:rPr>
        <w:t>收到后5天</w:t>
      </w:r>
      <w:r>
        <w:rPr>
          <w:rFonts w:hint="eastAsia" w:ascii="宋体" w:hAnsi="宋体" w:cs="宋体"/>
          <w:color w:val="auto"/>
          <w:szCs w:val="21"/>
          <w:highlight w:val="none"/>
        </w:rPr>
        <w:t>。</w:t>
      </w:r>
    </w:p>
    <w:p w14:paraId="78440652">
      <w:pPr>
        <w:pStyle w:val="174"/>
        <w:spacing w:before="0" w:beforeLines="0" w:after="0" w:afterLines="0" w:line="420" w:lineRule="exact"/>
        <w:rPr>
          <w:rFonts w:hint="eastAsia" w:ascii="宋体" w:hAnsi="宋体" w:cs="宋体"/>
          <w:color w:val="auto"/>
          <w:sz w:val="24"/>
          <w:szCs w:val="24"/>
          <w:highlight w:val="none"/>
        </w:rPr>
      </w:pPr>
      <w:bookmarkStart w:id="502" w:name="_Toc497215739"/>
      <w:bookmarkStart w:id="503" w:name="_Toc47088326"/>
      <w:bookmarkStart w:id="504" w:name="_Toc407135227"/>
      <w:bookmarkStart w:id="505" w:name="_Toc497147182"/>
      <w:bookmarkStart w:id="506" w:name="_Toc497901138"/>
      <w:bookmarkStart w:id="507" w:name="_Toc75182727"/>
      <w:r>
        <w:rPr>
          <w:rFonts w:hint="eastAsia" w:ascii="宋体" w:hAnsi="宋体" w:cs="宋体"/>
          <w:color w:val="auto"/>
          <w:sz w:val="24"/>
          <w:szCs w:val="24"/>
          <w:highlight w:val="none"/>
        </w:rPr>
        <w:t>7.3 开工</w:t>
      </w:r>
      <w:bookmarkEnd w:id="502"/>
      <w:bookmarkEnd w:id="503"/>
      <w:bookmarkEnd w:id="504"/>
      <w:bookmarkEnd w:id="505"/>
      <w:bookmarkEnd w:id="506"/>
      <w:bookmarkEnd w:id="507"/>
    </w:p>
    <w:p w14:paraId="7B8208A0">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7.3.1 开工准备</w:t>
      </w:r>
    </w:p>
    <w:p w14:paraId="7C47AC33">
      <w:pPr>
        <w:pStyle w:val="115"/>
        <w:spacing w:line="360" w:lineRule="auto"/>
        <w:ind w:firstLine="426"/>
        <w:jc w:val="left"/>
        <w:rPr>
          <w:rFonts w:hint="eastAsia"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color w:val="auto"/>
          <w:szCs w:val="21"/>
          <w:highlight w:val="none"/>
          <w:u w:val="single"/>
        </w:rPr>
        <w:t xml:space="preserve">  按通用条款7.3.1条执行  </w:t>
      </w:r>
      <w:r>
        <w:rPr>
          <w:rFonts w:hint="eastAsia" w:ascii="宋体" w:hAnsi="宋体" w:cs="宋体"/>
          <w:color w:val="auto"/>
          <w:szCs w:val="21"/>
          <w:highlight w:val="none"/>
        </w:rPr>
        <w:t>。</w:t>
      </w:r>
    </w:p>
    <w:p w14:paraId="6A9177CF">
      <w:pPr>
        <w:pStyle w:val="115"/>
        <w:spacing w:line="360" w:lineRule="auto"/>
        <w:ind w:firstLine="426"/>
        <w:jc w:val="left"/>
        <w:rPr>
          <w:rFonts w:hint="eastAsia" w:ascii="宋体" w:hAnsi="宋体" w:cs="宋体"/>
          <w:color w:val="auto"/>
          <w:szCs w:val="21"/>
          <w:highlight w:val="none"/>
          <w:u w:val="single"/>
        </w:rPr>
      </w:pPr>
      <w:r>
        <w:rPr>
          <w:rFonts w:hint="eastAsia" w:ascii="宋体" w:hAnsi="宋体" w:cs="宋体"/>
          <w:color w:val="auto"/>
          <w:szCs w:val="21"/>
          <w:highlight w:val="none"/>
        </w:rPr>
        <w:t>关于发包人应完成的其他开工准备工作及期限：</w:t>
      </w:r>
      <w:r>
        <w:rPr>
          <w:rFonts w:hint="eastAsia" w:ascii="宋体" w:hAnsi="宋体" w:cs="宋体"/>
          <w:color w:val="auto"/>
          <w:szCs w:val="21"/>
          <w:highlight w:val="none"/>
          <w:u w:val="single"/>
        </w:rPr>
        <w:t xml:space="preserve">  按通用条款7.3.1条执行   </w:t>
      </w:r>
      <w:r>
        <w:rPr>
          <w:rFonts w:hint="eastAsia" w:ascii="宋体" w:hAnsi="宋体" w:cs="宋体"/>
          <w:color w:val="auto"/>
          <w:szCs w:val="21"/>
          <w:highlight w:val="none"/>
        </w:rPr>
        <w:t>。</w:t>
      </w:r>
    </w:p>
    <w:p w14:paraId="2BCCDDA1">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关于承包人应完成的其他开工准备工作及期限：</w:t>
      </w:r>
      <w:r>
        <w:rPr>
          <w:rFonts w:hint="eastAsia" w:ascii="宋体" w:hAnsi="宋体" w:cs="宋体"/>
          <w:color w:val="auto"/>
          <w:szCs w:val="21"/>
          <w:highlight w:val="none"/>
          <w:u w:val="single"/>
        </w:rPr>
        <w:t xml:space="preserve">   按通用条款7.3.1条执行  </w:t>
      </w:r>
      <w:r>
        <w:rPr>
          <w:rFonts w:hint="eastAsia" w:ascii="宋体" w:hAnsi="宋体" w:cs="宋体"/>
          <w:color w:val="auto"/>
          <w:szCs w:val="21"/>
          <w:highlight w:val="none"/>
        </w:rPr>
        <w:t>。</w:t>
      </w:r>
    </w:p>
    <w:p w14:paraId="3E378C17">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7.3.2 开工通知</w:t>
      </w:r>
    </w:p>
    <w:p w14:paraId="198A00D0">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因发包人原因造成监理人未能在计划开工日期之日起</w:t>
      </w:r>
      <w:r>
        <w:rPr>
          <w:rFonts w:hint="eastAsia" w:ascii="宋体" w:hAnsi="宋体" w:cs="宋体"/>
          <w:color w:val="auto"/>
          <w:szCs w:val="21"/>
          <w:highlight w:val="none"/>
          <w:u w:val="single"/>
        </w:rPr>
        <w:t xml:space="preserve"> 60 </w:t>
      </w:r>
      <w:r>
        <w:rPr>
          <w:rFonts w:hint="eastAsia" w:ascii="宋体" w:hAnsi="宋体" w:cs="宋体"/>
          <w:color w:val="auto"/>
          <w:szCs w:val="21"/>
          <w:highlight w:val="none"/>
        </w:rPr>
        <w:t>天内发出开工通知的，承包人有权提出价格调整要求，或者解除合同。</w:t>
      </w:r>
    </w:p>
    <w:p w14:paraId="6B55298D">
      <w:pPr>
        <w:pStyle w:val="174"/>
        <w:spacing w:before="0" w:beforeLines="0" w:after="0" w:afterLines="0" w:line="420" w:lineRule="exact"/>
        <w:rPr>
          <w:rFonts w:hint="eastAsia" w:ascii="宋体" w:hAnsi="宋体" w:cs="宋体"/>
          <w:color w:val="auto"/>
          <w:sz w:val="24"/>
          <w:szCs w:val="24"/>
          <w:highlight w:val="none"/>
        </w:rPr>
      </w:pPr>
      <w:bookmarkStart w:id="508" w:name="_Toc407135228"/>
      <w:bookmarkStart w:id="509" w:name="_Toc75182728"/>
      <w:bookmarkStart w:id="510" w:name="_Toc47088327"/>
      <w:bookmarkStart w:id="511" w:name="_Toc497215740"/>
      <w:bookmarkStart w:id="512" w:name="_Toc497147183"/>
      <w:bookmarkStart w:id="513" w:name="_Toc497901139"/>
      <w:r>
        <w:rPr>
          <w:rFonts w:hint="eastAsia" w:ascii="宋体" w:hAnsi="宋体" w:cs="宋体"/>
          <w:color w:val="auto"/>
          <w:sz w:val="24"/>
          <w:szCs w:val="24"/>
          <w:highlight w:val="none"/>
        </w:rPr>
        <w:t>7.4 测量放线</w:t>
      </w:r>
      <w:bookmarkEnd w:id="508"/>
      <w:bookmarkEnd w:id="509"/>
      <w:bookmarkEnd w:id="510"/>
      <w:bookmarkEnd w:id="511"/>
      <w:bookmarkEnd w:id="512"/>
      <w:bookmarkEnd w:id="513"/>
    </w:p>
    <w:p w14:paraId="208BCDF7">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7.4.1发包人通过监理人向承包人提供测量基准点、基准线和水准点及其书面资料的期限：</w:t>
      </w:r>
    </w:p>
    <w:p w14:paraId="0ECA13E9">
      <w:pPr>
        <w:pStyle w:val="108"/>
        <w:spacing w:line="360" w:lineRule="auto"/>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合同签订后开工前</w:t>
      </w:r>
      <w:r>
        <w:rPr>
          <w:rFonts w:hint="eastAsia" w:ascii="宋体" w:hAnsi="宋体" w:cs="宋体"/>
          <w:color w:val="auto"/>
          <w:szCs w:val="21"/>
          <w:highlight w:val="none"/>
        </w:rPr>
        <w:t>。</w:t>
      </w:r>
    </w:p>
    <w:p w14:paraId="66C8CEDC">
      <w:pPr>
        <w:pStyle w:val="174"/>
        <w:spacing w:before="0" w:beforeLines="0" w:after="0" w:afterLines="0" w:line="420" w:lineRule="exact"/>
        <w:rPr>
          <w:rFonts w:hint="eastAsia" w:ascii="宋体" w:hAnsi="宋体" w:cs="宋体"/>
          <w:color w:val="auto"/>
          <w:sz w:val="24"/>
          <w:szCs w:val="24"/>
          <w:highlight w:val="none"/>
        </w:rPr>
      </w:pPr>
      <w:bookmarkStart w:id="514" w:name="_Toc497215741"/>
      <w:bookmarkStart w:id="515" w:name="_Toc47088328"/>
      <w:bookmarkStart w:id="516" w:name="_Toc497901140"/>
      <w:bookmarkStart w:id="517" w:name="_Toc407135229"/>
      <w:bookmarkStart w:id="518" w:name="_Toc75182729"/>
      <w:bookmarkStart w:id="519" w:name="_Toc497147184"/>
      <w:r>
        <w:rPr>
          <w:rFonts w:hint="eastAsia" w:ascii="宋体" w:hAnsi="宋体" w:cs="宋体"/>
          <w:color w:val="auto"/>
          <w:sz w:val="24"/>
          <w:szCs w:val="24"/>
          <w:highlight w:val="none"/>
        </w:rPr>
        <w:t>7.5 工期延误</w:t>
      </w:r>
      <w:bookmarkEnd w:id="514"/>
      <w:bookmarkEnd w:id="515"/>
      <w:bookmarkEnd w:id="516"/>
      <w:bookmarkEnd w:id="517"/>
      <w:bookmarkEnd w:id="518"/>
      <w:bookmarkEnd w:id="519"/>
    </w:p>
    <w:p w14:paraId="5F7FC7A3">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7.5.1 因发包人原因导致工期延误</w:t>
      </w:r>
    </w:p>
    <w:p w14:paraId="7B021D16">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因发包人原因导致工期延误的其他情形：</w:t>
      </w:r>
      <w:r>
        <w:rPr>
          <w:rFonts w:hint="eastAsia" w:ascii="宋体" w:hAnsi="宋体" w:cs="宋体"/>
          <w:color w:val="auto"/>
          <w:szCs w:val="21"/>
          <w:highlight w:val="none"/>
          <w:u w:val="single"/>
        </w:rPr>
        <w:t xml:space="preserve">  ①重大图纸变更影响</w:t>
      </w:r>
      <w:r>
        <w:rPr>
          <w:rFonts w:hint="eastAsia" w:ascii="宋体" w:hAnsi="宋体" w:cs="宋体"/>
          <w:color w:val="auto"/>
          <w:szCs w:val="21"/>
          <w:highlight w:val="none"/>
          <w:u w:val="single"/>
          <w:lang w:eastAsia="zh-CN"/>
        </w:rPr>
        <w:t>关键</w:t>
      </w:r>
      <w:r>
        <w:rPr>
          <w:rFonts w:hint="eastAsia" w:ascii="宋体" w:hAnsi="宋体" w:cs="宋体"/>
          <w:color w:val="auto"/>
          <w:szCs w:val="21"/>
          <w:highlight w:val="none"/>
          <w:u w:val="single"/>
        </w:rPr>
        <w:t>线路工序施工；②施工期间如因停电、停水连续8小时以上或一周内间歇性停水、停电累计8小时（含8小时）影响正常施工的。③在施工过程中遇到地下障碍物、溶洞、岩石、文物或地下管线的。④因发包人未能及时确认变更价格或甲供材料提供延误的。⑤非承包人的责任造成的工期延误其他情形。</w:t>
      </w:r>
      <w:r>
        <w:rPr>
          <w:rFonts w:hint="eastAsia" w:ascii="宋体" w:hAnsi="宋体" w:cs="宋体"/>
          <w:color w:val="auto"/>
          <w:szCs w:val="21"/>
          <w:highlight w:val="none"/>
        </w:rPr>
        <w:t xml:space="preserve">                                           </w:t>
      </w:r>
    </w:p>
    <w:p w14:paraId="7D3B4889">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7.5.2 因承包人原因导致工期延误</w:t>
      </w:r>
    </w:p>
    <w:p w14:paraId="00178261">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双方约定经监理工程师确认，工期相应顺延的情况：</w:t>
      </w:r>
      <w:r>
        <w:rPr>
          <w:rFonts w:hint="eastAsia" w:ascii="宋体" w:hAnsi="宋体" w:cs="宋体"/>
          <w:color w:val="auto"/>
          <w:szCs w:val="21"/>
          <w:highlight w:val="none"/>
          <w:u w:val="single"/>
        </w:rPr>
        <w:t>发包人完全无法提供工作面的、不可抗力的原因或本合同约定的可顺延工期的其他情形</w:t>
      </w:r>
      <w:r>
        <w:rPr>
          <w:rFonts w:hint="eastAsia" w:ascii="宋体" w:hAnsi="宋体" w:cs="宋体"/>
          <w:color w:val="auto"/>
          <w:szCs w:val="21"/>
          <w:highlight w:val="none"/>
        </w:rPr>
        <w:t>。</w:t>
      </w:r>
    </w:p>
    <w:p w14:paraId="31FB8075">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因承包人原因造成工期延误，逾期竣工违约金的计算方法为：</w:t>
      </w:r>
      <w:r>
        <w:rPr>
          <w:rFonts w:hint="eastAsia" w:ascii="宋体" w:hAnsi="宋体" w:cs="宋体"/>
          <w:color w:val="auto"/>
          <w:szCs w:val="21"/>
          <w:highlight w:val="none"/>
          <w:u w:val="single"/>
        </w:rPr>
        <w:t>非上述原因，承包人不能按合同约定的时间竣工，承包人应承担违约责任。应向发包人支付误期赔偿费（每延误一天,按工程结算造价扣除发包人材料价款、暂估专业工程、暂列金额后的万分之</w:t>
      </w:r>
      <w:r>
        <w:rPr>
          <w:rFonts w:hint="eastAsia" w:ascii="宋体" w:hAnsi="宋体" w:cs="宋体"/>
          <w:b/>
          <w:color w:val="auto"/>
          <w:szCs w:val="21"/>
          <w:highlight w:val="none"/>
          <w:u w:val="single"/>
        </w:rPr>
        <w:t>四</w:t>
      </w:r>
      <w:r>
        <w:rPr>
          <w:rFonts w:hint="eastAsia" w:ascii="宋体" w:hAnsi="宋体" w:cs="宋体"/>
          <w:color w:val="auto"/>
          <w:szCs w:val="21"/>
          <w:highlight w:val="none"/>
          <w:u w:val="single"/>
        </w:rPr>
        <w:t xml:space="preserve">处罚,罚款直接从结算款中扣除。）误期时间从规定竣工日期起直到相应工程竣工验收各方签章日期之间的天数（扣除发包人批准顺延的工期）。发包人可从应向承包人支付的任何金额中扣除此项赔款费或其他方式收回此款，此赔偿款的支付并不能解除承包人应完成工程的责任或合同规定的其他责任。 </w:t>
      </w:r>
    </w:p>
    <w:p w14:paraId="0659C7C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因承包人原因造成工期延误，逾期竣工违约金的上限：</w:t>
      </w:r>
      <w:r>
        <w:rPr>
          <w:rFonts w:hint="eastAsia" w:ascii="宋体" w:hAnsi="宋体" w:cs="宋体"/>
          <w:color w:val="auto"/>
          <w:szCs w:val="21"/>
          <w:highlight w:val="none"/>
          <w:u w:val="single"/>
        </w:rPr>
        <w:t>逾期竣工的单位工程结算造价扣除发包人材料价款、暂估专业工程、暂列金额后的5%（直接从结算款中扣除）</w:t>
      </w:r>
      <w:r>
        <w:rPr>
          <w:rFonts w:hint="eastAsia" w:ascii="宋体" w:hAnsi="宋体" w:cs="宋体"/>
          <w:color w:val="auto"/>
          <w:szCs w:val="21"/>
          <w:highlight w:val="none"/>
        </w:rPr>
        <w:t>。</w:t>
      </w:r>
    </w:p>
    <w:p w14:paraId="050AB949">
      <w:pPr>
        <w:pStyle w:val="174"/>
        <w:spacing w:before="0" w:beforeLines="0" w:after="0" w:afterLines="0" w:line="420" w:lineRule="exact"/>
        <w:rPr>
          <w:rFonts w:hint="eastAsia" w:ascii="宋体" w:hAnsi="宋体" w:cs="宋体"/>
          <w:color w:val="auto"/>
          <w:sz w:val="24"/>
          <w:szCs w:val="24"/>
          <w:highlight w:val="none"/>
        </w:rPr>
      </w:pPr>
      <w:bookmarkStart w:id="520" w:name="_Toc497215742"/>
      <w:bookmarkStart w:id="521" w:name="_Toc407135230"/>
      <w:bookmarkStart w:id="522" w:name="_Toc47088329"/>
      <w:bookmarkStart w:id="523" w:name="_Toc75182730"/>
      <w:bookmarkStart w:id="524" w:name="_Toc497147185"/>
      <w:bookmarkStart w:id="525" w:name="_Toc497901141"/>
      <w:r>
        <w:rPr>
          <w:rFonts w:hint="eastAsia" w:ascii="宋体" w:hAnsi="宋体" w:cs="宋体"/>
          <w:color w:val="auto"/>
          <w:sz w:val="24"/>
          <w:szCs w:val="24"/>
          <w:highlight w:val="none"/>
        </w:rPr>
        <w:t>7.6 不利物质条件</w:t>
      </w:r>
      <w:bookmarkEnd w:id="520"/>
      <w:bookmarkEnd w:id="521"/>
      <w:bookmarkEnd w:id="522"/>
      <w:bookmarkEnd w:id="523"/>
      <w:bookmarkEnd w:id="524"/>
      <w:bookmarkEnd w:id="525"/>
    </w:p>
    <w:p w14:paraId="496D4282">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不利物质条件的其他情形和有关约定：</w:t>
      </w:r>
      <w:r>
        <w:rPr>
          <w:rFonts w:hint="eastAsia" w:ascii="宋体" w:hAnsi="宋体" w:cs="宋体"/>
          <w:color w:val="auto"/>
          <w:szCs w:val="21"/>
          <w:highlight w:val="none"/>
          <w:u w:val="single"/>
        </w:rPr>
        <w:t>按通用条款7.6执行</w:t>
      </w:r>
      <w:r>
        <w:rPr>
          <w:rFonts w:hint="eastAsia" w:ascii="宋体" w:hAnsi="宋体" w:cs="宋体"/>
          <w:color w:val="auto"/>
          <w:szCs w:val="21"/>
          <w:highlight w:val="none"/>
        </w:rPr>
        <w:t>。</w:t>
      </w:r>
    </w:p>
    <w:p w14:paraId="34A41DF0">
      <w:pPr>
        <w:pStyle w:val="174"/>
        <w:spacing w:before="0" w:beforeLines="0" w:after="0" w:afterLines="0" w:line="420" w:lineRule="exact"/>
        <w:rPr>
          <w:rFonts w:hint="eastAsia" w:ascii="宋体" w:hAnsi="宋体" w:cs="宋体"/>
          <w:color w:val="auto"/>
          <w:sz w:val="24"/>
          <w:szCs w:val="24"/>
          <w:highlight w:val="none"/>
        </w:rPr>
      </w:pPr>
      <w:bookmarkStart w:id="526" w:name="_Toc407135231"/>
      <w:bookmarkStart w:id="527" w:name="_Toc497215743"/>
      <w:bookmarkStart w:id="528" w:name="_Toc75182731"/>
      <w:bookmarkStart w:id="529" w:name="_Toc47088330"/>
      <w:bookmarkStart w:id="530" w:name="_Toc497901142"/>
      <w:bookmarkStart w:id="531" w:name="_Toc497147186"/>
      <w:r>
        <w:rPr>
          <w:rFonts w:hint="eastAsia" w:ascii="宋体" w:hAnsi="宋体" w:cs="宋体"/>
          <w:color w:val="auto"/>
          <w:sz w:val="24"/>
          <w:szCs w:val="24"/>
          <w:highlight w:val="none"/>
        </w:rPr>
        <w:t>7.7 异常恶劣的气候条件</w:t>
      </w:r>
      <w:bookmarkEnd w:id="526"/>
      <w:bookmarkEnd w:id="527"/>
      <w:bookmarkEnd w:id="528"/>
      <w:bookmarkEnd w:id="529"/>
      <w:bookmarkEnd w:id="530"/>
      <w:bookmarkEnd w:id="531"/>
    </w:p>
    <w:p w14:paraId="1A1113A1">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发包人和承包人同意以下情形视为异常恶劣的气候条件：</w:t>
      </w:r>
    </w:p>
    <w:p w14:paraId="0740A912">
      <w:pPr>
        <w:pStyle w:val="115"/>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(1) 6.5 级以上的地震； </w:t>
      </w:r>
    </w:p>
    <w:p w14:paraId="550D3958">
      <w:pPr>
        <w:pStyle w:val="115"/>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(2) 12级以上的大风； </w:t>
      </w:r>
    </w:p>
    <w:p w14:paraId="51A34A40">
      <w:pPr>
        <w:pStyle w:val="115"/>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(3) 日雨量达100mm以上的大雨； </w:t>
      </w:r>
    </w:p>
    <w:p w14:paraId="4B138719">
      <w:pPr>
        <w:pStyle w:val="115"/>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(4) 40℃以上高温天气； </w:t>
      </w:r>
    </w:p>
    <w:p w14:paraId="4A7107AF">
      <w:pPr>
        <w:pStyle w:val="115"/>
        <w:spacing w:line="360" w:lineRule="auto"/>
        <w:ind w:firstLine="422" w:firstLineChars="200"/>
        <w:jc w:val="left"/>
        <w:rPr>
          <w:rFonts w:hint="eastAsia" w:ascii="宋体" w:hAnsi="宋体" w:cs="宋体"/>
          <w:b/>
          <w:color w:val="auto"/>
          <w:szCs w:val="21"/>
          <w:highlight w:val="none"/>
          <w:u w:val="single"/>
        </w:rPr>
      </w:pPr>
      <w:r>
        <w:rPr>
          <w:rFonts w:hint="eastAsia" w:ascii="宋体" w:hAnsi="宋体" w:cs="宋体"/>
          <w:b/>
          <w:color w:val="auto"/>
          <w:szCs w:val="21"/>
          <w:highlight w:val="none"/>
          <w:u w:val="single"/>
        </w:rPr>
        <w:t xml:space="preserve">(5) 0℃以下低温天气； </w:t>
      </w:r>
    </w:p>
    <w:p w14:paraId="65C465C9">
      <w:pPr>
        <w:pStyle w:val="108"/>
        <w:spacing w:line="360" w:lineRule="auto"/>
        <w:ind w:firstLine="422" w:firstLineChars="200"/>
        <w:jc w:val="left"/>
        <w:rPr>
          <w:rFonts w:hint="eastAsia" w:ascii="宋体" w:hAnsi="宋体" w:cs="宋体"/>
          <w:color w:val="auto"/>
          <w:szCs w:val="21"/>
          <w:highlight w:val="none"/>
        </w:rPr>
      </w:pPr>
      <w:r>
        <w:rPr>
          <w:rFonts w:hint="eastAsia" w:ascii="宋体" w:hAnsi="宋体" w:cs="宋体"/>
          <w:b/>
          <w:color w:val="auto"/>
          <w:szCs w:val="21"/>
          <w:highlight w:val="none"/>
          <w:u w:val="single"/>
        </w:rPr>
        <w:t>(6) 50年以上未发生过的洪水；</w:t>
      </w:r>
    </w:p>
    <w:p w14:paraId="2EF27CCE">
      <w:pPr>
        <w:pStyle w:val="174"/>
        <w:spacing w:before="0" w:beforeLines="0" w:after="0" w:afterLines="0" w:line="420" w:lineRule="exact"/>
        <w:rPr>
          <w:rFonts w:hint="eastAsia" w:ascii="宋体" w:hAnsi="宋体" w:cs="宋体"/>
          <w:color w:val="auto"/>
          <w:sz w:val="24"/>
          <w:szCs w:val="24"/>
          <w:highlight w:val="none"/>
        </w:rPr>
      </w:pPr>
      <w:bookmarkStart w:id="532" w:name="_Toc47088331"/>
      <w:bookmarkStart w:id="533" w:name="_Toc497215744"/>
      <w:bookmarkStart w:id="534" w:name="_Toc75182732"/>
      <w:bookmarkStart w:id="535" w:name="_Toc497901143"/>
      <w:bookmarkStart w:id="536" w:name="_Toc407135232"/>
      <w:bookmarkStart w:id="537" w:name="_Toc497147187"/>
      <w:r>
        <w:rPr>
          <w:rFonts w:hint="eastAsia" w:ascii="宋体" w:hAnsi="宋体" w:cs="宋体"/>
          <w:color w:val="auto"/>
          <w:sz w:val="24"/>
          <w:szCs w:val="24"/>
          <w:highlight w:val="none"/>
        </w:rPr>
        <w:t>7.</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 xml:space="preserve"> 提前竣工</w:t>
      </w:r>
      <w:bookmarkEnd w:id="532"/>
      <w:bookmarkEnd w:id="533"/>
      <w:bookmarkEnd w:id="534"/>
      <w:bookmarkEnd w:id="535"/>
      <w:bookmarkEnd w:id="536"/>
      <w:bookmarkEnd w:id="537"/>
    </w:p>
    <w:p w14:paraId="590065C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7.</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提前竣工（赶工）增加费的计算方法：</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2AA0573C">
      <w:pPr>
        <w:pStyle w:val="174"/>
        <w:spacing w:before="156" w:beforeLines="50" w:after="156" w:afterLines="50" w:line="420" w:lineRule="exact"/>
        <w:rPr>
          <w:rFonts w:hint="eastAsia" w:ascii="宋体" w:hAnsi="宋体" w:cs="宋体"/>
          <w:color w:val="auto"/>
          <w:sz w:val="24"/>
          <w:szCs w:val="24"/>
          <w:highlight w:val="none"/>
        </w:rPr>
      </w:pPr>
      <w:bookmarkStart w:id="538" w:name="_Toc75182733"/>
      <w:bookmarkStart w:id="539" w:name="_Toc497901144"/>
      <w:bookmarkStart w:id="540" w:name="_Toc497215745"/>
      <w:bookmarkStart w:id="541" w:name="_Toc407135233"/>
      <w:bookmarkStart w:id="542" w:name="_Toc497147188"/>
      <w:bookmarkStart w:id="543" w:name="_Toc47088332"/>
      <w:r>
        <w:rPr>
          <w:rFonts w:hint="eastAsia" w:ascii="宋体" w:hAnsi="宋体" w:cs="宋体"/>
          <w:color w:val="auto"/>
          <w:sz w:val="24"/>
          <w:szCs w:val="24"/>
          <w:highlight w:val="none"/>
        </w:rPr>
        <w:t>8. 材料与设备</w:t>
      </w:r>
      <w:bookmarkEnd w:id="538"/>
      <w:bookmarkEnd w:id="539"/>
      <w:bookmarkEnd w:id="540"/>
      <w:bookmarkEnd w:id="541"/>
      <w:bookmarkEnd w:id="542"/>
      <w:bookmarkEnd w:id="543"/>
    </w:p>
    <w:p w14:paraId="0E925824">
      <w:pPr>
        <w:pStyle w:val="174"/>
        <w:spacing w:before="0" w:beforeLines="0" w:after="0" w:afterLines="0" w:line="420" w:lineRule="exact"/>
        <w:rPr>
          <w:rFonts w:hint="eastAsia" w:ascii="宋体" w:hAnsi="宋体" w:cs="宋体"/>
          <w:color w:val="auto"/>
          <w:sz w:val="24"/>
          <w:szCs w:val="24"/>
          <w:highlight w:val="none"/>
        </w:rPr>
      </w:pPr>
      <w:bookmarkStart w:id="544" w:name="_Toc75182734"/>
      <w:bookmarkStart w:id="545" w:name="_Toc497215746"/>
      <w:bookmarkStart w:id="546" w:name="_Toc407135234"/>
      <w:bookmarkStart w:id="547" w:name="_Toc497147189"/>
      <w:bookmarkStart w:id="548" w:name="_Toc47088333"/>
      <w:bookmarkStart w:id="549" w:name="_Toc497901145"/>
      <w:r>
        <w:rPr>
          <w:rFonts w:hint="eastAsia" w:ascii="宋体" w:hAnsi="宋体" w:cs="宋体"/>
          <w:color w:val="auto"/>
          <w:sz w:val="24"/>
          <w:szCs w:val="24"/>
          <w:highlight w:val="none"/>
        </w:rPr>
        <w:t>8.</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 xml:space="preserve"> 承包人采购材料与工程设备</w:t>
      </w:r>
      <w:bookmarkEnd w:id="544"/>
      <w:bookmarkEnd w:id="545"/>
      <w:bookmarkEnd w:id="546"/>
      <w:bookmarkEnd w:id="547"/>
      <w:bookmarkEnd w:id="548"/>
      <w:bookmarkEnd w:id="549"/>
    </w:p>
    <w:p w14:paraId="0EED0B79">
      <w:pPr>
        <w:pStyle w:val="108"/>
        <w:autoSpaceDE w:val="0"/>
        <w:autoSpaceDN w:val="0"/>
        <w:adjustRightInd w:val="0"/>
        <w:spacing w:line="360" w:lineRule="auto"/>
        <w:ind w:firstLine="420" w:firstLineChars="200"/>
        <w:jc w:val="left"/>
        <w:rPr>
          <w:rFonts w:hint="eastAsia" w:ascii="宋体" w:hAnsi="宋体" w:cs="宋体"/>
          <w:color w:val="auto"/>
          <w:kern w:val="0"/>
          <w:highlight w:val="none"/>
        </w:rPr>
      </w:pPr>
      <w:r>
        <w:rPr>
          <w:rFonts w:hint="eastAsia" w:ascii="宋体" w:hAnsi="宋体" w:cs="宋体"/>
          <w:color w:val="auto"/>
          <w:kern w:val="0"/>
          <w:highlight w:val="none"/>
        </w:rPr>
        <w:t>除已标价工程量清单《发包人提供主要材料和工程设备一览表》（表-21）中明确的材料、工程设备外，由承包人负责材料和工程设备的采购、运输和保管。《</w:t>
      </w:r>
      <w:r>
        <w:rPr>
          <w:rFonts w:hint="eastAsia" w:ascii="宋体" w:hAnsi="宋体" w:cs="宋体"/>
          <w:color w:val="auto"/>
          <w:highlight w:val="none"/>
        </w:rPr>
        <w:t>承包人提供主要材料和工程设备一览表》</w:t>
      </w:r>
      <w:r>
        <w:rPr>
          <w:rFonts w:hint="eastAsia" w:ascii="宋体" w:hAnsi="宋体" w:cs="宋体"/>
          <w:color w:val="auto"/>
          <w:kern w:val="0"/>
          <w:highlight w:val="none"/>
        </w:rPr>
        <w:t>（表-22）见已标价工程量清单。</w:t>
      </w:r>
    </w:p>
    <w:p w14:paraId="30A04A2F">
      <w:pPr>
        <w:pStyle w:val="108"/>
        <w:autoSpaceDE w:val="0"/>
        <w:autoSpaceDN w:val="0"/>
        <w:adjustRightIn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highlight w:val="none"/>
        </w:rPr>
        <w:t>对发包人在招标时有“参照或相当于**品牌、级别”约定的材料或设备，承包人采购时必须按类似于或优于所约定品牌、等级进行采购，施工期间该部分材料或设备如未超过招标约定的风险幅度的，结算时按投标单价支付，不得调整。</w:t>
      </w:r>
    </w:p>
    <w:p w14:paraId="6F9E305A">
      <w:pPr>
        <w:pStyle w:val="174"/>
        <w:spacing w:before="0" w:beforeLines="0" w:after="0" w:afterLines="0" w:line="420" w:lineRule="exact"/>
        <w:rPr>
          <w:rFonts w:hint="eastAsia" w:ascii="宋体" w:hAnsi="宋体" w:cs="宋体"/>
          <w:color w:val="auto"/>
          <w:sz w:val="24"/>
          <w:szCs w:val="24"/>
          <w:highlight w:val="none"/>
        </w:rPr>
      </w:pPr>
      <w:bookmarkStart w:id="550" w:name="_Toc75182735"/>
      <w:bookmarkStart w:id="551" w:name="_Toc47088334"/>
      <w:bookmarkStart w:id="552" w:name="_Toc497901146"/>
      <w:bookmarkStart w:id="553" w:name="_Toc497215747"/>
      <w:bookmarkStart w:id="554" w:name="_Toc497147190"/>
      <w:bookmarkStart w:id="555" w:name="_Toc407135235"/>
      <w:r>
        <w:rPr>
          <w:rFonts w:hint="eastAsia" w:ascii="宋体" w:hAnsi="宋体" w:cs="宋体"/>
          <w:color w:val="auto"/>
          <w:sz w:val="24"/>
          <w:szCs w:val="24"/>
          <w:highlight w:val="none"/>
        </w:rPr>
        <w:t>8.</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材料与工程设备的保管与使用</w:t>
      </w:r>
      <w:bookmarkEnd w:id="550"/>
      <w:bookmarkEnd w:id="551"/>
      <w:bookmarkEnd w:id="552"/>
      <w:bookmarkEnd w:id="553"/>
      <w:bookmarkEnd w:id="554"/>
      <w:bookmarkEnd w:id="555"/>
    </w:p>
    <w:p w14:paraId="3F5C44D0">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8.4.1发包人供应的材料设备的保管费用的承担：</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23144C3">
      <w:pPr>
        <w:pStyle w:val="174"/>
        <w:spacing w:before="0" w:beforeLines="0" w:after="0" w:afterLines="0" w:line="420" w:lineRule="exact"/>
        <w:rPr>
          <w:rFonts w:hint="eastAsia" w:ascii="宋体" w:hAnsi="宋体" w:cs="宋体"/>
          <w:color w:val="auto"/>
          <w:sz w:val="24"/>
          <w:szCs w:val="24"/>
          <w:highlight w:val="none"/>
        </w:rPr>
      </w:pPr>
      <w:bookmarkStart w:id="556" w:name="_Toc75182736"/>
      <w:bookmarkStart w:id="557" w:name="_Toc497901147"/>
      <w:bookmarkStart w:id="558" w:name="_Toc407135236"/>
      <w:bookmarkStart w:id="559" w:name="_Toc47088335"/>
      <w:bookmarkStart w:id="560" w:name="_Toc497147191"/>
      <w:bookmarkStart w:id="561" w:name="_Toc497215748"/>
      <w:r>
        <w:rPr>
          <w:rFonts w:hint="eastAsia" w:ascii="宋体" w:hAnsi="宋体" w:cs="宋体"/>
          <w:color w:val="auto"/>
          <w:sz w:val="24"/>
          <w:szCs w:val="24"/>
          <w:highlight w:val="none"/>
        </w:rPr>
        <w:t>8.</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样品</w:t>
      </w:r>
      <w:bookmarkEnd w:id="556"/>
      <w:bookmarkEnd w:id="557"/>
      <w:bookmarkEnd w:id="558"/>
      <w:bookmarkEnd w:id="559"/>
      <w:bookmarkEnd w:id="560"/>
      <w:bookmarkEnd w:id="561"/>
    </w:p>
    <w:p w14:paraId="0C662875">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8.6.1 样品的报送与封存</w:t>
      </w:r>
    </w:p>
    <w:p w14:paraId="334D8AB5">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s="宋体"/>
          <w:color w:val="auto"/>
          <w:szCs w:val="21"/>
          <w:highlight w:val="none"/>
          <w:u w:val="single"/>
        </w:rPr>
        <w:t>主要材料涉及品种、款式、颜色等方面内容的，承包人应提交准备合格的材料样品送发包人选定。</w:t>
      </w:r>
    </w:p>
    <w:p w14:paraId="69431FD2">
      <w:pPr>
        <w:pStyle w:val="174"/>
        <w:spacing w:before="0" w:beforeLines="0" w:after="0" w:afterLines="0" w:line="420" w:lineRule="exact"/>
        <w:rPr>
          <w:rFonts w:hint="eastAsia" w:ascii="宋体" w:hAnsi="宋体" w:cs="宋体"/>
          <w:color w:val="auto"/>
          <w:sz w:val="24"/>
          <w:szCs w:val="24"/>
          <w:highlight w:val="none"/>
        </w:rPr>
      </w:pPr>
      <w:bookmarkStart w:id="562" w:name="_Toc497147192"/>
      <w:bookmarkStart w:id="563" w:name="_Toc497215749"/>
      <w:bookmarkStart w:id="564" w:name="_Toc75182737"/>
      <w:bookmarkStart w:id="565" w:name="_Toc497901148"/>
      <w:bookmarkStart w:id="566" w:name="_Toc407135237"/>
      <w:bookmarkStart w:id="567" w:name="_Toc47088336"/>
      <w:r>
        <w:rPr>
          <w:rFonts w:hint="eastAsia" w:ascii="宋体" w:hAnsi="宋体" w:cs="宋体"/>
          <w:color w:val="auto"/>
          <w:sz w:val="24"/>
          <w:szCs w:val="24"/>
          <w:highlight w:val="none"/>
        </w:rPr>
        <w:t>8.</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施工设备和临时设施</w:t>
      </w:r>
      <w:bookmarkEnd w:id="562"/>
      <w:bookmarkEnd w:id="563"/>
      <w:bookmarkEnd w:id="564"/>
      <w:bookmarkEnd w:id="565"/>
      <w:bookmarkEnd w:id="566"/>
      <w:bookmarkEnd w:id="567"/>
    </w:p>
    <w:p w14:paraId="686D8DAE">
      <w:pPr>
        <w:pStyle w:val="108"/>
        <w:autoSpaceDE w:val="0"/>
        <w:autoSpaceDN w:val="0"/>
        <w:adjustRightIn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.1 承包人提供的施工设备和临时设施</w:t>
      </w:r>
    </w:p>
    <w:p w14:paraId="296FFFFC">
      <w:pPr>
        <w:pStyle w:val="108"/>
        <w:autoSpaceDE w:val="0"/>
        <w:autoSpaceDN w:val="0"/>
        <w:adjustRightIn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2CA6514A">
      <w:pPr>
        <w:pStyle w:val="108"/>
        <w:autoSpaceDE w:val="0"/>
        <w:autoSpaceDN w:val="0"/>
        <w:adjustRightIn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关于修建临时设施费用承担的约定：</w:t>
      </w:r>
    </w:p>
    <w:p w14:paraId="7FDD300C">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①承包人的临时用地（含项目部驻地等）租用费（含拆迁补偿）、临时用地的环保、恢复、临时用地的青苗补偿及地面附着物拆除等费用均由承包人负责，以上费用在投标报价中综合考虑。</w:t>
      </w:r>
    </w:p>
    <w:p w14:paraId="3BF1DDC1">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②承包人负责合同实施期间其合同段内临时交通道路（含场内外连接公共交通道路）和交通设施的修建、维修、养护和交通管理工作，并承担一切费用。</w:t>
      </w:r>
    </w:p>
    <w:p w14:paraId="5449E024">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892B8A2">
      <w:pPr>
        <w:pStyle w:val="108"/>
        <w:autoSpaceDE w:val="0"/>
        <w:autoSpaceDN w:val="0"/>
        <w:adjustRightInd w:val="0"/>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8.</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.2 发包人提供的施工设备和临时设施</w:t>
      </w:r>
    </w:p>
    <w:p w14:paraId="24B7E722">
      <w:pPr>
        <w:pStyle w:val="108"/>
        <w:autoSpaceDE w:val="0"/>
        <w:autoSpaceDN w:val="0"/>
        <w:adjustRightIn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发包人提供的施工设备和临时设施：</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74D404A">
      <w:pPr>
        <w:pStyle w:val="108"/>
        <w:autoSpaceDE w:val="0"/>
        <w:autoSpaceDN w:val="0"/>
        <w:adjustRightInd w:val="0"/>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发包人提供的施工设备和临时设施的运行、维护、拆除、清运费用的承担人：</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CA96F42">
      <w:pPr>
        <w:pStyle w:val="174"/>
        <w:spacing w:before="0" w:beforeLines="0" w:after="0" w:afterLines="0" w:line="420" w:lineRule="exact"/>
        <w:rPr>
          <w:rFonts w:hint="eastAsia" w:ascii="宋体" w:hAnsi="宋体" w:cs="宋体"/>
          <w:color w:val="auto"/>
          <w:sz w:val="24"/>
          <w:szCs w:val="24"/>
          <w:highlight w:val="none"/>
        </w:rPr>
      </w:pPr>
      <w:bookmarkStart w:id="568" w:name="_Toc497901149"/>
      <w:bookmarkStart w:id="569" w:name="_Toc497215750"/>
      <w:bookmarkStart w:id="570" w:name="_Toc497147193"/>
      <w:bookmarkStart w:id="571" w:name="_Toc75182738"/>
      <w:bookmarkStart w:id="572" w:name="_Toc47088337"/>
      <w:bookmarkStart w:id="573" w:name="_Toc407135238"/>
      <w:r>
        <w:rPr>
          <w:rFonts w:hint="eastAsia" w:ascii="宋体" w:hAnsi="宋体" w:cs="宋体"/>
          <w:color w:val="auto"/>
          <w:sz w:val="24"/>
          <w:szCs w:val="24"/>
          <w:highlight w:val="none"/>
        </w:rPr>
        <w:t>9. 试验与检验</w:t>
      </w:r>
      <w:bookmarkEnd w:id="568"/>
      <w:bookmarkEnd w:id="569"/>
      <w:bookmarkEnd w:id="570"/>
      <w:bookmarkEnd w:id="571"/>
      <w:bookmarkEnd w:id="572"/>
      <w:bookmarkEnd w:id="573"/>
    </w:p>
    <w:p w14:paraId="45BFD5FA">
      <w:pPr>
        <w:pStyle w:val="174"/>
        <w:spacing w:before="0" w:beforeLines="0" w:after="0" w:afterLines="0" w:line="420" w:lineRule="exact"/>
        <w:rPr>
          <w:rFonts w:hint="eastAsia" w:ascii="宋体" w:hAnsi="宋体" w:cs="宋体"/>
          <w:color w:val="auto"/>
          <w:sz w:val="24"/>
          <w:szCs w:val="24"/>
          <w:highlight w:val="none"/>
        </w:rPr>
      </w:pPr>
      <w:bookmarkStart w:id="574" w:name="_Toc47088338"/>
      <w:bookmarkStart w:id="575" w:name="_Toc75182739"/>
      <w:bookmarkStart w:id="576" w:name="_Toc497901150"/>
      <w:bookmarkStart w:id="577" w:name="_Toc497147194"/>
      <w:bookmarkStart w:id="578" w:name="_Toc407135239"/>
      <w:bookmarkStart w:id="579" w:name="_Toc497215751"/>
      <w:r>
        <w:rPr>
          <w:rFonts w:hint="eastAsia" w:ascii="宋体" w:hAnsi="宋体" w:cs="宋体"/>
          <w:color w:val="auto"/>
          <w:sz w:val="24"/>
          <w:szCs w:val="24"/>
          <w:highlight w:val="none"/>
        </w:rPr>
        <w:t>9.1 试验设备与试验人员</w:t>
      </w:r>
      <w:bookmarkEnd w:id="574"/>
      <w:bookmarkEnd w:id="575"/>
      <w:bookmarkEnd w:id="576"/>
      <w:bookmarkEnd w:id="577"/>
      <w:bookmarkEnd w:id="578"/>
      <w:bookmarkEnd w:id="579"/>
    </w:p>
    <w:p w14:paraId="04B99384">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9.1.</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 xml:space="preserve"> 试验设备</w:t>
      </w:r>
    </w:p>
    <w:p w14:paraId="3FCF5FA2">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施工现场需要配置的试验场所：</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90948D0">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施工现场需要配备的试验设备：</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3A83AEC">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施工现场需要具备的其他试验条件：</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1E832676">
      <w:pPr>
        <w:pStyle w:val="174"/>
        <w:spacing w:before="0" w:beforeLines="0" w:after="0" w:afterLines="0" w:line="420" w:lineRule="exact"/>
        <w:rPr>
          <w:rFonts w:hint="eastAsia" w:ascii="宋体" w:hAnsi="宋体" w:cs="宋体"/>
          <w:color w:val="auto"/>
          <w:sz w:val="24"/>
          <w:szCs w:val="24"/>
          <w:highlight w:val="none"/>
        </w:rPr>
      </w:pPr>
      <w:bookmarkStart w:id="580" w:name="_Toc497901151"/>
      <w:bookmarkStart w:id="581" w:name="_Toc407135240"/>
      <w:bookmarkStart w:id="582" w:name="_Toc497215752"/>
      <w:bookmarkStart w:id="583" w:name="_Toc75182740"/>
      <w:bookmarkStart w:id="584" w:name="_Toc497147195"/>
      <w:bookmarkStart w:id="585" w:name="_Toc47088339"/>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现场工艺试验</w:t>
      </w:r>
      <w:bookmarkEnd w:id="580"/>
      <w:bookmarkEnd w:id="581"/>
      <w:bookmarkEnd w:id="582"/>
      <w:bookmarkEnd w:id="583"/>
      <w:bookmarkEnd w:id="584"/>
      <w:bookmarkEnd w:id="585"/>
      <w:r>
        <w:rPr>
          <w:rFonts w:hint="eastAsia" w:ascii="宋体" w:hAnsi="宋体" w:cs="宋体"/>
          <w:color w:val="auto"/>
          <w:sz w:val="24"/>
          <w:szCs w:val="24"/>
          <w:highlight w:val="none"/>
        </w:rPr>
        <w:t xml:space="preserve"> </w:t>
      </w:r>
    </w:p>
    <w:p w14:paraId="69EFF5EC">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现场工艺试验的有关约定：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BB10A1B">
      <w:pPr>
        <w:pStyle w:val="174"/>
        <w:spacing w:before="0" w:beforeLines="0" w:after="0" w:afterLines="0" w:line="420" w:lineRule="exact"/>
        <w:rPr>
          <w:rFonts w:hint="eastAsia" w:ascii="宋体" w:hAnsi="宋体" w:cs="宋体"/>
          <w:color w:val="auto"/>
          <w:sz w:val="24"/>
          <w:szCs w:val="24"/>
          <w:highlight w:val="none"/>
        </w:rPr>
      </w:pPr>
      <w:bookmarkStart w:id="586" w:name="_Toc75182741"/>
      <w:bookmarkStart w:id="587" w:name="_Toc407135241"/>
      <w:bookmarkStart w:id="588" w:name="_Toc47088340"/>
      <w:bookmarkStart w:id="589" w:name="_Toc497147196"/>
      <w:bookmarkStart w:id="590" w:name="_Toc497901152"/>
      <w:bookmarkStart w:id="591" w:name="_Toc497215753"/>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检验费用</w:t>
      </w:r>
      <w:bookmarkEnd w:id="586"/>
      <w:bookmarkEnd w:id="587"/>
      <w:bookmarkEnd w:id="588"/>
      <w:bookmarkEnd w:id="589"/>
      <w:bookmarkEnd w:id="590"/>
      <w:bookmarkEnd w:id="591"/>
    </w:p>
    <w:p w14:paraId="2B5ADF76">
      <w:pPr>
        <w:pStyle w:val="108"/>
        <w:spacing w:line="360" w:lineRule="auto"/>
        <w:ind w:firstLine="411" w:firstLineChars="196"/>
        <w:rPr>
          <w:rFonts w:hint="eastAsia" w:ascii="宋体" w:hAnsi="宋体" w:cs="宋体"/>
          <w:color w:val="auto"/>
          <w:szCs w:val="21"/>
          <w:highlight w:val="none"/>
        </w:rPr>
      </w:pPr>
      <w:r>
        <w:rPr>
          <w:rFonts w:hint="eastAsia" w:ascii="宋体" w:hAnsi="宋体" w:cs="宋体"/>
          <w:color w:val="auto"/>
          <w:szCs w:val="21"/>
          <w:highlight w:val="none"/>
        </w:rPr>
        <w:t>根据《建设工程质量检测管理办法》（建设部令第141号）以及</w:t>
      </w:r>
      <w:r>
        <w:rPr>
          <w:rFonts w:hint="eastAsia" w:ascii="宋体" w:hAnsi="宋体" w:cs="宋体"/>
          <w:bCs/>
          <w:color w:val="auto"/>
          <w:szCs w:val="21"/>
          <w:highlight w:val="none"/>
        </w:rPr>
        <w:t>《广西壮族自治区建设工程质量检测管理规定》（桂建管〔2013〕11号）</w:t>
      </w:r>
      <w:r>
        <w:rPr>
          <w:rFonts w:hint="eastAsia" w:ascii="宋体" w:hAnsi="宋体" w:cs="宋体"/>
          <w:color w:val="auto"/>
          <w:szCs w:val="21"/>
          <w:highlight w:val="none"/>
        </w:rPr>
        <w:t>规定，工程质量检测业务由发包人委托有相应资质的检测机构检测。费用由发包人直接支付给检测机构，不计入合同价款内。检验试验配合费按费用定额规定计取，计入本合同价款内。</w:t>
      </w:r>
    </w:p>
    <w:p w14:paraId="1DA5ECC6">
      <w:pPr>
        <w:pStyle w:val="174"/>
        <w:spacing w:before="0" w:beforeLines="0" w:after="0" w:afterLines="0" w:line="420" w:lineRule="exact"/>
        <w:rPr>
          <w:rFonts w:hint="eastAsia" w:ascii="宋体" w:hAnsi="宋体" w:cs="宋体"/>
          <w:color w:val="auto"/>
          <w:sz w:val="24"/>
          <w:szCs w:val="24"/>
          <w:highlight w:val="none"/>
        </w:rPr>
      </w:pPr>
      <w:bookmarkStart w:id="592" w:name="_Toc497215754"/>
      <w:bookmarkStart w:id="593" w:name="_Toc497901153"/>
      <w:bookmarkStart w:id="594" w:name="_Toc47088341"/>
      <w:bookmarkStart w:id="595" w:name="_Toc407135242"/>
      <w:bookmarkStart w:id="596" w:name="_Toc75182742"/>
      <w:bookmarkStart w:id="597" w:name="_Toc497147197"/>
      <w:r>
        <w:rPr>
          <w:rFonts w:hint="eastAsia" w:ascii="宋体" w:hAnsi="宋体" w:cs="宋体"/>
          <w:color w:val="auto"/>
          <w:sz w:val="24"/>
          <w:szCs w:val="24"/>
          <w:highlight w:val="none"/>
        </w:rPr>
        <w:t>10. 变更</w:t>
      </w:r>
      <w:bookmarkEnd w:id="592"/>
      <w:bookmarkEnd w:id="593"/>
      <w:bookmarkEnd w:id="594"/>
      <w:bookmarkEnd w:id="595"/>
      <w:bookmarkEnd w:id="596"/>
      <w:bookmarkEnd w:id="597"/>
    </w:p>
    <w:p w14:paraId="473D81B1">
      <w:pPr>
        <w:pStyle w:val="174"/>
        <w:spacing w:before="0" w:beforeLines="0" w:after="0" w:afterLines="0" w:line="420" w:lineRule="exact"/>
        <w:rPr>
          <w:rFonts w:hint="eastAsia" w:ascii="宋体" w:hAnsi="宋体" w:cs="宋体"/>
          <w:color w:val="auto"/>
          <w:sz w:val="24"/>
          <w:szCs w:val="24"/>
          <w:highlight w:val="none"/>
        </w:rPr>
      </w:pPr>
      <w:bookmarkStart w:id="598" w:name="_Toc407135243"/>
      <w:bookmarkStart w:id="599" w:name="_Toc497147198"/>
      <w:bookmarkStart w:id="600" w:name="_Toc47088342"/>
      <w:bookmarkStart w:id="601" w:name="_Toc75182743"/>
      <w:bookmarkStart w:id="602" w:name="_Toc497215755"/>
      <w:bookmarkStart w:id="603" w:name="_Toc497901154"/>
      <w:r>
        <w:rPr>
          <w:rFonts w:hint="eastAsia" w:ascii="宋体" w:hAnsi="宋体" w:cs="宋体"/>
          <w:color w:val="auto"/>
          <w:sz w:val="24"/>
          <w:szCs w:val="24"/>
          <w:highlight w:val="none"/>
        </w:rPr>
        <w:t>10.1 变更的范围</w:t>
      </w:r>
      <w:bookmarkEnd w:id="598"/>
      <w:bookmarkEnd w:id="599"/>
      <w:bookmarkEnd w:id="600"/>
      <w:bookmarkEnd w:id="601"/>
      <w:bookmarkEnd w:id="602"/>
      <w:bookmarkEnd w:id="603"/>
    </w:p>
    <w:p w14:paraId="394A6B86">
      <w:pPr>
        <w:pStyle w:val="108"/>
        <w:spacing w:line="360" w:lineRule="auto"/>
        <w:ind w:firstLine="426"/>
        <w:jc w:val="left"/>
        <w:rPr>
          <w:rFonts w:hint="eastAsia" w:ascii="宋体" w:hAnsi="宋体" w:cs="宋体"/>
          <w:color w:val="auto"/>
          <w:szCs w:val="21"/>
          <w:highlight w:val="none"/>
        </w:rPr>
      </w:pPr>
      <w:r>
        <w:rPr>
          <w:rFonts w:hint="eastAsia" w:ascii="宋体" w:hAnsi="宋体" w:cs="宋体"/>
          <w:color w:val="auto"/>
          <w:szCs w:val="21"/>
          <w:highlight w:val="none"/>
        </w:rPr>
        <w:t>关于变更的范围的约定：</w:t>
      </w:r>
      <w:r>
        <w:rPr>
          <w:rFonts w:hint="eastAsia" w:ascii="宋体" w:hAnsi="宋体" w:cs="宋体"/>
          <w:color w:val="auto"/>
          <w:szCs w:val="21"/>
          <w:highlight w:val="none"/>
          <w:u w:val="single"/>
        </w:rPr>
        <w:t xml:space="preserve">  按通用条款10.1执行     </w:t>
      </w:r>
      <w:r>
        <w:rPr>
          <w:rFonts w:hint="eastAsia" w:ascii="宋体" w:hAnsi="宋体" w:cs="宋体"/>
          <w:color w:val="auto"/>
          <w:szCs w:val="21"/>
          <w:highlight w:val="none"/>
        </w:rPr>
        <w:t>。</w:t>
      </w:r>
    </w:p>
    <w:p w14:paraId="5EA83B72">
      <w:pPr>
        <w:pStyle w:val="174"/>
        <w:spacing w:before="0" w:beforeLines="0" w:after="0" w:afterLines="0" w:line="420" w:lineRule="exact"/>
        <w:rPr>
          <w:rFonts w:hint="eastAsia" w:ascii="宋体" w:hAnsi="宋体" w:cs="宋体"/>
          <w:color w:val="auto"/>
          <w:sz w:val="24"/>
          <w:szCs w:val="24"/>
          <w:highlight w:val="none"/>
        </w:rPr>
      </w:pPr>
      <w:bookmarkStart w:id="604" w:name="_Toc407135244"/>
      <w:bookmarkStart w:id="605" w:name="_Toc497901155"/>
      <w:bookmarkStart w:id="606" w:name="_Toc497215756"/>
      <w:bookmarkStart w:id="607" w:name="_Toc47088343"/>
      <w:bookmarkStart w:id="608" w:name="_Toc497147199"/>
      <w:bookmarkStart w:id="609" w:name="_Toc75182744"/>
      <w:r>
        <w:rPr>
          <w:rFonts w:hint="eastAsia" w:ascii="宋体" w:hAnsi="宋体" w:cs="宋体"/>
          <w:color w:val="auto"/>
          <w:sz w:val="24"/>
          <w:szCs w:val="24"/>
          <w:highlight w:val="none"/>
        </w:rPr>
        <w:t>10.</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变更程序</w:t>
      </w:r>
      <w:bookmarkEnd w:id="604"/>
      <w:bookmarkEnd w:id="605"/>
      <w:bookmarkEnd w:id="606"/>
      <w:bookmarkEnd w:id="607"/>
      <w:bookmarkEnd w:id="608"/>
      <w:bookmarkEnd w:id="609"/>
    </w:p>
    <w:p w14:paraId="4E6959B1">
      <w:pPr>
        <w:pStyle w:val="190"/>
        <w:spacing w:line="360" w:lineRule="auto"/>
        <w:ind w:firstLine="441" w:firstLineChars="210"/>
        <w:rPr>
          <w:rFonts w:hint="eastAsia" w:hAnsi="宋体" w:cs="宋体"/>
          <w:bCs/>
          <w:color w:val="auto"/>
          <w:szCs w:val="21"/>
          <w:highlight w:val="none"/>
        </w:rPr>
      </w:pPr>
      <w:r>
        <w:rPr>
          <w:rFonts w:hint="eastAsia" w:hAnsi="宋体" w:cs="宋体"/>
          <w:bCs/>
          <w:color w:val="auto"/>
          <w:szCs w:val="21"/>
          <w:highlight w:val="none"/>
        </w:rPr>
        <w:t>10.</w:t>
      </w:r>
      <w:r>
        <w:rPr>
          <w:rFonts w:hint="eastAsia" w:hAnsi="宋体" w:cs="宋体"/>
          <w:bCs/>
          <w:color w:val="auto"/>
          <w:szCs w:val="21"/>
          <w:highlight w:val="none"/>
          <w:lang w:val="en-US" w:eastAsia="zh-CN"/>
        </w:rPr>
        <w:t>2</w:t>
      </w:r>
      <w:r>
        <w:rPr>
          <w:rFonts w:hint="eastAsia" w:hAnsi="宋体" w:cs="宋体"/>
          <w:bCs/>
          <w:color w:val="auto"/>
          <w:szCs w:val="21"/>
          <w:highlight w:val="none"/>
        </w:rPr>
        <w:t>.1国有投资项目：</w:t>
      </w:r>
    </w:p>
    <w:p w14:paraId="0FD8DCC3">
      <w:pPr>
        <w:pStyle w:val="190"/>
        <w:spacing w:line="360" w:lineRule="auto"/>
        <w:ind w:firstLine="441" w:firstLineChars="210"/>
        <w:rPr>
          <w:rFonts w:hint="eastAsia" w:hAnsi="宋体" w:cs="宋体"/>
          <w:bCs/>
          <w:color w:val="auto"/>
          <w:szCs w:val="21"/>
          <w:highlight w:val="none"/>
        </w:rPr>
      </w:pPr>
      <w:r>
        <w:rPr>
          <w:rFonts w:hint="eastAsia" w:hAnsi="宋体" w:cs="宋体"/>
          <w:bCs/>
          <w:color w:val="auto"/>
          <w:szCs w:val="21"/>
          <w:highlight w:val="none"/>
        </w:rPr>
        <w:t>⑴设计变更和工程签证，按各市政府或相关部门的规定办理。属不可抗力（自然灾害、突发事件等）造成变更的，按特事特办原则予以办理。</w:t>
      </w:r>
    </w:p>
    <w:p w14:paraId="15E3FC1E">
      <w:pPr>
        <w:pStyle w:val="190"/>
        <w:spacing w:line="360" w:lineRule="auto"/>
        <w:ind w:firstLine="441" w:firstLineChars="210"/>
        <w:rPr>
          <w:rFonts w:hint="eastAsia" w:hAnsi="宋体" w:cs="宋体"/>
          <w:bCs/>
          <w:color w:val="auto"/>
          <w:szCs w:val="21"/>
          <w:highlight w:val="none"/>
        </w:rPr>
      </w:pPr>
      <w:r>
        <w:rPr>
          <w:rFonts w:hint="eastAsia" w:hAnsi="宋体" w:cs="宋体"/>
          <w:bCs/>
          <w:color w:val="auto"/>
          <w:szCs w:val="21"/>
          <w:highlight w:val="none"/>
        </w:rPr>
        <w:t>⑵建设单位在实施项目过程中，若发生单价变动，由建设单位、监理单位、施工单位及其他相关单位共同商定并签字确认。</w:t>
      </w:r>
    </w:p>
    <w:p w14:paraId="2F027C2B">
      <w:pPr>
        <w:pStyle w:val="108"/>
        <w:spacing w:line="360" w:lineRule="auto"/>
        <w:ind w:firstLine="420" w:firstLineChars="200"/>
        <w:jc w:val="left"/>
        <w:rPr>
          <w:rFonts w:hint="eastAsia" w:ascii="宋体" w:hAnsi="宋体" w:cs="宋体"/>
          <w:bCs/>
          <w:color w:val="auto"/>
          <w:szCs w:val="21"/>
          <w:highlight w:val="none"/>
        </w:rPr>
      </w:pPr>
      <w:r>
        <w:rPr>
          <w:rFonts w:hint="eastAsia" w:ascii="宋体" w:hAnsi="宋体" w:cs="宋体"/>
          <w:bCs/>
          <w:color w:val="auto"/>
          <w:szCs w:val="21"/>
          <w:highlight w:val="none"/>
        </w:rPr>
        <w:t>⑶ 当合同规定的合同价款调整情况发生后，承包人未在规定时间内通知发包人，或者未在规定时间内提出调整报告，发包人可以根据有关资料，决定是否调整和调整的金额，并书面通知承包人。</w:t>
      </w:r>
    </w:p>
    <w:p w14:paraId="529865AC">
      <w:pPr>
        <w:pStyle w:val="117"/>
        <w:spacing w:line="360" w:lineRule="auto"/>
        <w:ind w:firstLine="441" w:firstLineChars="210"/>
        <w:rPr>
          <w:rFonts w:hint="eastAsia" w:hAnsi="宋体" w:cs="宋体"/>
          <w:bCs/>
          <w:color w:val="auto"/>
          <w:szCs w:val="21"/>
          <w:highlight w:val="none"/>
        </w:rPr>
      </w:pPr>
      <w:r>
        <w:rPr>
          <w:rFonts w:hint="eastAsia" w:hAnsi="宋体" w:cs="宋体"/>
          <w:bCs/>
          <w:color w:val="auto"/>
          <w:szCs w:val="21"/>
          <w:highlight w:val="none"/>
        </w:rPr>
        <w:t>10.</w:t>
      </w:r>
      <w:r>
        <w:rPr>
          <w:rFonts w:hint="eastAsia" w:hAnsi="宋体" w:cs="宋体"/>
          <w:bCs/>
          <w:color w:val="auto"/>
          <w:szCs w:val="21"/>
          <w:highlight w:val="none"/>
          <w:lang w:val="en-US" w:eastAsia="zh-CN"/>
        </w:rPr>
        <w:t>2</w:t>
      </w:r>
      <w:r>
        <w:rPr>
          <w:rFonts w:hint="eastAsia" w:hAnsi="宋体" w:cs="宋体"/>
          <w:bCs/>
          <w:color w:val="auto"/>
          <w:szCs w:val="21"/>
          <w:highlight w:val="none"/>
        </w:rPr>
        <w:t>.2 非国有投资项目：</w:t>
      </w:r>
      <w:r>
        <w:rPr>
          <w:rFonts w:hint="eastAsia" w:hAnsi="宋体" w:cs="宋体"/>
          <w:bCs/>
          <w:color w:val="auto"/>
          <w:szCs w:val="21"/>
          <w:highlight w:val="none"/>
          <w:u w:val="single"/>
        </w:rPr>
        <w:t xml:space="preserve">    /  。</w:t>
      </w:r>
    </w:p>
    <w:p w14:paraId="2C9F465D">
      <w:pPr>
        <w:pStyle w:val="174"/>
        <w:spacing w:before="0" w:beforeLines="0" w:after="0" w:afterLines="0" w:line="420" w:lineRule="exact"/>
        <w:rPr>
          <w:rFonts w:hint="eastAsia" w:ascii="宋体" w:hAnsi="宋体" w:cs="宋体"/>
          <w:color w:val="auto"/>
          <w:sz w:val="24"/>
          <w:szCs w:val="24"/>
          <w:highlight w:val="none"/>
        </w:rPr>
      </w:pPr>
      <w:bookmarkStart w:id="610" w:name="_Toc497901156"/>
      <w:bookmarkStart w:id="611" w:name="_Toc47088344"/>
      <w:bookmarkStart w:id="612" w:name="_Toc497215757"/>
      <w:bookmarkStart w:id="613" w:name="_Toc75182745"/>
      <w:bookmarkStart w:id="614" w:name="_Toc407135245"/>
      <w:bookmarkStart w:id="615" w:name="_Toc497147200"/>
      <w:r>
        <w:rPr>
          <w:rFonts w:hint="eastAsia" w:ascii="宋体" w:hAnsi="宋体" w:cs="宋体"/>
          <w:color w:val="auto"/>
          <w:sz w:val="24"/>
          <w:szCs w:val="24"/>
          <w:highlight w:val="none"/>
        </w:rPr>
        <w:t>10.</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变更估价</w:t>
      </w:r>
      <w:bookmarkEnd w:id="610"/>
      <w:bookmarkEnd w:id="611"/>
      <w:bookmarkEnd w:id="612"/>
      <w:bookmarkEnd w:id="613"/>
      <w:bookmarkEnd w:id="614"/>
      <w:bookmarkEnd w:id="615"/>
    </w:p>
    <w:p w14:paraId="0BF2C2F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10.</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 变更估价原则</w:t>
      </w:r>
    </w:p>
    <w:p w14:paraId="004FEF8A">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 xml:space="preserve">关于变更估价的约定: </w:t>
      </w:r>
      <w:r>
        <w:rPr>
          <w:rFonts w:hint="eastAsia" w:ascii="宋体" w:hAnsi="宋体" w:cs="宋体"/>
          <w:bCs/>
          <w:color w:val="auto"/>
          <w:szCs w:val="21"/>
          <w:highlight w:val="none"/>
          <w:u w:val="single"/>
        </w:rPr>
        <w:t>工程变更合同价款按下列方法进行：（1）合同中已有相同清单项目的，按合同该清单项目价格进行计算；（2）合同中只有类似清单项目的，参照该类似清单项目价格进行计算；（3）合同中没有适用或类似清单项目的价格计算方法：有定额的套定额，并乘以下浮系数</w:t>
      </w:r>
      <w:r>
        <w:rPr>
          <w:rFonts w:hint="eastAsia" w:ascii="宋体" w:hAnsi="宋体" w:cs="宋体"/>
          <w:b/>
          <w:bCs/>
          <w:color w:val="auto"/>
          <w:szCs w:val="21"/>
          <w:highlight w:val="none"/>
          <w:u w:val="single"/>
        </w:rPr>
        <w:t>（下浮系数=中标价÷招标控制价）</w:t>
      </w:r>
      <w:r>
        <w:rPr>
          <w:rFonts w:hint="eastAsia" w:ascii="宋体" w:hAnsi="宋体" w:cs="宋体"/>
          <w:bCs/>
          <w:color w:val="auto"/>
          <w:szCs w:val="21"/>
          <w:highlight w:val="none"/>
          <w:u w:val="single"/>
        </w:rPr>
        <w:t>计算，其中材料价格按《河池市建设工程造价信息》</w:t>
      </w:r>
      <w:r>
        <w:rPr>
          <w:rFonts w:hint="eastAsia" w:ascii="宋体" w:hAnsi="宋体" w:cs="宋体"/>
          <w:bCs/>
          <w:color w:val="auto"/>
          <w:szCs w:val="21"/>
          <w:highlight w:val="none"/>
          <w:u w:val="single"/>
          <w:lang w:eastAsia="zh-CN"/>
        </w:rPr>
        <w:t>巴马县</w:t>
      </w:r>
      <w:r>
        <w:rPr>
          <w:rFonts w:hint="eastAsia" w:ascii="宋体" w:hAnsi="宋体" w:cs="宋体"/>
          <w:bCs/>
          <w:color w:val="auto"/>
          <w:szCs w:val="21"/>
          <w:highlight w:val="none"/>
          <w:u w:val="single"/>
        </w:rPr>
        <w:t>材料信息价</w:t>
      </w:r>
      <w:bookmarkStart w:id="616" w:name="_Hlk85553505"/>
      <w:r>
        <w:rPr>
          <w:rFonts w:hint="eastAsia" w:ascii="宋体" w:hAnsi="宋体" w:cs="宋体"/>
          <w:bCs/>
          <w:color w:val="auto"/>
          <w:szCs w:val="21"/>
          <w:highlight w:val="none"/>
          <w:u w:val="single"/>
        </w:rPr>
        <w:t>详见工程量清单</w:t>
      </w:r>
      <w:bookmarkEnd w:id="616"/>
      <w:r>
        <w:rPr>
          <w:rFonts w:hint="eastAsia" w:ascii="宋体" w:hAnsi="宋体" w:cs="宋体"/>
          <w:bCs/>
          <w:color w:val="auto"/>
          <w:szCs w:val="21"/>
          <w:highlight w:val="none"/>
          <w:u w:val="single"/>
        </w:rPr>
        <w:t>及现行市场价格；无定额可套的，根据市场价格协商确定综合价格；对于国有资产投资的项目，新增项目的单价必须经</w:t>
      </w:r>
      <w:r>
        <w:rPr>
          <w:rFonts w:hint="eastAsia" w:ascii="宋体" w:hAnsi="宋体" w:cs="宋体"/>
          <w:b/>
          <w:bCs/>
          <w:color w:val="auto"/>
          <w:szCs w:val="21"/>
          <w:highlight w:val="none"/>
          <w:u w:val="single"/>
        </w:rPr>
        <w:t>具备工程造价资质的第三方机构</w:t>
      </w:r>
      <w:r>
        <w:rPr>
          <w:rFonts w:hint="eastAsia" w:ascii="宋体" w:hAnsi="宋体" w:cs="宋体"/>
          <w:bCs/>
          <w:color w:val="auto"/>
          <w:szCs w:val="21"/>
          <w:highlight w:val="none"/>
          <w:u w:val="single"/>
        </w:rPr>
        <w:t>审定</w:t>
      </w:r>
      <w:r>
        <w:rPr>
          <w:rFonts w:hint="eastAsia" w:ascii="宋体" w:hAnsi="宋体" w:cs="宋体"/>
          <w:color w:val="auto"/>
          <w:szCs w:val="21"/>
          <w:highlight w:val="none"/>
        </w:rPr>
        <w:t>。</w:t>
      </w:r>
    </w:p>
    <w:p w14:paraId="416577A4">
      <w:pPr>
        <w:pStyle w:val="174"/>
        <w:spacing w:before="0" w:beforeLines="0" w:after="0" w:afterLines="0" w:line="420" w:lineRule="exact"/>
        <w:rPr>
          <w:rFonts w:hint="eastAsia" w:ascii="宋体" w:hAnsi="宋体" w:cs="宋体"/>
          <w:color w:val="auto"/>
          <w:sz w:val="24"/>
          <w:szCs w:val="24"/>
          <w:highlight w:val="none"/>
        </w:rPr>
      </w:pPr>
      <w:bookmarkStart w:id="617" w:name="_Toc497215758"/>
      <w:bookmarkStart w:id="618" w:name="_Toc497901157"/>
      <w:bookmarkStart w:id="619" w:name="_Toc47088345"/>
      <w:bookmarkStart w:id="620" w:name="_Toc407135246"/>
      <w:bookmarkStart w:id="621" w:name="_Toc497147201"/>
      <w:bookmarkStart w:id="622" w:name="_Toc75182746"/>
      <w:r>
        <w:rPr>
          <w:rFonts w:hint="eastAsia" w:ascii="宋体" w:hAnsi="宋体" w:cs="宋体"/>
          <w:color w:val="auto"/>
          <w:sz w:val="24"/>
          <w:szCs w:val="24"/>
          <w:highlight w:val="none"/>
        </w:rPr>
        <w:t>10.</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承包人的合理化建议</w:t>
      </w:r>
      <w:bookmarkEnd w:id="617"/>
      <w:bookmarkEnd w:id="618"/>
      <w:bookmarkEnd w:id="619"/>
      <w:bookmarkEnd w:id="620"/>
      <w:bookmarkEnd w:id="621"/>
      <w:bookmarkEnd w:id="622"/>
    </w:p>
    <w:p w14:paraId="1BC5D422">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监理人审查承包人合理化建议的期限：</w:t>
      </w:r>
      <w:r>
        <w:rPr>
          <w:rFonts w:hint="eastAsia" w:ascii="宋体" w:hAnsi="宋体" w:cs="宋体"/>
          <w:color w:val="auto"/>
          <w:szCs w:val="21"/>
          <w:highlight w:val="none"/>
          <w:u w:val="single"/>
        </w:rPr>
        <w:t xml:space="preserve">  按通用条款10.5执行  </w:t>
      </w:r>
      <w:r>
        <w:rPr>
          <w:rFonts w:hint="eastAsia" w:ascii="宋体" w:hAnsi="宋体" w:cs="宋体"/>
          <w:color w:val="auto"/>
          <w:szCs w:val="21"/>
          <w:highlight w:val="none"/>
        </w:rPr>
        <w:t>。</w:t>
      </w:r>
    </w:p>
    <w:p w14:paraId="05568FE1">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 xml:space="preserve">  按通用条款10.5执行  </w:t>
      </w:r>
      <w:r>
        <w:rPr>
          <w:rFonts w:hint="eastAsia" w:ascii="宋体" w:hAnsi="宋体" w:cs="宋体"/>
          <w:color w:val="auto"/>
          <w:szCs w:val="21"/>
          <w:highlight w:val="none"/>
        </w:rPr>
        <w:t>。</w:t>
      </w:r>
    </w:p>
    <w:p w14:paraId="75F9EC15">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承包人提出的合理化建议降低了合同价格或者提高了工程经济效益的奖励的方法和金额为：</w:t>
      </w:r>
      <w:r>
        <w:rPr>
          <w:rFonts w:hint="eastAsia" w:ascii="宋体" w:hAnsi="宋体" w:cs="宋体"/>
          <w:color w:val="auto"/>
          <w:szCs w:val="21"/>
          <w:highlight w:val="none"/>
          <w:u w:val="single"/>
        </w:rPr>
        <w:t xml:space="preserve">     按通用条款10.5执行    </w:t>
      </w:r>
      <w:r>
        <w:rPr>
          <w:rFonts w:hint="eastAsia" w:ascii="宋体" w:hAnsi="宋体" w:cs="宋体"/>
          <w:color w:val="auto"/>
          <w:szCs w:val="21"/>
          <w:highlight w:val="none"/>
        </w:rPr>
        <w:t>。</w:t>
      </w:r>
    </w:p>
    <w:p w14:paraId="6FEF7912">
      <w:pPr>
        <w:pStyle w:val="174"/>
        <w:spacing w:before="0" w:beforeLines="0" w:after="0" w:afterLines="0" w:line="420" w:lineRule="exact"/>
        <w:rPr>
          <w:rFonts w:hint="eastAsia" w:ascii="宋体" w:hAnsi="宋体" w:cs="宋体"/>
          <w:color w:val="auto"/>
          <w:sz w:val="24"/>
          <w:szCs w:val="24"/>
          <w:highlight w:val="none"/>
        </w:rPr>
      </w:pPr>
      <w:bookmarkStart w:id="623" w:name="_Toc407135247"/>
      <w:bookmarkStart w:id="624" w:name="_Toc497215759"/>
      <w:bookmarkStart w:id="625" w:name="_Toc75182747"/>
      <w:bookmarkStart w:id="626" w:name="_Toc47088346"/>
      <w:bookmarkStart w:id="627" w:name="_Toc497147202"/>
      <w:bookmarkStart w:id="628" w:name="_Toc497901158"/>
      <w:r>
        <w:rPr>
          <w:rFonts w:hint="eastAsia" w:ascii="宋体" w:hAnsi="宋体" w:cs="宋体"/>
          <w:color w:val="auto"/>
          <w:sz w:val="24"/>
          <w:szCs w:val="24"/>
          <w:highlight w:val="none"/>
        </w:rPr>
        <w:t>10.</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rPr>
        <w:t xml:space="preserve"> 暂估价</w:t>
      </w:r>
      <w:bookmarkEnd w:id="623"/>
      <w:bookmarkEnd w:id="624"/>
      <w:bookmarkEnd w:id="625"/>
      <w:bookmarkEnd w:id="626"/>
      <w:bookmarkEnd w:id="627"/>
      <w:bookmarkEnd w:id="628"/>
    </w:p>
    <w:p w14:paraId="1798821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暂估价材料和工程设备的明细详见已标价工程量清单《</w:t>
      </w:r>
      <w:r>
        <w:rPr>
          <w:rFonts w:hint="eastAsia" w:ascii="宋体" w:hAnsi="宋体" w:cs="宋体"/>
          <w:color w:val="auto"/>
          <w:szCs w:val="21"/>
          <w:highlight w:val="none"/>
        </w:rPr>
        <w:t>材料（工程设备）暂估价格及调整表》</w:t>
      </w:r>
      <w:r>
        <w:rPr>
          <w:rFonts w:hint="eastAsia" w:ascii="宋体" w:hAnsi="宋体" w:cs="宋体"/>
          <w:color w:val="auto"/>
          <w:kern w:val="0"/>
          <w:szCs w:val="21"/>
          <w:highlight w:val="none"/>
        </w:rPr>
        <w:t>（表12-2）和《</w:t>
      </w:r>
      <w:r>
        <w:rPr>
          <w:rFonts w:hint="eastAsia" w:ascii="宋体" w:hAnsi="宋体" w:cs="宋体"/>
          <w:color w:val="auto"/>
          <w:szCs w:val="21"/>
          <w:highlight w:val="none"/>
        </w:rPr>
        <w:t>专业工程暂估价表》（</w:t>
      </w:r>
      <w:r>
        <w:rPr>
          <w:rFonts w:hint="eastAsia" w:ascii="宋体" w:hAnsi="宋体" w:cs="宋体"/>
          <w:color w:val="auto"/>
          <w:kern w:val="0"/>
          <w:szCs w:val="21"/>
          <w:highlight w:val="none"/>
        </w:rPr>
        <w:t>表12-3）。</w:t>
      </w:r>
    </w:p>
    <w:p w14:paraId="51A388B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10</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.1 依法必须招标的暂估价项目</w:t>
      </w:r>
    </w:p>
    <w:p w14:paraId="62765346">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对于依法必须招标的暂估价项目的确认和批准采取第</w:t>
      </w:r>
      <w:r>
        <w:rPr>
          <w:rFonts w:hint="eastAsia" w:ascii="宋体" w:hAnsi="宋体" w:cs="宋体"/>
          <w:color w:val="auto"/>
          <w:szCs w:val="21"/>
          <w:highlight w:val="none"/>
          <w:u w:val="single"/>
        </w:rPr>
        <w:t xml:space="preserve"> 1 </w:t>
      </w:r>
      <w:r>
        <w:rPr>
          <w:rFonts w:hint="eastAsia" w:ascii="宋体" w:hAnsi="宋体" w:cs="宋体"/>
          <w:color w:val="auto"/>
          <w:szCs w:val="21"/>
          <w:highlight w:val="none"/>
        </w:rPr>
        <w:t>种方式确定。</w:t>
      </w:r>
    </w:p>
    <w:p w14:paraId="07D1EF5C">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第1种方式：对于依法必须进行招标的暂估项目，由承包人招标。</w:t>
      </w:r>
    </w:p>
    <w:p w14:paraId="28B6EE91">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第2种方式：对于依法必须进行招标的暂估项目，由发包人和承包人共同招标确定暂估价项目供应商或分包商。</w:t>
      </w:r>
    </w:p>
    <w:p w14:paraId="579E7878">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第3种方式：</w:t>
      </w:r>
      <w:r>
        <w:rPr>
          <w:rFonts w:hint="eastAsia" w:ascii="宋体" w:hAnsi="宋体" w:cs="宋体"/>
          <w:color w:val="auto"/>
          <w:kern w:val="0"/>
          <w:szCs w:val="21"/>
          <w:highlight w:val="none"/>
        </w:rPr>
        <w:t>承包人直接实施的暂估价项目</w:t>
      </w:r>
    </w:p>
    <w:p w14:paraId="6966ED7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10.</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.2 不属于依法必须招标的暂估价项目</w:t>
      </w:r>
    </w:p>
    <w:p w14:paraId="2B31459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对于不属于依法必须招标的暂估价项目的确认和批准采取第</w:t>
      </w:r>
      <w:r>
        <w:rPr>
          <w:rFonts w:hint="eastAsia" w:ascii="宋体" w:hAnsi="宋体" w:cs="宋体"/>
          <w:color w:val="auto"/>
          <w:szCs w:val="21"/>
          <w:highlight w:val="none"/>
          <w:u w:val="single"/>
        </w:rPr>
        <w:t xml:space="preserve"> 3 </w:t>
      </w:r>
      <w:r>
        <w:rPr>
          <w:rFonts w:hint="eastAsia" w:ascii="宋体" w:hAnsi="宋体" w:cs="宋体"/>
          <w:color w:val="auto"/>
          <w:szCs w:val="21"/>
          <w:highlight w:val="none"/>
        </w:rPr>
        <w:t xml:space="preserve"> 种方式确定。</w:t>
      </w:r>
    </w:p>
    <w:p w14:paraId="7D152682">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第3种方式：</w:t>
      </w:r>
      <w:r>
        <w:rPr>
          <w:rFonts w:hint="eastAsia" w:ascii="宋体" w:hAnsi="宋体" w:cs="宋体"/>
          <w:color w:val="auto"/>
          <w:kern w:val="0"/>
          <w:szCs w:val="21"/>
          <w:highlight w:val="none"/>
        </w:rPr>
        <w:t>承包人直接实施的暂估价项目</w:t>
      </w:r>
    </w:p>
    <w:p w14:paraId="65BB491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承包人直接实施的暂估价项目的约定：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6675642">
      <w:pPr>
        <w:pStyle w:val="174"/>
        <w:spacing w:before="0" w:beforeLines="0" w:after="0" w:afterLines="0" w:line="420" w:lineRule="exact"/>
        <w:rPr>
          <w:rFonts w:hint="eastAsia" w:ascii="宋体" w:hAnsi="宋体" w:cs="宋体"/>
          <w:color w:val="auto"/>
          <w:sz w:val="24"/>
          <w:szCs w:val="24"/>
          <w:highlight w:val="none"/>
        </w:rPr>
      </w:pPr>
      <w:bookmarkStart w:id="629" w:name="_Toc497901159"/>
      <w:bookmarkStart w:id="630" w:name="_Toc75182748"/>
      <w:bookmarkStart w:id="631" w:name="_Toc497147203"/>
      <w:bookmarkStart w:id="632" w:name="_Toc497215760"/>
      <w:bookmarkStart w:id="633" w:name="_Toc407135248"/>
      <w:bookmarkStart w:id="634" w:name="_Toc47088347"/>
      <w:r>
        <w:rPr>
          <w:rFonts w:hint="eastAsia" w:ascii="宋体" w:hAnsi="宋体" w:cs="宋体"/>
          <w:color w:val="auto"/>
          <w:sz w:val="24"/>
          <w:szCs w:val="24"/>
          <w:highlight w:val="none"/>
        </w:rPr>
        <w:t>10.</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 xml:space="preserve"> 暂列金额</w:t>
      </w:r>
      <w:bookmarkEnd w:id="629"/>
      <w:bookmarkEnd w:id="630"/>
      <w:bookmarkEnd w:id="631"/>
      <w:bookmarkEnd w:id="632"/>
      <w:bookmarkEnd w:id="633"/>
      <w:bookmarkEnd w:id="634"/>
    </w:p>
    <w:p w14:paraId="17A8924E">
      <w:pPr>
        <w:pStyle w:val="108"/>
        <w:autoSpaceDE w:val="0"/>
        <w:autoSpaceDN w:val="0"/>
        <w:adjustRightInd w:val="0"/>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合同当事人关于暂列金额使用的约定：</w:t>
      </w:r>
      <w:r>
        <w:rPr>
          <w:rFonts w:hint="eastAsia" w:ascii="宋体" w:hAnsi="宋体" w:cs="宋体"/>
          <w:color w:val="auto"/>
          <w:szCs w:val="21"/>
          <w:highlight w:val="none"/>
          <w:u w:val="single"/>
        </w:rPr>
        <w:t xml:space="preserve">       /       </w:t>
      </w:r>
      <w:r>
        <w:rPr>
          <w:rFonts w:hint="eastAsia" w:ascii="宋体" w:hAnsi="宋体" w:cs="宋体"/>
          <w:color w:val="auto"/>
          <w:kern w:val="0"/>
          <w:szCs w:val="21"/>
          <w:highlight w:val="none"/>
        </w:rPr>
        <w:t>。</w:t>
      </w:r>
    </w:p>
    <w:p w14:paraId="4C1DF396">
      <w:pPr>
        <w:pStyle w:val="174"/>
        <w:spacing w:before="0" w:beforeLines="0" w:after="0" w:afterLines="0" w:line="420" w:lineRule="exact"/>
        <w:rPr>
          <w:rFonts w:hint="eastAsia" w:ascii="宋体" w:hAnsi="宋体" w:cs="宋体"/>
          <w:color w:val="auto"/>
          <w:sz w:val="24"/>
          <w:szCs w:val="24"/>
          <w:highlight w:val="none"/>
        </w:rPr>
      </w:pPr>
      <w:bookmarkStart w:id="635" w:name="_Toc407135249"/>
      <w:bookmarkStart w:id="636" w:name="_Toc497901160"/>
      <w:bookmarkStart w:id="637" w:name="_Toc47088348"/>
      <w:bookmarkStart w:id="638" w:name="_Toc497215761"/>
      <w:bookmarkStart w:id="639" w:name="_Toc497147204"/>
      <w:bookmarkStart w:id="640" w:name="_Toc75182749"/>
      <w:r>
        <w:rPr>
          <w:rFonts w:hint="eastAsia" w:ascii="宋体" w:hAnsi="宋体" w:cs="宋体"/>
          <w:color w:val="auto"/>
          <w:sz w:val="24"/>
          <w:szCs w:val="24"/>
          <w:highlight w:val="none"/>
        </w:rPr>
        <w:t>1</w:t>
      </w:r>
      <w:r>
        <w:rPr>
          <w:rFonts w:ascii="宋体" w:hAnsi="宋体" w:cs="宋体"/>
          <w:color w:val="auto"/>
          <w:sz w:val="24"/>
          <w:szCs w:val="24"/>
          <w:highlight w:val="none"/>
        </w:rPr>
        <w:t>1.</w:t>
      </w:r>
      <w:r>
        <w:rPr>
          <w:rFonts w:hint="eastAsia" w:ascii="宋体" w:hAnsi="宋体" w:cs="宋体"/>
          <w:color w:val="auto"/>
          <w:sz w:val="24"/>
          <w:szCs w:val="24"/>
          <w:highlight w:val="none"/>
        </w:rPr>
        <w:t>价格调整</w:t>
      </w:r>
      <w:bookmarkEnd w:id="635"/>
      <w:bookmarkEnd w:id="636"/>
      <w:bookmarkEnd w:id="637"/>
      <w:bookmarkEnd w:id="638"/>
      <w:bookmarkEnd w:id="639"/>
      <w:bookmarkEnd w:id="640"/>
    </w:p>
    <w:p w14:paraId="19E3C23B">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①法律变化引起的调整；</w:t>
      </w:r>
    </w:p>
    <w:p w14:paraId="74696204">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②工程变更、项目特征不符、工程量清单缺项、工程量偏差引起的调整；</w:t>
      </w:r>
    </w:p>
    <w:p w14:paraId="7E929B7B">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③计日工引起的调整。</w:t>
      </w:r>
    </w:p>
    <w:p w14:paraId="091707A7">
      <w:pPr>
        <w:pStyle w:val="174"/>
        <w:spacing w:before="0" w:beforeLines="0" w:after="0" w:afterLines="0" w:line="420" w:lineRule="exact"/>
        <w:rPr>
          <w:rFonts w:hint="eastAsia" w:ascii="宋体" w:hAnsi="宋体" w:cs="宋体"/>
          <w:color w:val="auto"/>
          <w:sz w:val="24"/>
          <w:szCs w:val="24"/>
          <w:highlight w:val="none"/>
        </w:rPr>
      </w:pPr>
      <w:bookmarkStart w:id="641" w:name="_Toc407135250"/>
      <w:bookmarkStart w:id="642" w:name="_Toc497215762"/>
      <w:bookmarkStart w:id="643" w:name="_Toc497901161"/>
      <w:bookmarkStart w:id="644" w:name="_Toc75182750"/>
      <w:bookmarkStart w:id="645" w:name="_Toc47088349"/>
      <w:bookmarkStart w:id="646" w:name="_Toc497147205"/>
      <w:r>
        <w:rPr>
          <w:rFonts w:hint="eastAsia" w:ascii="宋体" w:hAnsi="宋体" w:cs="宋体"/>
          <w:color w:val="auto"/>
          <w:sz w:val="24"/>
          <w:szCs w:val="24"/>
          <w:highlight w:val="none"/>
        </w:rPr>
        <w:t>11.1 市场价格波动引起的调整</w:t>
      </w:r>
      <w:bookmarkEnd w:id="641"/>
      <w:bookmarkEnd w:id="642"/>
      <w:bookmarkEnd w:id="643"/>
      <w:bookmarkEnd w:id="644"/>
      <w:bookmarkEnd w:id="645"/>
      <w:bookmarkEnd w:id="646"/>
    </w:p>
    <w:p w14:paraId="1603667B">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市场价格波动是否调整合同价格的约定：</w:t>
      </w:r>
      <w:r>
        <w:rPr>
          <w:rFonts w:hint="eastAsia" w:ascii="宋体" w:hAnsi="宋体" w:cs="宋体"/>
          <w:color w:val="auto"/>
          <w:szCs w:val="21"/>
          <w:highlight w:val="none"/>
          <w:u w:val="single"/>
        </w:rPr>
        <w:t xml:space="preserve"> 材料调差：钢材、水泥、商品砼、砂（粗、中、细）、碎石材料的市场价格按《河池市建设工程造价信息》</w:t>
      </w:r>
      <w:r>
        <w:rPr>
          <w:rFonts w:hint="eastAsia" w:ascii="宋体" w:hAnsi="宋体" w:cs="宋体"/>
          <w:color w:val="auto"/>
          <w:szCs w:val="21"/>
          <w:highlight w:val="none"/>
          <w:u w:val="single"/>
          <w:lang w:eastAsia="zh-CN"/>
        </w:rPr>
        <w:t>巴马县</w:t>
      </w:r>
      <w:r>
        <w:rPr>
          <w:rFonts w:hint="eastAsia" w:ascii="宋体" w:hAnsi="宋体" w:cs="宋体"/>
          <w:color w:val="auto"/>
          <w:szCs w:val="21"/>
          <w:highlight w:val="none"/>
          <w:u w:val="single"/>
        </w:rPr>
        <w:t>材料信息价</w:t>
      </w:r>
      <w:r>
        <w:rPr>
          <w:rFonts w:hint="eastAsia" w:ascii="宋体" w:hAnsi="宋体" w:cs="宋体"/>
          <w:bCs/>
          <w:color w:val="auto"/>
          <w:szCs w:val="21"/>
          <w:highlight w:val="none"/>
          <w:u w:val="single"/>
        </w:rPr>
        <w:t>详见工程量清单</w:t>
      </w:r>
      <w:r>
        <w:rPr>
          <w:rFonts w:hint="eastAsia" w:ascii="宋体" w:hAnsi="宋体" w:cs="宋体"/>
          <w:color w:val="auto"/>
          <w:szCs w:val="21"/>
          <w:highlight w:val="none"/>
          <w:u w:val="single"/>
        </w:rPr>
        <w:t>及现行市场价格，价格浮动超过±5%（含5%的风险范围）调整合同价格</w:t>
      </w:r>
      <w:r>
        <w:rPr>
          <w:rFonts w:hint="eastAsia" w:ascii="宋体" w:hAnsi="宋体" w:cs="宋体"/>
          <w:color w:val="auto"/>
          <w:szCs w:val="21"/>
          <w:highlight w:val="none"/>
        </w:rPr>
        <w:t>。</w:t>
      </w:r>
    </w:p>
    <w:p w14:paraId="4C5B33CA">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因市场价格波动调整合同价格，采用以下第</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种方式对合同价格进行调整：</w:t>
      </w:r>
    </w:p>
    <w:p w14:paraId="16CE3692">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第1种方式：采用价格指数进行价格调整。</w:t>
      </w:r>
    </w:p>
    <w:p w14:paraId="487BDF5C">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关于各可调因子、定值和变值权重，以及基本价格指数及其来源的约定：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w:t>
      </w:r>
    </w:p>
    <w:p w14:paraId="79F0FA57">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第2种方式：采用造价信息进行价格调整。</w:t>
      </w:r>
    </w:p>
    <w:p w14:paraId="5D7D4E33">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（1）允许调整的主要材料和设备、基期价格、风险系数、投标报价：详见《承包人提供主要材料和设备一览表》。</w:t>
      </w:r>
    </w:p>
    <w:p w14:paraId="77E26AB0">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（2）主要材料和设备确认价：</w:t>
      </w:r>
    </w:p>
    <w:p w14:paraId="2EF802D3">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《河池市建设工程造价信息》</w:t>
      </w:r>
      <w:r>
        <w:rPr>
          <w:rFonts w:hint="eastAsia" w:ascii="宋体" w:hAnsi="宋体" w:cs="宋体"/>
          <w:color w:val="auto"/>
          <w:szCs w:val="21"/>
          <w:highlight w:val="none"/>
          <w:lang w:eastAsia="zh-CN"/>
        </w:rPr>
        <w:t>巴马县</w:t>
      </w:r>
      <w:r>
        <w:rPr>
          <w:rFonts w:hint="eastAsia" w:ascii="宋体" w:hAnsi="宋体" w:cs="宋体"/>
          <w:color w:val="auto"/>
          <w:szCs w:val="21"/>
          <w:highlight w:val="none"/>
        </w:rPr>
        <w:t>材料信息价</w:t>
      </w:r>
      <w:r>
        <w:rPr>
          <w:rFonts w:hint="eastAsia" w:ascii="宋体" w:hAnsi="宋体" w:cs="宋体"/>
          <w:bCs/>
          <w:color w:val="auto"/>
          <w:szCs w:val="21"/>
          <w:highlight w:val="none"/>
          <w:u w:val="single"/>
        </w:rPr>
        <w:t>详见工程量清单</w:t>
      </w:r>
      <w:r>
        <w:rPr>
          <w:rFonts w:hint="eastAsia" w:ascii="宋体" w:hAnsi="宋体" w:cs="宋体"/>
          <w:color w:val="auto"/>
          <w:szCs w:val="21"/>
          <w:highlight w:val="none"/>
        </w:rPr>
        <w:t>及现行市场价格。</w:t>
      </w:r>
    </w:p>
    <w:p w14:paraId="7493DCF8">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（3）价差计算方法：</w:t>
      </w:r>
    </w:p>
    <w:p w14:paraId="39DDD67C">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①《承包人提供主要材料和设备一览表》中载明的材料投标报价低于基准价格的：合同履行期间材料和设备单价涨幅以基准价格为基础超过约定的风险范围时，或材料和设备单价跌幅以投标报价为基础超过约定的风险范围时，其超过部分据实调整。</w:t>
      </w:r>
    </w:p>
    <w:p w14:paraId="0EA83552">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②承包人在《承包人提供主要材料和设备一览表》中载明的材料和设备投标报价高于基准价格的：专用合同条款合同履行期间材料和设备单价跌幅以基准价格为基础超过约定的风险范围时，材料和设备单价涨幅以投标报价为基础超过约定的风险范围时，其超过部分据实调整。</w:t>
      </w:r>
    </w:p>
    <w:p w14:paraId="067ED290">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③承包人在《承包人提供主要材料和设备一览表》中载明的材料和设备单价等于基准单价的：合同履行期间材料和 设备单价涨跌幅以基准单价为基础超过约定的风险范围时，其超过部分据实调整。</w:t>
      </w:r>
    </w:p>
    <w:p w14:paraId="43A4054B">
      <w:pPr>
        <w:pStyle w:val="108"/>
        <w:spacing w:line="360" w:lineRule="auto"/>
        <w:ind w:firstLine="645"/>
        <w:jc w:val="left"/>
        <w:rPr>
          <w:rFonts w:hint="eastAsia" w:ascii="宋体" w:hAnsi="宋体" w:cs="宋体"/>
          <w:color w:val="auto"/>
          <w:szCs w:val="21"/>
          <w:highlight w:val="none"/>
        </w:rPr>
      </w:pPr>
      <w:r>
        <w:rPr>
          <w:rFonts w:hint="eastAsia" w:ascii="宋体" w:hAnsi="宋体" w:cs="宋体"/>
          <w:color w:val="auto"/>
          <w:szCs w:val="21"/>
          <w:highlight w:val="none"/>
        </w:rPr>
        <w:t>第3种方式：</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 xml:space="preserve"> 。</w:t>
      </w:r>
    </w:p>
    <w:p w14:paraId="27E80FB9">
      <w:pPr>
        <w:pStyle w:val="174"/>
        <w:spacing w:before="0" w:beforeLines="0" w:after="0" w:afterLines="0" w:line="420" w:lineRule="exact"/>
        <w:rPr>
          <w:rFonts w:hint="eastAsia" w:ascii="宋体" w:hAnsi="宋体" w:cs="宋体"/>
          <w:color w:val="auto"/>
          <w:sz w:val="24"/>
          <w:szCs w:val="24"/>
          <w:highlight w:val="none"/>
        </w:rPr>
      </w:pPr>
      <w:bookmarkStart w:id="647" w:name="_Toc407135251"/>
      <w:bookmarkStart w:id="648" w:name="_Toc47088350"/>
      <w:bookmarkStart w:id="649" w:name="_Toc497147206"/>
      <w:bookmarkStart w:id="650" w:name="_Toc497901162"/>
      <w:bookmarkStart w:id="651" w:name="_Toc497215763"/>
      <w:bookmarkStart w:id="652" w:name="_Toc75182751"/>
      <w:r>
        <w:rPr>
          <w:rFonts w:hint="eastAsia" w:ascii="宋体" w:hAnsi="宋体" w:cs="宋体"/>
          <w:color w:val="auto"/>
          <w:sz w:val="24"/>
          <w:szCs w:val="24"/>
          <w:highlight w:val="none"/>
        </w:rPr>
        <w:t>12. 合同价格、计量与支付</w:t>
      </w:r>
      <w:bookmarkEnd w:id="647"/>
      <w:bookmarkEnd w:id="648"/>
      <w:bookmarkEnd w:id="649"/>
      <w:bookmarkEnd w:id="650"/>
      <w:bookmarkEnd w:id="651"/>
      <w:bookmarkEnd w:id="652"/>
    </w:p>
    <w:p w14:paraId="4C2DC00B">
      <w:pPr>
        <w:pStyle w:val="174"/>
        <w:spacing w:before="0" w:beforeLines="0" w:after="0" w:afterLines="0" w:line="420" w:lineRule="exact"/>
        <w:rPr>
          <w:rFonts w:hint="eastAsia" w:ascii="宋体" w:hAnsi="宋体" w:cs="宋体"/>
          <w:color w:val="auto"/>
          <w:sz w:val="24"/>
          <w:szCs w:val="24"/>
          <w:highlight w:val="none"/>
        </w:rPr>
      </w:pPr>
      <w:bookmarkStart w:id="653" w:name="_Toc47088351"/>
      <w:bookmarkStart w:id="654" w:name="_Toc407135252"/>
      <w:bookmarkStart w:id="655" w:name="_Toc497901163"/>
      <w:bookmarkStart w:id="656" w:name="_Toc75182752"/>
      <w:bookmarkStart w:id="657" w:name="_Toc497147207"/>
      <w:bookmarkStart w:id="658" w:name="_Toc497215764"/>
      <w:r>
        <w:rPr>
          <w:rFonts w:hint="eastAsia" w:ascii="宋体" w:hAnsi="宋体" w:cs="宋体"/>
          <w:color w:val="auto"/>
          <w:sz w:val="24"/>
          <w:szCs w:val="24"/>
          <w:highlight w:val="none"/>
        </w:rPr>
        <w:t>12.1 合同价格形式</w:t>
      </w:r>
      <w:bookmarkEnd w:id="653"/>
      <w:bookmarkEnd w:id="654"/>
      <w:bookmarkEnd w:id="655"/>
      <w:bookmarkEnd w:id="656"/>
      <w:bookmarkEnd w:id="657"/>
      <w:bookmarkEnd w:id="658"/>
    </w:p>
    <w:p w14:paraId="5092049C">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本工程采用</w:t>
      </w:r>
      <w:r>
        <w:rPr>
          <w:rFonts w:hint="eastAsia" w:ascii="宋体" w:hAnsi="宋体" w:cs="宋体"/>
          <w:color w:val="auto"/>
          <w:szCs w:val="21"/>
          <w:highlight w:val="none"/>
          <w:u w:val="single"/>
        </w:rPr>
        <w:t xml:space="preserve">  固定综合单价  </w:t>
      </w:r>
      <w:r>
        <w:rPr>
          <w:rFonts w:hint="eastAsia" w:ascii="宋体" w:hAnsi="宋体" w:cs="宋体"/>
          <w:color w:val="auto"/>
          <w:szCs w:val="21"/>
          <w:highlight w:val="none"/>
        </w:rPr>
        <w:t>合同价格形式。</w:t>
      </w:r>
    </w:p>
    <w:p w14:paraId="05B37527">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（1）单价合同。</w:t>
      </w:r>
    </w:p>
    <w:p w14:paraId="23342AE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本合同价款采用固定综合单价方式确定。</w:t>
      </w:r>
    </w:p>
    <w:p w14:paraId="0068D064">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综合单价包含的风险范围：</w:t>
      </w:r>
      <w:r>
        <w:rPr>
          <w:rFonts w:hint="eastAsia" w:ascii="宋体" w:hAnsi="宋体" w:cs="宋体"/>
          <w:color w:val="auto"/>
          <w:szCs w:val="21"/>
          <w:highlight w:val="none"/>
          <w:u w:val="single"/>
        </w:rPr>
        <w:t>除工程变更、项目特征不符、政策性调整、《承包人提供主要材料和设备一览表》约定的材料、设备价格变动风险以外因素。</w:t>
      </w:r>
    </w:p>
    <w:p w14:paraId="683091AD">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风险范围以外合同价格的调整方法：</w:t>
      </w:r>
    </w:p>
    <w:p w14:paraId="2755F807">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①工程变更：按10.4.1变更估价原则的约定调整。</w:t>
      </w:r>
    </w:p>
    <w:p w14:paraId="2A66D1DB">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②政策性调整：按自治区建设行政主管部门颁布的文件执行。</w:t>
      </w:r>
    </w:p>
    <w:p w14:paraId="2523BA4D">
      <w:pPr>
        <w:pStyle w:val="190"/>
        <w:spacing w:line="360" w:lineRule="auto"/>
        <w:ind w:firstLine="441" w:firstLineChars="210"/>
        <w:rPr>
          <w:rFonts w:hint="eastAsia" w:hAnsi="宋体" w:cs="宋体"/>
          <w:color w:val="auto"/>
          <w:szCs w:val="21"/>
          <w:highlight w:val="none"/>
        </w:rPr>
      </w:pPr>
      <w:r>
        <w:rPr>
          <w:rFonts w:hint="eastAsia" w:hAnsi="宋体" w:cs="宋体"/>
          <w:color w:val="auto"/>
          <w:szCs w:val="21"/>
          <w:highlight w:val="none"/>
        </w:rPr>
        <w:t>③材料价格风险：按11.1的约定调整。</w:t>
      </w:r>
    </w:p>
    <w:p w14:paraId="7D6B1F3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④其它：</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90A090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（2）总价合同。</w:t>
      </w:r>
    </w:p>
    <w:p w14:paraId="17224FA9">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总价包含的风险范围：</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BF85291">
      <w:pPr>
        <w:pStyle w:val="108"/>
        <w:spacing w:line="360" w:lineRule="auto"/>
        <w:ind w:firstLine="420" w:firstLineChars="200"/>
        <w:jc w:val="left"/>
        <w:rPr>
          <w:rFonts w:hint="eastAsia" w:ascii="宋体" w:hAnsi="宋体" w:cs="宋体"/>
          <w:color w:val="auto"/>
          <w:highlight w:val="none"/>
        </w:rPr>
      </w:pPr>
      <w:r>
        <w:rPr>
          <w:rFonts w:hint="eastAsia" w:ascii="宋体" w:hAnsi="宋体" w:cs="宋体"/>
          <w:color w:val="auto"/>
          <w:highlight w:val="none"/>
        </w:rPr>
        <w:t>风险范围以外合同价格的调整方法：</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12A2339A">
      <w:pPr>
        <w:pStyle w:val="108"/>
        <w:spacing w:line="360" w:lineRule="auto"/>
        <w:ind w:firstLine="420" w:firstLineChars="200"/>
        <w:jc w:val="left"/>
        <w:rPr>
          <w:rFonts w:hint="eastAsia" w:ascii="宋体" w:hAnsi="宋体" w:cs="宋体"/>
          <w:color w:val="auto"/>
          <w:highlight w:val="none"/>
        </w:rPr>
      </w:pPr>
      <w:r>
        <w:rPr>
          <w:rFonts w:hint="eastAsia" w:ascii="宋体" w:hAnsi="宋体" w:cs="宋体"/>
          <w:color w:val="auto"/>
          <w:highlight w:val="none"/>
        </w:rPr>
        <w:t>（3）其他价格方式：</w:t>
      </w:r>
      <w:r>
        <w:rPr>
          <w:rFonts w:hint="eastAsia" w:ascii="宋体" w:hAnsi="宋体" w:cs="宋体"/>
          <w:color w:val="auto"/>
          <w:highlight w:val="none"/>
          <w:u w:val="single"/>
        </w:rPr>
        <w:t xml:space="preserve">                  /                 </w:t>
      </w:r>
      <w:r>
        <w:rPr>
          <w:rFonts w:hint="eastAsia" w:ascii="宋体" w:hAnsi="宋体" w:cs="宋体"/>
          <w:color w:val="auto"/>
          <w:highlight w:val="none"/>
        </w:rPr>
        <w:t>。</w:t>
      </w:r>
    </w:p>
    <w:p w14:paraId="000B42AF">
      <w:pPr>
        <w:pStyle w:val="174"/>
        <w:spacing w:before="0" w:beforeLines="0" w:after="0" w:afterLines="0" w:line="420" w:lineRule="exact"/>
        <w:rPr>
          <w:rFonts w:hint="eastAsia" w:ascii="宋体" w:hAnsi="宋体" w:cs="宋体"/>
          <w:color w:val="auto"/>
          <w:sz w:val="24"/>
          <w:szCs w:val="24"/>
          <w:highlight w:val="none"/>
        </w:rPr>
      </w:pPr>
      <w:bookmarkStart w:id="659" w:name="_Toc75182753"/>
      <w:bookmarkStart w:id="660" w:name="_Toc497147208"/>
      <w:bookmarkStart w:id="661" w:name="_Toc47088352"/>
      <w:bookmarkStart w:id="662" w:name="_Toc497901164"/>
      <w:bookmarkStart w:id="663" w:name="_Toc497215765"/>
      <w:bookmarkStart w:id="664" w:name="_Toc407135253"/>
      <w:r>
        <w:rPr>
          <w:rFonts w:hint="eastAsia" w:ascii="宋体" w:hAnsi="宋体" w:cs="宋体"/>
          <w:color w:val="auto"/>
          <w:sz w:val="24"/>
          <w:szCs w:val="24"/>
          <w:highlight w:val="none"/>
        </w:rPr>
        <w:t>12.2 预付款</w:t>
      </w:r>
      <w:bookmarkEnd w:id="659"/>
      <w:bookmarkEnd w:id="660"/>
      <w:bookmarkEnd w:id="661"/>
      <w:bookmarkEnd w:id="662"/>
      <w:bookmarkEnd w:id="663"/>
      <w:bookmarkEnd w:id="664"/>
    </w:p>
    <w:p w14:paraId="3B9C3324">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12.2.1 预付款的支付</w:t>
      </w:r>
    </w:p>
    <w:p w14:paraId="0333D61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预付款支付比例或金额：</w:t>
      </w:r>
      <w:r>
        <w:rPr>
          <w:rFonts w:hint="eastAsia" w:ascii="宋体" w:hAnsi="宋体" w:cs="宋体"/>
          <w:b/>
          <w:bCs/>
          <w:color w:val="auto"/>
          <w:szCs w:val="21"/>
          <w:highlight w:val="none"/>
          <w:u w:val="single"/>
        </w:rPr>
        <w:t>中标合同价款的</w:t>
      </w:r>
      <w:r>
        <w:rPr>
          <w:rFonts w:hint="eastAsia" w:ascii="宋体" w:hAnsi="宋体" w:cs="宋体"/>
          <w:b/>
          <w:bCs/>
          <w:color w:val="auto"/>
          <w:szCs w:val="21"/>
          <w:highlight w:val="none"/>
          <w:u w:val="single"/>
          <w:lang w:val="en-US" w:eastAsia="zh-CN"/>
        </w:rPr>
        <w:t>3</w:t>
      </w:r>
      <w:r>
        <w:rPr>
          <w:rFonts w:hint="eastAsia" w:ascii="宋体" w:hAnsi="宋体" w:cs="宋体"/>
          <w:b/>
          <w:bCs/>
          <w:color w:val="auto"/>
          <w:szCs w:val="21"/>
          <w:highlight w:val="none"/>
          <w:u w:val="single"/>
        </w:rPr>
        <w:t>0%</w:t>
      </w:r>
      <w:r>
        <w:rPr>
          <w:rFonts w:hint="eastAsia" w:ascii="宋体" w:hAnsi="宋体" w:cs="宋体"/>
          <w:color w:val="auto"/>
          <w:szCs w:val="21"/>
          <w:highlight w:val="none"/>
        </w:rPr>
        <w:t>。</w:t>
      </w:r>
    </w:p>
    <w:p w14:paraId="3A96A56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预付款支付期限：</w:t>
      </w:r>
      <w:r>
        <w:rPr>
          <w:rFonts w:hint="eastAsia" w:ascii="宋体" w:hAnsi="宋体" w:cs="宋体"/>
          <w:b/>
          <w:bCs/>
          <w:color w:val="auto"/>
          <w:szCs w:val="21"/>
          <w:highlight w:val="none"/>
          <w:u w:val="single"/>
        </w:rPr>
        <w:t>合同签订后</w:t>
      </w:r>
      <w:r>
        <w:rPr>
          <w:rFonts w:hint="eastAsia" w:ascii="宋体" w:hAnsi="宋体" w:cs="宋体"/>
          <w:b/>
          <w:bCs/>
          <w:color w:val="auto"/>
          <w:szCs w:val="21"/>
          <w:highlight w:val="none"/>
          <w:u w:val="single"/>
          <w:lang w:val="en-US" w:eastAsia="zh-CN"/>
        </w:rPr>
        <w:t>7个工作日</w:t>
      </w:r>
      <w:r>
        <w:rPr>
          <w:rFonts w:hint="eastAsia" w:ascii="宋体" w:hAnsi="宋体" w:cs="宋体"/>
          <w:b/>
          <w:bCs/>
          <w:color w:val="auto"/>
          <w:szCs w:val="21"/>
          <w:highlight w:val="none"/>
          <w:u w:val="single"/>
        </w:rPr>
        <w:t>内予以支付</w:t>
      </w:r>
      <w:r>
        <w:rPr>
          <w:rFonts w:hint="eastAsia" w:ascii="宋体" w:hAnsi="宋体" w:cs="宋体"/>
          <w:color w:val="auto"/>
          <w:szCs w:val="21"/>
          <w:highlight w:val="none"/>
        </w:rPr>
        <w:t>。</w:t>
      </w:r>
    </w:p>
    <w:p w14:paraId="18FE4AC1">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预付款扣回的方式：</w:t>
      </w:r>
      <w:r>
        <w:rPr>
          <w:rFonts w:hint="eastAsia" w:ascii="宋体" w:hAnsi="宋体" w:cs="宋体"/>
          <w:color w:val="auto"/>
          <w:szCs w:val="21"/>
          <w:highlight w:val="none"/>
          <w:u w:val="single"/>
        </w:rPr>
        <w:t xml:space="preserve"> </w:t>
      </w:r>
      <w:r>
        <w:rPr>
          <w:rFonts w:hint="eastAsia" w:ascii="宋体" w:hAnsi="宋体" w:cs="宋体"/>
          <w:b/>
          <w:bCs/>
          <w:color w:val="auto"/>
          <w:szCs w:val="21"/>
          <w:highlight w:val="none"/>
          <w:u w:val="single"/>
        </w:rPr>
        <w:t>在工程进度款支付当月开始起扣，每次抵扣的比例为每次进度款付款金额的</w:t>
      </w:r>
      <w:r>
        <w:rPr>
          <w:rFonts w:hint="eastAsia" w:ascii="宋体" w:hAnsi="宋体" w:cs="宋体"/>
          <w:b/>
          <w:bCs/>
          <w:color w:val="auto"/>
          <w:szCs w:val="21"/>
          <w:highlight w:val="none"/>
          <w:u w:val="single"/>
          <w:lang w:val="en-US" w:eastAsia="zh-CN"/>
        </w:rPr>
        <w:t>30</w:t>
      </w:r>
      <w:r>
        <w:rPr>
          <w:rFonts w:hint="eastAsia" w:ascii="宋体" w:hAnsi="宋体" w:cs="宋体"/>
          <w:b/>
          <w:bCs/>
          <w:color w:val="auto"/>
          <w:szCs w:val="21"/>
          <w:highlight w:val="none"/>
          <w:u w:val="single"/>
        </w:rPr>
        <w:t>%，直至扣完预付款为止</w:t>
      </w:r>
      <w:r>
        <w:rPr>
          <w:rFonts w:hint="eastAsia" w:ascii="宋体" w:hAnsi="宋体" w:cs="宋体"/>
          <w:color w:val="auto"/>
          <w:szCs w:val="21"/>
          <w:highlight w:val="none"/>
          <w:u w:val="single"/>
        </w:rPr>
        <w:t>。</w:t>
      </w:r>
    </w:p>
    <w:p w14:paraId="0A3A5B4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12.2.2 预付款担保</w:t>
      </w:r>
    </w:p>
    <w:p w14:paraId="2973394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承包人提交预付款担保的期限：</w:t>
      </w:r>
      <w:r>
        <w:rPr>
          <w:rFonts w:hint="eastAsia" w:ascii="宋体" w:hAnsi="宋体" w:cs="宋体"/>
          <w:color w:val="auto"/>
          <w:szCs w:val="21"/>
          <w:highlight w:val="none"/>
          <w:u w:val="single"/>
          <w:lang w:eastAsia="zh-CN"/>
        </w:rPr>
        <w:t>无</w:t>
      </w:r>
      <w:r>
        <w:rPr>
          <w:rFonts w:hint="eastAsia" w:ascii="宋体" w:hAnsi="宋体" w:cs="宋体"/>
          <w:color w:val="auto"/>
          <w:szCs w:val="21"/>
          <w:highlight w:val="none"/>
        </w:rPr>
        <w:t>。</w:t>
      </w:r>
    </w:p>
    <w:p w14:paraId="15E6DF20">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预付款担保的形式为：</w:t>
      </w:r>
      <w:r>
        <w:rPr>
          <w:rFonts w:hint="eastAsia" w:ascii="宋体" w:hAnsi="宋体" w:cs="宋体"/>
          <w:color w:val="auto"/>
          <w:szCs w:val="21"/>
          <w:highlight w:val="none"/>
          <w:u w:val="single"/>
          <w:lang w:eastAsia="zh-CN"/>
        </w:rPr>
        <w:t>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15736BF">
      <w:pPr>
        <w:pStyle w:val="174"/>
        <w:spacing w:before="0" w:beforeLines="0" w:after="0" w:afterLines="0" w:line="420" w:lineRule="exact"/>
        <w:rPr>
          <w:rFonts w:hint="eastAsia" w:ascii="宋体" w:hAnsi="宋体" w:cs="宋体"/>
          <w:color w:val="auto"/>
          <w:sz w:val="24"/>
          <w:szCs w:val="24"/>
          <w:highlight w:val="none"/>
        </w:rPr>
      </w:pPr>
      <w:bookmarkStart w:id="665" w:name="_Toc47088353"/>
      <w:bookmarkStart w:id="666" w:name="_Toc497215766"/>
      <w:bookmarkStart w:id="667" w:name="_Toc497147209"/>
      <w:bookmarkStart w:id="668" w:name="_Toc75182754"/>
      <w:bookmarkStart w:id="669" w:name="_Toc497901165"/>
      <w:bookmarkStart w:id="670" w:name="_Toc407135254"/>
      <w:r>
        <w:rPr>
          <w:rFonts w:hint="eastAsia" w:ascii="宋体" w:hAnsi="宋体" w:cs="宋体"/>
          <w:color w:val="auto"/>
          <w:sz w:val="24"/>
          <w:szCs w:val="24"/>
          <w:highlight w:val="none"/>
        </w:rPr>
        <w:t>12.3 计量</w:t>
      </w:r>
      <w:bookmarkEnd w:id="665"/>
      <w:bookmarkEnd w:id="666"/>
      <w:bookmarkEnd w:id="667"/>
      <w:bookmarkEnd w:id="668"/>
      <w:bookmarkEnd w:id="669"/>
      <w:bookmarkEnd w:id="670"/>
    </w:p>
    <w:p w14:paraId="5F877E34">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12.3.1 计量原则</w:t>
      </w:r>
    </w:p>
    <w:p w14:paraId="37163363">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工程量计算规则：</w:t>
      </w:r>
      <w:r>
        <w:rPr>
          <w:rFonts w:hint="eastAsia" w:ascii="宋体" w:hAnsi="宋体" w:cs="宋体"/>
          <w:color w:val="auto"/>
          <w:szCs w:val="21"/>
          <w:highlight w:val="none"/>
          <w:u w:val="single"/>
        </w:rPr>
        <w:t>工程的计量均以《建设工程工程量清单计价规范》（GB50500－2013）和及其广西壮族自治区实施细则、《建设工程工程量清单计算规范》（GB50854~50862－2013）及其广西实施细则、本工程补充项目清单为准。</w:t>
      </w:r>
    </w:p>
    <w:p w14:paraId="3F66F377">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12.3.2 计量周期</w:t>
      </w:r>
    </w:p>
    <w:p w14:paraId="6DB53B0C">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关于计量周期的约定：</w:t>
      </w:r>
      <w:r>
        <w:rPr>
          <w:rFonts w:hint="eastAsia" w:ascii="宋体" w:hAnsi="宋体" w:cs="宋体"/>
          <w:color w:val="auto"/>
          <w:szCs w:val="21"/>
          <w:highlight w:val="none"/>
          <w:u w:val="single"/>
        </w:rPr>
        <w:t>每月25日前</w:t>
      </w:r>
      <w:r>
        <w:rPr>
          <w:rFonts w:hint="eastAsia" w:ascii="宋体" w:hAnsi="宋体" w:cs="宋体"/>
          <w:color w:val="auto"/>
          <w:szCs w:val="21"/>
          <w:highlight w:val="none"/>
        </w:rPr>
        <w:t>。</w:t>
      </w:r>
    </w:p>
    <w:p w14:paraId="594D425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12.3.3 单价合同的计量</w:t>
      </w:r>
    </w:p>
    <w:p w14:paraId="3ACF78E1">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关于单价合同计量的约定：</w:t>
      </w:r>
    </w:p>
    <w:p w14:paraId="166BED78">
      <w:pPr>
        <w:pStyle w:val="108"/>
        <w:spacing w:line="360" w:lineRule="auto"/>
        <w:ind w:firstLine="441" w:firstLineChars="210"/>
        <w:rPr>
          <w:rFonts w:hint="eastAsia" w:ascii="宋体" w:hAnsi="宋体" w:cs="宋体"/>
          <w:color w:val="auto"/>
          <w:szCs w:val="21"/>
          <w:highlight w:val="none"/>
        </w:rPr>
      </w:pPr>
      <w:r>
        <w:rPr>
          <w:rFonts w:hint="eastAsia" w:ascii="宋体" w:hAnsi="宋体" w:cs="宋体"/>
          <w:color w:val="auto"/>
          <w:szCs w:val="21"/>
          <w:highlight w:val="none"/>
        </w:rPr>
        <w:t>(1) 工程量清单所列的工程量，不能作为承包人按合同履行其责任依据，实际施工中发生的工程量增加或减少并不影响承包人履行合同的责任，工程结算以完成的实际工程量为准。</w:t>
      </w:r>
    </w:p>
    <w:p w14:paraId="22F75C97">
      <w:pPr>
        <w:pStyle w:val="108"/>
        <w:spacing w:line="360" w:lineRule="auto"/>
        <w:ind w:firstLine="441" w:firstLineChars="210"/>
        <w:rPr>
          <w:rFonts w:hint="eastAsia" w:ascii="宋体" w:hAnsi="宋体" w:cs="宋体"/>
          <w:color w:val="auto"/>
          <w:szCs w:val="21"/>
          <w:highlight w:val="none"/>
        </w:rPr>
      </w:pPr>
      <w:r>
        <w:rPr>
          <w:rFonts w:hint="eastAsia" w:ascii="宋体" w:hAnsi="宋体" w:cs="宋体"/>
          <w:color w:val="auto"/>
          <w:szCs w:val="21"/>
          <w:highlight w:val="none"/>
        </w:rPr>
        <w:t>(2) 除另有规定外，工程师应按照合同通过计量来核实确定已完成的工程量和价款，承包人应得到该价款扣除保留金后的金额。当工程师要对已完工的工程量进行计量时，应适时地通知承包人参加。</w:t>
      </w:r>
    </w:p>
    <w:p w14:paraId="5295FEBB">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12.3.4 总价合同的计量</w:t>
      </w:r>
    </w:p>
    <w:p w14:paraId="36C8D482">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关于总价合同计量的约定：除工程变更外，原图纸范围内的工程量不得按实计量。进度款按支付分解表支付，按通用条款第</w:t>
      </w:r>
      <w:r>
        <w:rPr>
          <w:rFonts w:hint="eastAsia" w:ascii="宋体" w:hAnsi="宋体" w:cs="宋体"/>
          <w:color w:val="auto"/>
          <w:kern w:val="0"/>
          <w:szCs w:val="21"/>
          <w:highlight w:val="none"/>
        </w:rPr>
        <w:t>12.3.4</w:t>
      </w:r>
      <w:r>
        <w:rPr>
          <w:rFonts w:hint="eastAsia" w:ascii="宋体" w:hAnsi="宋体" w:cs="宋体"/>
          <w:color w:val="auto"/>
          <w:szCs w:val="21"/>
          <w:highlight w:val="none"/>
        </w:rPr>
        <w:t>项</w:t>
      </w:r>
      <w:r>
        <w:rPr>
          <w:rFonts w:hint="eastAsia" w:ascii="宋体" w:hAnsi="宋体" w:cs="宋体"/>
          <w:color w:val="auto"/>
          <w:kern w:val="0"/>
          <w:szCs w:val="21"/>
          <w:highlight w:val="none"/>
        </w:rPr>
        <w:t>〔总价合同的计量〕</w:t>
      </w:r>
      <w:r>
        <w:rPr>
          <w:rFonts w:hint="eastAsia" w:ascii="宋体" w:hAnsi="宋体" w:cs="宋体"/>
          <w:color w:val="auto"/>
          <w:szCs w:val="21"/>
          <w:highlight w:val="none"/>
        </w:rPr>
        <w:t>约定进行计量，但</w:t>
      </w:r>
      <w:r>
        <w:rPr>
          <w:rFonts w:hint="eastAsia" w:ascii="宋体" w:hAnsi="宋体" w:cs="宋体"/>
          <w:color w:val="auto"/>
          <w:kern w:val="0"/>
          <w:szCs w:val="21"/>
          <w:highlight w:val="none"/>
        </w:rPr>
        <w:t>合同价款按照支付分解表进行支付。</w:t>
      </w:r>
    </w:p>
    <w:p w14:paraId="5CFC23E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12.3.</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其他价格形式合同的计量</w:t>
      </w:r>
    </w:p>
    <w:p w14:paraId="57A8C10F">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其他价格形式的计量方式和程序：</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6B5F956">
      <w:pPr>
        <w:pStyle w:val="174"/>
        <w:spacing w:before="0" w:beforeLines="0" w:after="0" w:afterLines="0" w:line="420" w:lineRule="exact"/>
        <w:rPr>
          <w:rFonts w:hint="eastAsia" w:ascii="宋体" w:hAnsi="宋体" w:cs="宋体"/>
          <w:color w:val="auto"/>
          <w:sz w:val="24"/>
          <w:szCs w:val="24"/>
          <w:highlight w:val="none"/>
        </w:rPr>
      </w:pPr>
      <w:bookmarkStart w:id="671" w:name="_Toc497215767"/>
      <w:bookmarkStart w:id="672" w:name="_Toc47088354"/>
      <w:bookmarkStart w:id="673" w:name="_Toc75182755"/>
      <w:bookmarkStart w:id="674" w:name="_Toc497147210"/>
      <w:bookmarkStart w:id="675" w:name="_Toc497901166"/>
      <w:bookmarkStart w:id="676" w:name="_Toc407135255"/>
      <w:r>
        <w:rPr>
          <w:rFonts w:hint="eastAsia" w:ascii="宋体" w:hAnsi="宋体" w:cs="宋体"/>
          <w:color w:val="auto"/>
          <w:sz w:val="24"/>
          <w:szCs w:val="24"/>
          <w:highlight w:val="none"/>
        </w:rPr>
        <w:t>12.4 工程进度款支付</w:t>
      </w:r>
      <w:bookmarkEnd w:id="671"/>
      <w:bookmarkEnd w:id="672"/>
      <w:bookmarkEnd w:id="673"/>
      <w:bookmarkEnd w:id="674"/>
      <w:bookmarkEnd w:id="675"/>
      <w:bookmarkEnd w:id="676"/>
    </w:p>
    <w:p w14:paraId="189BBD5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12.4.1 付款周期</w:t>
      </w:r>
    </w:p>
    <w:p w14:paraId="792C4210">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关于付款周期的约定：</w:t>
      </w:r>
      <w:r>
        <w:rPr>
          <w:rFonts w:hint="eastAsia" w:ascii="宋体" w:hAnsi="宋体" w:cs="宋体"/>
          <w:color w:val="auto"/>
          <w:szCs w:val="21"/>
          <w:highlight w:val="none"/>
          <w:u w:val="single"/>
        </w:rPr>
        <w:t>工程款原则上按月支付，合同内进度款支付为已完成工程量的</w:t>
      </w:r>
      <w:r>
        <w:rPr>
          <w:rFonts w:hint="eastAsia" w:ascii="宋体" w:hAnsi="宋体" w:cs="宋体"/>
          <w:color w:val="auto"/>
          <w:szCs w:val="21"/>
          <w:highlight w:val="none"/>
          <w:u w:val="single"/>
          <w:lang w:val="en-US" w:eastAsia="zh-CN"/>
        </w:rPr>
        <w:t>90</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eastAsia="zh-CN"/>
        </w:rPr>
        <w:t>合同外</w:t>
      </w:r>
      <w:r>
        <w:rPr>
          <w:rFonts w:hint="eastAsia" w:ascii="宋体" w:hAnsi="宋体" w:cs="宋体"/>
          <w:color w:val="auto"/>
          <w:szCs w:val="21"/>
          <w:highlight w:val="none"/>
          <w:u w:val="single"/>
        </w:rPr>
        <w:t>进度款支付为已完成工程量的</w:t>
      </w:r>
      <w:r>
        <w:rPr>
          <w:rFonts w:hint="eastAsia" w:ascii="宋体" w:hAnsi="宋体" w:cs="宋体"/>
          <w:color w:val="auto"/>
          <w:szCs w:val="21"/>
          <w:highlight w:val="none"/>
          <w:u w:val="single"/>
          <w:lang w:val="en-US" w:eastAsia="zh-CN"/>
        </w:rPr>
        <w:t>70</w:t>
      </w:r>
      <w:r>
        <w:rPr>
          <w:rFonts w:hint="eastAsia" w:ascii="宋体" w:hAnsi="宋体" w:cs="宋体"/>
          <w:color w:val="auto"/>
          <w:szCs w:val="21"/>
          <w:highlight w:val="none"/>
          <w:u w:val="single"/>
        </w:rPr>
        <w:t>%；工程完工验收达到质量要求，结算经有资质的机构审核后，工程款支付至结算总价的97%；发包人按工程价款结算总额的3%预留工程质量保修金，待工程质量保修期满后返还</w:t>
      </w:r>
      <w:r>
        <w:rPr>
          <w:rFonts w:hint="eastAsia" w:ascii="宋体" w:hAnsi="宋体" w:cs="宋体"/>
          <w:color w:val="auto"/>
          <w:szCs w:val="21"/>
          <w:highlight w:val="none"/>
        </w:rPr>
        <w:t>。</w:t>
      </w:r>
    </w:p>
    <w:p w14:paraId="533161B5">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12.4.2 进度付款申请单的编制</w:t>
      </w:r>
    </w:p>
    <w:p w14:paraId="61DB48C3">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关于进度付款申请单编制的约定：</w:t>
      </w:r>
      <w:r>
        <w:rPr>
          <w:rFonts w:hint="eastAsia" w:ascii="宋体" w:hAnsi="宋体" w:cs="宋体"/>
          <w:color w:val="auto"/>
          <w:szCs w:val="21"/>
          <w:highlight w:val="none"/>
          <w:u w:val="single"/>
        </w:rPr>
        <w:t>进度付款申请单的份数为4份，内容为工程量计量报表</w:t>
      </w:r>
      <w:r>
        <w:rPr>
          <w:rFonts w:hint="eastAsia" w:ascii="宋体" w:hAnsi="宋体" w:cs="宋体"/>
          <w:color w:val="auto"/>
          <w:szCs w:val="21"/>
          <w:highlight w:val="none"/>
        </w:rPr>
        <w:t>。</w:t>
      </w:r>
    </w:p>
    <w:p w14:paraId="3CAAEA7B">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12.4.3 进度付款申请单的提交</w:t>
      </w:r>
    </w:p>
    <w:p w14:paraId="11654020">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（1）单价合同进度付款申请单提交的约定：</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u w:val="single"/>
        </w:rPr>
        <w:t xml:space="preserve">每月25日前提交     </w:t>
      </w:r>
      <w:r>
        <w:rPr>
          <w:rFonts w:hint="eastAsia" w:ascii="宋体" w:hAnsi="宋体" w:cs="宋体"/>
          <w:color w:val="auto"/>
          <w:szCs w:val="21"/>
          <w:highlight w:val="none"/>
        </w:rPr>
        <w:t>。</w:t>
      </w:r>
    </w:p>
    <w:p w14:paraId="15EB20CB">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（2）总价合同进度付款申请单提交的约定：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A903D1D">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（3）其他价格形式合同进度付款申请单提交的约定：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7663BF72">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12.4.4 进度款审核和支付</w:t>
      </w:r>
    </w:p>
    <w:p w14:paraId="50FD3C87">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（1）监理人审查并报送发包人的期限：</w:t>
      </w:r>
      <w:r>
        <w:rPr>
          <w:rFonts w:hint="eastAsia" w:ascii="宋体" w:hAnsi="宋体" w:cs="宋体"/>
          <w:color w:val="auto"/>
          <w:szCs w:val="21"/>
          <w:highlight w:val="none"/>
          <w:u w:val="single"/>
        </w:rPr>
        <w:t xml:space="preserve">   收到申请7天内   </w:t>
      </w:r>
      <w:r>
        <w:rPr>
          <w:rFonts w:hint="eastAsia" w:ascii="宋体" w:hAnsi="宋体" w:cs="宋体"/>
          <w:color w:val="auto"/>
          <w:szCs w:val="21"/>
          <w:highlight w:val="none"/>
        </w:rPr>
        <w:t>。</w:t>
      </w:r>
    </w:p>
    <w:p w14:paraId="19A34DC5">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发包人完成审批并签发进度款支付证书的期限：</w:t>
      </w:r>
      <w:r>
        <w:rPr>
          <w:rFonts w:hint="eastAsia" w:ascii="宋体" w:hAnsi="宋体" w:cs="宋体"/>
          <w:color w:val="auto"/>
          <w:szCs w:val="21"/>
          <w:highlight w:val="none"/>
          <w:u w:val="single"/>
        </w:rPr>
        <w:t xml:space="preserve">   收到申请7天内   </w:t>
      </w:r>
      <w:r>
        <w:rPr>
          <w:rFonts w:hint="eastAsia" w:ascii="宋体" w:hAnsi="宋体" w:cs="宋体"/>
          <w:color w:val="auto"/>
          <w:szCs w:val="21"/>
          <w:highlight w:val="none"/>
        </w:rPr>
        <w:t>。</w:t>
      </w:r>
    </w:p>
    <w:p w14:paraId="6D7524C8">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（2）发包人支付进度款的期限：</w:t>
      </w:r>
      <w:r>
        <w:rPr>
          <w:rFonts w:hint="eastAsia" w:ascii="宋体" w:hAnsi="宋体" w:cs="宋体"/>
          <w:color w:val="auto"/>
          <w:szCs w:val="21"/>
          <w:highlight w:val="none"/>
          <w:u w:val="single"/>
        </w:rPr>
        <w:t xml:space="preserve">  发包人应在收到监理人报送的进度付款申请单及相关资料后7天内完成审批并发进度支付证书  </w:t>
      </w:r>
      <w:r>
        <w:rPr>
          <w:rFonts w:hint="eastAsia" w:ascii="宋体" w:hAnsi="宋体" w:cs="宋体"/>
          <w:color w:val="auto"/>
          <w:szCs w:val="21"/>
          <w:highlight w:val="none"/>
        </w:rPr>
        <w:t>。</w:t>
      </w:r>
    </w:p>
    <w:p w14:paraId="15BC6BB2">
      <w:pPr>
        <w:pStyle w:val="115"/>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szCs w:val="21"/>
          <w:highlight w:val="none"/>
        </w:rPr>
        <w:t>发包人逾期支付进度款的违约金的计算方式：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rPr>
        <w:t>。</w:t>
      </w:r>
    </w:p>
    <w:p w14:paraId="5694E349">
      <w:pPr>
        <w:pStyle w:val="108"/>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szCs w:val="21"/>
          <w:highlight w:val="none"/>
        </w:rPr>
        <w:t>进度款支付方式：</w:t>
      </w:r>
      <w:r>
        <w:rPr>
          <w:rFonts w:hint="eastAsia" w:ascii="宋体" w:hAnsi="宋体" w:cs="宋体"/>
          <w:color w:val="auto"/>
          <w:szCs w:val="21"/>
          <w:highlight w:val="none"/>
          <w:u w:val="single"/>
        </w:rPr>
        <w:t>银行转账</w:t>
      </w:r>
      <w:r>
        <w:rPr>
          <w:rFonts w:hint="eastAsia" w:ascii="宋体" w:hAnsi="宋体" w:cs="宋体"/>
          <w:color w:val="auto"/>
          <w:szCs w:val="21"/>
          <w:highlight w:val="none"/>
        </w:rPr>
        <w:t>。</w:t>
      </w:r>
    </w:p>
    <w:p w14:paraId="22F4EE1E">
      <w:pPr>
        <w:pStyle w:val="108"/>
        <w:spacing w:line="360" w:lineRule="auto"/>
        <w:ind w:firstLine="525" w:firstLineChars="250"/>
        <w:jc w:val="left"/>
        <w:rPr>
          <w:rFonts w:hint="eastAsia" w:ascii="宋体" w:hAnsi="宋体" w:cs="宋体"/>
          <w:color w:val="auto"/>
          <w:szCs w:val="21"/>
          <w:highlight w:val="none"/>
        </w:rPr>
      </w:pPr>
      <w:r>
        <w:rPr>
          <w:rFonts w:hint="eastAsia" w:ascii="宋体" w:hAnsi="宋体" w:cs="宋体"/>
          <w:color w:val="auto"/>
          <w:szCs w:val="21"/>
          <w:highlight w:val="none"/>
        </w:rPr>
        <w:t>12.4.</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 xml:space="preserve"> 支付分解表的编制</w:t>
      </w:r>
    </w:p>
    <w:p w14:paraId="74B86340">
      <w:pPr>
        <w:pStyle w:val="108"/>
        <w:spacing w:line="360" w:lineRule="auto"/>
        <w:ind w:firstLine="525" w:firstLineChars="250"/>
        <w:jc w:val="left"/>
        <w:rPr>
          <w:rFonts w:hint="eastAsia" w:ascii="宋体" w:hAnsi="宋体" w:cs="宋体"/>
          <w:color w:val="auto"/>
          <w:szCs w:val="21"/>
          <w:highlight w:val="none"/>
          <w:u w:val="single"/>
        </w:rPr>
      </w:pPr>
      <w:r>
        <w:rPr>
          <w:rFonts w:hint="eastAsia" w:ascii="宋体" w:hAnsi="宋体" w:cs="宋体"/>
          <w:color w:val="auto"/>
          <w:szCs w:val="21"/>
          <w:highlight w:val="none"/>
        </w:rPr>
        <w:t>2. 总价合同支付分解表的编制与审批：</w:t>
      </w:r>
      <w:r>
        <w:rPr>
          <w:rFonts w:hint="eastAsia" w:ascii="宋体" w:hAnsi="宋体" w:cs="宋体"/>
          <w:color w:val="auto"/>
          <w:szCs w:val="21"/>
          <w:highlight w:val="none"/>
          <w:u w:val="single"/>
        </w:rPr>
        <w:t xml:space="preserve">      按通用合同条款执行       </w:t>
      </w:r>
      <w:r>
        <w:rPr>
          <w:rFonts w:hint="eastAsia" w:ascii="宋体" w:hAnsi="宋体" w:cs="宋体"/>
          <w:color w:val="auto"/>
          <w:szCs w:val="21"/>
          <w:highlight w:val="none"/>
        </w:rPr>
        <w:t>。</w:t>
      </w:r>
    </w:p>
    <w:p w14:paraId="53847838">
      <w:pPr>
        <w:pStyle w:val="108"/>
        <w:spacing w:line="360" w:lineRule="auto"/>
        <w:ind w:firstLine="525" w:firstLineChars="250"/>
        <w:jc w:val="left"/>
        <w:rPr>
          <w:rFonts w:hint="eastAsia" w:ascii="宋体" w:hAnsi="宋体" w:cs="宋体"/>
          <w:color w:val="auto"/>
          <w:szCs w:val="21"/>
          <w:highlight w:val="none"/>
          <w:u w:val="single"/>
        </w:rPr>
      </w:pPr>
      <w:r>
        <w:rPr>
          <w:rFonts w:hint="eastAsia" w:ascii="宋体" w:hAnsi="宋体" w:cs="宋体"/>
          <w:color w:val="auto"/>
          <w:szCs w:val="21"/>
          <w:highlight w:val="none"/>
        </w:rPr>
        <w:t>3. 单价合同的总价项目支付分解表的编制与审批：总价项目不采用支付分解表的方式计算，而按《建设工程工程量清单计价规范（GB50500-2013）广西壮族自治区实施细则》的规定执行。</w:t>
      </w:r>
    </w:p>
    <w:p w14:paraId="64FA6F20">
      <w:pPr>
        <w:pStyle w:val="174"/>
        <w:spacing w:before="0" w:beforeLines="0" w:after="0" w:afterLines="0" w:line="420" w:lineRule="exact"/>
        <w:rPr>
          <w:rFonts w:hint="eastAsia" w:ascii="宋体" w:hAnsi="宋体" w:cs="宋体"/>
          <w:color w:val="auto"/>
          <w:sz w:val="24"/>
          <w:szCs w:val="24"/>
          <w:highlight w:val="none"/>
        </w:rPr>
      </w:pPr>
      <w:bookmarkStart w:id="677" w:name="_Toc497147211"/>
      <w:bookmarkStart w:id="678" w:name="_Toc75182756"/>
      <w:bookmarkStart w:id="679" w:name="_Toc497901167"/>
      <w:bookmarkStart w:id="680" w:name="_Toc407135256"/>
      <w:bookmarkStart w:id="681" w:name="_Toc47088355"/>
      <w:bookmarkStart w:id="682" w:name="_Toc497215768"/>
      <w:r>
        <w:rPr>
          <w:rFonts w:hint="eastAsia" w:ascii="宋体" w:hAnsi="宋体" w:cs="宋体"/>
          <w:color w:val="auto"/>
          <w:sz w:val="24"/>
          <w:szCs w:val="24"/>
          <w:highlight w:val="none"/>
        </w:rPr>
        <w:t>13. 验收和工程试车</w:t>
      </w:r>
      <w:bookmarkEnd w:id="677"/>
      <w:bookmarkEnd w:id="678"/>
      <w:bookmarkEnd w:id="679"/>
      <w:bookmarkEnd w:id="680"/>
      <w:bookmarkEnd w:id="681"/>
      <w:bookmarkEnd w:id="682"/>
    </w:p>
    <w:p w14:paraId="5069C3C0">
      <w:pPr>
        <w:pStyle w:val="174"/>
        <w:spacing w:before="0" w:beforeLines="0" w:after="0" w:afterLines="0" w:line="420" w:lineRule="exact"/>
        <w:rPr>
          <w:rFonts w:hint="eastAsia" w:ascii="宋体" w:hAnsi="宋体" w:cs="宋体"/>
          <w:color w:val="auto"/>
          <w:sz w:val="24"/>
          <w:szCs w:val="24"/>
          <w:highlight w:val="none"/>
        </w:rPr>
      </w:pPr>
      <w:bookmarkStart w:id="683" w:name="_Toc497901168"/>
      <w:bookmarkStart w:id="684" w:name="_Toc75182757"/>
      <w:bookmarkStart w:id="685" w:name="_Toc407135257"/>
      <w:bookmarkStart w:id="686" w:name="_Toc47088356"/>
      <w:bookmarkStart w:id="687" w:name="_Toc497147212"/>
      <w:bookmarkStart w:id="688" w:name="_Toc497215769"/>
      <w:r>
        <w:rPr>
          <w:rFonts w:hint="eastAsia" w:ascii="宋体" w:hAnsi="宋体" w:cs="宋体"/>
          <w:color w:val="auto"/>
          <w:sz w:val="24"/>
          <w:szCs w:val="24"/>
          <w:highlight w:val="none"/>
        </w:rPr>
        <w:t>13.1 分部分项工程验收</w:t>
      </w:r>
      <w:bookmarkEnd w:id="683"/>
      <w:bookmarkEnd w:id="684"/>
      <w:bookmarkEnd w:id="685"/>
      <w:bookmarkEnd w:id="686"/>
      <w:bookmarkEnd w:id="687"/>
      <w:bookmarkEnd w:id="688"/>
    </w:p>
    <w:p w14:paraId="3DCE4239">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13.1.2监理人不能按时进行验收时，应提前</w:t>
      </w:r>
      <w:r>
        <w:rPr>
          <w:rFonts w:hint="eastAsia" w:ascii="宋体" w:hAnsi="宋体" w:cs="宋体"/>
          <w:color w:val="auto"/>
          <w:szCs w:val="21"/>
          <w:highlight w:val="none"/>
          <w:u w:val="single"/>
        </w:rPr>
        <w:t xml:space="preserve"> 24  </w:t>
      </w:r>
      <w:r>
        <w:rPr>
          <w:rFonts w:hint="eastAsia" w:ascii="宋体" w:hAnsi="宋体" w:cs="宋体"/>
          <w:color w:val="auto"/>
          <w:szCs w:val="21"/>
          <w:highlight w:val="none"/>
        </w:rPr>
        <w:t>小时提交书面延期要求。</w:t>
      </w:r>
    </w:p>
    <w:p w14:paraId="78AEF59D">
      <w:pPr>
        <w:pStyle w:val="108"/>
        <w:spacing w:line="360" w:lineRule="auto"/>
        <w:ind w:firstLine="420" w:firstLineChars="200"/>
        <w:jc w:val="left"/>
        <w:rPr>
          <w:rFonts w:hint="eastAsia" w:ascii="宋体" w:hAnsi="宋体" w:cs="宋体"/>
          <w:b/>
          <w:color w:val="auto"/>
          <w:szCs w:val="21"/>
          <w:highlight w:val="none"/>
        </w:rPr>
      </w:pPr>
      <w:r>
        <w:rPr>
          <w:rFonts w:hint="eastAsia" w:ascii="宋体" w:hAnsi="宋体" w:cs="宋体"/>
          <w:color w:val="auto"/>
          <w:szCs w:val="21"/>
          <w:highlight w:val="none"/>
        </w:rPr>
        <w:t>关于延期最长不得超过：</w:t>
      </w:r>
      <w:r>
        <w:rPr>
          <w:rFonts w:hint="eastAsia" w:ascii="宋体" w:hAnsi="宋体" w:cs="宋体"/>
          <w:color w:val="auto"/>
          <w:szCs w:val="21"/>
          <w:highlight w:val="none"/>
          <w:u w:val="single"/>
        </w:rPr>
        <w:t xml:space="preserve"> 48  </w:t>
      </w:r>
      <w:r>
        <w:rPr>
          <w:rFonts w:hint="eastAsia" w:ascii="宋体" w:hAnsi="宋体" w:cs="宋体"/>
          <w:color w:val="auto"/>
          <w:szCs w:val="21"/>
          <w:highlight w:val="none"/>
        </w:rPr>
        <w:t>小时。</w:t>
      </w:r>
    </w:p>
    <w:p w14:paraId="01811F07">
      <w:pPr>
        <w:pStyle w:val="174"/>
        <w:spacing w:before="0" w:beforeLines="0" w:after="0" w:afterLines="0" w:line="420" w:lineRule="exact"/>
        <w:rPr>
          <w:rFonts w:hint="eastAsia" w:ascii="宋体" w:hAnsi="宋体" w:cs="宋体"/>
          <w:color w:val="auto"/>
          <w:sz w:val="24"/>
          <w:szCs w:val="24"/>
          <w:highlight w:val="none"/>
        </w:rPr>
      </w:pPr>
      <w:bookmarkStart w:id="689" w:name="_Toc497901169"/>
      <w:bookmarkStart w:id="690" w:name="_Toc497147213"/>
      <w:bookmarkStart w:id="691" w:name="_Toc47088357"/>
      <w:bookmarkStart w:id="692" w:name="_Toc75182758"/>
      <w:bookmarkStart w:id="693" w:name="_Toc497215770"/>
      <w:bookmarkStart w:id="694" w:name="_Toc407135258"/>
      <w:r>
        <w:rPr>
          <w:rFonts w:hint="eastAsia" w:ascii="宋体" w:hAnsi="宋体" w:cs="宋体"/>
          <w:color w:val="auto"/>
          <w:sz w:val="24"/>
          <w:szCs w:val="24"/>
          <w:highlight w:val="none"/>
        </w:rPr>
        <w:t>13.2 竣工验收</w:t>
      </w:r>
      <w:bookmarkEnd w:id="689"/>
      <w:bookmarkEnd w:id="690"/>
      <w:bookmarkEnd w:id="691"/>
      <w:bookmarkEnd w:id="692"/>
      <w:bookmarkEnd w:id="693"/>
      <w:bookmarkEnd w:id="694"/>
    </w:p>
    <w:p w14:paraId="672AA17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13.2.1竣工验收条件</w:t>
      </w:r>
    </w:p>
    <w:p w14:paraId="59754275">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（3）承包人负责整理和提交的竣工验收资料应当符合工程所在地建设行政主管部门和(或)城市建设档案管理机构有关施工资料的要求，具体内容包括：</w:t>
      </w:r>
    </w:p>
    <w:p w14:paraId="4966C6DE">
      <w:pPr>
        <w:pStyle w:val="108"/>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u w:val="single"/>
        </w:rPr>
        <w:t>（1）工程具备竣工验收条件，承包人按工程竣工验收有关规定，向发包人提交完整竣工资料（含竣工图）及竣工验收报告。提交的时间为竣工预验后5天前。</w:t>
      </w:r>
    </w:p>
    <w:p w14:paraId="35E72E06">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u w:val="single"/>
        </w:rPr>
        <w:t>（2）符合国家竣工验收规范有关工程竣工验收资料备案及城建档案馆有关资料存档的要求，并随时接受发包人及上述有关部门提出的补充整改的要求</w:t>
      </w:r>
      <w:r>
        <w:rPr>
          <w:rFonts w:hint="eastAsia" w:ascii="宋体" w:hAnsi="宋体" w:cs="宋体"/>
          <w:color w:val="auto"/>
          <w:szCs w:val="21"/>
          <w:highlight w:val="none"/>
        </w:rPr>
        <w:t>。</w:t>
      </w:r>
    </w:p>
    <w:p w14:paraId="78D42A5C">
      <w:pPr>
        <w:pStyle w:val="108"/>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竣工验收资料的份数：</w:t>
      </w:r>
      <w:r>
        <w:rPr>
          <w:rFonts w:hint="eastAsia" w:ascii="宋体" w:hAnsi="宋体" w:cs="宋体"/>
          <w:color w:val="auto"/>
          <w:szCs w:val="21"/>
          <w:highlight w:val="none"/>
          <w:u w:val="single"/>
        </w:rPr>
        <w:t>4份</w:t>
      </w:r>
      <w:r>
        <w:rPr>
          <w:rFonts w:hint="eastAsia" w:ascii="宋体" w:hAnsi="宋体" w:cs="宋体"/>
          <w:color w:val="auto"/>
          <w:szCs w:val="21"/>
          <w:highlight w:val="none"/>
        </w:rPr>
        <w:t>。</w:t>
      </w:r>
    </w:p>
    <w:p w14:paraId="0AF508D1">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bCs/>
          <w:color w:val="auto"/>
          <w:szCs w:val="21"/>
          <w:highlight w:val="none"/>
        </w:rPr>
        <w:t>承包人提供竣工图的约定：</w:t>
      </w:r>
      <w:r>
        <w:rPr>
          <w:rFonts w:hint="eastAsia" w:ascii="宋体" w:hAnsi="宋体" w:cs="宋体"/>
          <w:bCs/>
          <w:color w:val="auto"/>
          <w:szCs w:val="21"/>
          <w:highlight w:val="none"/>
          <w:u w:val="single"/>
        </w:rPr>
        <w:t>竣工验收正式通过后5天（工程造价在500万元以下含500万元）、10天（工程造价在500万元至1000万元之间含1000万元）、15天（工程造价在1000万元以上），提供竣工图的数量分别为2套、4套、6套。</w:t>
      </w:r>
    </w:p>
    <w:p w14:paraId="259E2A83">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13.2.2竣工验收程序</w:t>
      </w:r>
    </w:p>
    <w:p w14:paraId="24DF107A">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关于竣工验收程序的约定：</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按通用合同条款13.2.2执行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677F7FF">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发包人不按照本项约定组织竣工验收、颁发工程接收证书的违约金的计算方法：</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C92DAA4">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13.2.</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移交、接收全部与部分工程</w:t>
      </w:r>
    </w:p>
    <w:p w14:paraId="6043EBF4">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工程通过竣工验收28天内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8330655">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发包人未按本合同约定接收全部或部分工程的，违约金的计算方法为：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EE0B377">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承包人未按时移交工程的，违约金的计算方法为：</w:t>
      </w:r>
      <w:r>
        <w:rPr>
          <w:rFonts w:hint="eastAsia" w:ascii="宋体" w:hAnsi="宋体" w:cs="宋体"/>
          <w:color w:val="auto"/>
          <w:szCs w:val="21"/>
          <w:highlight w:val="none"/>
          <w:u w:val="single"/>
        </w:rPr>
        <w:t>每天赔偿金额为合同价款扣除发包人材料价款、暂估专业工程、暂列金额后的万分之四</w:t>
      </w:r>
      <w:r>
        <w:rPr>
          <w:rFonts w:hint="eastAsia" w:ascii="宋体" w:hAnsi="宋体" w:cs="宋体"/>
          <w:color w:val="auto"/>
          <w:szCs w:val="21"/>
          <w:highlight w:val="none"/>
        </w:rPr>
        <w:t>。</w:t>
      </w:r>
    </w:p>
    <w:p w14:paraId="4938A14D">
      <w:pPr>
        <w:pStyle w:val="174"/>
        <w:spacing w:before="0" w:beforeLines="0" w:after="0" w:afterLines="0" w:line="420" w:lineRule="exact"/>
        <w:rPr>
          <w:rFonts w:hint="eastAsia" w:ascii="宋体" w:hAnsi="宋体" w:cs="宋体"/>
          <w:color w:val="auto"/>
          <w:sz w:val="24"/>
          <w:szCs w:val="24"/>
          <w:highlight w:val="none"/>
        </w:rPr>
      </w:pPr>
      <w:bookmarkStart w:id="695" w:name="_Toc497147214"/>
      <w:bookmarkStart w:id="696" w:name="_Toc407135259"/>
      <w:bookmarkStart w:id="697" w:name="_Toc75182759"/>
      <w:bookmarkStart w:id="698" w:name="_Toc47088358"/>
      <w:bookmarkStart w:id="699" w:name="_Toc497215771"/>
      <w:bookmarkStart w:id="700" w:name="_Toc497901170"/>
      <w:r>
        <w:rPr>
          <w:rFonts w:hint="eastAsia" w:ascii="宋体" w:hAnsi="宋体" w:cs="宋体"/>
          <w:color w:val="auto"/>
          <w:sz w:val="24"/>
          <w:szCs w:val="24"/>
          <w:highlight w:val="none"/>
        </w:rPr>
        <w:t>13.3 工程试车</w:t>
      </w:r>
      <w:bookmarkEnd w:id="695"/>
      <w:bookmarkEnd w:id="696"/>
      <w:bookmarkEnd w:id="697"/>
      <w:bookmarkEnd w:id="698"/>
      <w:bookmarkEnd w:id="699"/>
      <w:bookmarkEnd w:id="700"/>
    </w:p>
    <w:p w14:paraId="3BECD386">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13.3.1 试车程序</w:t>
      </w:r>
    </w:p>
    <w:p w14:paraId="2214D8F2">
      <w:pPr>
        <w:pStyle w:val="115"/>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工程试车内容：</w:t>
      </w:r>
      <w:r>
        <w:rPr>
          <w:rFonts w:hint="eastAsia" w:ascii="宋体" w:hAnsi="宋体" w:cs="宋体"/>
          <w:color w:val="auto"/>
          <w:szCs w:val="21"/>
          <w:highlight w:val="none"/>
          <w:u w:val="single"/>
        </w:rPr>
        <w:t xml:space="preserve">  按通用条款13.3执行  </w:t>
      </w:r>
      <w:r>
        <w:rPr>
          <w:rFonts w:hint="eastAsia" w:ascii="宋体" w:hAnsi="宋体" w:cs="宋体"/>
          <w:color w:val="auto"/>
          <w:szCs w:val="21"/>
          <w:highlight w:val="none"/>
        </w:rPr>
        <w:t>。</w:t>
      </w:r>
    </w:p>
    <w:p w14:paraId="3EF98E76">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（1）单机无负荷试车费用由</w:t>
      </w:r>
      <w:r>
        <w:rPr>
          <w:rFonts w:hint="eastAsia" w:ascii="宋体" w:hAnsi="宋体" w:cs="宋体"/>
          <w:color w:val="auto"/>
          <w:szCs w:val="21"/>
          <w:highlight w:val="none"/>
          <w:u w:val="single"/>
        </w:rPr>
        <w:t xml:space="preserve">    承包人  </w:t>
      </w:r>
      <w:r>
        <w:rPr>
          <w:rFonts w:hint="eastAsia" w:ascii="宋体" w:hAnsi="宋体" w:cs="宋体"/>
          <w:color w:val="auto"/>
          <w:kern w:val="0"/>
          <w:szCs w:val="21"/>
          <w:highlight w:val="none"/>
        </w:rPr>
        <w:t>承担；</w:t>
      </w:r>
    </w:p>
    <w:p w14:paraId="1D7CC830">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（2）无负荷联动试车费用由</w:t>
      </w:r>
      <w:r>
        <w:rPr>
          <w:rFonts w:hint="eastAsia" w:ascii="宋体" w:hAnsi="宋体" w:cs="宋体"/>
          <w:color w:val="auto"/>
          <w:szCs w:val="21"/>
          <w:highlight w:val="none"/>
          <w:u w:val="single"/>
        </w:rPr>
        <w:t xml:space="preserve">   承包人  </w:t>
      </w:r>
      <w:r>
        <w:rPr>
          <w:rFonts w:hint="eastAsia" w:ascii="宋体" w:hAnsi="宋体" w:cs="宋体"/>
          <w:color w:val="auto"/>
          <w:kern w:val="0"/>
          <w:szCs w:val="21"/>
          <w:highlight w:val="none"/>
        </w:rPr>
        <w:t>承担。</w:t>
      </w:r>
    </w:p>
    <w:p w14:paraId="1407444C">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13.3.</w:t>
      </w: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 xml:space="preserve"> 投料试车</w:t>
      </w:r>
    </w:p>
    <w:p w14:paraId="1879EA30">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关于投料试车相关事项的约定：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1E607E4">
      <w:pPr>
        <w:pStyle w:val="174"/>
        <w:spacing w:before="0" w:beforeLines="0" w:after="0" w:afterLines="0" w:line="420" w:lineRule="exact"/>
        <w:rPr>
          <w:rFonts w:hint="eastAsia" w:ascii="宋体" w:hAnsi="宋体" w:cs="宋体"/>
          <w:color w:val="auto"/>
          <w:sz w:val="24"/>
          <w:szCs w:val="24"/>
          <w:highlight w:val="none"/>
        </w:rPr>
      </w:pPr>
      <w:bookmarkStart w:id="701" w:name="_Toc497901171"/>
      <w:bookmarkStart w:id="702" w:name="_Toc407135260"/>
      <w:bookmarkStart w:id="703" w:name="_Toc497215772"/>
      <w:bookmarkStart w:id="704" w:name="_Toc47088359"/>
      <w:bookmarkStart w:id="705" w:name="_Toc497147215"/>
      <w:bookmarkStart w:id="706" w:name="_Toc75182760"/>
      <w:r>
        <w:rPr>
          <w:rFonts w:hint="eastAsia" w:ascii="宋体" w:hAnsi="宋体" w:cs="宋体"/>
          <w:color w:val="auto"/>
          <w:sz w:val="24"/>
          <w:szCs w:val="24"/>
          <w:highlight w:val="none"/>
        </w:rPr>
        <w:t>13.</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竣工退场</w:t>
      </w:r>
      <w:bookmarkEnd w:id="701"/>
      <w:bookmarkEnd w:id="702"/>
      <w:bookmarkEnd w:id="703"/>
      <w:bookmarkEnd w:id="704"/>
      <w:bookmarkEnd w:id="705"/>
      <w:bookmarkEnd w:id="706"/>
    </w:p>
    <w:p w14:paraId="58E28B73">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13.</w:t>
      </w: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.1 竣工退场</w:t>
      </w:r>
    </w:p>
    <w:p w14:paraId="1DB6E25F">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承包人完成竣工退场的期限：</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颁发工程</w:t>
      </w:r>
      <w:r>
        <w:rPr>
          <w:rFonts w:hint="eastAsia" w:ascii="宋体" w:hAnsi="宋体" w:cs="宋体"/>
          <w:b/>
          <w:color w:val="auto"/>
          <w:kern w:val="0"/>
          <w:szCs w:val="21"/>
          <w:highlight w:val="none"/>
          <w:u w:val="single"/>
        </w:rPr>
        <w:t>接收证书后10天内</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418AB3F2">
      <w:pPr>
        <w:pStyle w:val="174"/>
        <w:spacing w:before="0" w:beforeLines="0" w:after="0" w:afterLines="0" w:line="420" w:lineRule="exact"/>
        <w:rPr>
          <w:rFonts w:hint="eastAsia" w:ascii="宋体" w:hAnsi="宋体" w:cs="宋体"/>
          <w:color w:val="auto"/>
          <w:sz w:val="24"/>
          <w:szCs w:val="24"/>
          <w:highlight w:val="none"/>
        </w:rPr>
      </w:pPr>
      <w:bookmarkStart w:id="707" w:name="_Toc497215773"/>
      <w:bookmarkStart w:id="708" w:name="_Toc497147216"/>
      <w:bookmarkStart w:id="709" w:name="_Toc497901172"/>
      <w:bookmarkStart w:id="710" w:name="_Toc75182761"/>
      <w:bookmarkStart w:id="711" w:name="_Toc47088360"/>
      <w:bookmarkStart w:id="712" w:name="_Toc407135261"/>
      <w:r>
        <w:rPr>
          <w:rFonts w:hint="eastAsia" w:ascii="宋体" w:hAnsi="宋体" w:cs="宋体"/>
          <w:color w:val="auto"/>
          <w:sz w:val="24"/>
          <w:szCs w:val="24"/>
          <w:highlight w:val="none"/>
        </w:rPr>
        <w:t>14. 竣工结算</w:t>
      </w:r>
      <w:bookmarkEnd w:id="707"/>
      <w:bookmarkEnd w:id="708"/>
      <w:bookmarkEnd w:id="709"/>
      <w:bookmarkEnd w:id="710"/>
      <w:bookmarkEnd w:id="711"/>
      <w:bookmarkEnd w:id="712"/>
    </w:p>
    <w:p w14:paraId="71A006C2">
      <w:pPr>
        <w:pStyle w:val="174"/>
        <w:spacing w:before="0" w:beforeLines="0" w:after="0" w:afterLines="0" w:line="420" w:lineRule="exact"/>
        <w:rPr>
          <w:rFonts w:hint="eastAsia" w:ascii="宋体" w:hAnsi="宋体" w:cs="宋体"/>
          <w:color w:val="auto"/>
          <w:sz w:val="24"/>
          <w:szCs w:val="24"/>
          <w:highlight w:val="none"/>
        </w:rPr>
      </w:pPr>
      <w:bookmarkStart w:id="713" w:name="_Toc47088361"/>
      <w:bookmarkStart w:id="714" w:name="_Toc407135262"/>
      <w:bookmarkStart w:id="715" w:name="_Toc497215774"/>
      <w:bookmarkStart w:id="716" w:name="_Toc75182762"/>
      <w:bookmarkStart w:id="717" w:name="_Toc497147217"/>
      <w:bookmarkStart w:id="718" w:name="_Toc497901173"/>
      <w:r>
        <w:rPr>
          <w:rFonts w:hint="eastAsia" w:ascii="宋体" w:hAnsi="宋体" w:cs="宋体"/>
          <w:color w:val="auto"/>
          <w:sz w:val="24"/>
          <w:szCs w:val="24"/>
          <w:highlight w:val="none"/>
        </w:rPr>
        <w:t>14.1 竣工付款申请</w:t>
      </w:r>
      <w:bookmarkEnd w:id="713"/>
      <w:bookmarkEnd w:id="714"/>
      <w:bookmarkEnd w:id="715"/>
      <w:bookmarkEnd w:id="716"/>
      <w:bookmarkEnd w:id="717"/>
      <w:bookmarkEnd w:id="718"/>
    </w:p>
    <w:p w14:paraId="47310170">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承包人提交竣工付款申请单的期限：</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工程</w:t>
      </w:r>
      <w:r>
        <w:rPr>
          <w:rFonts w:hint="eastAsia" w:ascii="宋体" w:hAnsi="宋体" w:cs="宋体"/>
          <w:b/>
          <w:color w:val="auto"/>
          <w:kern w:val="0"/>
          <w:szCs w:val="21"/>
          <w:highlight w:val="none"/>
          <w:u w:val="single"/>
        </w:rPr>
        <w:t>竣工验收合格后28天内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CEE197A">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竣工付款申请单应包括的内容：</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执行通用条款</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B76891D">
      <w:pPr>
        <w:pStyle w:val="174"/>
        <w:spacing w:before="0" w:beforeLines="0" w:after="0" w:afterLines="0" w:line="420" w:lineRule="exact"/>
        <w:rPr>
          <w:rFonts w:hint="eastAsia" w:ascii="宋体" w:hAnsi="宋体" w:cs="宋体"/>
          <w:color w:val="auto"/>
          <w:sz w:val="24"/>
          <w:szCs w:val="24"/>
          <w:highlight w:val="none"/>
        </w:rPr>
      </w:pPr>
      <w:bookmarkStart w:id="719" w:name="_Toc497215775"/>
      <w:bookmarkStart w:id="720" w:name="_Toc407135263"/>
      <w:bookmarkStart w:id="721" w:name="_Toc47088362"/>
      <w:bookmarkStart w:id="722" w:name="_Toc75182763"/>
      <w:bookmarkStart w:id="723" w:name="_Toc497147218"/>
      <w:bookmarkStart w:id="724" w:name="_Toc497901174"/>
      <w:r>
        <w:rPr>
          <w:rFonts w:hint="eastAsia" w:ascii="宋体" w:hAnsi="宋体" w:cs="宋体"/>
          <w:color w:val="auto"/>
          <w:sz w:val="24"/>
          <w:szCs w:val="24"/>
          <w:highlight w:val="none"/>
        </w:rPr>
        <w:t>14.2 竣工结算审核</w:t>
      </w:r>
      <w:bookmarkEnd w:id="719"/>
      <w:bookmarkEnd w:id="720"/>
      <w:bookmarkEnd w:id="721"/>
      <w:bookmarkEnd w:id="722"/>
      <w:bookmarkEnd w:id="723"/>
      <w:bookmarkEnd w:id="724"/>
    </w:p>
    <w:p w14:paraId="57F8E483">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发包人审批竣工付款申请单的期限：</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466"/>
        <w:gridCol w:w="5967"/>
      </w:tblGrid>
      <w:tr w14:paraId="22693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242B4BDF">
            <w:pPr>
              <w:pStyle w:val="108"/>
              <w:spacing w:line="360" w:lineRule="auto"/>
              <w:rPr>
                <w:rFonts w:hint="eastAsia" w:ascii="宋体" w:hAnsi="宋体" w:cs="宋体"/>
                <w:bCs/>
                <w:color w:val="auto"/>
                <w:szCs w:val="21"/>
                <w:highlight w:val="none"/>
              </w:rPr>
            </w:pPr>
          </w:p>
        </w:tc>
        <w:tc>
          <w:tcPr>
            <w:tcW w:w="2466" w:type="dxa"/>
            <w:noWrap w:val="0"/>
            <w:vAlign w:val="center"/>
          </w:tcPr>
          <w:p w14:paraId="7382B799">
            <w:pPr>
              <w:pStyle w:val="108"/>
              <w:spacing w:line="360" w:lineRule="auto"/>
              <w:ind w:firstLine="27" w:firstLineChars="13"/>
              <w:jc w:val="center"/>
              <w:rPr>
                <w:rFonts w:hint="eastAsia" w:ascii="宋体" w:hAnsi="宋体" w:cs="宋体"/>
                <w:bCs/>
                <w:color w:val="auto"/>
                <w:szCs w:val="21"/>
                <w:highlight w:val="none"/>
              </w:rPr>
            </w:pPr>
            <w:r>
              <w:rPr>
                <w:rFonts w:hint="eastAsia" w:ascii="宋体" w:hAnsi="宋体" w:cs="宋体"/>
                <w:bCs/>
                <w:color w:val="auto"/>
                <w:szCs w:val="21"/>
                <w:highlight w:val="none"/>
              </w:rPr>
              <w:t>工程竣工结算报告金额</w:t>
            </w:r>
          </w:p>
        </w:tc>
        <w:tc>
          <w:tcPr>
            <w:tcW w:w="5967" w:type="dxa"/>
            <w:noWrap w:val="0"/>
            <w:vAlign w:val="center"/>
          </w:tcPr>
          <w:p w14:paraId="06B56013">
            <w:pPr>
              <w:pStyle w:val="108"/>
              <w:spacing w:line="360" w:lineRule="auto"/>
              <w:ind w:firstLine="441" w:firstLineChars="210"/>
              <w:jc w:val="center"/>
              <w:rPr>
                <w:rFonts w:hint="eastAsia" w:ascii="宋体" w:hAnsi="宋体" w:cs="宋体"/>
                <w:bCs/>
                <w:color w:val="auto"/>
                <w:szCs w:val="21"/>
                <w:highlight w:val="none"/>
              </w:rPr>
            </w:pPr>
            <w:r>
              <w:rPr>
                <w:rFonts w:hint="eastAsia" w:ascii="宋体" w:hAnsi="宋体" w:cs="宋体"/>
                <w:bCs/>
                <w:color w:val="auto"/>
                <w:szCs w:val="21"/>
                <w:highlight w:val="none"/>
              </w:rPr>
              <w:t>发包人审查时间</w:t>
            </w:r>
          </w:p>
        </w:tc>
      </w:tr>
      <w:tr w14:paraId="2D12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2271994A">
            <w:pPr>
              <w:pStyle w:val="108"/>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w:t>
            </w:r>
          </w:p>
        </w:tc>
        <w:tc>
          <w:tcPr>
            <w:tcW w:w="2466" w:type="dxa"/>
            <w:noWrap w:val="0"/>
            <w:vAlign w:val="center"/>
          </w:tcPr>
          <w:p w14:paraId="4CCDD07F">
            <w:pPr>
              <w:pStyle w:val="108"/>
              <w:spacing w:line="360" w:lineRule="auto"/>
              <w:ind w:firstLine="27" w:firstLineChars="13"/>
              <w:jc w:val="center"/>
              <w:rPr>
                <w:rFonts w:hint="eastAsia" w:ascii="宋体" w:hAnsi="宋体" w:cs="宋体"/>
                <w:bCs/>
                <w:color w:val="auto"/>
                <w:szCs w:val="21"/>
                <w:highlight w:val="none"/>
              </w:rPr>
            </w:pPr>
            <w:r>
              <w:rPr>
                <w:rFonts w:hint="eastAsia" w:ascii="宋体" w:hAnsi="宋体" w:cs="宋体"/>
                <w:bCs/>
                <w:color w:val="auto"/>
                <w:szCs w:val="21"/>
                <w:highlight w:val="none"/>
              </w:rPr>
              <w:t>500万元以下</w:t>
            </w:r>
          </w:p>
        </w:tc>
        <w:tc>
          <w:tcPr>
            <w:tcW w:w="5967" w:type="dxa"/>
            <w:noWrap w:val="0"/>
            <w:vAlign w:val="center"/>
          </w:tcPr>
          <w:p w14:paraId="06D61E15">
            <w:pPr>
              <w:pStyle w:val="108"/>
              <w:spacing w:line="360" w:lineRule="auto"/>
              <w:ind w:firstLine="441" w:firstLineChars="210"/>
              <w:jc w:val="center"/>
              <w:rPr>
                <w:rFonts w:hint="eastAsia" w:ascii="宋体" w:hAnsi="宋体" w:cs="宋体"/>
                <w:bCs/>
                <w:color w:val="auto"/>
                <w:szCs w:val="21"/>
                <w:highlight w:val="none"/>
              </w:rPr>
            </w:pPr>
            <w:r>
              <w:rPr>
                <w:rFonts w:hint="eastAsia" w:ascii="宋体" w:hAnsi="宋体" w:cs="宋体"/>
                <w:bCs/>
                <w:color w:val="auto"/>
                <w:szCs w:val="21"/>
                <w:highlight w:val="none"/>
              </w:rPr>
              <w:t>从接到竣工结算报告和完整的竣工结算资料之日起20天</w:t>
            </w:r>
          </w:p>
        </w:tc>
      </w:tr>
      <w:tr w14:paraId="6369B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0A3D9F4A">
            <w:pPr>
              <w:pStyle w:val="108"/>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w:t>
            </w:r>
          </w:p>
        </w:tc>
        <w:tc>
          <w:tcPr>
            <w:tcW w:w="2466" w:type="dxa"/>
            <w:noWrap w:val="0"/>
            <w:vAlign w:val="center"/>
          </w:tcPr>
          <w:p w14:paraId="26FA48A8">
            <w:pPr>
              <w:pStyle w:val="108"/>
              <w:spacing w:line="360" w:lineRule="auto"/>
              <w:ind w:firstLine="27" w:firstLineChars="13"/>
              <w:jc w:val="center"/>
              <w:rPr>
                <w:rFonts w:hint="eastAsia" w:ascii="宋体" w:hAnsi="宋体" w:cs="宋体"/>
                <w:bCs/>
                <w:color w:val="auto"/>
                <w:szCs w:val="21"/>
                <w:highlight w:val="none"/>
              </w:rPr>
            </w:pPr>
            <w:r>
              <w:rPr>
                <w:rFonts w:hint="eastAsia" w:ascii="宋体" w:hAnsi="宋体" w:cs="宋体"/>
                <w:bCs/>
                <w:color w:val="auto"/>
                <w:szCs w:val="21"/>
                <w:highlight w:val="none"/>
              </w:rPr>
              <w:t>500万元-2000万元</w:t>
            </w:r>
          </w:p>
        </w:tc>
        <w:tc>
          <w:tcPr>
            <w:tcW w:w="5967" w:type="dxa"/>
            <w:noWrap w:val="0"/>
            <w:vAlign w:val="center"/>
          </w:tcPr>
          <w:p w14:paraId="51B2E606">
            <w:pPr>
              <w:pStyle w:val="108"/>
              <w:spacing w:line="360" w:lineRule="auto"/>
              <w:ind w:firstLine="441" w:firstLineChars="210"/>
              <w:jc w:val="center"/>
              <w:rPr>
                <w:rFonts w:hint="eastAsia" w:ascii="宋体" w:hAnsi="宋体" w:cs="宋体"/>
                <w:bCs/>
                <w:color w:val="auto"/>
                <w:szCs w:val="21"/>
                <w:highlight w:val="none"/>
              </w:rPr>
            </w:pPr>
            <w:r>
              <w:rPr>
                <w:rFonts w:hint="eastAsia" w:ascii="宋体" w:hAnsi="宋体" w:cs="宋体"/>
                <w:bCs/>
                <w:color w:val="auto"/>
                <w:szCs w:val="21"/>
                <w:highlight w:val="none"/>
              </w:rPr>
              <w:t>从接到竣工结算报告和完整的竣工结算资料之日起30天</w:t>
            </w:r>
          </w:p>
        </w:tc>
      </w:tr>
      <w:tr w14:paraId="5C747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1E756610">
            <w:pPr>
              <w:pStyle w:val="108"/>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w:t>
            </w:r>
          </w:p>
        </w:tc>
        <w:tc>
          <w:tcPr>
            <w:tcW w:w="2466" w:type="dxa"/>
            <w:noWrap w:val="0"/>
            <w:vAlign w:val="center"/>
          </w:tcPr>
          <w:p w14:paraId="17B1A988">
            <w:pPr>
              <w:pStyle w:val="108"/>
              <w:spacing w:line="360" w:lineRule="auto"/>
              <w:ind w:firstLine="27" w:firstLineChars="13"/>
              <w:jc w:val="center"/>
              <w:rPr>
                <w:rFonts w:hint="eastAsia" w:ascii="宋体" w:hAnsi="宋体" w:cs="宋体"/>
                <w:bCs/>
                <w:color w:val="auto"/>
                <w:szCs w:val="21"/>
                <w:highlight w:val="none"/>
              </w:rPr>
            </w:pPr>
            <w:r>
              <w:rPr>
                <w:rFonts w:hint="eastAsia" w:ascii="宋体" w:hAnsi="宋体" w:cs="宋体"/>
                <w:bCs/>
                <w:color w:val="auto"/>
                <w:szCs w:val="21"/>
                <w:highlight w:val="none"/>
              </w:rPr>
              <w:t>2000万元-5000万元</w:t>
            </w:r>
          </w:p>
        </w:tc>
        <w:tc>
          <w:tcPr>
            <w:tcW w:w="5967" w:type="dxa"/>
            <w:noWrap w:val="0"/>
            <w:vAlign w:val="center"/>
          </w:tcPr>
          <w:p w14:paraId="6C63B468">
            <w:pPr>
              <w:pStyle w:val="108"/>
              <w:spacing w:line="360" w:lineRule="auto"/>
              <w:ind w:firstLine="441" w:firstLineChars="210"/>
              <w:jc w:val="center"/>
              <w:rPr>
                <w:rFonts w:hint="eastAsia" w:ascii="宋体" w:hAnsi="宋体" w:cs="宋体"/>
                <w:bCs/>
                <w:color w:val="auto"/>
                <w:szCs w:val="21"/>
                <w:highlight w:val="none"/>
              </w:rPr>
            </w:pPr>
            <w:r>
              <w:rPr>
                <w:rFonts w:hint="eastAsia" w:ascii="宋体" w:hAnsi="宋体" w:cs="宋体"/>
                <w:bCs/>
                <w:color w:val="auto"/>
                <w:szCs w:val="21"/>
                <w:highlight w:val="none"/>
              </w:rPr>
              <w:t>从接到竣工结算报告和完整的竣工结算资料之日起45天</w:t>
            </w:r>
          </w:p>
        </w:tc>
      </w:tr>
      <w:tr w14:paraId="2ED5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 w:type="dxa"/>
            <w:noWrap w:val="0"/>
            <w:vAlign w:val="center"/>
          </w:tcPr>
          <w:p w14:paraId="4CF94516">
            <w:pPr>
              <w:pStyle w:val="108"/>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w:t>
            </w:r>
          </w:p>
        </w:tc>
        <w:tc>
          <w:tcPr>
            <w:tcW w:w="2466" w:type="dxa"/>
            <w:noWrap w:val="0"/>
            <w:vAlign w:val="center"/>
          </w:tcPr>
          <w:p w14:paraId="4E4D8953">
            <w:pPr>
              <w:pStyle w:val="108"/>
              <w:spacing w:line="360" w:lineRule="auto"/>
              <w:ind w:firstLine="27" w:firstLineChars="13"/>
              <w:jc w:val="center"/>
              <w:rPr>
                <w:rFonts w:hint="eastAsia" w:ascii="宋体" w:hAnsi="宋体" w:cs="宋体"/>
                <w:bCs/>
                <w:color w:val="auto"/>
                <w:szCs w:val="21"/>
                <w:highlight w:val="none"/>
              </w:rPr>
            </w:pPr>
            <w:r>
              <w:rPr>
                <w:rFonts w:hint="eastAsia" w:ascii="宋体" w:hAnsi="宋体" w:cs="宋体"/>
                <w:bCs/>
                <w:color w:val="auto"/>
                <w:szCs w:val="21"/>
                <w:highlight w:val="none"/>
              </w:rPr>
              <w:t>5000万元以上</w:t>
            </w:r>
          </w:p>
        </w:tc>
        <w:tc>
          <w:tcPr>
            <w:tcW w:w="5967" w:type="dxa"/>
            <w:noWrap w:val="0"/>
            <w:vAlign w:val="center"/>
          </w:tcPr>
          <w:p w14:paraId="1BE6E40C">
            <w:pPr>
              <w:pStyle w:val="108"/>
              <w:spacing w:line="360" w:lineRule="auto"/>
              <w:ind w:firstLine="441" w:firstLineChars="210"/>
              <w:jc w:val="center"/>
              <w:rPr>
                <w:rFonts w:hint="eastAsia" w:ascii="宋体" w:hAnsi="宋体" w:cs="宋体"/>
                <w:bCs/>
                <w:color w:val="auto"/>
                <w:szCs w:val="21"/>
                <w:highlight w:val="none"/>
              </w:rPr>
            </w:pPr>
            <w:r>
              <w:rPr>
                <w:rFonts w:hint="eastAsia" w:ascii="宋体" w:hAnsi="宋体" w:cs="宋体"/>
                <w:bCs/>
                <w:color w:val="auto"/>
                <w:szCs w:val="21"/>
                <w:highlight w:val="none"/>
              </w:rPr>
              <w:t>从接到竣工结算报告和完整的竣工结算资料之日起60天</w:t>
            </w:r>
          </w:p>
        </w:tc>
      </w:tr>
    </w:tbl>
    <w:p w14:paraId="32F3E424">
      <w:pPr>
        <w:pStyle w:val="115"/>
        <w:spacing w:line="400" w:lineRule="exact"/>
        <w:ind w:firstLine="420" w:firstLineChars="200"/>
        <w:jc w:val="left"/>
        <w:rPr>
          <w:rFonts w:hint="eastAsia" w:ascii="宋体" w:hAnsi="宋体" w:cs="宋体"/>
          <w:color w:val="auto"/>
          <w:szCs w:val="21"/>
          <w:highlight w:val="none"/>
        </w:rPr>
      </w:pPr>
      <w:r>
        <w:rPr>
          <w:rFonts w:hint="eastAsia" w:ascii="宋体" w:hAnsi="宋体" w:cs="宋体"/>
          <w:bCs/>
          <w:color w:val="auto"/>
          <w:szCs w:val="21"/>
          <w:highlight w:val="none"/>
        </w:rPr>
        <w:t>因承包人提供的结算资料不完整而需要补充或承包人不按时对账耽误时间时，审查时间应相应顺延</w:t>
      </w:r>
      <w:r>
        <w:rPr>
          <w:rFonts w:hint="eastAsia" w:ascii="宋体" w:hAnsi="宋体" w:cs="宋体"/>
          <w:color w:val="auto"/>
          <w:szCs w:val="21"/>
          <w:highlight w:val="none"/>
        </w:rPr>
        <w:t>。</w:t>
      </w:r>
    </w:p>
    <w:p w14:paraId="45FD9FDD">
      <w:pPr>
        <w:pStyle w:val="115"/>
        <w:spacing w:line="400" w:lineRule="exact"/>
        <w:ind w:firstLine="411" w:firstLineChars="196"/>
        <w:rPr>
          <w:rFonts w:hint="eastAsia" w:ascii="宋体" w:hAnsi="宋体" w:cs="宋体"/>
          <w:bCs/>
          <w:color w:val="auto"/>
          <w:szCs w:val="21"/>
          <w:highlight w:val="none"/>
        </w:rPr>
      </w:pPr>
      <w:r>
        <w:rPr>
          <w:rFonts w:hint="eastAsia" w:ascii="宋体" w:hAnsi="宋体" w:cs="宋体"/>
          <w:bCs/>
          <w:color w:val="auto"/>
          <w:szCs w:val="21"/>
          <w:highlight w:val="none"/>
        </w:rPr>
        <w:t>结算审核约定：</w:t>
      </w:r>
    </w:p>
    <w:p w14:paraId="4C1F1212">
      <w:pPr>
        <w:pStyle w:val="115"/>
        <w:spacing w:line="400" w:lineRule="exact"/>
        <w:ind w:firstLine="411" w:firstLineChars="196"/>
        <w:rPr>
          <w:rFonts w:hint="eastAsia" w:ascii="宋体" w:hAnsi="宋体" w:cs="宋体"/>
          <w:bCs/>
          <w:color w:val="auto"/>
          <w:szCs w:val="21"/>
          <w:highlight w:val="none"/>
          <w:u w:val="single"/>
        </w:rPr>
      </w:pPr>
      <w:r>
        <w:rPr>
          <w:rFonts w:hint="eastAsia" w:ascii="宋体" w:hAnsi="宋体" w:cs="宋体"/>
          <w:bCs/>
          <w:color w:val="auto"/>
          <w:szCs w:val="21"/>
          <w:highlight w:val="none"/>
        </w:rPr>
        <w:t>非国有投资项目：</w:t>
      </w:r>
      <w:r>
        <w:rPr>
          <w:rFonts w:hint="eastAsia" w:ascii="宋体" w:hAnsi="宋体" w:cs="宋体"/>
          <w:color w:val="auto"/>
          <w:szCs w:val="21"/>
          <w:highlight w:val="none"/>
          <w:u w:val="single"/>
        </w:rPr>
        <w:t>1、工程竣工验收报告经发包人认可后 10 天内，承包人向发包人递交竣工验收合格资料及完整的结算资料和报告，双方按照协议书约定的合同价款及专用条款约定的合同价调整内容，进行工程竣工结算。2、发包人收到承包人递交的竣工结算报告及结算资料之日起 15 天内进行审核，给予确认或者提出初审意见。发包人逾期不予审定结算的视为发包人已同意上述竣工结算报告及结算资料，并以此作为最终结算的依据。发包人初审竣工结算完毕之日起30天内，按审定后的结算价款，通知经办银行向承包人支付工程竣工结算价款。承包人应根据发包人的需要随时将竣工工程交付发包人。</w:t>
      </w:r>
    </w:p>
    <w:p w14:paraId="45A7CD51">
      <w:pPr>
        <w:pStyle w:val="115"/>
        <w:spacing w:line="400" w:lineRule="exact"/>
        <w:ind w:firstLine="411" w:firstLineChars="196"/>
        <w:rPr>
          <w:rFonts w:hint="eastAsia" w:ascii="宋体" w:hAnsi="宋体" w:cs="宋体"/>
          <w:bCs/>
          <w:color w:val="auto"/>
          <w:szCs w:val="21"/>
          <w:highlight w:val="none"/>
          <w:u w:val="single"/>
        </w:rPr>
      </w:pPr>
      <w:r>
        <w:rPr>
          <w:rFonts w:hint="eastAsia" w:ascii="宋体" w:hAnsi="宋体" w:cs="宋体"/>
          <w:bCs/>
          <w:color w:val="auto"/>
          <w:szCs w:val="21"/>
          <w:highlight w:val="none"/>
          <w:u w:val="single"/>
        </w:rPr>
        <w:t xml:space="preserve">国有投资项目：（双方结合各地政府或有关部门出台的管理规定进行约定） </w:t>
      </w:r>
    </w:p>
    <w:p w14:paraId="536F9928">
      <w:pPr>
        <w:pStyle w:val="115"/>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发包人完成竣工付款的期限：</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签发</w:t>
      </w:r>
      <w:r>
        <w:rPr>
          <w:rFonts w:hint="eastAsia" w:ascii="宋体" w:hAnsi="宋体" w:cs="宋体"/>
          <w:b/>
          <w:bCs/>
          <w:color w:val="auto"/>
          <w:szCs w:val="21"/>
          <w:highlight w:val="none"/>
          <w:u w:val="single"/>
        </w:rPr>
        <w:t>竣工</w:t>
      </w:r>
      <w:r>
        <w:rPr>
          <w:rFonts w:hint="eastAsia" w:ascii="宋体" w:hAnsi="宋体" w:cs="宋体"/>
          <w:b/>
          <w:color w:val="auto"/>
          <w:szCs w:val="21"/>
          <w:highlight w:val="none"/>
          <w:u w:val="single"/>
        </w:rPr>
        <w:t>付款申请单28天内</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B808639">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关于竣工付款证书异议部分复核的方式和程序：</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按通用合同条款执行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34363DE6">
      <w:pPr>
        <w:pStyle w:val="174"/>
        <w:spacing w:before="0" w:beforeLines="0" w:after="0" w:afterLines="0" w:line="420" w:lineRule="exact"/>
        <w:rPr>
          <w:rFonts w:hint="eastAsia" w:ascii="宋体" w:hAnsi="宋体" w:cs="宋体"/>
          <w:color w:val="auto"/>
          <w:sz w:val="24"/>
          <w:szCs w:val="24"/>
          <w:highlight w:val="none"/>
        </w:rPr>
      </w:pPr>
      <w:bookmarkStart w:id="725" w:name="_Toc497901175"/>
      <w:bookmarkStart w:id="726" w:name="_Toc75182764"/>
      <w:bookmarkStart w:id="727" w:name="_Toc407135264"/>
      <w:bookmarkStart w:id="728" w:name="_Toc497147219"/>
      <w:bookmarkStart w:id="729" w:name="_Toc497215776"/>
      <w:bookmarkStart w:id="730" w:name="_Toc47088363"/>
      <w:r>
        <w:rPr>
          <w:rFonts w:hint="eastAsia" w:ascii="宋体" w:hAnsi="宋体" w:cs="宋体"/>
          <w:color w:val="auto"/>
          <w:sz w:val="24"/>
          <w:szCs w:val="24"/>
          <w:highlight w:val="none"/>
        </w:rPr>
        <w:t>14.</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最终结清</w:t>
      </w:r>
      <w:bookmarkEnd w:id="725"/>
      <w:bookmarkEnd w:id="726"/>
      <w:bookmarkEnd w:id="727"/>
      <w:bookmarkEnd w:id="728"/>
      <w:bookmarkEnd w:id="729"/>
      <w:bookmarkEnd w:id="730"/>
    </w:p>
    <w:p w14:paraId="747E8BC8">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14.</w:t>
      </w:r>
      <w:r>
        <w:rPr>
          <w:rFonts w:hint="eastAsia" w:ascii="宋体" w:hAnsi="宋体" w:cs="宋体"/>
          <w:color w:val="auto"/>
          <w:kern w:val="0"/>
          <w:szCs w:val="21"/>
          <w:highlight w:val="none"/>
          <w:lang w:val="en-US" w:eastAsia="zh-CN"/>
        </w:rPr>
        <w:t>3</w:t>
      </w:r>
      <w:r>
        <w:rPr>
          <w:rFonts w:hint="eastAsia" w:ascii="宋体" w:hAnsi="宋体" w:cs="宋体"/>
          <w:color w:val="auto"/>
          <w:kern w:val="0"/>
          <w:szCs w:val="21"/>
          <w:highlight w:val="none"/>
        </w:rPr>
        <w:t>.1 最终结清申请单</w:t>
      </w:r>
    </w:p>
    <w:p w14:paraId="75721105">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承包人提交最终结清申请单的份数：</w:t>
      </w:r>
      <w:r>
        <w:rPr>
          <w:rFonts w:hint="eastAsia" w:ascii="宋体" w:hAnsi="宋体" w:cs="宋体"/>
          <w:color w:val="auto"/>
          <w:szCs w:val="21"/>
          <w:highlight w:val="none"/>
          <w:u w:val="single"/>
        </w:rPr>
        <w:t xml:space="preserve">  </w:t>
      </w:r>
      <w:r>
        <w:rPr>
          <w:rFonts w:hint="eastAsia" w:ascii="宋体" w:hAnsi="宋体" w:cs="宋体"/>
          <w:b/>
          <w:color w:val="auto"/>
          <w:szCs w:val="21"/>
          <w:highlight w:val="none"/>
          <w:u w:val="single"/>
        </w:rPr>
        <w:t>4份</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FF3AF8D">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color w:val="auto"/>
          <w:szCs w:val="21"/>
          <w:highlight w:val="none"/>
          <w:u w:val="single"/>
        </w:rPr>
        <w:t xml:space="preserve">双方确认审计总额后28天   </w:t>
      </w:r>
      <w:r>
        <w:rPr>
          <w:rFonts w:hint="eastAsia" w:ascii="宋体" w:hAnsi="宋体" w:cs="宋体"/>
          <w:color w:val="auto"/>
          <w:szCs w:val="21"/>
          <w:highlight w:val="none"/>
        </w:rPr>
        <w:t xml:space="preserve">。 </w:t>
      </w:r>
    </w:p>
    <w:p w14:paraId="36DDDFB7">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.2 最终结清证书和支付</w:t>
      </w:r>
    </w:p>
    <w:p w14:paraId="4427E8D4">
      <w:pPr>
        <w:pStyle w:val="115"/>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（1）发包人完成最终结清申请单的审批并颁发最终结清证书的期限：</w:t>
      </w:r>
      <w:r>
        <w:rPr>
          <w:rFonts w:hint="eastAsia" w:ascii="宋体" w:hAnsi="宋体" w:cs="宋体"/>
          <w:color w:val="auto"/>
          <w:szCs w:val="21"/>
          <w:highlight w:val="none"/>
          <w:u w:val="single"/>
        </w:rPr>
        <w:t>双方确认审计总额后28天</w:t>
      </w:r>
      <w:r>
        <w:rPr>
          <w:rFonts w:hint="eastAsia" w:ascii="宋体" w:hAnsi="宋体" w:cs="宋体"/>
          <w:color w:val="auto"/>
          <w:szCs w:val="21"/>
          <w:highlight w:val="none"/>
        </w:rPr>
        <w:t>。</w:t>
      </w:r>
    </w:p>
    <w:p w14:paraId="7C3C0A02">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（2）发包人完成支付的期限：</w:t>
      </w:r>
      <w:r>
        <w:rPr>
          <w:rFonts w:hint="eastAsia" w:ascii="宋体" w:hAnsi="宋体" w:cs="宋体"/>
          <w:color w:val="auto"/>
          <w:szCs w:val="21"/>
          <w:highlight w:val="none"/>
          <w:u w:val="single"/>
        </w:rPr>
        <w:t xml:space="preserve">双方确认完成验收后2年  </w:t>
      </w:r>
      <w:r>
        <w:rPr>
          <w:rFonts w:hint="eastAsia" w:ascii="宋体" w:hAnsi="宋体" w:cs="宋体"/>
          <w:color w:val="auto"/>
          <w:szCs w:val="21"/>
          <w:highlight w:val="none"/>
        </w:rPr>
        <w:t>。</w:t>
      </w:r>
    </w:p>
    <w:p w14:paraId="424F4611">
      <w:pPr>
        <w:pStyle w:val="174"/>
        <w:spacing w:before="0" w:beforeLines="0" w:after="0" w:afterLines="0" w:line="420" w:lineRule="exact"/>
        <w:rPr>
          <w:rFonts w:hint="eastAsia" w:ascii="宋体" w:hAnsi="宋体" w:cs="宋体"/>
          <w:color w:val="auto"/>
          <w:sz w:val="24"/>
          <w:szCs w:val="24"/>
          <w:highlight w:val="none"/>
        </w:rPr>
      </w:pPr>
      <w:bookmarkStart w:id="731" w:name="_Toc497901176"/>
      <w:bookmarkStart w:id="732" w:name="_Toc47088364"/>
      <w:bookmarkStart w:id="733" w:name="_Toc497215777"/>
      <w:bookmarkStart w:id="734" w:name="_Toc497147220"/>
      <w:bookmarkStart w:id="735" w:name="_Toc407135265"/>
      <w:bookmarkStart w:id="736" w:name="_Toc75182765"/>
      <w:r>
        <w:rPr>
          <w:rFonts w:hint="eastAsia" w:ascii="宋体" w:hAnsi="宋体" w:cs="宋体"/>
          <w:color w:val="auto"/>
          <w:sz w:val="24"/>
          <w:szCs w:val="24"/>
          <w:highlight w:val="none"/>
        </w:rPr>
        <w:t>15. 缺陷责任期与保修</w:t>
      </w:r>
      <w:bookmarkEnd w:id="731"/>
      <w:bookmarkEnd w:id="732"/>
      <w:bookmarkEnd w:id="733"/>
      <w:bookmarkEnd w:id="734"/>
      <w:bookmarkEnd w:id="735"/>
      <w:bookmarkEnd w:id="736"/>
    </w:p>
    <w:p w14:paraId="4388CCC9">
      <w:pPr>
        <w:pStyle w:val="174"/>
        <w:spacing w:before="0" w:beforeLines="0" w:after="0" w:afterLines="0" w:line="420" w:lineRule="exact"/>
        <w:rPr>
          <w:rFonts w:hint="eastAsia" w:ascii="宋体" w:hAnsi="宋体" w:cs="宋体"/>
          <w:color w:val="auto"/>
          <w:sz w:val="24"/>
          <w:szCs w:val="24"/>
          <w:highlight w:val="none"/>
        </w:rPr>
      </w:pPr>
      <w:bookmarkStart w:id="737" w:name="_Toc497901177"/>
      <w:bookmarkStart w:id="738" w:name="_Toc497215778"/>
      <w:bookmarkStart w:id="739" w:name="_Toc497147221"/>
      <w:bookmarkStart w:id="740" w:name="_Toc47088365"/>
      <w:bookmarkStart w:id="741" w:name="_Toc407135266"/>
      <w:bookmarkStart w:id="742" w:name="_Toc75182766"/>
      <w:r>
        <w:rPr>
          <w:rFonts w:hint="eastAsia" w:ascii="宋体" w:hAnsi="宋体" w:cs="宋体"/>
          <w:color w:val="auto"/>
          <w:sz w:val="24"/>
          <w:szCs w:val="24"/>
          <w:highlight w:val="none"/>
        </w:rPr>
        <w:t>15.</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 xml:space="preserve"> 缺陷责任期</w:t>
      </w:r>
      <w:bookmarkEnd w:id="737"/>
      <w:bookmarkEnd w:id="738"/>
      <w:bookmarkEnd w:id="739"/>
      <w:bookmarkEnd w:id="740"/>
      <w:bookmarkEnd w:id="741"/>
      <w:bookmarkEnd w:id="742"/>
    </w:p>
    <w:p w14:paraId="247E56AE">
      <w:pPr>
        <w:pStyle w:val="108"/>
        <w:spacing w:line="360" w:lineRule="auto"/>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缺陷责任期的具体期限：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12</w:t>
      </w:r>
      <w:r>
        <w:rPr>
          <w:rFonts w:hint="eastAsia" w:ascii="宋体" w:hAnsi="宋体" w:cs="宋体"/>
          <w:b w:val="0"/>
          <w:bCs/>
          <w:color w:val="auto"/>
          <w:szCs w:val="21"/>
          <w:highlight w:val="none"/>
          <w:u w:val="single"/>
        </w:rPr>
        <w:t>个月</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DCD2D2F">
      <w:pPr>
        <w:pStyle w:val="174"/>
        <w:spacing w:before="0" w:beforeLines="0" w:after="0" w:afterLines="0" w:line="420" w:lineRule="exact"/>
        <w:rPr>
          <w:rFonts w:hint="eastAsia" w:ascii="宋体" w:hAnsi="宋体" w:cs="宋体"/>
          <w:color w:val="auto"/>
          <w:sz w:val="24"/>
          <w:szCs w:val="24"/>
          <w:highlight w:val="none"/>
        </w:rPr>
      </w:pPr>
      <w:bookmarkStart w:id="743" w:name="_Toc407135267"/>
      <w:bookmarkStart w:id="744" w:name="_Toc47088366"/>
      <w:bookmarkStart w:id="745" w:name="_Toc497215779"/>
      <w:bookmarkStart w:id="746" w:name="_Toc497147222"/>
      <w:bookmarkStart w:id="747" w:name="_Toc75182767"/>
      <w:bookmarkStart w:id="748" w:name="_Toc497901178"/>
      <w:r>
        <w:rPr>
          <w:rFonts w:hint="eastAsia" w:ascii="宋体" w:hAnsi="宋体" w:cs="宋体"/>
          <w:color w:val="auto"/>
          <w:sz w:val="24"/>
          <w:szCs w:val="24"/>
          <w:highlight w:val="none"/>
        </w:rPr>
        <w:t>15.</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质量保证金</w:t>
      </w:r>
      <w:bookmarkEnd w:id="743"/>
      <w:bookmarkEnd w:id="744"/>
      <w:bookmarkEnd w:id="745"/>
      <w:bookmarkEnd w:id="746"/>
      <w:bookmarkEnd w:id="747"/>
      <w:bookmarkEnd w:id="748"/>
    </w:p>
    <w:p w14:paraId="24F97D6B">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关于是否扣留质量保证金的约定：</w:t>
      </w:r>
      <w:r>
        <w:rPr>
          <w:rFonts w:hint="eastAsia" w:ascii="宋体" w:hAnsi="宋体" w:cs="宋体"/>
          <w:color w:val="auto"/>
          <w:szCs w:val="21"/>
          <w:highlight w:val="none"/>
          <w:u w:val="single"/>
        </w:rPr>
        <w:t xml:space="preserve"> 是    </w:t>
      </w:r>
      <w:r>
        <w:rPr>
          <w:rFonts w:hint="eastAsia" w:ascii="宋体" w:hAnsi="宋体" w:cs="宋体"/>
          <w:color w:val="auto"/>
          <w:szCs w:val="21"/>
          <w:highlight w:val="none"/>
        </w:rPr>
        <w:t>。</w:t>
      </w:r>
    </w:p>
    <w:p w14:paraId="27FED13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.1 承包人提供质量保证金的方式</w:t>
      </w:r>
    </w:p>
    <w:p w14:paraId="1B716B5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质量保证金采用以下第</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种方式：</w:t>
      </w:r>
    </w:p>
    <w:p w14:paraId="29921C5A">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（1）质量保证金保函，保证金额为：</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0B3F12C">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（2）发包人按工程价款结算总额的</w:t>
      </w:r>
      <w:r>
        <w:rPr>
          <w:rFonts w:hint="eastAsia" w:ascii="宋体" w:hAnsi="宋体" w:cs="宋体"/>
          <w:color w:val="auto"/>
          <w:kern w:val="0"/>
          <w:szCs w:val="21"/>
          <w:highlight w:val="none"/>
          <w:u w:val="single"/>
        </w:rPr>
        <w:t>3%</w:t>
      </w:r>
      <w:r>
        <w:rPr>
          <w:rFonts w:hint="eastAsia" w:ascii="宋体" w:hAnsi="宋体" w:cs="宋体"/>
          <w:color w:val="auto"/>
          <w:kern w:val="0"/>
          <w:szCs w:val="21"/>
          <w:highlight w:val="none"/>
        </w:rPr>
        <w:t>预留工程质量保修金，待工程质量保修期满后返还；</w:t>
      </w:r>
    </w:p>
    <w:p w14:paraId="29B9F4AA">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（3）其他方式：</w:t>
      </w:r>
      <w:r>
        <w:rPr>
          <w:rFonts w:hint="eastAsia" w:ascii="宋体" w:hAnsi="宋体" w:cs="宋体"/>
          <w:bCs/>
          <w:color w:val="auto"/>
          <w:szCs w:val="21"/>
          <w:highlight w:val="none"/>
          <w:u w:val="single"/>
        </w:rPr>
        <w:t xml:space="preserve">     </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w:t>
      </w:r>
    </w:p>
    <w:p w14:paraId="78F0DF3A">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.2 质量保证金的扣留</w:t>
      </w:r>
    </w:p>
    <w:p w14:paraId="2CD4932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质量保证金的扣留采取以下第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种方式：</w:t>
      </w:r>
    </w:p>
    <w:p w14:paraId="4529CF78">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（1）在支付工程进度款时逐次扣留，在此情形下，质量保证金的计算基数不包括预付款的支付、扣回以及价格调整的金额；</w:t>
      </w:r>
    </w:p>
    <w:p w14:paraId="31897E9E">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（2）工程竣工结算时一次性扣留质量保证金；</w:t>
      </w:r>
    </w:p>
    <w:p w14:paraId="466E85C1">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（3）其他扣留方式:</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w:t>
      </w:r>
      <w:r>
        <w:rPr>
          <w:rFonts w:hint="eastAsia" w:ascii="宋体" w:hAnsi="宋体" w:cs="宋体"/>
          <w:color w:val="auto"/>
          <w:kern w:val="0"/>
          <w:szCs w:val="21"/>
          <w:highlight w:val="none"/>
        </w:rPr>
        <w:t>。</w:t>
      </w:r>
    </w:p>
    <w:p w14:paraId="6D3DAB86">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szCs w:val="21"/>
          <w:highlight w:val="none"/>
        </w:rPr>
        <w:t>关于质量保证金的补充约定：</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04EAE918">
      <w:pPr>
        <w:pStyle w:val="174"/>
        <w:spacing w:before="0" w:beforeLines="0" w:after="0" w:afterLines="0" w:line="420" w:lineRule="exact"/>
        <w:rPr>
          <w:rFonts w:hint="eastAsia" w:ascii="宋体" w:hAnsi="宋体" w:cs="宋体"/>
          <w:color w:val="auto"/>
          <w:sz w:val="24"/>
          <w:szCs w:val="24"/>
          <w:highlight w:val="none"/>
        </w:rPr>
      </w:pPr>
      <w:bookmarkStart w:id="749" w:name="_Toc407135268"/>
      <w:bookmarkStart w:id="750" w:name="_Toc497147223"/>
      <w:bookmarkStart w:id="751" w:name="_Toc497215780"/>
      <w:bookmarkStart w:id="752" w:name="_Toc47088367"/>
      <w:bookmarkStart w:id="753" w:name="_Toc497901179"/>
      <w:bookmarkStart w:id="754" w:name="_Toc75182768"/>
      <w:r>
        <w:rPr>
          <w:rFonts w:hint="eastAsia" w:ascii="宋体" w:hAnsi="宋体" w:cs="宋体"/>
          <w:color w:val="auto"/>
          <w:sz w:val="24"/>
          <w:szCs w:val="24"/>
          <w:highlight w:val="none"/>
        </w:rPr>
        <w:t>15.</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保修</w:t>
      </w:r>
      <w:bookmarkEnd w:id="749"/>
      <w:bookmarkEnd w:id="750"/>
      <w:bookmarkEnd w:id="751"/>
      <w:bookmarkEnd w:id="752"/>
      <w:bookmarkEnd w:id="753"/>
      <w:bookmarkEnd w:id="754"/>
    </w:p>
    <w:p w14:paraId="11BE97EC">
      <w:pPr>
        <w:pStyle w:val="108"/>
        <w:spacing w:line="360" w:lineRule="auto"/>
        <w:ind w:firstLine="409" w:firstLineChars="195"/>
        <w:jc w:val="left"/>
        <w:rPr>
          <w:rFonts w:hint="eastAsia"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.1 保修责任</w:t>
      </w:r>
    </w:p>
    <w:p w14:paraId="5D0462FA">
      <w:pPr>
        <w:pStyle w:val="108"/>
        <w:spacing w:line="360" w:lineRule="auto"/>
        <w:ind w:firstLine="409" w:firstLineChars="195"/>
        <w:jc w:val="left"/>
        <w:rPr>
          <w:rFonts w:hint="eastAsia" w:ascii="宋体" w:hAnsi="宋体" w:cs="宋体"/>
          <w:color w:val="auto"/>
          <w:kern w:val="0"/>
          <w:szCs w:val="21"/>
          <w:highlight w:val="none"/>
        </w:rPr>
      </w:pPr>
      <w:r>
        <w:rPr>
          <w:rFonts w:hint="eastAsia" w:ascii="宋体" w:hAnsi="宋体" w:cs="宋体"/>
          <w:color w:val="auto"/>
          <w:szCs w:val="21"/>
          <w:highlight w:val="none"/>
        </w:rPr>
        <w:t>工程保修期为：</w:t>
      </w:r>
      <w:r>
        <w:rPr>
          <w:rFonts w:hint="eastAsia" w:ascii="宋体" w:hAnsi="宋体" w:cs="宋体"/>
          <w:color w:val="auto"/>
          <w:kern w:val="0"/>
          <w:szCs w:val="21"/>
          <w:highlight w:val="none"/>
          <w:u w:val="single"/>
        </w:rPr>
        <w:t xml:space="preserve">     </w:t>
      </w:r>
      <w:r>
        <w:rPr>
          <w:rFonts w:hint="eastAsia" w:ascii="宋体" w:hAnsi="宋体" w:cs="宋体"/>
          <w:b/>
          <w:bCs/>
          <w:color w:val="auto"/>
          <w:szCs w:val="21"/>
          <w:highlight w:val="none"/>
          <w:u w:val="single"/>
        </w:rPr>
        <w:t>详见</w:t>
      </w:r>
      <w:r>
        <w:rPr>
          <w:rFonts w:hint="eastAsia" w:ascii="宋体" w:hAnsi="宋体" w:cs="宋体"/>
          <w:color w:val="auto"/>
          <w:szCs w:val="21"/>
          <w:highlight w:val="none"/>
          <w:u w:val="single"/>
        </w:rPr>
        <w:t>《</w:t>
      </w:r>
      <w:r>
        <w:rPr>
          <w:rFonts w:hint="eastAsia" w:ascii="宋体" w:hAnsi="宋体" w:cs="宋体"/>
          <w:b/>
          <w:color w:val="auto"/>
          <w:szCs w:val="21"/>
          <w:highlight w:val="none"/>
          <w:u w:val="single"/>
        </w:rPr>
        <w:t>工程质量保修书</w:t>
      </w:r>
      <w:r>
        <w:rPr>
          <w:rFonts w:hint="eastAsia" w:ascii="宋体" w:hAnsi="宋体" w:cs="宋体"/>
          <w:b/>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DD7AB4D">
      <w:pPr>
        <w:pStyle w:val="108"/>
        <w:spacing w:line="360" w:lineRule="auto"/>
        <w:ind w:firstLine="409" w:firstLineChars="195"/>
        <w:jc w:val="left"/>
        <w:rPr>
          <w:rFonts w:hint="eastAsia" w:ascii="宋体" w:hAnsi="宋体" w:cs="宋体"/>
          <w:color w:val="auto"/>
          <w:kern w:val="0"/>
          <w:szCs w:val="21"/>
          <w:highlight w:val="none"/>
          <w:u w:val="single"/>
        </w:rPr>
      </w:pPr>
      <w:r>
        <w:rPr>
          <w:rFonts w:hint="eastAsia" w:ascii="宋体" w:hAnsi="宋体" w:cs="宋体"/>
          <w:color w:val="auto"/>
          <w:szCs w:val="21"/>
          <w:highlight w:val="none"/>
        </w:rPr>
        <w:t>工程保修书具体内容见合同附件。</w:t>
      </w:r>
    </w:p>
    <w:p w14:paraId="0A0B0D9F">
      <w:pPr>
        <w:pStyle w:val="108"/>
        <w:spacing w:line="360" w:lineRule="auto"/>
        <w:ind w:firstLine="409" w:firstLineChars="195"/>
        <w:jc w:val="left"/>
        <w:rPr>
          <w:rFonts w:hint="eastAsia" w:ascii="宋体" w:hAnsi="宋体" w:cs="宋体"/>
          <w:color w:val="auto"/>
          <w:szCs w:val="21"/>
          <w:highlight w:val="none"/>
        </w:rPr>
      </w:pPr>
      <w:r>
        <w:rPr>
          <w:rFonts w:hint="eastAsia" w:ascii="宋体" w:hAnsi="宋体" w:cs="宋体"/>
          <w:color w:val="auto"/>
          <w:szCs w:val="21"/>
          <w:highlight w:val="none"/>
        </w:rPr>
        <w:t>15.</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 xml:space="preserve"> 修复通知</w:t>
      </w:r>
    </w:p>
    <w:p w14:paraId="0BDDDC58">
      <w:pPr>
        <w:pStyle w:val="108"/>
        <w:spacing w:line="360" w:lineRule="auto"/>
        <w:ind w:firstLine="409" w:firstLineChars="195"/>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承包人收到保修通知并到达工程现场的合理时间：</w:t>
      </w:r>
      <w:r>
        <w:rPr>
          <w:rFonts w:hint="eastAsia" w:ascii="宋体" w:hAnsi="宋体" w:cs="宋体"/>
          <w:color w:val="auto"/>
          <w:kern w:val="0"/>
          <w:szCs w:val="21"/>
          <w:highlight w:val="none"/>
          <w:u w:val="single"/>
        </w:rPr>
        <w:t xml:space="preserve">  48小时内</w:t>
      </w:r>
      <w:r>
        <w:rPr>
          <w:rFonts w:hint="eastAsia" w:ascii="宋体" w:hAnsi="宋体" w:cs="宋体"/>
          <w:color w:val="auto"/>
          <w:kern w:val="0"/>
          <w:szCs w:val="21"/>
          <w:highlight w:val="none"/>
        </w:rPr>
        <w:t>。</w:t>
      </w:r>
    </w:p>
    <w:p w14:paraId="0F534252">
      <w:pPr>
        <w:pStyle w:val="174"/>
        <w:spacing w:before="0" w:beforeLines="0" w:after="0" w:afterLines="0" w:line="420" w:lineRule="exact"/>
        <w:rPr>
          <w:rFonts w:hint="eastAsia" w:ascii="宋体" w:hAnsi="宋体" w:cs="宋体"/>
          <w:color w:val="auto"/>
          <w:sz w:val="24"/>
          <w:szCs w:val="24"/>
          <w:highlight w:val="none"/>
        </w:rPr>
      </w:pPr>
      <w:bookmarkStart w:id="755" w:name="_Toc497147224"/>
      <w:bookmarkStart w:id="756" w:name="_Toc47088368"/>
      <w:bookmarkStart w:id="757" w:name="_Toc75182769"/>
      <w:bookmarkStart w:id="758" w:name="_Toc407135269"/>
      <w:bookmarkStart w:id="759" w:name="_Toc497901180"/>
      <w:bookmarkStart w:id="760" w:name="_Toc497215781"/>
      <w:r>
        <w:rPr>
          <w:rFonts w:hint="eastAsia" w:ascii="宋体" w:hAnsi="宋体" w:cs="宋体"/>
          <w:color w:val="auto"/>
          <w:sz w:val="24"/>
          <w:szCs w:val="24"/>
          <w:highlight w:val="none"/>
        </w:rPr>
        <w:t>16. 违约</w:t>
      </w:r>
      <w:bookmarkEnd w:id="755"/>
      <w:bookmarkEnd w:id="756"/>
      <w:bookmarkEnd w:id="757"/>
      <w:bookmarkEnd w:id="758"/>
      <w:bookmarkEnd w:id="759"/>
      <w:bookmarkEnd w:id="760"/>
    </w:p>
    <w:p w14:paraId="6F8D59AD">
      <w:pPr>
        <w:pStyle w:val="174"/>
        <w:spacing w:before="0" w:beforeLines="0" w:after="0" w:afterLines="0" w:line="420" w:lineRule="exact"/>
        <w:rPr>
          <w:rFonts w:hint="eastAsia" w:ascii="宋体" w:hAnsi="宋体" w:cs="宋体"/>
          <w:color w:val="auto"/>
          <w:sz w:val="24"/>
          <w:szCs w:val="24"/>
          <w:highlight w:val="none"/>
        </w:rPr>
      </w:pPr>
      <w:bookmarkStart w:id="761" w:name="_Toc407135270"/>
      <w:bookmarkStart w:id="762" w:name="_Toc497215782"/>
      <w:bookmarkStart w:id="763" w:name="_Toc47088369"/>
      <w:bookmarkStart w:id="764" w:name="_Toc497901181"/>
      <w:bookmarkStart w:id="765" w:name="_Toc75182770"/>
      <w:bookmarkStart w:id="766" w:name="_Toc497147225"/>
      <w:r>
        <w:rPr>
          <w:rFonts w:hint="eastAsia" w:ascii="宋体" w:hAnsi="宋体" w:cs="宋体"/>
          <w:color w:val="auto"/>
          <w:sz w:val="24"/>
          <w:szCs w:val="24"/>
          <w:highlight w:val="none"/>
        </w:rPr>
        <w:t>16.1 发包人违约</w:t>
      </w:r>
      <w:bookmarkEnd w:id="761"/>
      <w:bookmarkEnd w:id="762"/>
      <w:bookmarkEnd w:id="763"/>
      <w:bookmarkEnd w:id="764"/>
      <w:bookmarkEnd w:id="765"/>
      <w:bookmarkEnd w:id="766"/>
    </w:p>
    <w:p w14:paraId="44AB286E">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16.1.1发包人违约的情形</w:t>
      </w:r>
    </w:p>
    <w:p w14:paraId="22D1DD10">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发包人违约的其他情形：</w:t>
      </w:r>
      <w:r>
        <w:rPr>
          <w:rFonts w:hint="eastAsia" w:ascii="宋体" w:hAnsi="宋体" w:cs="宋体"/>
          <w:color w:val="auto"/>
          <w:kern w:val="0"/>
          <w:szCs w:val="21"/>
          <w:highlight w:val="none"/>
          <w:u w:val="single"/>
        </w:rPr>
        <w:t xml:space="preserve">     按通用条款16.1执行       </w:t>
      </w:r>
      <w:r>
        <w:rPr>
          <w:rFonts w:hint="eastAsia" w:ascii="宋体" w:hAnsi="宋体" w:cs="宋体"/>
          <w:color w:val="auto"/>
          <w:kern w:val="0"/>
          <w:szCs w:val="21"/>
          <w:highlight w:val="none"/>
        </w:rPr>
        <w:t>。</w:t>
      </w:r>
    </w:p>
    <w:p w14:paraId="46127CE7">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16.1.2 发包人违约的责任</w:t>
      </w:r>
    </w:p>
    <w:p w14:paraId="27A92B2E">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发包人违约责任的承担方式和计算方法：</w:t>
      </w:r>
    </w:p>
    <w:p w14:paraId="28E3343B">
      <w:pPr>
        <w:pStyle w:val="115"/>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（1）因发包人原因未能在计划开工日期前7天内下达开工通知的违约责任：</w:t>
      </w:r>
      <w:r>
        <w:rPr>
          <w:rFonts w:hint="eastAsia" w:ascii="宋体" w:hAnsi="宋体" w:cs="宋体"/>
          <w:color w:val="auto"/>
          <w:szCs w:val="21"/>
          <w:highlight w:val="none"/>
          <w:u w:val="single"/>
          <w:lang w:val="en-US" w:eastAsia="zh-CN"/>
        </w:rPr>
        <w:t>/</w:t>
      </w:r>
      <w:r>
        <w:rPr>
          <w:rFonts w:hint="eastAsia" w:ascii="宋体" w:hAnsi="宋体" w:cs="宋体"/>
          <w:color w:val="auto"/>
          <w:kern w:val="0"/>
          <w:szCs w:val="21"/>
          <w:highlight w:val="none"/>
        </w:rPr>
        <w:t>。</w:t>
      </w:r>
    </w:p>
    <w:p w14:paraId="022AE684">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（2）因发包人原因未能按合同约定支付合同价款的违约责任：</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5134CE6F">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（3）发包人违反第10.1款〔变更的范围〕第（2）项约定，自行实施被取消的工作或转由他人实施的违约责任：</w:t>
      </w:r>
      <w:r>
        <w:rPr>
          <w:rFonts w:hint="eastAsia" w:ascii="宋体" w:hAnsi="宋体" w:cs="宋体"/>
          <w:color w:val="auto"/>
          <w:szCs w:val="21"/>
          <w:highlight w:val="none"/>
          <w:u w:val="single"/>
          <w:lang w:val="en-US" w:eastAsia="zh-CN"/>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0426FAC9">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     /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77E11F0">
      <w:pPr>
        <w:pStyle w:val="115"/>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（5）因发包人违反合同约定造成暂停施工的违约责任：</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lang w:val="en-US" w:eastAsia="zh-CN"/>
        </w:rPr>
        <w:t>/</w:t>
      </w:r>
      <w:r>
        <w:rPr>
          <w:rFonts w:hint="eastAsia" w:ascii="宋体" w:hAnsi="宋体" w:cs="宋体"/>
          <w:color w:val="auto"/>
          <w:kern w:val="0"/>
          <w:szCs w:val="21"/>
          <w:highlight w:val="none"/>
        </w:rPr>
        <w:t>。</w:t>
      </w:r>
    </w:p>
    <w:p w14:paraId="0B5B309F">
      <w:pPr>
        <w:pStyle w:val="115"/>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（6）发包人无正当理由没有在约定期限内发出复工指示，导致承包人无法复工的违约责任：</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lang w:val="en-US" w:eastAsia="zh-CN"/>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71F589CD">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（7）其他：</w:t>
      </w:r>
      <w:r>
        <w:rPr>
          <w:rFonts w:hint="eastAsia" w:ascii="宋体" w:hAnsi="宋体" w:cs="宋体"/>
          <w:color w:val="auto"/>
          <w:kern w:val="0"/>
          <w:szCs w:val="21"/>
          <w:highlight w:val="none"/>
          <w:u w:val="single"/>
        </w:rPr>
        <w:t xml:space="preserve">           </w:t>
      </w:r>
      <w:r>
        <w:rPr>
          <w:rFonts w:hint="eastAsia" w:ascii="宋体" w:hAnsi="宋体" w:cs="宋体"/>
          <w:b/>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4F011F1F">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16.1.3 因发包人违约解除合同</w:t>
      </w:r>
    </w:p>
    <w:p w14:paraId="0173BE9E">
      <w:pPr>
        <w:pStyle w:val="108"/>
        <w:autoSpaceDE w:val="0"/>
        <w:autoSpaceDN w:val="0"/>
        <w:adjustRightInd w:val="0"/>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承包人按16.1.1项〔发包人违约的情形〕约定暂停施工满</w:t>
      </w:r>
      <w:r>
        <w:rPr>
          <w:rFonts w:hint="eastAsia" w:ascii="宋体" w:hAnsi="宋体" w:cs="宋体"/>
          <w:color w:val="auto"/>
          <w:kern w:val="0"/>
          <w:szCs w:val="21"/>
          <w:highlight w:val="none"/>
          <w:u w:val="single"/>
        </w:rPr>
        <w:t xml:space="preserve"> 28 </w:t>
      </w:r>
      <w:r>
        <w:rPr>
          <w:rFonts w:hint="eastAsia" w:ascii="宋体" w:hAnsi="宋体" w:cs="宋体"/>
          <w:color w:val="auto"/>
          <w:kern w:val="0"/>
          <w:szCs w:val="21"/>
          <w:highlight w:val="none"/>
        </w:rPr>
        <w:t>天后发包人仍不纠正其违约行为并致使合同目的不能实现的，承包人有权解除合同。</w:t>
      </w:r>
    </w:p>
    <w:p w14:paraId="275ED22E">
      <w:pPr>
        <w:pStyle w:val="174"/>
        <w:spacing w:before="0" w:beforeLines="0" w:after="0" w:afterLines="0" w:line="420" w:lineRule="exact"/>
        <w:rPr>
          <w:rFonts w:hint="eastAsia" w:ascii="宋体" w:hAnsi="宋体" w:cs="宋体"/>
          <w:color w:val="auto"/>
          <w:sz w:val="24"/>
          <w:szCs w:val="24"/>
          <w:highlight w:val="none"/>
        </w:rPr>
      </w:pPr>
      <w:bookmarkStart w:id="767" w:name="_Toc497215783"/>
      <w:bookmarkStart w:id="768" w:name="_Toc497901182"/>
      <w:bookmarkStart w:id="769" w:name="_Toc47088370"/>
      <w:bookmarkStart w:id="770" w:name="_Toc407135271"/>
      <w:bookmarkStart w:id="771" w:name="_Toc497147226"/>
      <w:bookmarkStart w:id="772" w:name="_Toc75182771"/>
      <w:r>
        <w:rPr>
          <w:rFonts w:hint="eastAsia" w:ascii="宋体" w:hAnsi="宋体" w:cs="宋体"/>
          <w:color w:val="auto"/>
          <w:sz w:val="24"/>
          <w:szCs w:val="24"/>
          <w:highlight w:val="none"/>
        </w:rPr>
        <w:t>16.2 承包人违约</w:t>
      </w:r>
      <w:bookmarkEnd w:id="767"/>
      <w:bookmarkEnd w:id="768"/>
      <w:bookmarkEnd w:id="769"/>
      <w:bookmarkEnd w:id="770"/>
      <w:bookmarkEnd w:id="771"/>
      <w:bookmarkEnd w:id="772"/>
    </w:p>
    <w:p w14:paraId="40A543B4">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16.2.1 承包人违约的情形</w:t>
      </w:r>
    </w:p>
    <w:p w14:paraId="1C6D9515">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承包人违约的其他情形：</w:t>
      </w:r>
      <w:r>
        <w:rPr>
          <w:rFonts w:hint="eastAsia" w:ascii="宋体" w:hAnsi="宋体" w:cs="宋体"/>
          <w:color w:val="auto"/>
          <w:kern w:val="0"/>
          <w:szCs w:val="21"/>
          <w:highlight w:val="none"/>
          <w:u w:val="single"/>
        </w:rPr>
        <w:t xml:space="preserve">    按通用条款执行16.2执行      </w:t>
      </w:r>
      <w:r>
        <w:rPr>
          <w:rFonts w:hint="eastAsia" w:ascii="宋体" w:hAnsi="宋体" w:cs="宋体"/>
          <w:color w:val="auto"/>
          <w:kern w:val="0"/>
          <w:szCs w:val="21"/>
          <w:highlight w:val="none"/>
        </w:rPr>
        <w:t>。</w:t>
      </w:r>
    </w:p>
    <w:p w14:paraId="7E4FF15E">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16.2.2承包人违约的责任</w:t>
      </w:r>
    </w:p>
    <w:p w14:paraId="68C1CDD8">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承包人违约责任的承担方式和计算方法：</w:t>
      </w:r>
    </w:p>
    <w:p w14:paraId="47637F2E">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承包人未按本合同通用条款第16.2.1（2）、（3）条内容完成的，承包人无条件返工处理，修复至工程质量要求并承担相关费用，并在发包人规定的时间内完成返工，否则发包人有权扣罚该分项工程10%的工程款作为处罚。</w:t>
      </w:r>
    </w:p>
    <w:p w14:paraId="12BCBCC9">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（2）承包人有本合同通用条款第16.2.1（6）条情形的，或经监理人检验认为修复质量不合格而承包人拒绝再进行修补的，发包人将扣除承包人全部质量保修金。</w:t>
      </w:r>
    </w:p>
    <w:p w14:paraId="116E3CD7">
      <w:pPr>
        <w:pStyle w:val="108"/>
        <w:spacing w:line="360" w:lineRule="auto"/>
        <w:ind w:firstLine="420" w:firstLineChars="200"/>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3）承包人有本专用合同条款3.2、3.3条违约责任的，发包人有权扣除承包人的违约金。违约金金额均在承包人的履约保证金及计量支付款内扣除。监理人预先下发含有罚款意向的指令，如承包人不及时采取措施纠正，则在指令下达后十五天下发罚款通知书（不再陈述罚款理由）。承包人履约保证金被罚款后由发包人从最后一次计量支付时扣除相应金额补足履约保证金。承包人在合同期内，完成合同规定的全部工程，且质量合格，在本工程施工竣工验收后十五天内可申请返还全部或部分罚款，返还金额由监理人审核，发包人批准。罚款金额返还时不包括银行利息。</w:t>
      </w:r>
    </w:p>
    <w:p w14:paraId="73B3B8CD">
      <w:pPr>
        <w:pStyle w:val="108"/>
        <w:spacing w:line="360" w:lineRule="auto"/>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16.2.3 因承包人违约解除合同</w:t>
      </w:r>
    </w:p>
    <w:p w14:paraId="7654AB39">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关于承包人违约解除合同的特别约定：</w:t>
      </w:r>
      <w:r>
        <w:rPr>
          <w:rFonts w:hint="eastAsia" w:ascii="宋体" w:hAnsi="宋体" w:cs="宋体"/>
          <w:color w:val="auto"/>
          <w:kern w:val="0"/>
          <w:szCs w:val="21"/>
          <w:highlight w:val="none"/>
          <w:u w:val="single"/>
        </w:rPr>
        <w:t>承包人有违反以下情况之一的，发包人有权解除合同，并没收其全部履约保证金</w:t>
      </w:r>
      <w:r>
        <w:rPr>
          <w:rFonts w:hint="eastAsia" w:ascii="宋体" w:hAnsi="宋体" w:cs="宋体"/>
          <w:color w:val="auto"/>
          <w:kern w:val="0"/>
          <w:szCs w:val="21"/>
          <w:highlight w:val="none"/>
        </w:rPr>
        <w:t>。</w:t>
      </w:r>
    </w:p>
    <w:p w14:paraId="4A5B7D8A">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(1)承包人无正当理由不按开工通知的要求及时进场组织施工和不按签订协议书时商定的进度计划有效地开展施工准备，造成工期延误的；</w:t>
      </w:r>
    </w:p>
    <w:p w14:paraId="4F1C68A5">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(2)承包人违反本合同通用条款第3.5条规定私自将合同或合同的任何部分或任何权利转让给其他人，或私自将工程或工程的一部分分包出去的；</w:t>
      </w:r>
    </w:p>
    <w:p w14:paraId="2E3057C7">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(3)未经监理人批准，承包人私自将已按竞争性磋商响应文件承诺进入工地的工程设备、施工设备、临时工程或材料撤离工地的；</w:t>
      </w:r>
    </w:p>
    <w:p w14:paraId="73753B0A">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(4)由于承包人原因拒绝按合同进度计划及时完成合同规定的工程，而又未采取有效措施赶上进度，造成工期延误的；</w:t>
      </w:r>
    </w:p>
    <w:p w14:paraId="1B7EC799">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(5)承包人否认合同有效或拒绝履行合同规定的承包人义务，或由于法律、财务等原因导致承包人无法继续履行或实质上已停止履行合同的义务的；</w:t>
      </w:r>
    </w:p>
    <w:p w14:paraId="65836003">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(6)合同签订之日起十五日内，承包人无法按合同规定及竞争性磋商响应文件的承诺进场经监理工程师认可的全部人员和机械的。</w:t>
      </w:r>
    </w:p>
    <w:p w14:paraId="04034BC1">
      <w:pPr>
        <w:pStyle w:val="108"/>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highlight w:val="none"/>
          <w:u w:val="single"/>
        </w:rPr>
        <w:t xml:space="preserve">     以实际使用按相关规定计价       </w:t>
      </w:r>
      <w:r>
        <w:rPr>
          <w:rFonts w:hint="eastAsia" w:ascii="宋体" w:hAnsi="宋体" w:cs="宋体"/>
          <w:color w:val="auto"/>
          <w:kern w:val="0"/>
          <w:szCs w:val="21"/>
          <w:highlight w:val="none"/>
        </w:rPr>
        <w:t>。</w:t>
      </w:r>
    </w:p>
    <w:p w14:paraId="4B91F956">
      <w:pPr>
        <w:pStyle w:val="174"/>
        <w:spacing w:before="0" w:beforeLines="0" w:after="0" w:afterLines="0" w:line="420" w:lineRule="exact"/>
        <w:rPr>
          <w:rFonts w:hint="eastAsia" w:ascii="宋体" w:hAnsi="宋体" w:cs="宋体"/>
          <w:color w:val="auto"/>
          <w:sz w:val="24"/>
          <w:szCs w:val="24"/>
          <w:highlight w:val="none"/>
        </w:rPr>
      </w:pPr>
      <w:bookmarkStart w:id="773" w:name="_Toc407135272"/>
      <w:bookmarkStart w:id="774" w:name="_Toc497147227"/>
      <w:bookmarkStart w:id="775" w:name="_Toc497215784"/>
      <w:bookmarkStart w:id="776" w:name="_Toc47088371"/>
      <w:bookmarkStart w:id="777" w:name="_Toc75182772"/>
      <w:bookmarkStart w:id="778" w:name="_Toc497901183"/>
      <w:r>
        <w:rPr>
          <w:rFonts w:hint="eastAsia" w:ascii="宋体" w:hAnsi="宋体" w:cs="宋体"/>
          <w:color w:val="auto"/>
          <w:sz w:val="24"/>
          <w:szCs w:val="24"/>
          <w:highlight w:val="none"/>
        </w:rPr>
        <w:t>17. 不可抗力</w:t>
      </w:r>
      <w:bookmarkEnd w:id="773"/>
      <w:bookmarkEnd w:id="774"/>
      <w:bookmarkEnd w:id="775"/>
      <w:bookmarkEnd w:id="776"/>
      <w:bookmarkEnd w:id="777"/>
      <w:bookmarkEnd w:id="778"/>
      <w:r>
        <w:rPr>
          <w:rFonts w:hint="eastAsia" w:ascii="宋体" w:hAnsi="宋体" w:cs="宋体"/>
          <w:color w:val="auto"/>
          <w:sz w:val="24"/>
          <w:szCs w:val="24"/>
          <w:highlight w:val="none"/>
        </w:rPr>
        <w:t xml:space="preserve"> </w:t>
      </w:r>
    </w:p>
    <w:p w14:paraId="5DA131BA">
      <w:pPr>
        <w:pStyle w:val="174"/>
        <w:spacing w:before="0" w:beforeLines="0" w:after="0" w:afterLines="0" w:line="420" w:lineRule="exact"/>
        <w:rPr>
          <w:rFonts w:hint="eastAsia" w:ascii="宋体" w:hAnsi="宋体" w:cs="宋体"/>
          <w:color w:val="auto"/>
          <w:sz w:val="24"/>
          <w:szCs w:val="24"/>
          <w:highlight w:val="none"/>
        </w:rPr>
      </w:pPr>
      <w:bookmarkStart w:id="779" w:name="_Toc75182773"/>
      <w:bookmarkStart w:id="780" w:name="_Toc497901184"/>
      <w:bookmarkStart w:id="781" w:name="_Toc47088372"/>
      <w:bookmarkStart w:id="782" w:name="_Toc497215785"/>
      <w:bookmarkStart w:id="783" w:name="_Toc407135273"/>
      <w:bookmarkStart w:id="784" w:name="_Toc497147228"/>
      <w:r>
        <w:rPr>
          <w:rFonts w:hint="eastAsia" w:ascii="宋体" w:hAnsi="宋体" w:cs="宋体"/>
          <w:color w:val="auto"/>
          <w:sz w:val="24"/>
          <w:szCs w:val="24"/>
          <w:highlight w:val="none"/>
        </w:rPr>
        <w:t>17.1 不可抗力的确认</w:t>
      </w:r>
      <w:bookmarkEnd w:id="779"/>
      <w:bookmarkEnd w:id="780"/>
      <w:bookmarkEnd w:id="781"/>
      <w:bookmarkEnd w:id="782"/>
      <w:bookmarkEnd w:id="783"/>
      <w:bookmarkEnd w:id="784"/>
    </w:p>
    <w:p w14:paraId="7B6810EA">
      <w:pPr>
        <w:pStyle w:val="108"/>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除通用合同条款约定的不可抗力事件之外，视为不可抗力的其他情形：</w:t>
      </w:r>
    </w:p>
    <w:p w14:paraId="6C98B1D5">
      <w:pPr>
        <w:pStyle w:val="108"/>
        <w:spacing w:line="360" w:lineRule="auto"/>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(1) 6.5 级以上的地震；</w:t>
      </w:r>
    </w:p>
    <w:p w14:paraId="01D3A360">
      <w:pPr>
        <w:pStyle w:val="108"/>
        <w:spacing w:line="440" w:lineRule="exact"/>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(2) 12级以上持续二天的大风；</w:t>
      </w:r>
    </w:p>
    <w:p w14:paraId="4526748F">
      <w:pPr>
        <w:pStyle w:val="108"/>
        <w:spacing w:line="440" w:lineRule="exact"/>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(3) 日雨量达100mm以上持续三天的大雨；</w:t>
      </w:r>
    </w:p>
    <w:p w14:paraId="00FF6409">
      <w:pPr>
        <w:pStyle w:val="108"/>
        <w:spacing w:line="440" w:lineRule="exact"/>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(4) 40℃以上持续三天的高温天气；</w:t>
      </w:r>
    </w:p>
    <w:p w14:paraId="193AB5FD">
      <w:pPr>
        <w:pStyle w:val="108"/>
        <w:spacing w:line="440" w:lineRule="exact"/>
        <w:ind w:firstLine="422" w:firstLineChars="200"/>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(5) 0℃以下持续三天的低温天气；</w:t>
      </w:r>
    </w:p>
    <w:p w14:paraId="0522C135">
      <w:pPr>
        <w:pStyle w:val="108"/>
        <w:spacing w:line="440" w:lineRule="exact"/>
        <w:ind w:firstLine="422" w:firstLineChars="200"/>
        <w:jc w:val="left"/>
        <w:rPr>
          <w:rFonts w:hint="eastAsia" w:ascii="宋体" w:hAnsi="宋体" w:cs="宋体"/>
          <w:color w:val="auto"/>
          <w:kern w:val="0"/>
          <w:szCs w:val="21"/>
          <w:highlight w:val="none"/>
          <w:u w:val="single"/>
        </w:rPr>
      </w:pPr>
      <w:r>
        <w:rPr>
          <w:rFonts w:hint="eastAsia" w:ascii="宋体" w:hAnsi="宋体" w:cs="宋体"/>
          <w:b/>
          <w:color w:val="auto"/>
          <w:kern w:val="0"/>
          <w:szCs w:val="21"/>
          <w:highlight w:val="none"/>
        </w:rPr>
        <w:t>(6) 50年以上未发生过的洪水</w:t>
      </w:r>
      <w:r>
        <w:rPr>
          <w:rFonts w:hint="eastAsia" w:ascii="宋体" w:hAnsi="宋体" w:cs="宋体"/>
          <w:color w:val="auto"/>
          <w:kern w:val="0"/>
          <w:szCs w:val="21"/>
          <w:highlight w:val="none"/>
        </w:rPr>
        <w:t>。</w:t>
      </w:r>
    </w:p>
    <w:p w14:paraId="529C5EEE">
      <w:pPr>
        <w:pStyle w:val="174"/>
        <w:spacing w:before="0" w:beforeLines="0" w:after="0" w:afterLines="0" w:line="440" w:lineRule="exact"/>
        <w:rPr>
          <w:rFonts w:hint="eastAsia" w:ascii="宋体" w:hAnsi="宋体" w:cs="宋体"/>
          <w:color w:val="auto"/>
          <w:sz w:val="24"/>
          <w:szCs w:val="24"/>
          <w:highlight w:val="none"/>
        </w:rPr>
      </w:pPr>
      <w:bookmarkStart w:id="785" w:name="_Toc497215786"/>
      <w:bookmarkStart w:id="786" w:name="_Toc407135274"/>
      <w:bookmarkStart w:id="787" w:name="_Toc75182774"/>
      <w:bookmarkStart w:id="788" w:name="_Toc47088373"/>
      <w:bookmarkStart w:id="789" w:name="_Toc497901185"/>
      <w:bookmarkStart w:id="790" w:name="_Toc497147229"/>
      <w:r>
        <w:rPr>
          <w:rFonts w:hint="eastAsia" w:ascii="宋体" w:hAnsi="宋体" w:cs="宋体"/>
          <w:color w:val="auto"/>
          <w:sz w:val="24"/>
          <w:szCs w:val="24"/>
          <w:highlight w:val="none"/>
        </w:rPr>
        <w:t>17.</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因不可抗力解除合同</w:t>
      </w:r>
      <w:bookmarkEnd w:id="785"/>
      <w:bookmarkEnd w:id="786"/>
      <w:bookmarkEnd w:id="787"/>
      <w:bookmarkEnd w:id="788"/>
      <w:bookmarkEnd w:id="789"/>
      <w:bookmarkEnd w:id="790"/>
    </w:p>
    <w:p w14:paraId="567C2928">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合同解除后，发包人应在商定或确定发包人应支付款项后</w:t>
      </w:r>
      <w:r>
        <w:rPr>
          <w:rFonts w:hint="eastAsia" w:ascii="宋体" w:hAnsi="宋体" w:cs="宋体"/>
          <w:color w:val="auto"/>
          <w:szCs w:val="21"/>
          <w:highlight w:val="none"/>
          <w:u w:val="single"/>
        </w:rPr>
        <w:t xml:space="preserve"> 28 </w:t>
      </w:r>
      <w:r>
        <w:rPr>
          <w:rFonts w:hint="eastAsia" w:ascii="宋体" w:hAnsi="宋体" w:cs="宋体"/>
          <w:color w:val="auto"/>
          <w:szCs w:val="21"/>
          <w:highlight w:val="none"/>
        </w:rPr>
        <w:t>天内完成款项的支付。</w:t>
      </w:r>
    </w:p>
    <w:p w14:paraId="25545E44">
      <w:pPr>
        <w:pStyle w:val="174"/>
        <w:spacing w:before="0" w:beforeLines="0" w:after="0" w:afterLines="0" w:line="440" w:lineRule="exact"/>
        <w:rPr>
          <w:rFonts w:hint="eastAsia" w:ascii="宋体" w:hAnsi="宋体" w:cs="宋体"/>
          <w:color w:val="auto"/>
          <w:sz w:val="24"/>
          <w:szCs w:val="24"/>
          <w:highlight w:val="none"/>
        </w:rPr>
      </w:pPr>
      <w:bookmarkStart w:id="791" w:name="_Toc497147230"/>
      <w:bookmarkStart w:id="792" w:name="_Toc407135275"/>
      <w:bookmarkStart w:id="793" w:name="_Toc47088374"/>
      <w:bookmarkStart w:id="794" w:name="_Toc497215787"/>
      <w:bookmarkStart w:id="795" w:name="_Toc75182775"/>
      <w:bookmarkStart w:id="796" w:name="_Toc497901186"/>
      <w:r>
        <w:rPr>
          <w:rFonts w:hint="eastAsia" w:ascii="宋体" w:hAnsi="宋体" w:cs="宋体"/>
          <w:color w:val="auto"/>
          <w:sz w:val="24"/>
          <w:szCs w:val="24"/>
          <w:highlight w:val="none"/>
        </w:rPr>
        <w:t>18. 保险</w:t>
      </w:r>
      <w:bookmarkEnd w:id="791"/>
      <w:bookmarkEnd w:id="792"/>
      <w:bookmarkEnd w:id="793"/>
      <w:bookmarkEnd w:id="794"/>
      <w:bookmarkEnd w:id="795"/>
      <w:bookmarkEnd w:id="796"/>
    </w:p>
    <w:p w14:paraId="5D9087F6">
      <w:pPr>
        <w:pStyle w:val="174"/>
        <w:spacing w:before="0" w:beforeLines="0" w:after="0" w:afterLines="0" w:line="440" w:lineRule="exact"/>
        <w:rPr>
          <w:rFonts w:hint="eastAsia" w:ascii="宋体" w:hAnsi="宋体" w:cs="宋体"/>
          <w:color w:val="auto"/>
          <w:sz w:val="24"/>
          <w:szCs w:val="24"/>
          <w:highlight w:val="none"/>
        </w:rPr>
      </w:pPr>
      <w:bookmarkStart w:id="797" w:name="_Toc497147231"/>
      <w:bookmarkStart w:id="798" w:name="_Toc75182776"/>
      <w:bookmarkStart w:id="799" w:name="_Toc47088375"/>
      <w:bookmarkStart w:id="800" w:name="_Toc497901187"/>
      <w:bookmarkStart w:id="801" w:name="_Toc497215788"/>
      <w:bookmarkStart w:id="802" w:name="_Toc407135276"/>
      <w:r>
        <w:rPr>
          <w:rFonts w:hint="eastAsia" w:ascii="宋体" w:hAnsi="宋体" w:cs="宋体"/>
          <w:color w:val="auto"/>
          <w:sz w:val="24"/>
          <w:szCs w:val="24"/>
          <w:highlight w:val="none"/>
        </w:rPr>
        <w:t>18.1 工程保险</w:t>
      </w:r>
      <w:bookmarkEnd w:id="797"/>
      <w:bookmarkEnd w:id="798"/>
      <w:bookmarkEnd w:id="799"/>
      <w:bookmarkEnd w:id="800"/>
      <w:bookmarkEnd w:id="801"/>
      <w:bookmarkEnd w:id="802"/>
    </w:p>
    <w:p w14:paraId="6A1E4AED">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关于工程保险的特别约定：</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3BB4BD70">
      <w:pPr>
        <w:pStyle w:val="174"/>
        <w:spacing w:before="0" w:beforeLines="0" w:after="0" w:afterLines="0" w:line="440" w:lineRule="exact"/>
        <w:rPr>
          <w:rFonts w:hint="eastAsia" w:ascii="宋体" w:hAnsi="宋体" w:cs="宋体"/>
          <w:color w:val="auto"/>
          <w:sz w:val="24"/>
          <w:szCs w:val="24"/>
          <w:highlight w:val="none"/>
        </w:rPr>
      </w:pPr>
      <w:bookmarkStart w:id="803" w:name="_Toc75182777"/>
      <w:bookmarkStart w:id="804" w:name="_Toc497901188"/>
      <w:bookmarkStart w:id="805" w:name="_Toc497215789"/>
      <w:bookmarkStart w:id="806" w:name="_Toc47088376"/>
      <w:bookmarkStart w:id="807" w:name="_Toc497147232"/>
      <w:bookmarkStart w:id="808" w:name="_Toc407135277"/>
      <w:r>
        <w:rPr>
          <w:rFonts w:hint="eastAsia" w:ascii="宋体" w:hAnsi="宋体" w:cs="宋体"/>
          <w:color w:val="auto"/>
          <w:sz w:val="24"/>
          <w:szCs w:val="24"/>
          <w:highlight w:val="none"/>
        </w:rPr>
        <w:t>18.</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其他保险</w:t>
      </w:r>
      <w:bookmarkEnd w:id="803"/>
      <w:bookmarkEnd w:id="804"/>
      <w:bookmarkEnd w:id="805"/>
      <w:bookmarkEnd w:id="806"/>
      <w:bookmarkEnd w:id="807"/>
      <w:bookmarkEnd w:id="808"/>
    </w:p>
    <w:p w14:paraId="284CAA1D">
      <w:pPr>
        <w:pStyle w:val="108"/>
        <w:spacing w:line="4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szCs w:val="21"/>
          <w:highlight w:val="none"/>
        </w:rPr>
        <w:t>关于其他保险的约定：</w:t>
      </w:r>
      <w:r>
        <w:rPr>
          <w:rFonts w:hint="eastAsia" w:ascii="宋体" w:hAnsi="宋体" w:cs="宋体"/>
          <w:bCs/>
          <w:color w:val="auto"/>
          <w:szCs w:val="21"/>
          <w:highlight w:val="none"/>
          <w:u w:val="single"/>
        </w:rPr>
        <w:t>承包人必须为施工现场的工作人员办理意外伤害保险，并支付保险费</w:t>
      </w:r>
      <w:r>
        <w:rPr>
          <w:rFonts w:hint="eastAsia" w:ascii="宋体" w:hAnsi="宋体" w:cs="宋体"/>
          <w:bCs/>
          <w:color w:val="auto"/>
          <w:szCs w:val="21"/>
          <w:highlight w:val="none"/>
        </w:rPr>
        <w:t>。</w:t>
      </w:r>
    </w:p>
    <w:p w14:paraId="4E878233">
      <w:pPr>
        <w:pStyle w:val="108"/>
        <w:spacing w:line="44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承包人是否应为其施工设备等办理财产保险：</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C95CD79">
      <w:pPr>
        <w:pStyle w:val="174"/>
        <w:spacing w:before="0" w:beforeLines="0" w:after="0" w:afterLines="0" w:line="440" w:lineRule="exact"/>
        <w:rPr>
          <w:rFonts w:hint="eastAsia" w:ascii="宋体" w:hAnsi="宋体" w:cs="宋体"/>
          <w:color w:val="auto"/>
          <w:sz w:val="24"/>
          <w:szCs w:val="24"/>
          <w:highlight w:val="none"/>
        </w:rPr>
      </w:pPr>
      <w:bookmarkStart w:id="809" w:name="_Toc497147233"/>
      <w:bookmarkStart w:id="810" w:name="_Toc497215790"/>
      <w:bookmarkStart w:id="811" w:name="_Toc407135278"/>
      <w:bookmarkStart w:id="812" w:name="_Toc47088377"/>
      <w:bookmarkStart w:id="813" w:name="_Toc75182778"/>
      <w:bookmarkStart w:id="814" w:name="_Toc497901189"/>
      <w:r>
        <w:rPr>
          <w:rFonts w:hint="eastAsia" w:ascii="宋体" w:hAnsi="宋体" w:cs="宋体"/>
          <w:color w:val="auto"/>
          <w:sz w:val="24"/>
          <w:szCs w:val="24"/>
          <w:highlight w:val="none"/>
        </w:rPr>
        <w:t>18.</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通知义务</w:t>
      </w:r>
      <w:bookmarkEnd w:id="809"/>
      <w:bookmarkEnd w:id="810"/>
      <w:bookmarkEnd w:id="811"/>
      <w:bookmarkEnd w:id="812"/>
      <w:bookmarkEnd w:id="813"/>
      <w:bookmarkEnd w:id="814"/>
    </w:p>
    <w:p w14:paraId="3116334E">
      <w:pPr>
        <w:pStyle w:val="108"/>
        <w:spacing w:line="44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关于变更保险合同时的通知义务的约定：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2F71642">
      <w:pPr>
        <w:pStyle w:val="174"/>
        <w:spacing w:before="0" w:beforeLines="0" w:after="0" w:afterLines="0" w:line="440" w:lineRule="exact"/>
        <w:rPr>
          <w:rFonts w:hint="eastAsia" w:ascii="宋体" w:hAnsi="宋体" w:cs="宋体"/>
          <w:color w:val="auto"/>
          <w:sz w:val="24"/>
          <w:szCs w:val="24"/>
          <w:highlight w:val="none"/>
        </w:rPr>
      </w:pPr>
      <w:bookmarkStart w:id="815" w:name="_Toc47088378"/>
      <w:bookmarkStart w:id="816" w:name="_Toc497901190"/>
      <w:bookmarkStart w:id="817" w:name="_Toc407135279"/>
      <w:bookmarkStart w:id="818" w:name="_Toc497215791"/>
      <w:bookmarkStart w:id="819" w:name="_Toc497147234"/>
      <w:bookmarkStart w:id="820" w:name="_Toc75182779"/>
      <w:r>
        <w:rPr>
          <w:rFonts w:hint="eastAsia" w:ascii="宋体" w:hAnsi="宋体" w:cs="宋体"/>
          <w:color w:val="auto"/>
          <w:sz w:val="24"/>
          <w:szCs w:val="24"/>
          <w:highlight w:val="none"/>
          <w:lang w:val="en-US" w:eastAsia="zh-CN"/>
        </w:rPr>
        <w:t>19</w:t>
      </w:r>
      <w:r>
        <w:rPr>
          <w:rFonts w:hint="eastAsia" w:ascii="宋体" w:hAnsi="宋体" w:cs="宋体"/>
          <w:color w:val="auto"/>
          <w:sz w:val="24"/>
          <w:szCs w:val="24"/>
          <w:highlight w:val="none"/>
        </w:rPr>
        <w:t>. 争议解决</w:t>
      </w:r>
      <w:bookmarkEnd w:id="815"/>
      <w:bookmarkEnd w:id="816"/>
      <w:bookmarkEnd w:id="817"/>
      <w:bookmarkEnd w:id="818"/>
      <w:bookmarkEnd w:id="819"/>
      <w:bookmarkEnd w:id="820"/>
    </w:p>
    <w:p w14:paraId="4AA65A9C">
      <w:pPr>
        <w:pStyle w:val="174"/>
        <w:spacing w:before="0" w:beforeLines="0" w:after="0" w:afterLines="0" w:line="440" w:lineRule="exact"/>
        <w:rPr>
          <w:rFonts w:hint="eastAsia" w:ascii="宋体" w:hAnsi="宋体" w:cs="宋体"/>
          <w:color w:val="auto"/>
          <w:sz w:val="24"/>
          <w:szCs w:val="24"/>
          <w:highlight w:val="none"/>
        </w:rPr>
      </w:pPr>
      <w:bookmarkStart w:id="821" w:name="_Toc497215792"/>
      <w:bookmarkStart w:id="822" w:name="_Toc497147235"/>
      <w:bookmarkStart w:id="823" w:name="_Toc407135280"/>
      <w:bookmarkStart w:id="824" w:name="_Toc75182780"/>
      <w:bookmarkStart w:id="825" w:name="_Toc497901191"/>
      <w:bookmarkStart w:id="826" w:name="_Toc47088379"/>
      <w:r>
        <w:rPr>
          <w:rFonts w:hint="eastAsia" w:ascii="宋体" w:hAnsi="宋体" w:cs="宋体"/>
          <w:color w:val="auto"/>
          <w:sz w:val="24"/>
          <w:szCs w:val="24"/>
          <w:highlight w:val="none"/>
          <w:lang w:val="en-US" w:eastAsia="zh-CN"/>
        </w:rPr>
        <w:t>19</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 xml:space="preserve"> 争议评审</w:t>
      </w:r>
      <w:bookmarkEnd w:id="821"/>
      <w:bookmarkEnd w:id="822"/>
      <w:bookmarkEnd w:id="823"/>
      <w:bookmarkEnd w:id="824"/>
      <w:bookmarkEnd w:id="825"/>
      <w:bookmarkEnd w:id="826"/>
    </w:p>
    <w:p w14:paraId="3E577151">
      <w:pPr>
        <w:pStyle w:val="108"/>
        <w:spacing w:line="440" w:lineRule="exact"/>
        <w:ind w:left="149" w:leftChars="71" w:firstLine="315" w:firstLineChars="150"/>
        <w:jc w:val="left"/>
        <w:rPr>
          <w:rFonts w:hint="eastAsia" w:ascii="宋体" w:hAnsi="宋体" w:cs="宋体"/>
          <w:color w:val="auto"/>
          <w:szCs w:val="21"/>
          <w:highlight w:val="none"/>
          <w:u w:val="single"/>
        </w:rPr>
      </w:pPr>
      <w:r>
        <w:rPr>
          <w:rFonts w:hint="eastAsia" w:ascii="宋体" w:hAnsi="宋体" w:cs="宋体"/>
          <w:color w:val="auto"/>
          <w:szCs w:val="21"/>
          <w:highlight w:val="none"/>
        </w:rPr>
        <w:t>合同当事人是否同意将工程争议提交争议评审小组决定：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BC162C7">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19</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.1 争议评审小组的确定</w:t>
      </w:r>
    </w:p>
    <w:p w14:paraId="0FE8B99B">
      <w:pPr>
        <w:pStyle w:val="108"/>
        <w:spacing w:line="44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rPr>
        <w:t>争议评审小组成员的确定：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0D7907F3">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选定争议评审员的期限：</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157D882D">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争议评审小组成员的报酬承担方式：</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6D392F8B">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其他事项的约定：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50AAE589">
      <w:pPr>
        <w:pStyle w:val="108"/>
        <w:autoSpaceDE w:val="0"/>
        <w:autoSpaceDN w:val="0"/>
        <w:adjustRightInd w:val="0"/>
        <w:spacing w:line="440" w:lineRule="exact"/>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19</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.2 争议评审小组的决定</w:t>
      </w:r>
    </w:p>
    <w:p w14:paraId="1668CA7A">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合同当事人关于本项的约定：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1E01CB0E">
      <w:pPr>
        <w:pStyle w:val="174"/>
        <w:spacing w:before="0" w:beforeLines="0" w:after="0" w:afterLines="0" w:line="440" w:lineRule="exact"/>
        <w:rPr>
          <w:rFonts w:hint="eastAsia" w:ascii="宋体" w:hAnsi="宋体" w:cs="宋体"/>
          <w:color w:val="auto"/>
          <w:sz w:val="24"/>
          <w:szCs w:val="24"/>
          <w:highlight w:val="none"/>
        </w:rPr>
      </w:pPr>
      <w:bookmarkStart w:id="827" w:name="_Toc47088380"/>
      <w:bookmarkStart w:id="828" w:name="_Toc75182781"/>
      <w:bookmarkStart w:id="829" w:name="_Toc497147236"/>
      <w:bookmarkStart w:id="830" w:name="_Toc407135281"/>
      <w:bookmarkStart w:id="831" w:name="_Toc497901192"/>
      <w:bookmarkStart w:id="832" w:name="_Toc497215793"/>
      <w:r>
        <w:rPr>
          <w:rFonts w:hint="eastAsia" w:ascii="宋体" w:hAnsi="宋体" w:cs="宋体"/>
          <w:color w:val="auto"/>
          <w:sz w:val="24"/>
          <w:szCs w:val="24"/>
          <w:highlight w:val="none"/>
          <w:lang w:val="en-US" w:eastAsia="zh-CN"/>
        </w:rPr>
        <w:t>19</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仲裁或诉讼</w:t>
      </w:r>
      <w:bookmarkEnd w:id="827"/>
      <w:bookmarkEnd w:id="828"/>
      <w:bookmarkEnd w:id="829"/>
      <w:bookmarkEnd w:id="830"/>
      <w:bookmarkEnd w:id="831"/>
      <w:bookmarkEnd w:id="832"/>
    </w:p>
    <w:p w14:paraId="7EBDF651">
      <w:pPr>
        <w:pStyle w:val="108"/>
        <w:spacing w:line="44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因合同及合同有关事项发生的争议，按下列第</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种方式解决：</w:t>
      </w:r>
    </w:p>
    <w:p w14:paraId="19BDA5E2">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（1）提请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仲裁委员会按照该会仲裁规则进行仲裁，仲裁裁决是终局的，对合同双方均有约束力。</w:t>
      </w:r>
    </w:p>
    <w:p w14:paraId="46509685">
      <w:pPr>
        <w:pStyle w:val="108"/>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工程所在地      </w:t>
      </w:r>
      <w:r>
        <w:rPr>
          <w:rFonts w:hint="eastAsia" w:ascii="宋体" w:hAnsi="宋体" w:cs="宋体"/>
          <w:color w:val="auto"/>
          <w:szCs w:val="21"/>
          <w:highlight w:val="none"/>
        </w:rPr>
        <w:t>人民法院起诉。</w:t>
      </w:r>
    </w:p>
    <w:p w14:paraId="59DE5B5D">
      <w:pPr>
        <w:pStyle w:val="174"/>
        <w:spacing w:before="0" w:beforeLines="0" w:after="0" w:afterLines="0" w:line="440" w:lineRule="exact"/>
        <w:rPr>
          <w:rFonts w:hint="eastAsia" w:ascii="宋体" w:hAnsi="宋体" w:cs="宋体"/>
          <w:color w:val="auto"/>
          <w:sz w:val="24"/>
          <w:szCs w:val="24"/>
          <w:highlight w:val="none"/>
        </w:rPr>
      </w:pPr>
      <w:bookmarkStart w:id="833" w:name="_Toc407135282"/>
      <w:bookmarkStart w:id="834" w:name="_Toc497215794"/>
      <w:bookmarkStart w:id="835" w:name="_Toc497147237"/>
      <w:bookmarkStart w:id="836" w:name="_Toc47088381"/>
      <w:bookmarkStart w:id="837" w:name="_Toc75182782"/>
      <w:bookmarkStart w:id="838" w:name="_Toc497901193"/>
      <w:r>
        <w:rPr>
          <w:rFonts w:hint="eastAsia" w:ascii="宋体" w:hAnsi="宋体" w:cs="宋体"/>
          <w:color w:val="auto"/>
          <w:sz w:val="24"/>
          <w:szCs w:val="24"/>
          <w:highlight w:val="none"/>
        </w:rPr>
        <w:t>2</w:t>
      </w:r>
      <w:r>
        <w:rPr>
          <w:rFonts w:hint="eastAsia" w:ascii="宋体" w:hAnsi="宋体" w:cs="宋体"/>
          <w:color w:val="auto"/>
          <w:sz w:val="24"/>
          <w:szCs w:val="24"/>
          <w:highlight w:val="none"/>
          <w:lang w:val="en-US" w:eastAsia="zh-CN"/>
        </w:rPr>
        <w:t>0</w:t>
      </w:r>
      <w:r>
        <w:rPr>
          <w:rFonts w:hint="eastAsia" w:ascii="宋体" w:hAnsi="宋体" w:cs="宋体"/>
          <w:color w:val="auto"/>
          <w:sz w:val="24"/>
          <w:szCs w:val="24"/>
          <w:highlight w:val="none"/>
        </w:rPr>
        <w:t>. 补充条款</w:t>
      </w:r>
      <w:bookmarkEnd w:id="833"/>
      <w:bookmarkEnd w:id="834"/>
      <w:bookmarkEnd w:id="835"/>
      <w:bookmarkEnd w:id="836"/>
      <w:bookmarkEnd w:id="837"/>
      <w:bookmarkEnd w:id="838"/>
    </w:p>
    <w:p w14:paraId="67B30B14">
      <w:pPr>
        <w:spacing w:line="460" w:lineRule="exact"/>
        <w:rPr>
          <w:rFonts w:hint="eastAsia" w:ascii="宋体" w:hAnsi="宋体" w:cs="宋体"/>
          <w:color w:val="auto"/>
          <w:szCs w:val="21"/>
          <w:highlight w:val="none"/>
        </w:rPr>
        <w:sectPr>
          <w:pgSz w:w="11907" w:h="16840"/>
          <w:pgMar w:top="1440" w:right="1310" w:bottom="1440" w:left="1310" w:header="851" w:footer="850" w:gutter="0"/>
          <w:cols w:space="720" w:num="1"/>
          <w:docGrid w:type="lines" w:linePitch="312" w:charSpace="0"/>
        </w:sectPr>
      </w:pPr>
      <w:bookmarkStart w:id="839" w:name="_Toc358569761"/>
      <w:bookmarkStart w:id="840" w:name="_Toc358569762"/>
    </w:p>
    <w:bookmarkEnd w:id="839"/>
    <w:bookmarkEnd w:id="840"/>
    <w:p w14:paraId="4FE32E0C">
      <w:pPr>
        <w:rPr>
          <w:rFonts w:hint="eastAsia" w:ascii="宋体" w:hAnsi="宋体" w:cs="宋体"/>
          <w:color w:val="auto"/>
          <w:highlight w:val="none"/>
        </w:rPr>
      </w:pPr>
      <w:r>
        <w:rPr>
          <w:rFonts w:hint="eastAsia" w:ascii="宋体" w:hAnsi="宋体" w:cs="宋体"/>
          <w:b/>
          <w:bCs/>
          <w:color w:val="auto"/>
          <w:highlight w:val="none"/>
        </w:rPr>
        <w:t>质量保修书格式</w:t>
      </w:r>
    </w:p>
    <w:p w14:paraId="78C507BA">
      <w:pPr>
        <w:pStyle w:val="75"/>
        <w:widowControl/>
        <w:spacing w:before="156" w:beforeLines="0" w:after="156" w:afterLines="0" w:line="440" w:lineRule="atLeast"/>
        <w:jc w:val="center"/>
        <w:rPr>
          <w:rStyle w:val="42"/>
          <w:rFonts w:ascii="黑体" w:hAnsi="Times New Roman" w:eastAsia="黑体" w:cs="Times New Roman"/>
          <w:color w:val="auto"/>
          <w:kern w:val="0"/>
          <w:sz w:val="32"/>
          <w:szCs w:val="32"/>
          <w:highlight w:val="none"/>
        </w:rPr>
      </w:pPr>
      <w:r>
        <w:rPr>
          <w:rStyle w:val="42"/>
          <w:rFonts w:hint="eastAsia" w:ascii="黑体" w:hAnsi="Times New Roman" w:eastAsia="黑体" w:cs="Times New Roman"/>
          <w:color w:val="auto"/>
          <w:kern w:val="0"/>
          <w:sz w:val="32"/>
          <w:highlight w:val="none"/>
        </w:rPr>
        <w:t>工程质量保修书（房屋建筑工程）</w:t>
      </w:r>
    </w:p>
    <w:p w14:paraId="4534BE9B">
      <w:pPr>
        <w:pStyle w:val="75"/>
        <w:widowControl/>
        <w:spacing w:line="440" w:lineRule="atLeast"/>
        <w:ind w:firstLine="420"/>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发包人（全称）：</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p>
    <w:p w14:paraId="0F8941D6">
      <w:pPr>
        <w:pStyle w:val="75"/>
        <w:widowControl/>
        <w:spacing w:line="440" w:lineRule="atLeast"/>
        <w:ind w:firstLine="420"/>
        <w:rPr>
          <w:rStyle w:val="42"/>
          <w:rFonts w:hint="eastAsia"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承包人（全称）：</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p>
    <w:p w14:paraId="0ED96910">
      <w:pPr>
        <w:pStyle w:val="75"/>
        <w:widowControl/>
        <w:spacing w:line="440" w:lineRule="atLeast"/>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 xml:space="preserve"> </w:t>
      </w:r>
    </w:p>
    <w:p w14:paraId="0416244F">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发包人和承包人根据《中华人民共和国建筑法》和《建设工程质量管理条例》，经协商一致就</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（工程全称）签订工程质量保修书。</w:t>
      </w:r>
    </w:p>
    <w:p w14:paraId="18CA1EAA">
      <w:pPr>
        <w:pStyle w:val="75"/>
        <w:widowControl/>
        <w:spacing w:line="360" w:lineRule="auto"/>
        <w:ind w:firstLine="420"/>
        <w:rPr>
          <w:rStyle w:val="42"/>
          <w:rFonts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一、工程质量保修范围和内容</w:t>
      </w:r>
    </w:p>
    <w:p w14:paraId="43F9E7D6">
      <w:pPr>
        <w:pStyle w:val="75"/>
        <w:widowControl/>
        <w:spacing w:line="360" w:lineRule="auto"/>
        <w:ind w:firstLine="420"/>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承包人在质量保修期内，按照有关法律规定和合同约定，承担工程质量保修责任。</w:t>
      </w:r>
    </w:p>
    <w:p w14:paraId="77C65D36">
      <w:pPr>
        <w:pStyle w:val="75"/>
        <w:widowControl/>
        <w:spacing w:line="360" w:lineRule="auto"/>
        <w:ind w:firstLine="420"/>
        <w:rPr>
          <w:rStyle w:val="42"/>
          <w:rFonts w:hint="eastAsia"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9A702EC">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在承包人承包范围内，属承包人责任造成的工程质量问题，由承包人承担保修责任</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w:t>
      </w:r>
    </w:p>
    <w:p w14:paraId="6C520C05">
      <w:pPr>
        <w:pStyle w:val="75"/>
        <w:widowControl/>
        <w:spacing w:line="360" w:lineRule="auto"/>
        <w:ind w:firstLine="420"/>
        <w:rPr>
          <w:rStyle w:val="42"/>
          <w:rFonts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二、质量保修期</w:t>
      </w:r>
    </w:p>
    <w:p w14:paraId="4B5BA84C">
      <w:pPr>
        <w:pStyle w:val="75"/>
        <w:widowControl/>
        <w:spacing w:line="360" w:lineRule="auto"/>
        <w:ind w:firstLine="420"/>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根据《建设工程质量管理条例》及有关规定，工程的质量保修期如下：</w:t>
      </w:r>
    </w:p>
    <w:p w14:paraId="2CB60811">
      <w:pPr>
        <w:pStyle w:val="75"/>
        <w:widowControl/>
        <w:spacing w:line="360" w:lineRule="auto"/>
        <w:ind w:firstLine="420"/>
        <w:rPr>
          <w:rStyle w:val="42"/>
          <w:rFonts w:hint="eastAsia"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1</w:t>
      </w:r>
      <w:r>
        <w:rPr>
          <w:rStyle w:val="42"/>
          <w:rFonts w:hint="eastAsia" w:ascii="宋体" w:hAnsi="宋体" w:eastAsia="宋体" w:cs="Times New Roman"/>
          <w:color w:val="auto"/>
          <w:kern w:val="0"/>
          <w:szCs w:val="21"/>
          <w:highlight w:val="none"/>
        </w:rPr>
        <w:t>．地基基础工程和主体结构工程为设计文件规定的工程合理使用年限；</w:t>
      </w:r>
    </w:p>
    <w:p w14:paraId="00C45770">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2</w:t>
      </w:r>
      <w:r>
        <w:rPr>
          <w:rStyle w:val="42"/>
          <w:rFonts w:hint="eastAsia" w:ascii="宋体" w:hAnsi="宋体" w:eastAsia="宋体" w:cs="Times New Roman"/>
          <w:color w:val="auto"/>
          <w:kern w:val="0"/>
          <w:szCs w:val="21"/>
          <w:highlight w:val="none"/>
        </w:rPr>
        <w:t>．屋面防水工程、有防水要求的卫生间、房间和外墙面的防渗为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五</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年；</w:t>
      </w:r>
    </w:p>
    <w:p w14:paraId="4ED2518E">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3</w:t>
      </w:r>
      <w:r>
        <w:rPr>
          <w:rStyle w:val="42"/>
          <w:rFonts w:hint="eastAsia" w:ascii="宋体" w:hAnsi="宋体" w:eastAsia="宋体" w:cs="Times New Roman"/>
          <w:color w:val="auto"/>
          <w:kern w:val="0"/>
          <w:szCs w:val="21"/>
          <w:highlight w:val="none"/>
        </w:rPr>
        <w:t>．装修</w:t>
      </w:r>
      <w:r>
        <w:rPr>
          <w:rStyle w:val="42"/>
          <w:rFonts w:hint="eastAsia" w:ascii="宋体" w:hAnsi="宋体" w:eastAsia="宋体" w:cs="Times New Roman"/>
          <w:color w:val="auto"/>
          <w:kern w:val="0"/>
          <w:szCs w:val="21"/>
          <w:highlight w:val="none"/>
          <w:lang w:eastAsia="zh-CN"/>
        </w:rPr>
        <w:t>工</w:t>
      </w:r>
      <w:r>
        <w:rPr>
          <w:rStyle w:val="42"/>
          <w:rFonts w:hint="eastAsia" w:ascii="宋体" w:hAnsi="宋体" w:cs="Times New Roman"/>
          <w:color w:val="auto"/>
          <w:kern w:val="0"/>
          <w:szCs w:val="21"/>
          <w:highlight w:val="none"/>
          <w:lang w:val="en-US" w:eastAsia="zh-CN"/>
        </w:rPr>
        <w:t>程</w:t>
      </w:r>
      <w:r>
        <w:rPr>
          <w:rStyle w:val="42"/>
          <w:rFonts w:hint="eastAsia" w:ascii="宋体" w:hAnsi="宋体" w:eastAsia="宋体" w:cs="Times New Roman"/>
          <w:color w:val="auto"/>
          <w:kern w:val="0"/>
          <w:szCs w:val="21"/>
          <w:highlight w:val="none"/>
        </w:rPr>
        <w:t>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二</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年；</w:t>
      </w:r>
    </w:p>
    <w:p w14:paraId="476EF2BB">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4</w:t>
      </w:r>
      <w:r>
        <w:rPr>
          <w:rStyle w:val="42"/>
          <w:rFonts w:hint="eastAsia" w:ascii="宋体" w:hAnsi="宋体" w:eastAsia="宋体" w:cs="Times New Roman"/>
          <w:color w:val="auto"/>
          <w:kern w:val="0"/>
          <w:szCs w:val="21"/>
          <w:highlight w:val="none"/>
        </w:rPr>
        <w:t>．电气管线、给排水管道、设备安装工程为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二</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年；</w:t>
      </w:r>
    </w:p>
    <w:p w14:paraId="642216AE">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5</w:t>
      </w:r>
      <w:r>
        <w:rPr>
          <w:rStyle w:val="42"/>
          <w:rFonts w:hint="eastAsia" w:ascii="宋体" w:hAnsi="宋体" w:eastAsia="宋体" w:cs="Times New Roman"/>
          <w:color w:val="auto"/>
          <w:kern w:val="0"/>
          <w:szCs w:val="21"/>
          <w:highlight w:val="none"/>
        </w:rPr>
        <w:t>．供热与供冷系统为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二</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个采暖期、供冷期；</w:t>
      </w:r>
    </w:p>
    <w:p w14:paraId="56D8DE4E">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6</w:t>
      </w:r>
      <w:r>
        <w:rPr>
          <w:rStyle w:val="42"/>
          <w:rFonts w:hint="eastAsia" w:ascii="宋体" w:hAnsi="宋体" w:eastAsia="宋体" w:cs="Times New Roman"/>
          <w:color w:val="auto"/>
          <w:kern w:val="0"/>
          <w:szCs w:val="21"/>
          <w:highlight w:val="none"/>
        </w:rPr>
        <w:t>．住宅小区内的给排水设施、道路等配套工程为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二</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年；</w:t>
      </w:r>
    </w:p>
    <w:p w14:paraId="09825088">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7</w:t>
      </w:r>
      <w:r>
        <w:rPr>
          <w:rStyle w:val="42"/>
          <w:rFonts w:hint="eastAsia" w:ascii="宋体" w:hAnsi="宋体" w:eastAsia="宋体" w:cs="Times New Roman"/>
          <w:color w:val="auto"/>
          <w:kern w:val="0"/>
          <w:szCs w:val="21"/>
          <w:highlight w:val="none"/>
        </w:rPr>
        <w:t>．其他项目保修期限约定如下：</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二年</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w:t>
      </w:r>
    </w:p>
    <w:p w14:paraId="4996D0C4">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质量保修期自工程竣工验收合格之日起计算。</w:t>
      </w:r>
    </w:p>
    <w:p w14:paraId="72E834ED">
      <w:pPr>
        <w:pStyle w:val="75"/>
        <w:widowControl/>
        <w:spacing w:line="360" w:lineRule="auto"/>
        <w:ind w:firstLine="420"/>
        <w:rPr>
          <w:rStyle w:val="42"/>
          <w:rFonts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三、缺陷责任期</w:t>
      </w:r>
    </w:p>
    <w:p w14:paraId="03AECFD2">
      <w:pPr>
        <w:pStyle w:val="75"/>
        <w:widowControl/>
        <w:spacing w:line="360" w:lineRule="auto"/>
        <w:ind w:firstLine="420"/>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工程缺陷责任期为</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lang w:val="en-US" w:eastAsia="zh-CN"/>
        </w:rPr>
        <w:t>12</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个月（最长不超过</w:t>
      </w:r>
      <w:r>
        <w:rPr>
          <w:rStyle w:val="42"/>
          <w:rFonts w:ascii="Times New Roman" w:hAnsi="Times New Roman" w:eastAsia="宋体" w:cs="Times New Roman"/>
          <w:color w:val="auto"/>
          <w:kern w:val="0"/>
          <w:szCs w:val="21"/>
          <w:highlight w:val="none"/>
        </w:rPr>
        <w:t>24</w:t>
      </w:r>
      <w:r>
        <w:rPr>
          <w:rStyle w:val="42"/>
          <w:rFonts w:hint="eastAsia" w:ascii="宋体" w:hAnsi="宋体" w:eastAsia="宋体" w:cs="Times New Roman"/>
          <w:color w:val="auto"/>
          <w:kern w:val="0"/>
          <w:szCs w:val="21"/>
          <w:highlight w:val="none"/>
        </w:rPr>
        <w:t>个月），缺陷责任期自工程竣工验收合格之日起计算。单位工程先于全部工程进行验收，单位工程缺陷责任期自单位工程验收合格之日起算。</w:t>
      </w:r>
    </w:p>
    <w:p w14:paraId="753D219A">
      <w:pPr>
        <w:pStyle w:val="75"/>
        <w:widowControl/>
        <w:spacing w:line="360" w:lineRule="auto"/>
        <w:ind w:firstLine="420"/>
        <w:rPr>
          <w:rStyle w:val="42"/>
          <w:rFonts w:hint="eastAsia"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缺陷责任期</w:t>
      </w:r>
      <w:r>
        <w:rPr>
          <w:rStyle w:val="42"/>
          <w:rFonts w:hint="eastAsia" w:ascii="宋体" w:hAnsi="宋体" w:eastAsia="宋体" w:cs="Times New Roman"/>
          <w:color w:val="auto"/>
          <w:kern w:val="0"/>
          <w:szCs w:val="21"/>
          <w:highlight w:val="none"/>
          <w:u w:val="single"/>
        </w:rPr>
        <w:t>满</w:t>
      </w:r>
      <w:r>
        <w:rPr>
          <w:rStyle w:val="42"/>
          <w:rFonts w:hint="eastAsia" w:ascii="宋体" w:hAnsi="宋体" w:eastAsia="宋体" w:cs="Times New Roman"/>
          <w:color w:val="auto"/>
          <w:kern w:val="0"/>
          <w:szCs w:val="21"/>
          <w:highlight w:val="none"/>
        </w:rPr>
        <w:t>之日起</w:t>
      </w:r>
      <w:r>
        <w:rPr>
          <w:rStyle w:val="42"/>
          <w:rFonts w:hint="eastAsia" w:ascii="宋体" w:hAnsi="宋体" w:eastAsia="宋体" w:cs="Times New Roman"/>
          <w:color w:val="auto"/>
          <w:kern w:val="0"/>
          <w:szCs w:val="21"/>
          <w:highlight w:val="none"/>
          <w:u w:val="single"/>
        </w:rPr>
        <w:t xml:space="preserve"> </w:t>
      </w:r>
      <w:r>
        <w:rPr>
          <w:rStyle w:val="42"/>
          <w:rFonts w:hint="eastAsia" w:ascii="仿宋_GB2312" w:hAnsi="Times New Roman" w:eastAsia="仿宋_GB2312"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天</w:t>
      </w:r>
      <w:r>
        <w:rPr>
          <w:rStyle w:val="42"/>
          <w:rFonts w:hint="eastAsia" w:ascii="宋体" w:hAnsi="宋体" w:eastAsia="宋体" w:cs="Times New Roman"/>
          <w:color w:val="auto"/>
          <w:kern w:val="0"/>
          <w:szCs w:val="21"/>
          <w:highlight w:val="none"/>
          <w:u w:val="single"/>
        </w:rPr>
        <w:t>（按</w:t>
      </w:r>
      <w:r>
        <w:rPr>
          <w:rStyle w:val="42"/>
          <w:rFonts w:ascii="Times New Roman" w:hAnsi="Times New Roman" w:eastAsia="宋体" w:cs="Times New Roman"/>
          <w:color w:val="auto"/>
          <w:kern w:val="0"/>
          <w:szCs w:val="21"/>
          <w:highlight w:val="none"/>
          <w:u w:val="single"/>
        </w:rPr>
        <w:t>合同约定期限）</w:t>
      </w:r>
      <w:r>
        <w:rPr>
          <w:rStyle w:val="42"/>
          <w:rFonts w:hint="eastAsia" w:ascii="宋体" w:hAnsi="宋体" w:eastAsia="宋体" w:cs="Times New Roman"/>
          <w:color w:val="auto"/>
          <w:kern w:val="0"/>
          <w:szCs w:val="21"/>
          <w:highlight w:val="none"/>
          <w:u w:val="single"/>
        </w:rPr>
        <w:t>，</w:t>
      </w:r>
      <w:r>
        <w:rPr>
          <w:rStyle w:val="42"/>
          <w:rFonts w:hint="eastAsia" w:ascii="宋体" w:hAnsi="宋体" w:eastAsia="宋体" w:cs="Times New Roman"/>
          <w:color w:val="auto"/>
          <w:kern w:val="0"/>
          <w:szCs w:val="21"/>
          <w:highlight w:val="none"/>
        </w:rPr>
        <w:t>发包人应退还剩余的质量保证金。</w:t>
      </w:r>
    </w:p>
    <w:p w14:paraId="11383F76">
      <w:pPr>
        <w:pStyle w:val="75"/>
        <w:widowControl/>
        <w:spacing w:line="360" w:lineRule="auto"/>
        <w:ind w:firstLine="420"/>
        <w:rPr>
          <w:rStyle w:val="42"/>
          <w:rFonts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四、质量保修责任</w:t>
      </w:r>
    </w:p>
    <w:p w14:paraId="0E3F9DAF">
      <w:pPr>
        <w:pStyle w:val="75"/>
        <w:widowControl/>
        <w:spacing w:line="360" w:lineRule="auto"/>
        <w:ind w:left="105" w:firstLine="431"/>
        <w:rPr>
          <w:rStyle w:val="42"/>
          <w:rFonts w:hint="eastAsia" w:ascii="宋体" w:hAnsi="宋体"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1</w:t>
      </w:r>
      <w:r>
        <w:rPr>
          <w:rStyle w:val="42"/>
          <w:rFonts w:hint="eastAsia" w:ascii="宋体" w:hAnsi="宋体" w:eastAsia="宋体" w:cs="Times New Roman"/>
          <w:color w:val="auto"/>
          <w:kern w:val="0"/>
          <w:szCs w:val="21"/>
          <w:highlight w:val="none"/>
        </w:rPr>
        <w:t>．属于保修范围、内容的项目，承包人应当在接到保修通知之日起</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7</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rPr>
        <w:t>天内派人保修。承包人不在约定期限内派人保修的，发包人可以委托他人修理，修理费用从质量保证金内扣除。</w:t>
      </w:r>
    </w:p>
    <w:p w14:paraId="3F14BBDA">
      <w:pPr>
        <w:pStyle w:val="75"/>
        <w:widowControl/>
        <w:spacing w:line="360" w:lineRule="auto"/>
        <w:ind w:firstLine="420"/>
        <w:rPr>
          <w:rStyle w:val="42"/>
          <w:rFonts w:hint="eastAsia"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2</w:t>
      </w:r>
      <w:r>
        <w:rPr>
          <w:rStyle w:val="42"/>
          <w:rFonts w:hint="eastAsia" w:ascii="宋体" w:hAnsi="宋体" w:eastAsia="宋体" w:cs="Times New Roman"/>
          <w:color w:val="auto"/>
          <w:kern w:val="0"/>
          <w:szCs w:val="21"/>
          <w:highlight w:val="none"/>
        </w:rPr>
        <w:t>．发生紧急事故需抢修的，承包人在接到事故通知后，应当立即到达事故现场抢修。</w:t>
      </w:r>
    </w:p>
    <w:p w14:paraId="41AB5193">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3</w:t>
      </w:r>
      <w:r>
        <w:rPr>
          <w:rStyle w:val="42"/>
          <w:rFonts w:hint="eastAsia" w:ascii="宋体" w:hAnsi="宋体" w:eastAsia="宋体" w:cs="Times New Roman"/>
          <w:color w:val="auto"/>
          <w:kern w:val="0"/>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46AD385">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4</w:t>
      </w:r>
      <w:r>
        <w:rPr>
          <w:rStyle w:val="42"/>
          <w:rFonts w:hint="eastAsia" w:ascii="宋体" w:hAnsi="宋体" w:eastAsia="宋体" w:cs="Times New Roman"/>
          <w:color w:val="auto"/>
          <w:kern w:val="0"/>
          <w:szCs w:val="21"/>
          <w:highlight w:val="none"/>
        </w:rPr>
        <w:t>．质量保修完成后，由发包人组织验收。</w:t>
      </w:r>
    </w:p>
    <w:p w14:paraId="7340F3F0">
      <w:pPr>
        <w:pStyle w:val="75"/>
        <w:widowControl/>
        <w:spacing w:line="360" w:lineRule="auto"/>
        <w:ind w:firstLine="420"/>
        <w:rPr>
          <w:rStyle w:val="42"/>
          <w:rFonts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五、保修费用</w:t>
      </w:r>
    </w:p>
    <w:p w14:paraId="52CA71C7">
      <w:pPr>
        <w:pStyle w:val="75"/>
        <w:widowControl/>
        <w:spacing w:line="360" w:lineRule="auto"/>
        <w:ind w:firstLine="420"/>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保修费用由造成质量缺陷的责任方承担。</w:t>
      </w:r>
    </w:p>
    <w:p w14:paraId="194BD931">
      <w:pPr>
        <w:pStyle w:val="75"/>
        <w:widowControl/>
        <w:spacing w:line="360" w:lineRule="auto"/>
        <w:ind w:firstLine="420"/>
        <w:rPr>
          <w:rStyle w:val="42"/>
          <w:rFonts w:hint="eastAsia" w:ascii="黑体" w:hAnsi="Times New Roman" w:eastAsia="黑体" w:cs="Times New Roman"/>
          <w:color w:val="auto"/>
          <w:kern w:val="0"/>
          <w:szCs w:val="21"/>
          <w:highlight w:val="none"/>
        </w:rPr>
      </w:pPr>
      <w:r>
        <w:rPr>
          <w:rStyle w:val="42"/>
          <w:rFonts w:hint="eastAsia" w:ascii="黑体" w:hAnsi="Times New Roman" w:eastAsia="黑体" w:cs="Times New Roman"/>
          <w:color w:val="auto"/>
          <w:kern w:val="0"/>
          <w:szCs w:val="21"/>
          <w:highlight w:val="none"/>
        </w:rPr>
        <w:t xml:space="preserve">六、双方约定的其他工程质量保修事项： </w:t>
      </w:r>
    </w:p>
    <w:p w14:paraId="0D6079EC">
      <w:pPr>
        <w:pStyle w:val="75"/>
        <w:widowControl/>
        <w:spacing w:line="400" w:lineRule="atLeast"/>
        <w:ind w:firstLine="420"/>
        <w:rPr>
          <w:rStyle w:val="42"/>
          <w:rFonts w:hint="eastAsia" w:ascii="宋体" w:hAnsi="宋体" w:eastAsia="宋体" w:cs="Times New Roman"/>
          <w:color w:val="auto"/>
          <w:kern w:val="0"/>
          <w:szCs w:val="21"/>
          <w:highlight w:val="none"/>
          <w:u w:val="single"/>
        </w:rPr>
      </w:pP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1.若承包人接到通知后（短信、微信、邮件、公函等形式），不能及时维修的，由发包人另行委托施工单位进行维修，无需承包人审核确认，由发包人在承包人的质保金中扣除。</w:t>
      </w:r>
    </w:p>
    <w:p w14:paraId="38B7916E">
      <w:pPr>
        <w:pStyle w:val="75"/>
        <w:widowControl/>
        <w:spacing w:line="360" w:lineRule="auto"/>
        <w:ind w:firstLine="420"/>
        <w:jc w:val="left"/>
        <w:rPr>
          <w:rStyle w:val="42"/>
          <w:rFonts w:hint="eastAsia" w:ascii="宋体" w:hAnsi="宋体" w:eastAsia="宋体" w:cs="Times New Roman"/>
          <w:color w:val="auto"/>
          <w:kern w:val="0"/>
          <w:szCs w:val="21"/>
          <w:highlight w:val="none"/>
        </w:rPr>
      </w:pPr>
      <w:r>
        <w:rPr>
          <w:rStyle w:val="42"/>
          <w:rFonts w:hint="eastAsia" w:ascii="宋体" w:hAnsi="宋体" w:eastAsia="宋体" w:cs="Times New Roman"/>
          <w:color w:val="auto"/>
          <w:kern w:val="0"/>
          <w:szCs w:val="21"/>
          <w:highlight w:val="none"/>
          <w:u w:val="single"/>
        </w:rPr>
        <w:t>2.除明显属于人为损坏外（由发包人判定），如门把手、门锁、水龙头、水箱等使用频繁的材料，因质量一般造成易损坏，承包人不能拒绝维修，否则由发包人另行委托施工单位进行维修，无需承包人审核确认，由发包人在承包人的质保金中扣除</w:t>
      </w:r>
      <w:r>
        <w:rPr>
          <w:rStyle w:val="42"/>
          <w:rFonts w:hint="eastAsia" w:ascii="宋体" w:hAnsi="宋体" w:eastAsia="宋体" w:cs="Times New Roman"/>
          <w:color w:val="auto"/>
          <w:kern w:val="0"/>
          <w:szCs w:val="21"/>
          <w:highlight w:val="none"/>
        </w:rPr>
        <w:t>。</w:t>
      </w:r>
    </w:p>
    <w:p w14:paraId="7DB94592">
      <w:pPr>
        <w:pStyle w:val="75"/>
        <w:widowControl/>
        <w:spacing w:line="360" w:lineRule="auto"/>
        <w:ind w:firstLine="399"/>
        <w:rPr>
          <w:rStyle w:val="42"/>
          <w:rFonts w:hint="eastAsia" w:ascii="Times New Roman" w:hAnsi="Times New Roman" w:eastAsia="宋体" w:cs="Times New Roman"/>
          <w:color w:val="auto"/>
          <w:kern w:val="0"/>
          <w:szCs w:val="21"/>
          <w:highlight w:val="none"/>
        </w:rPr>
      </w:pPr>
      <w:r>
        <w:rPr>
          <w:rStyle w:val="42"/>
          <w:rFonts w:hint="eastAsia" w:ascii="宋体" w:hAnsi="宋体" w:eastAsia="宋体" w:cs="Times New Roman"/>
          <w:color w:val="auto"/>
          <w:kern w:val="0"/>
          <w:szCs w:val="21"/>
          <w:highlight w:val="none"/>
        </w:rPr>
        <w:t>工程质量保修书由发包人、承包人在工程竣工验收前共同签署，作为施工合同附件，其有效期限至保修期满。</w:t>
      </w:r>
    </w:p>
    <w:p w14:paraId="3428DCCE">
      <w:pPr>
        <w:pStyle w:val="75"/>
        <w:widowControl/>
        <w:spacing w:line="360" w:lineRule="auto"/>
        <w:ind w:firstLine="420"/>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 xml:space="preserve"> </w:t>
      </w:r>
    </w:p>
    <w:p w14:paraId="0C856DB0">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发包人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公章</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承包人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公章</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23D7F766">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地  址：</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地  址：</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1C5CCEAF">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法定代表人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签字</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法定代表人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签字</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4024BCD2">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委托代理人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签字</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委托代理人</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签字</w:t>
      </w:r>
      <w:r>
        <w:rPr>
          <w:rStyle w:val="42"/>
          <w:rFonts w:hint="eastAsia" w:ascii="宋体" w:hAnsi="宋体" w:eastAsia="宋体" w:cs="Times New Roman"/>
          <w:color w:val="auto"/>
          <w:kern w:val="0"/>
          <w:szCs w:val="21"/>
          <w:highlight w:val="none"/>
        </w:rPr>
        <w:t>）</w:t>
      </w:r>
      <w:r>
        <w:rPr>
          <w:rStyle w:val="42"/>
          <w:rFonts w:ascii="Times New Roman" w:hAnsi="Times New Roman" w:eastAsia="宋体" w:cs="Times New Roman"/>
          <w:color w:val="auto"/>
          <w:kern w:val="0"/>
          <w:szCs w:val="21"/>
          <w:highlight w:val="none"/>
        </w:rPr>
        <w:t>：</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2D5D5993">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电  话：</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电  话：</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24633FFC">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传  真：</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传  真：</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43A68F04">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开户银行：</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开户银行：</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6C8F2656">
      <w:pPr>
        <w:pStyle w:val="75"/>
        <w:widowControl/>
        <w:spacing w:line="360" w:lineRule="auto"/>
        <w:rPr>
          <w:rStyle w:val="42"/>
          <w:rFonts w:ascii="Times New Roman" w:hAnsi="Times New Roman" w:eastAsia="宋体" w:cs="Times New Roman"/>
          <w:color w:val="auto"/>
          <w:kern w:val="0"/>
          <w:szCs w:val="21"/>
          <w:highlight w:val="none"/>
        </w:rPr>
      </w:pPr>
      <w:r>
        <w:rPr>
          <w:rStyle w:val="42"/>
          <w:rFonts w:ascii="Times New Roman" w:hAnsi="Times New Roman" w:eastAsia="宋体" w:cs="Times New Roman"/>
          <w:color w:val="auto"/>
          <w:kern w:val="0"/>
          <w:szCs w:val="21"/>
          <w:highlight w:val="none"/>
        </w:rPr>
        <w:t>账  号：</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账  号：</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657F2473">
      <w:pPr>
        <w:pStyle w:val="75"/>
        <w:widowControl/>
        <w:spacing w:line="360" w:lineRule="auto"/>
        <w:rPr>
          <w:rFonts w:hint="eastAsia" w:ascii="宋体" w:hAnsi="宋体" w:eastAsia="宋体" w:cs="宋体"/>
          <w:b/>
          <w:bCs/>
          <w:color w:val="auto"/>
          <w:highlight w:val="none"/>
        </w:rPr>
      </w:pPr>
      <w:r>
        <w:rPr>
          <w:rStyle w:val="42"/>
          <w:rFonts w:ascii="Times New Roman" w:hAnsi="Times New Roman" w:eastAsia="宋体" w:cs="Times New Roman"/>
          <w:color w:val="auto"/>
          <w:kern w:val="0"/>
          <w:szCs w:val="21"/>
          <w:highlight w:val="none"/>
        </w:rPr>
        <w:t>邮政编码：</w:t>
      </w:r>
      <w:r>
        <w:rPr>
          <w:rStyle w:val="42"/>
          <w:rFonts w:ascii="Times New Roman" w:hAnsi="Times New Roman"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u w:val="single"/>
        </w:rPr>
        <w:t xml:space="preserve">    </w:t>
      </w:r>
      <w:r>
        <w:rPr>
          <w:rStyle w:val="42"/>
          <w:rFonts w:ascii="Times New Roman" w:hAnsi="Times New Roman" w:eastAsia="宋体" w:cs="Times New Roman"/>
          <w:color w:val="auto"/>
          <w:kern w:val="0"/>
          <w:szCs w:val="21"/>
          <w:highlight w:val="none"/>
        </w:rPr>
        <w:t xml:space="preserve"> </w:t>
      </w:r>
      <w:r>
        <w:rPr>
          <w:rStyle w:val="42"/>
          <w:rFonts w:hint="eastAsia" w:ascii="宋体" w:hAnsi="宋体" w:eastAsia="宋体" w:cs="Times New Roman"/>
          <w:color w:val="auto"/>
          <w:kern w:val="0"/>
          <w:szCs w:val="21"/>
          <w:highlight w:val="none"/>
        </w:rPr>
        <w:t xml:space="preserve">             </w:t>
      </w:r>
      <w:r>
        <w:rPr>
          <w:rStyle w:val="42"/>
          <w:rFonts w:ascii="Times New Roman" w:hAnsi="Times New Roman" w:eastAsia="宋体" w:cs="Times New Roman"/>
          <w:color w:val="auto"/>
          <w:kern w:val="0"/>
          <w:szCs w:val="21"/>
          <w:highlight w:val="none"/>
        </w:rPr>
        <w:t>邮政编码：</w:t>
      </w:r>
      <w:r>
        <w:rPr>
          <w:rStyle w:val="42"/>
          <w:rFonts w:ascii="宋体" w:hAnsi="宋体" w:eastAsia="宋体" w:cs="宋体"/>
          <w:color w:val="auto"/>
          <w:kern w:val="0"/>
          <w:szCs w:val="21"/>
          <w:highlight w:val="none"/>
          <w:u w:val="single"/>
        </w:rPr>
        <w:t></w:t>
      </w:r>
      <w:r>
        <w:rPr>
          <w:rStyle w:val="42"/>
          <w:rFonts w:hint="eastAsia" w:ascii="宋体" w:hAnsi="宋体" w:eastAsia="宋体" w:cs="Times New Roman"/>
          <w:color w:val="auto"/>
          <w:kern w:val="0"/>
          <w:szCs w:val="21"/>
          <w:highlight w:val="none"/>
          <w:u w:val="single"/>
        </w:rPr>
        <w:t xml:space="preserve">   </w:t>
      </w:r>
      <w:r>
        <w:rPr>
          <w:rStyle w:val="42"/>
          <w:rFonts w:ascii="宋体" w:hAnsi="宋体" w:eastAsia="宋体" w:cs="宋体"/>
          <w:color w:val="auto"/>
          <w:kern w:val="0"/>
          <w:szCs w:val="21"/>
          <w:highlight w:val="none"/>
          <w:u w:val="single"/>
        </w:rPr>
        <w:t></w:t>
      </w:r>
    </w:p>
    <w:p w14:paraId="543FDA86">
      <w:pPr>
        <w:pStyle w:val="2"/>
        <w:rPr>
          <w:rFonts w:hint="eastAsia" w:ascii="宋体" w:hAnsi="宋体" w:eastAsia="宋体" w:cs="宋体"/>
          <w:b/>
          <w:bCs/>
          <w:color w:val="auto"/>
          <w:highlight w:val="none"/>
        </w:rPr>
      </w:pPr>
      <w:r>
        <w:rPr>
          <w:rFonts w:hint="eastAsia" w:ascii="宋体" w:hAnsi="宋体" w:eastAsia="宋体" w:cs="宋体"/>
          <w:b/>
          <w:bCs/>
          <w:color w:val="auto"/>
          <w:highlight w:val="none"/>
        </w:rPr>
        <w:t xml:space="preserve">第三章   </w:t>
      </w:r>
      <w:bookmarkEnd w:id="289"/>
      <w:bookmarkEnd w:id="290"/>
      <w:bookmarkEnd w:id="291"/>
      <w:bookmarkEnd w:id="292"/>
      <w:bookmarkEnd w:id="293"/>
      <w:r>
        <w:rPr>
          <w:rFonts w:hint="eastAsia" w:ascii="宋体" w:hAnsi="宋体" w:eastAsia="宋体" w:cs="宋体"/>
          <w:b/>
          <w:bCs/>
          <w:color w:val="auto"/>
          <w:highlight w:val="none"/>
        </w:rPr>
        <w:t>工程量清单编制及图纸（另册）</w:t>
      </w:r>
      <w:bookmarkEnd w:id="294"/>
    </w:p>
    <w:bookmarkEnd w:id="295"/>
    <w:bookmarkEnd w:id="296"/>
    <w:bookmarkEnd w:id="297"/>
    <w:bookmarkEnd w:id="298"/>
    <w:p w14:paraId="262014E8">
      <w:pPr>
        <w:pStyle w:val="3"/>
        <w:spacing w:before="0" w:beforeLines="0" w:after="0" w:afterLines="0" w:line="420" w:lineRule="exact"/>
        <w:rPr>
          <w:rFonts w:hint="eastAsia" w:ascii="宋体" w:hAnsi="宋体" w:eastAsia="宋体" w:cs="宋体"/>
          <w:color w:val="auto"/>
          <w:sz w:val="24"/>
          <w:szCs w:val="24"/>
          <w:highlight w:val="none"/>
        </w:rPr>
      </w:pPr>
      <w:bookmarkStart w:id="841" w:name="_Toc75182784"/>
      <w:bookmarkStart w:id="842" w:name="_Toc499675037"/>
      <w:bookmarkStart w:id="843" w:name="_Toc47088383"/>
      <w:r>
        <w:rPr>
          <w:rFonts w:hint="eastAsia" w:ascii="宋体" w:hAnsi="宋体" w:eastAsia="宋体" w:cs="宋体"/>
          <w:color w:val="auto"/>
          <w:sz w:val="24"/>
          <w:szCs w:val="24"/>
          <w:highlight w:val="none"/>
        </w:rPr>
        <w:t>1 工程量清单编制说明</w:t>
      </w:r>
      <w:bookmarkEnd w:id="841"/>
      <w:bookmarkEnd w:id="842"/>
      <w:bookmarkEnd w:id="843"/>
    </w:p>
    <w:p w14:paraId="17B8FC2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本工程量清单依据《建设工程工程量清单计价规范（GB50500-2013）广西实施细则》（以下简称“《计价规范》”）、各专业《工程量清单计算规范（GB50854~50862-2013）》及广西实施细则修订本）（以下简称“《计算规范》”）、</w:t>
      </w:r>
      <w:r>
        <w:rPr>
          <w:rFonts w:hint="eastAsia" w:ascii="宋体" w:hAnsi="宋体" w:cs="宋体"/>
          <w:color w:val="auto"/>
          <w:kern w:val="0"/>
          <w:szCs w:val="21"/>
          <w:highlight w:val="none"/>
        </w:rPr>
        <w:t>《关于建筑业实施营业税改征增值税后广西壮族自治区建设工程计价依据调整的通知》（桂建标〔2016〕17号）</w:t>
      </w:r>
      <w:r>
        <w:rPr>
          <w:rFonts w:hint="eastAsia" w:ascii="宋体" w:hAnsi="宋体" w:cs="宋体"/>
          <w:color w:val="auto"/>
          <w:szCs w:val="21"/>
          <w:highlight w:val="none"/>
        </w:rPr>
        <w:t>、竞争性磋商文件、施工图等编制。计算规范中没有的清单项目，应在本章第1.4款约定。</w:t>
      </w:r>
    </w:p>
    <w:p w14:paraId="7F0B3E5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 工程量清单应与投标须知、合同协议条款、合同的通用条款、合同专用条款、技术规范及图纸等文件一起结合使用。</w:t>
      </w:r>
    </w:p>
    <w:p w14:paraId="60F65C98">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 工程量清单是竞争性磋商文件的组成部分，是工程量清单计价的基础，作为编制招标控制价、投标报价、计算或调整工程量、索赔等的依据之一。</w:t>
      </w:r>
    </w:p>
    <w:p w14:paraId="0B6D7BD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 补充清单项目的特征、计量单位、工程量计算规则及工作内容说明如下：</w:t>
      </w:r>
    </w:p>
    <w:p w14:paraId="2A21D8E4">
      <w:pPr>
        <w:spacing w:line="420" w:lineRule="exact"/>
        <w:ind w:left="2"/>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0D04E9C">
      <w:pPr>
        <w:pStyle w:val="21"/>
        <w:spacing w:line="420" w:lineRule="exact"/>
        <w:ind w:firstLine="420" w:firstLineChars="200"/>
        <w:rPr>
          <w:rFonts w:hint="eastAsia" w:hAnsi="宋体" w:cs="宋体"/>
          <w:color w:val="auto"/>
          <w:szCs w:val="21"/>
          <w:highlight w:val="none"/>
        </w:rPr>
      </w:pPr>
      <w:r>
        <w:rPr>
          <w:rFonts w:hint="eastAsia" w:hAnsi="宋体" w:cs="宋体"/>
          <w:color w:val="auto"/>
          <w:szCs w:val="21"/>
          <w:highlight w:val="none"/>
        </w:rPr>
        <w:t>1.5 《承包人提供的主要材料和设备一览表》（表格编号为计价规范相应表格编号，下同）作为项目实施过程中材料和设备价格风险调整依据。</w:t>
      </w:r>
    </w:p>
    <w:p w14:paraId="6E44C744">
      <w:pPr>
        <w:pStyle w:val="21"/>
        <w:spacing w:line="420" w:lineRule="exact"/>
        <w:ind w:firstLine="420" w:firstLineChars="200"/>
        <w:rPr>
          <w:rFonts w:hint="eastAsia" w:hAnsi="宋体" w:cs="宋体"/>
          <w:color w:val="auto"/>
          <w:szCs w:val="21"/>
          <w:highlight w:val="none"/>
        </w:rPr>
      </w:pPr>
      <w:r>
        <w:rPr>
          <w:rFonts w:hint="eastAsia" w:hAnsi="宋体" w:cs="宋体"/>
          <w:color w:val="auto"/>
          <w:szCs w:val="21"/>
          <w:highlight w:val="none"/>
        </w:rPr>
        <w:t>1.6 本工程暂列金额约按合同造价</w:t>
      </w:r>
      <w:r>
        <w:rPr>
          <w:rFonts w:hint="eastAsia" w:hAnsi="宋体" w:cs="宋体"/>
          <w:color w:val="auto"/>
          <w:szCs w:val="21"/>
          <w:highlight w:val="none"/>
          <w:u w:val="single"/>
        </w:rPr>
        <w:t xml:space="preserve"> 以公布的控制价为准</w:t>
      </w:r>
      <w:r>
        <w:rPr>
          <w:rFonts w:hint="eastAsia" w:hAnsi="宋体" w:cs="宋体"/>
          <w:color w:val="auto"/>
          <w:szCs w:val="21"/>
          <w:highlight w:val="none"/>
        </w:rPr>
        <w:t>计算，作为合同签订时尚未确定或者不可预见但施工中可能发生的费用。</w:t>
      </w:r>
    </w:p>
    <w:p w14:paraId="422758DB">
      <w:pPr>
        <w:pStyle w:val="21"/>
        <w:spacing w:line="420" w:lineRule="exact"/>
        <w:ind w:firstLine="420" w:firstLineChars="200"/>
        <w:rPr>
          <w:rFonts w:hint="eastAsia" w:hAnsi="宋体" w:cs="宋体"/>
          <w:color w:val="auto"/>
          <w:szCs w:val="21"/>
          <w:highlight w:val="none"/>
        </w:rPr>
      </w:pPr>
      <w:r>
        <w:rPr>
          <w:rFonts w:hint="eastAsia" w:hAnsi="宋体" w:cs="宋体"/>
          <w:color w:val="auto"/>
          <w:szCs w:val="21"/>
          <w:highlight w:val="none"/>
        </w:rPr>
        <w:t>1.7 本工程发包人提供的材料和设备详见《发包人提供的主要材料和工程设备一览表》。</w:t>
      </w:r>
    </w:p>
    <w:p w14:paraId="194C297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1.8 本工程部分材料和设备在招标时作为暂估价计列，结算按实调整，具体内容详见《材料（工程设备）暂估单价及调整表》。</w:t>
      </w:r>
    </w:p>
    <w:p w14:paraId="49B18F0A">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1.9 招标时暂估专业工程的价款属于暂估价，结算按实调整，具体内容详见《专业工程暂估价及结算价表》。</w:t>
      </w:r>
    </w:p>
    <w:p w14:paraId="4A00620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1.10 本工程量清单编码处标注“*”号的清单项目作为主要清单项目，需要供应商提供</w:t>
      </w:r>
      <w:r>
        <w:rPr>
          <w:rFonts w:hint="eastAsia" w:ascii="宋体" w:hAnsi="宋体" w:cs="宋体"/>
          <w:color w:val="auto"/>
          <w:highlight w:val="none"/>
        </w:rPr>
        <w:t>《主要清单项目工料机分析表》</w:t>
      </w:r>
      <w:r>
        <w:rPr>
          <w:rFonts w:hint="eastAsia" w:ascii="宋体" w:hAnsi="宋体" w:cs="宋体"/>
          <w:color w:val="auto"/>
          <w:szCs w:val="21"/>
          <w:highlight w:val="none"/>
        </w:rPr>
        <w:t>。</w:t>
      </w:r>
    </w:p>
    <w:p w14:paraId="45BBC9F4">
      <w:pPr>
        <w:spacing w:line="42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1.11 其它需要说明的问题：</w:t>
      </w:r>
      <w:r>
        <w:rPr>
          <w:rFonts w:hint="eastAsia" w:ascii="宋体" w:hAnsi="宋体" w:cs="宋体"/>
          <w:color w:val="auto"/>
          <w:szCs w:val="21"/>
          <w:highlight w:val="none"/>
          <w:u w:val="single"/>
        </w:rPr>
        <w:t xml:space="preserve">                                                       </w:t>
      </w:r>
    </w:p>
    <w:p w14:paraId="7E5846F1">
      <w:pPr>
        <w:spacing w:line="42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6DC1F4B">
      <w:pPr>
        <w:spacing w:line="42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1.12 工程量清单另册发放。一般计税法建设工程的工程量清单表格按</w:t>
      </w:r>
      <w:r>
        <w:rPr>
          <w:rFonts w:hint="eastAsia" w:ascii="宋体" w:hAnsi="宋体" w:cs="宋体"/>
          <w:color w:val="auto"/>
          <w:kern w:val="0"/>
          <w:szCs w:val="21"/>
          <w:highlight w:val="none"/>
        </w:rPr>
        <w:t>《关于建筑业实施营业税改征增值税后广西壮族自治区建设工程计价依据调整的通知》（桂建标〔2016〕17号）</w:t>
      </w:r>
      <w:r>
        <w:rPr>
          <w:rFonts w:hint="eastAsia" w:ascii="宋体" w:hAnsi="宋体" w:cs="宋体"/>
          <w:color w:val="auto"/>
          <w:szCs w:val="21"/>
          <w:highlight w:val="none"/>
        </w:rPr>
        <w:t>附件“增值税一般计税方法工程计价表”要求提供；简易计税法建设工程按照《计价规范》要求的表格提供，但规费和税费要按照《关于建筑业实施营业税改征增值税后广西壮族自治区建设工程计价依据调整的通知》（桂建标〔2016〕17号）要求调整，具体包括：</w:t>
      </w:r>
    </w:p>
    <w:p w14:paraId="686F2EAB">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1.1 招标工程量清单（封-1）</w:t>
      </w:r>
    </w:p>
    <w:p w14:paraId="559A4FBD">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1.2 招标工程量清单（扉-1）</w:t>
      </w:r>
    </w:p>
    <w:p w14:paraId="30ED04F6">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1.3 总说明</w:t>
      </w:r>
    </w:p>
    <w:p w14:paraId="626FA246">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1.4 建设项目投标报价汇总表</w:t>
      </w:r>
    </w:p>
    <w:p w14:paraId="2CF10AC2">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1.5 单项工程投标报价汇总表</w:t>
      </w:r>
    </w:p>
    <w:p w14:paraId="1A6BA92E">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1.6 单位工程投标报价汇总表</w:t>
      </w:r>
    </w:p>
    <w:p w14:paraId="34F7C0E0">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1.7 分部分项工程和单价措施项目清单与计价表</w:t>
      </w:r>
    </w:p>
    <w:p w14:paraId="6A9BDD13">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1.8 总价措施项目清单与计价表</w:t>
      </w:r>
    </w:p>
    <w:p w14:paraId="4D985C17">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1.9 其他项目清单与计价汇总表</w:t>
      </w:r>
    </w:p>
    <w:p w14:paraId="14E2DD92">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1.10 税前项目清单与计价表</w:t>
      </w:r>
    </w:p>
    <w:p w14:paraId="555A00AC">
      <w:pPr>
        <w:spacing w:line="420" w:lineRule="exact"/>
        <w:ind w:firstLine="630" w:firstLineChars="300"/>
        <w:jc w:val="left"/>
        <w:rPr>
          <w:rFonts w:hint="eastAsia" w:ascii="宋体" w:hAnsi="宋体" w:cs="宋体"/>
          <w:color w:val="auto"/>
          <w:szCs w:val="21"/>
          <w:highlight w:val="none"/>
        </w:rPr>
      </w:pPr>
      <w:r>
        <w:rPr>
          <w:rFonts w:hint="eastAsia" w:ascii="宋体" w:hAnsi="宋体" w:cs="宋体"/>
          <w:color w:val="auto"/>
          <w:szCs w:val="21"/>
          <w:highlight w:val="none"/>
        </w:rPr>
        <w:t>1.11 规费、增值税计价表</w:t>
      </w:r>
    </w:p>
    <w:p w14:paraId="1CE81B1D">
      <w:pPr>
        <w:spacing w:line="420" w:lineRule="exact"/>
        <w:ind w:firstLine="630" w:firstLineChars="300"/>
        <w:jc w:val="left"/>
        <w:rPr>
          <w:rFonts w:hint="eastAsia" w:ascii="宋体" w:hAnsi="宋体" w:cs="宋体"/>
          <w:color w:val="auto"/>
          <w:highlight w:val="none"/>
        </w:rPr>
      </w:pPr>
      <w:r>
        <w:rPr>
          <w:rFonts w:hint="eastAsia" w:ascii="宋体" w:hAnsi="宋体" w:cs="宋体"/>
          <w:color w:val="auto"/>
          <w:highlight w:val="none"/>
        </w:rPr>
        <w:t>1.12 承包人提供主要材料和工程设备一览表（适用于造价信息差额调整法）</w:t>
      </w:r>
    </w:p>
    <w:p w14:paraId="36C677A8">
      <w:pPr>
        <w:pStyle w:val="3"/>
        <w:spacing w:before="0" w:beforeLines="0" w:after="0" w:afterLines="0" w:line="420" w:lineRule="exact"/>
        <w:rPr>
          <w:rFonts w:hint="eastAsia" w:ascii="宋体" w:hAnsi="宋体" w:eastAsia="宋体" w:cs="宋体"/>
          <w:color w:val="auto"/>
          <w:sz w:val="24"/>
          <w:szCs w:val="24"/>
          <w:highlight w:val="none"/>
        </w:rPr>
      </w:pPr>
      <w:bookmarkStart w:id="844" w:name="_Toc47088384"/>
      <w:bookmarkStart w:id="845" w:name="_Toc75182785"/>
      <w:bookmarkStart w:id="846" w:name="_Toc499675038"/>
      <w:r>
        <w:rPr>
          <w:rFonts w:hint="eastAsia" w:ascii="宋体" w:hAnsi="宋体" w:eastAsia="宋体" w:cs="宋体"/>
          <w:color w:val="auto"/>
          <w:sz w:val="24"/>
          <w:szCs w:val="24"/>
          <w:highlight w:val="none"/>
        </w:rPr>
        <w:t>2 招标控制价编制说明</w:t>
      </w:r>
      <w:bookmarkEnd w:id="844"/>
      <w:bookmarkEnd w:id="845"/>
      <w:bookmarkEnd w:id="846"/>
    </w:p>
    <w:p w14:paraId="6B81277A">
      <w:pPr>
        <w:spacing w:line="420" w:lineRule="exact"/>
        <w:ind w:firstLine="420" w:firstLineChars="200"/>
        <w:rPr>
          <w:rFonts w:hint="eastAsia" w:ascii="宋体" w:hAnsi="宋体" w:cs="宋体"/>
          <w:color w:val="auto"/>
          <w:szCs w:val="21"/>
          <w:highlight w:val="none"/>
        </w:rPr>
      </w:pPr>
      <w:r>
        <w:rPr>
          <w:rFonts w:hint="eastAsia" w:ascii="宋体" w:hAnsi="宋体" w:cs="宋体"/>
          <w:bCs/>
          <w:color w:val="auto"/>
          <w:szCs w:val="21"/>
          <w:highlight w:val="none"/>
        </w:rPr>
        <w:t>2</w:t>
      </w:r>
      <w:r>
        <w:rPr>
          <w:rFonts w:hint="eastAsia" w:ascii="宋体" w:hAnsi="宋体" w:cs="宋体"/>
          <w:color w:val="auto"/>
          <w:szCs w:val="21"/>
          <w:highlight w:val="none"/>
        </w:rPr>
        <w:t>.1 招标控制价编制依据：</w:t>
      </w:r>
    </w:p>
    <w:p w14:paraId="643A393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（1）《计价规范》及《计算规范》、</w:t>
      </w:r>
      <w:r>
        <w:rPr>
          <w:rFonts w:hint="eastAsia" w:ascii="宋体" w:hAnsi="宋体" w:cs="宋体"/>
          <w:color w:val="auto"/>
          <w:kern w:val="0"/>
          <w:szCs w:val="21"/>
          <w:highlight w:val="none"/>
        </w:rPr>
        <w:t>《关于建筑业实施营业税改征增值税后广西壮族自治区建设工程计价依据调整的通知》（桂建标〔2016〕17号）</w:t>
      </w:r>
      <w:r>
        <w:rPr>
          <w:rFonts w:hint="eastAsia" w:ascii="宋体" w:hAnsi="宋体" w:cs="宋体"/>
          <w:color w:val="auto"/>
          <w:szCs w:val="21"/>
          <w:highlight w:val="none"/>
        </w:rPr>
        <w:t>；</w:t>
      </w:r>
    </w:p>
    <w:p w14:paraId="2F0FC69F">
      <w:pPr>
        <w:spacing w:line="42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（2）自治区住房城乡建设行政主管部门颁发的计价定额及有关规定：</w:t>
      </w:r>
      <w:r>
        <w:rPr>
          <w:rFonts w:hint="eastAsia" w:ascii="宋体" w:hAnsi="宋体" w:cs="宋体"/>
          <w:color w:val="auto"/>
          <w:szCs w:val="21"/>
          <w:highlight w:val="none"/>
          <w:u w:val="single"/>
        </w:rPr>
        <w:t xml:space="preserve">                  </w:t>
      </w:r>
    </w:p>
    <w:p w14:paraId="48F08794">
      <w:pPr>
        <w:spacing w:line="42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8C0281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（3）建设工程设计文件及相关资料：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69D0AF4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（4）本工程竞争性磋商文件及工程量清单；</w:t>
      </w:r>
    </w:p>
    <w:p w14:paraId="6E55C776">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（5）与建设项目相关的标准、规范、技术资料；</w:t>
      </w:r>
    </w:p>
    <w:p w14:paraId="38661E19">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（6）施工现场情况、工程特点及常规施工方案；</w:t>
      </w:r>
    </w:p>
    <w:p w14:paraId="0312F7FA">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（7）材料价格信息：材料价格主要按照河池市建设工程造价管理机构发布的工程造价信息</w:t>
      </w:r>
      <w:r>
        <w:rPr>
          <w:rFonts w:hint="eastAsia" w:ascii="宋体" w:hAnsi="宋体" w:cs="宋体"/>
          <w:color w:val="auto"/>
          <w:highlight w:val="none"/>
          <w:u w:val="single"/>
        </w:rPr>
        <w:t xml:space="preserve"> 《河池市建设工程造价信息》</w:t>
      </w:r>
      <w:r>
        <w:rPr>
          <w:rFonts w:hint="eastAsia" w:ascii="宋体" w:hAnsi="宋体" w:cs="宋体"/>
          <w:color w:val="auto"/>
          <w:highlight w:val="none"/>
          <w:u w:val="single"/>
          <w:lang w:eastAsia="zh-CN"/>
        </w:rPr>
        <w:t>巴马县</w:t>
      </w:r>
      <w:r>
        <w:rPr>
          <w:rFonts w:hint="eastAsia" w:ascii="宋体" w:hAnsi="宋体" w:cs="宋体"/>
          <w:color w:val="auto"/>
          <w:highlight w:val="none"/>
          <w:u w:val="single"/>
        </w:rPr>
        <w:t>材料信息价详见工程量清单及现行市场价格</w:t>
      </w:r>
      <w:r>
        <w:rPr>
          <w:rFonts w:hint="eastAsia" w:ascii="宋体" w:hAnsi="宋体" w:cs="宋体"/>
          <w:color w:val="auto"/>
          <w:highlight w:val="none"/>
        </w:rPr>
        <w:t>。</w:t>
      </w:r>
    </w:p>
    <w:p w14:paraId="603A44B2">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2.2 分部分项及单价措施项目综合单价应包括竞争性磋商文件中采购人要求供应商所承担的风险内容及其范围（幅度）产生的风险费用。</w:t>
      </w:r>
    </w:p>
    <w:p w14:paraId="3EE1C6B5">
      <w:pPr>
        <w:spacing w:line="420" w:lineRule="exact"/>
        <w:ind w:firstLine="420"/>
        <w:rPr>
          <w:rFonts w:hint="eastAsia" w:ascii="宋体" w:hAnsi="宋体" w:cs="宋体"/>
          <w:color w:val="auto"/>
          <w:szCs w:val="21"/>
          <w:highlight w:val="none"/>
        </w:rPr>
      </w:pPr>
      <w:r>
        <w:rPr>
          <w:rFonts w:hint="eastAsia" w:ascii="宋体" w:hAnsi="宋体" w:cs="宋体"/>
          <w:color w:val="auto"/>
          <w:highlight w:val="none"/>
        </w:rPr>
        <w:t xml:space="preserve">2.3 </w:t>
      </w:r>
      <w:r>
        <w:rPr>
          <w:rFonts w:hint="eastAsia" w:ascii="宋体" w:hAnsi="宋体" w:cs="宋体"/>
          <w:color w:val="auto"/>
          <w:szCs w:val="21"/>
          <w:highlight w:val="none"/>
        </w:rPr>
        <w:t>总价措施项目应根据拟定的竞争性磋商文件和常规施工方案按《计价规范》和《计算规范》规定编制。</w:t>
      </w:r>
    </w:p>
    <w:p w14:paraId="52FE54A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2.4 其他项目费应按下列规定报价：</w:t>
      </w:r>
    </w:p>
    <w:p w14:paraId="54954269">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（1）暂列金额应按招标工程量清单中列出的金额填写；</w:t>
      </w:r>
    </w:p>
    <w:p w14:paraId="1E7FC3A9">
      <w:pPr>
        <w:pStyle w:val="169"/>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（2）材料、工程设备暂估价应按招标工程量清单中列出的单价计入综合单价；</w:t>
      </w:r>
    </w:p>
    <w:p w14:paraId="075A758B">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（3）专业工程暂估价应按招标工程量清单中列出的金额填写；</w:t>
      </w:r>
    </w:p>
    <w:p w14:paraId="6D6D695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（4）计日工应按招标工程量清单中列出的项目和数量，根据工程特点和有关计价依据确定的综合单价计算；</w:t>
      </w:r>
    </w:p>
    <w:p w14:paraId="5D12FB82">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（5）总承包服务费应根据招标工程量清单列出的内容和要求，按自治区住房城乡建设行政主管部门颁发的计价定额及有关规定计算。</w:t>
      </w:r>
    </w:p>
    <w:p w14:paraId="6FE4DE3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2.5 规费和增值税应按规定确定，作为不可竞争费用。</w:t>
      </w:r>
    </w:p>
    <w:p w14:paraId="2A4EB046">
      <w:pPr>
        <w:spacing w:line="42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2.6 其它需要说明的问题：</w:t>
      </w:r>
      <w:r>
        <w:rPr>
          <w:rFonts w:hint="eastAsia" w:ascii="宋体" w:hAnsi="宋体" w:cs="宋体"/>
          <w:color w:val="auto"/>
          <w:szCs w:val="21"/>
          <w:highlight w:val="none"/>
          <w:u w:val="single"/>
        </w:rPr>
        <w:t xml:space="preserve"> </w:t>
      </w:r>
      <w:r>
        <w:rPr>
          <w:rFonts w:hint="eastAsia" w:ascii="宋体" w:hAnsi="宋体" w:cs="宋体"/>
          <w:color w:val="auto"/>
          <w:highlight w:val="none"/>
          <w:u w:val="single"/>
        </w:rPr>
        <w:t xml:space="preserve">                                                   </w:t>
      </w:r>
      <w:r>
        <w:rPr>
          <w:rFonts w:hint="eastAsia" w:ascii="宋体" w:hAnsi="宋体" w:cs="宋体"/>
          <w:color w:val="auto"/>
          <w:highlight w:val="none"/>
        </w:rPr>
        <w:t>。</w:t>
      </w:r>
    </w:p>
    <w:p w14:paraId="5570B6E2">
      <w:pPr>
        <w:pStyle w:val="3"/>
        <w:spacing w:before="0" w:beforeLines="0" w:after="0" w:afterLines="0" w:line="420" w:lineRule="exact"/>
        <w:rPr>
          <w:rFonts w:hint="eastAsia" w:ascii="宋体" w:hAnsi="宋体" w:eastAsia="宋体" w:cs="宋体"/>
          <w:color w:val="auto"/>
          <w:sz w:val="24"/>
          <w:szCs w:val="24"/>
          <w:highlight w:val="none"/>
        </w:rPr>
      </w:pPr>
      <w:bookmarkStart w:id="847" w:name="_Toc499675039"/>
      <w:bookmarkStart w:id="848" w:name="_Toc47088385"/>
      <w:bookmarkStart w:id="849" w:name="_Toc75182786"/>
      <w:r>
        <w:rPr>
          <w:rFonts w:hint="eastAsia" w:ascii="宋体" w:hAnsi="宋体" w:eastAsia="宋体" w:cs="宋体"/>
          <w:color w:val="auto"/>
          <w:sz w:val="24"/>
          <w:szCs w:val="24"/>
          <w:highlight w:val="none"/>
        </w:rPr>
        <w:t>3 投标报价（已标价工程量清单）编制说明</w:t>
      </w:r>
      <w:bookmarkEnd w:id="847"/>
      <w:bookmarkEnd w:id="848"/>
      <w:bookmarkEnd w:id="849"/>
    </w:p>
    <w:p w14:paraId="2331EFDA">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 供应商应依据竞争性磋商文件、招标工程量清单以及《计价规范》、《计算规范》自主报价，自主报价不得违反计价规范强制性条文规定。供应商不得采用总价让利或以百分比让利等形式进行报价，任何优惠（或降价、让利）均应反映在相应清单项目的综合单价中。同时，不得出现任意一项单价重大让利，不得以自有机械闲置、自有材料等不计成本为由低于工程成本报价。</w:t>
      </w:r>
    </w:p>
    <w:p w14:paraId="3924E186">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3.2 供应商应按招标工程量清单填报价格。项目编码、项目名称、项目特征、计量单位、工程量必须与招标工程量清单一致，供应商不得对招标工程量清单项目进行增减调整。</w:t>
      </w:r>
    </w:p>
    <w:p w14:paraId="4324726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3.3 综合单价中应包含竞争性磋商文件中划分的应由供应商承担的风险范围及其费用。</w:t>
      </w:r>
    </w:p>
    <w:p w14:paraId="13DD34C4">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3.4 分部分项工程项目和单价措施项目，应根据竞争性磋商文件和招标工程量清单项目中的特征描述确定综合单价计算。如出现招标工程量清单特征描述与设计图纸不符时，供应商应以招标工程量清单的项目特征描述为准，确定投标报价的综合单价。</w:t>
      </w:r>
    </w:p>
    <w:p w14:paraId="0AB6DC1E">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3.5 总价措施项目的金额应根据竞争性磋商文件及投标时拟定的施工组织设计或施工方案，按计价规范的规定自主确定。但安全文明施工费</w:t>
      </w:r>
      <w:r>
        <w:rPr>
          <w:rFonts w:hint="eastAsia" w:ascii="宋体" w:hAnsi="宋体" w:cs="宋体"/>
          <w:color w:val="auto"/>
          <w:szCs w:val="21"/>
          <w:highlight w:val="none"/>
          <w:lang w:eastAsia="zh-CN"/>
        </w:rPr>
        <w:t>按国家</w:t>
      </w:r>
      <w:r>
        <w:rPr>
          <w:rFonts w:hint="eastAsia" w:ascii="宋体" w:hAnsi="宋体" w:cs="宋体"/>
          <w:color w:val="auto"/>
          <w:szCs w:val="21"/>
          <w:highlight w:val="none"/>
        </w:rPr>
        <w:t>、省级或行业建设主管部门的有关规定执行，作为不竞争费用单列。</w:t>
      </w:r>
    </w:p>
    <w:p w14:paraId="56973FB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3.6 其他项目费应按下列规定报价：</w:t>
      </w:r>
    </w:p>
    <w:p w14:paraId="77FEBC0D">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（1）暂列金额应按招标工程量清单中列出的金额填写；</w:t>
      </w:r>
    </w:p>
    <w:p w14:paraId="7D6FF864">
      <w:pPr>
        <w:pStyle w:val="169"/>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（2）材料、工程设备暂估价应按招标工程量清单中列出的单价计入综合单价；</w:t>
      </w:r>
    </w:p>
    <w:p w14:paraId="187107A0">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（3）专业工程暂估价应按招标工程量清单中列出的金额填写；</w:t>
      </w:r>
    </w:p>
    <w:p w14:paraId="252ED1DF">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（4）计日工应按招标工程量清单中列出的项目和估算数量，自主确定综合单价并计算计日工总额；计日工单价均不含规费和税金；</w:t>
      </w:r>
    </w:p>
    <w:p w14:paraId="45866FEA">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（5）总承包服务费应根据招标工程量清单中列出的内容和供应材料、设备情况，按照采购人提出的协调、配合与服务要求和施工现场管理需要自主确定。</w:t>
      </w:r>
    </w:p>
    <w:p w14:paraId="6595D3AE">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3.7 规费和增值税应按规定确定，作为不可竞争费用。</w:t>
      </w:r>
    </w:p>
    <w:p w14:paraId="2475484C">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3.8 招标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569C1BF2">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3.9 投标总价应当与分部分项工程费、措施项目费、其他项目费和规费、增值税的合计金额一致。</w:t>
      </w:r>
    </w:p>
    <w:p w14:paraId="4C4E2E8E">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3.10 因分部分项工程量清单漏项、设计变更、相关签证引起工程项目、工程量任何变化的，变更合同价款按专用合同条款中变更估价原则处理。</w:t>
      </w:r>
    </w:p>
    <w:p w14:paraId="67E4AD01">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3.11 供应商应按《承包人提供的主要材料和设备一览表》的内容填报，不得擅自调整材料和设备名称型号规格、单位、风险系数、基准单价。</w:t>
      </w:r>
    </w:p>
    <w:p w14:paraId="2D90E00A">
      <w:pPr>
        <w:spacing w:line="420" w:lineRule="exact"/>
        <w:ind w:firstLine="420" w:firstLineChars="200"/>
        <w:rPr>
          <w:rFonts w:hint="eastAsia" w:ascii="宋体" w:hAnsi="宋体" w:cs="宋体"/>
          <w:color w:val="auto"/>
          <w:highlight w:val="none"/>
        </w:rPr>
      </w:pPr>
      <w:r>
        <w:rPr>
          <w:rFonts w:hint="eastAsia" w:ascii="宋体" w:hAnsi="宋体" w:cs="宋体"/>
          <w:color w:val="auto"/>
          <w:szCs w:val="21"/>
          <w:highlight w:val="none"/>
        </w:rPr>
        <w:t>3.12投标报价表格按本工程工程量清单表格要求填写，并</w:t>
      </w:r>
      <w:r>
        <w:rPr>
          <w:rFonts w:hint="eastAsia" w:ascii="宋体" w:hAnsi="宋体" w:cs="宋体"/>
          <w:color w:val="auto"/>
          <w:highlight w:val="none"/>
        </w:rPr>
        <w:t>应按竞争性磋商文件的要求，附上《工程量清单综合单价分析表》。</w:t>
      </w:r>
    </w:p>
    <w:p w14:paraId="0F20E07E">
      <w:pPr>
        <w:spacing w:line="420" w:lineRule="exact"/>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未尽事宜详见本工程招标工程量清单、招标控制价编制说明以及现行《计价规范》等有关规定执行。</w:t>
      </w:r>
    </w:p>
    <w:p w14:paraId="113243D3">
      <w:pPr>
        <w:autoSpaceDE w:val="0"/>
        <w:autoSpaceDN w:val="0"/>
        <w:adjustRightInd w:val="0"/>
        <w:snapToGrid w:val="0"/>
        <w:spacing w:line="340" w:lineRule="exact"/>
        <w:jc w:val="left"/>
        <w:rPr>
          <w:rFonts w:hint="eastAsia" w:ascii="宋体" w:hAnsi="宋体" w:cs="宋体"/>
          <w:color w:val="auto"/>
          <w:highlight w:val="none"/>
        </w:rPr>
      </w:pPr>
    </w:p>
    <w:p w14:paraId="37715AE7">
      <w:pPr>
        <w:autoSpaceDE w:val="0"/>
        <w:autoSpaceDN w:val="0"/>
        <w:adjustRightInd w:val="0"/>
        <w:snapToGrid w:val="0"/>
        <w:spacing w:line="340" w:lineRule="exact"/>
        <w:jc w:val="left"/>
        <w:rPr>
          <w:rFonts w:hint="eastAsia" w:ascii="宋体" w:hAnsi="宋体" w:cs="宋体"/>
          <w:color w:val="auto"/>
          <w:highlight w:val="none"/>
        </w:rPr>
      </w:pPr>
    </w:p>
    <w:p w14:paraId="7D171B38">
      <w:pPr>
        <w:spacing w:line="360" w:lineRule="exact"/>
        <w:ind w:firstLine="411" w:firstLineChars="196"/>
        <w:jc w:val="center"/>
        <w:rPr>
          <w:rFonts w:hint="eastAsia" w:ascii="宋体" w:hAnsi="宋体" w:cs="宋体"/>
          <w:color w:val="auto"/>
          <w:szCs w:val="21"/>
          <w:highlight w:val="none"/>
          <w:u w:val="single"/>
        </w:rPr>
      </w:pPr>
    </w:p>
    <w:p w14:paraId="315D0341">
      <w:pPr>
        <w:spacing w:line="360" w:lineRule="exact"/>
        <w:jc w:val="center"/>
        <w:rPr>
          <w:rFonts w:hint="eastAsia" w:ascii="宋体" w:hAnsi="宋体" w:cs="宋体"/>
          <w:b/>
          <w:color w:val="auto"/>
          <w:sz w:val="32"/>
          <w:szCs w:val="22"/>
          <w:highlight w:val="none"/>
        </w:rPr>
      </w:pPr>
    </w:p>
    <w:p w14:paraId="09139CAA">
      <w:pPr>
        <w:spacing w:line="360" w:lineRule="exact"/>
        <w:jc w:val="center"/>
        <w:rPr>
          <w:rFonts w:hint="eastAsia" w:ascii="宋体" w:hAnsi="宋体" w:cs="宋体"/>
          <w:b/>
          <w:color w:val="auto"/>
          <w:sz w:val="32"/>
          <w:szCs w:val="22"/>
          <w:highlight w:val="none"/>
        </w:rPr>
      </w:pPr>
    </w:p>
    <w:p w14:paraId="0B65B7EC">
      <w:pPr>
        <w:spacing w:line="360" w:lineRule="exact"/>
        <w:jc w:val="center"/>
        <w:rPr>
          <w:rFonts w:hint="eastAsia" w:ascii="宋体" w:hAnsi="宋体" w:cs="宋体"/>
          <w:b/>
          <w:color w:val="auto"/>
          <w:sz w:val="32"/>
          <w:szCs w:val="22"/>
          <w:highlight w:val="none"/>
        </w:rPr>
      </w:pPr>
    </w:p>
    <w:p w14:paraId="7E2D051C">
      <w:pPr>
        <w:spacing w:line="360" w:lineRule="exact"/>
        <w:jc w:val="center"/>
        <w:rPr>
          <w:rFonts w:hint="eastAsia" w:ascii="宋体" w:hAnsi="宋体" w:cs="宋体"/>
          <w:b/>
          <w:color w:val="auto"/>
          <w:sz w:val="32"/>
          <w:szCs w:val="22"/>
          <w:highlight w:val="none"/>
        </w:rPr>
      </w:pPr>
      <w:r>
        <w:rPr>
          <w:rFonts w:hint="eastAsia" w:ascii="宋体" w:hAnsi="宋体" w:cs="宋体"/>
          <w:b/>
          <w:color w:val="auto"/>
          <w:sz w:val="32"/>
          <w:szCs w:val="22"/>
          <w:highlight w:val="none"/>
        </w:rPr>
        <w:t>4、 图  纸</w:t>
      </w:r>
    </w:p>
    <w:p w14:paraId="5F2A743E">
      <w:pPr>
        <w:spacing w:line="360" w:lineRule="exact"/>
        <w:jc w:val="center"/>
        <w:rPr>
          <w:rFonts w:hint="eastAsia" w:ascii="宋体" w:hAnsi="宋体" w:cs="宋体"/>
          <w:b/>
          <w:color w:val="auto"/>
          <w:sz w:val="32"/>
          <w:szCs w:val="22"/>
          <w:highlight w:val="none"/>
        </w:rPr>
      </w:pPr>
    </w:p>
    <w:p w14:paraId="46901711">
      <w:pPr>
        <w:spacing w:line="360" w:lineRule="exact"/>
        <w:jc w:val="center"/>
        <w:rPr>
          <w:rFonts w:hint="eastAsia" w:ascii="宋体" w:hAnsi="宋体" w:cs="宋体"/>
          <w:b/>
          <w:color w:val="auto"/>
          <w:sz w:val="32"/>
          <w:szCs w:val="22"/>
          <w:highlight w:val="none"/>
        </w:rPr>
      </w:pPr>
    </w:p>
    <w:p w14:paraId="6E44DB0F">
      <w:pPr>
        <w:spacing w:line="360" w:lineRule="exact"/>
        <w:jc w:val="center"/>
        <w:rPr>
          <w:rFonts w:hint="eastAsia" w:ascii="宋体" w:hAnsi="宋体" w:cs="宋体"/>
          <w:b/>
          <w:color w:val="auto"/>
          <w:sz w:val="32"/>
          <w:szCs w:val="22"/>
          <w:highlight w:val="none"/>
        </w:rPr>
      </w:pPr>
      <w:r>
        <w:rPr>
          <w:rFonts w:hint="eastAsia" w:ascii="宋体" w:hAnsi="宋体" w:cs="宋体"/>
          <w:b/>
          <w:color w:val="auto"/>
          <w:sz w:val="32"/>
          <w:szCs w:val="22"/>
          <w:highlight w:val="none"/>
        </w:rPr>
        <w:t>（另册发放）</w:t>
      </w:r>
    </w:p>
    <w:p w14:paraId="593D0CCD">
      <w:pPr>
        <w:pStyle w:val="2"/>
        <w:spacing w:line="520" w:lineRule="exact"/>
        <w:rPr>
          <w:rFonts w:hint="eastAsia" w:ascii="宋体" w:hAnsi="宋体" w:eastAsia="宋体" w:cs="宋体"/>
          <w:b/>
          <w:color w:val="auto"/>
          <w:kern w:val="0"/>
          <w:highlight w:val="none"/>
        </w:rPr>
      </w:pPr>
      <w:r>
        <w:rPr>
          <w:rFonts w:hint="eastAsia" w:ascii="宋体" w:hAnsi="宋体" w:eastAsia="宋体" w:cs="宋体"/>
          <w:b/>
          <w:color w:val="auto"/>
          <w:kern w:val="0"/>
          <w:highlight w:val="none"/>
        </w:rPr>
        <w:br w:type="page"/>
      </w:r>
      <w:bookmarkStart w:id="850" w:name="_Toc75182787"/>
      <w:r>
        <w:rPr>
          <w:rFonts w:hint="eastAsia" w:ascii="宋体" w:hAnsi="宋体" w:eastAsia="宋体" w:cs="宋体"/>
          <w:b/>
          <w:color w:val="auto"/>
          <w:kern w:val="0"/>
          <w:highlight w:val="none"/>
        </w:rPr>
        <w:t xml:space="preserve">第四章  </w:t>
      </w:r>
      <w:bookmarkEnd w:id="242"/>
      <w:r>
        <w:rPr>
          <w:rFonts w:hint="eastAsia" w:ascii="宋体" w:hAnsi="宋体" w:eastAsia="宋体" w:cs="宋体"/>
          <w:b/>
          <w:color w:val="auto"/>
          <w:kern w:val="0"/>
          <w:highlight w:val="none"/>
        </w:rPr>
        <w:t>磋商响应文件格式</w:t>
      </w:r>
      <w:bookmarkEnd w:id="243"/>
      <w:bookmarkEnd w:id="244"/>
      <w:bookmarkEnd w:id="850"/>
    </w:p>
    <w:p w14:paraId="799DB035">
      <w:pPr>
        <w:jc w:val="center"/>
        <w:rPr>
          <w:rFonts w:hint="eastAsia" w:ascii="宋体" w:hAnsi="宋体" w:cs="宋体"/>
          <w:color w:val="auto"/>
          <w:highlight w:val="none"/>
        </w:rPr>
      </w:pPr>
      <w:r>
        <w:rPr>
          <w:rFonts w:hint="eastAsia" w:ascii="宋体" w:hAnsi="宋体" w:cs="宋体"/>
          <w:color w:val="auto"/>
          <w:highlight w:val="none"/>
        </w:rPr>
        <w:t xml:space="preserve">  </w:t>
      </w:r>
      <w:bookmarkStart w:id="851" w:name="_Toc246693213"/>
      <w:bookmarkStart w:id="852" w:name="_Toc312957792"/>
      <w:bookmarkStart w:id="853" w:name="_Toc245915361"/>
      <w:bookmarkStart w:id="854" w:name="_Toc246259666"/>
      <w:bookmarkStart w:id="855" w:name="_Toc130105465"/>
      <w:bookmarkStart w:id="856" w:name="_Toc246303915"/>
      <w:bookmarkStart w:id="857" w:name="_Toc256259984"/>
    </w:p>
    <w:p w14:paraId="6FD77258">
      <w:pPr>
        <w:jc w:val="center"/>
        <w:rPr>
          <w:rFonts w:hint="eastAsia" w:ascii="宋体" w:hAnsi="宋体" w:cs="宋体"/>
          <w:color w:val="auto"/>
          <w:kern w:val="0"/>
          <w:sz w:val="32"/>
          <w:szCs w:val="32"/>
          <w:highlight w:val="none"/>
        </w:rPr>
      </w:pPr>
      <w:r>
        <w:rPr>
          <w:rFonts w:hint="eastAsia" w:ascii="宋体" w:hAnsi="宋体" w:cs="宋体"/>
          <w:color w:val="auto"/>
          <w:sz w:val="32"/>
          <w:szCs w:val="32"/>
          <w:highlight w:val="none"/>
        </w:rPr>
        <w:t>磋商响应文件封面格式</w:t>
      </w:r>
    </w:p>
    <w:p w14:paraId="1268E035">
      <w:pPr>
        <w:autoSpaceDE w:val="0"/>
        <w:autoSpaceDN w:val="0"/>
        <w:adjustRightInd w:val="0"/>
        <w:jc w:val="center"/>
        <w:rPr>
          <w:rFonts w:hint="eastAsia" w:ascii="宋体" w:hAnsi="宋体" w:cs="宋体"/>
          <w:b/>
          <w:color w:val="auto"/>
          <w:kern w:val="0"/>
          <w:sz w:val="36"/>
          <w:highlight w:val="none"/>
        </w:rPr>
      </w:pPr>
    </w:p>
    <w:p w14:paraId="6BA0F2E7">
      <w:pPr>
        <w:autoSpaceDE w:val="0"/>
        <w:autoSpaceDN w:val="0"/>
        <w:adjustRightInd w:val="0"/>
        <w:jc w:val="center"/>
        <w:rPr>
          <w:rFonts w:hint="eastAsia" w:ascii="宋体" w:hAnsi="宋体" w:cs="宋体"/>
          <w:b/>
          <w:color w:val="auto"/>
          <w:kern w:val="0"/>
          <w:sz w:val="36"/>
          <w:highlight w:val="none"/>
        </w:rPr>
      </w:pPr>
    </w:p>
    <w:p w14:paraId="6A17BCA6">
      <w:pPr>
        <w:autoSpaceDE w:val="0"/>
        <w:autoSpaceDN w:val="0"/>
        <w:adjustRightInd w:val="0"/>
        <w:jc w:val="center"/>
        <w:outlineLvl w:val="0"/>
        <w:rPr>
          <w:rFonts w:hint="eastAsia" w:ascii="宋体" w:hAnsi="宋体" w:cs="宋体"/>
          <w:color w:val="auto"/>
          <w:kern w:val="0"/>
          <w:highlight w:val="none"/>
        </w:rPr>
      </w:pPr>
    </w:p>
    <w:p w14:paraId="5F11375D">
      <w:pPr>
        <w:autoSpaceDE w:val="0"/>
        <w:autoSpaceDN w:val="0"/>
        <w:adjustRightInd w:val="0"/>
        <w:jc w:val="center"/>
        <w:outlineLvl w:val="0"/>
        <w:rPr>
          <w:rFonts w:hint="eastAsia" w:ascii="宋体" w:hAnsi="宋体" w:cs="宋体"/>
          <w:color w:val="auto"/>
          <w:kern w:val="0"/>
          <w:highlight w:val="none"/>
        </w:rPr>
      </w:pPr>
    </w:p>
    <w:p w14:paraId="4E1B7E2D">
      <w:pPr>
        <w:autoSpaceDE w:val="0"/>
        <w:autoSpaceDN w:val="0"/>
        <w:adjustRightInd w:val="0"/>
        <w:ind w:firstLine="1039" w:firstLineChars="199"/>
        <w:jc w:val="center"/>
        <w:rPr>
          <w:rFonts w:hint="eastAsia" w:ascii="宋体" w:hAnsi="宋体" w:cs="宋体"/>
          <w:color w:val="auto"/>
          <w:kern w:val="0"/>
          <w:sz w:val="52"/>
          <w:szCs w:val="52"/>
          <w:highlight w:val="none"/>
        </w:rPr>
      </w:pPr>
      <w:r>
        <w:rPr>
          <w:rFonts w:hint="eastAsia" w:ascii="宋体" w:hAnsi="宋体" w:cs="宋体"/>
          <w:b/>
          <w:color w:val="auto"/>
          <w:kern w:val="0"/>
          <w:sz w:val="52"/>
          <w:szCs w:val="52"/>
          <w:highlight w:val="none"/>
        </w:rPr>
        <w:t>磋 商 响 应 文 件</w:t>
      </w:r>
    </w:p>
    <w:p w14:paraId="52E184D6">
      <w:pPr>
        <w:autoSpaceDE w:val="0"/>
        <w:autoSpaceDN w:val="0"/>
        <w:adjustRightInd w:val="0"/>
        <w:jc w:val="center"/>
        <w:rPr>
          <w:rFonts w:hint="eastAsia" w:ascii="宋体" w:hAnsi="宋体" w:cs="宋体"/>
          <w:color w:val="auto"/>
          <w:kern w:val="0"/>
          <w:szCs w:val="30"/>
          <w:highlight w:val="none"/>
        </w:rPr>
      </w:pPr>
    </w:p>
    <w:p w14:paraId="1F33A8EE">
      <w:pPr>
        <w:autoSpaceDE w:val="0"/>
        <w:autoSpaceDN w:val="0"/>
        <w:adjustRightInd w:val="0"/>
        <w:jc w:val="center"/>
        <w:rPr>
          <w:rFonts w:hint="eastAsia" w:ascii="宋体" w:hAnsi="宋体" w:cs="宋体"/>
          <w:color w:val="auto"/>
          <w:kern w:val="0"/>
          <w:sz w:val="28"/>
          <w:szCs w:val="28"/>
          <w:highlight w:val="none"/>
        </w:rPr>
      </w:pPr>
    </w:p>
    <w:p w14:paraId="24DC123C">
      <w:pPr>
        <w:autoSpaceDE w:val="0"/>
        <w:autoSpaceDN w:val="0"/>
        <w:adjustRightInd w:val="0"/>
        <w:jc w:val="center"/>
        <w:rPr>
          <w:rFonts w:hint="eastAsia" w:ascii="宋体" w:hAnsi="宋体" w:cs="宋体"/>
          <w:color w:val="auto"/>
          <w:kern w:val="0"/>
          <w:szCs w:val="30"/>
          <w:highlight w:val="none"/>
        </w:rPr>
      </w:pPr>
    </w:p>
    <w:p w14:paraId="08B4B638">
      <w:pPr>
        <w:autoSpaceDE w:val="0"/>
        <w:autoSpaceDN w:val="0"/>
        <w:adjustRightInd w:val="0"/>
        <w:jc w:val="center"/>
        <w:rPr>
          <w:rFonts w:hint="eastAsia" w:ascii="宋体" w:hAnsi="宋体" w:cs="宋体"/>
          <w:color w:val="auto"/>
          <w:kern w:val="0"/>
          <w:szCs w:val="30"/>
          <w:highlight w:val="none"/>
        </w:rPr>
      </w:pPr>
    </w:p>
    <w:p w14:paraId="77451D1D">
      <w:pPr>
        <w:autoSpaceDE w:val="0"/>
        <w:autoSpaceDN w:val="0"/>
        <w:adjustRightInd w:val="0"/>
        <w:jc w:val="center"/>
        <w:rPr>
          <w:rFonts w:hint="eastAsia" w:ascii="宋体" w:hAnsi="宋体" w:cs="宋体"/>
          <w:color w:val="auto"/>
          <w:kern w:val="0"/>
          <w:szCs w:val="30"/>
          <w:highlight w:val="none"/>
        </w:rPr>
      </w:pPr>
    </w:p>
    <w:p w14:paraId="67BC9511">
      <w:pPr>
        <w:autoSpaceDE w:val="0"/>
        <w:autoSpaceDN w:val="0"/>
        <w:adjustRightInd w:val="0"/>
        <w:rPr>
          <w:rFonts w:hint="eastAsia" w:ascii="宋体" w:hAnsi="宋体" w:cs="宋体"/>
          <w:color w:val="auto"/>
          <w:kern w:val="0"/>
          <w:szCs w:val="30"/>
          <w:highlight w:val="none"/>
        </w:rPr>
      </w:pPr>
    </w:p>
    <w:p w14:paraId="508D1FCC">
      <w:pPr>
        <w:autoSpaceDE w:val="0"/>
        <w:autoSpaceDN w:val="0"/>
        <w:adjustRightInd w:val="0"/>
        <w:rPr>
          <w:rFonts w:hint="eastAsia" w:ascii="宋体" w:hAnsi="宋体" w:cs="宋体"/>
          <w:color w:val="auto"/>
          <w:kern w:val="0"/>
          <w:szCs w:val="30"/>
          <w:highlight w:val="none"/>
        </w:rPr>
      </w:pPr>
    </w:p>
    <w:p w14:paraId="698FC6C9">
      <w:pPr>
        <w:autoSpaceDE w:val="0"/>
        <w:autoSpaceDN w:val="0"/>
        <w:adjustRightInd w:val="0"/>
        <w:spacing w:line="480" w:lineRule="auto"/>
        <w:ind w:firstLine="1560"/>
        <w:rPr>
          <w:rFonts w:hint="eastAsia" w:ascii="宋体" w:hAnsi="宋体" w:cs="宋体"/>
          <w:color w:val="auto"/>
          <w:kern w:val="0"/>
          <w:sz w:val="28"/>
          <w:szCs w:val="28"/>
          <w:highlight w:val="none"/>
          <w:u w:val="single"/>
        </w:rPr>
      </w:pPr>
      <w:r>
        <w:rPr>
          <w:rFonts w:hint="eastAsia" w:ascii="宋体" w:hAnsi="宋体" w:cs="宋体"/>
          <w:color w:val="auto"/>
          <w:kern w:val="0"/>
          <w:sz w:val="28"/>
          <w:szCs w:val="28"/>
          <w:highlight w:val="none"/>
        </w:rPr>
        <w:t>项目名称：</w:t>
      </w:r>
      <w:r>
        <w:rPr>
          <w:rFonts w:hint="eastAsia" w:ascii="宋体" w:hAnsi="宋体" w:cs="宋体"/>
          <w:color w:val="auto"/>
          <w:kern w:val="0"/>
          <w:sz w:val="28"/>
          <w:szCs w:val="28"/>
          <w:highlight w:val="none"/>
          <w:u w:val="single"/>
        </w:rPr>
        <w:t xml:space="preserve">                                     </w:t>
      </w:r>
    </w:p>
    <w:p w14:paraId="2D46EDA1">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项目编号：</w:t>
      </w:r>
    </w:p>
    <w:p w14:paraId="32168C3B">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eastAsia="宋体" w:cs="宋体"/>
          <w:color w:val="auto"/>
          <w:sz w:val="28"/>
          <w:szCs w:val="28"/>
          <w:highlight w:val="none"/>
        </w:rPr>
        <w:t>响应文件内容：</w:t>
      </w:r>
      <w:r>
        <w:rPr>
          <w:rFonts w:hint="eastAsia" w:ascii="宋体" w:hAnsi="宋体" w:eastAsia="宋体" w:cs="宋体"/>
          <w:color w:val="auto"/>
          <w:sz w:val="28"/>
          <w:szCs w:val="28"/>
          <w:highlight w:val="none"/>
          <w:u w:val="single"/>
        </w:rPr>
        <w:t xml:space="preserve"> 价格文件</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 xml:space="preserve"> </w:t>
      </w:r>
    </w:p>
    <w:p w14:paraId="7663344F">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（盖单位公章）           </w:t>
      </w:r>
    </w:p>
    <w:p w14:paraId="42B255C5">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法定代表人或其委托代理人：</w:t>
      </w:r>
      <w:r>
        <w:rPr>
          <w:rFonts w:hint="eastAsia" w:ascii="宋体" w:hAnsi="宋体" w:cs="宋体"/>
          <w:color w:val="auto"/>
          <w:kern w:val="0"/>
          <w:sz w:val="28"/>
          <w:szCs w:val="28"/>
          <w:highlight w:val="none"/>
          <w:u w:val="single"/>
        </w:rPr>
        <w:t xml:space="preserve">       （签字）      </w:t>
      </w:r>
    </w:p>
    <w:p w14:paraId="4D5E7297">
      <w:pPr>
        <w:autoSpaceDE w:val="0"/>
        <w:autoSpaceDN w:val="0"/>
        <w:adjustRightInd w:val="0"/>
        <w:spacing w:line="480" w:lineRule="auto"/>
        <w:ind w:firstLine="1680" w:firstLineChars="60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日      期：</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年</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日</w:t>
      </w:r>
    </w:p>
    <w:p w14:paraId="4F37E95D">
      <w:pPr>
        <w:pStyle w:val="3"/>
        <w:keepNext w:val="0"/>
        <w:keepLines w:val="0"/>
        <w:adjustRightInd w:val="0"/>
        <w:snapToGrid w:val="0"/>
        <w:spacing w:line="480" w:lineRule="exact"/>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858" w:name="_Toc47088387"/>
      <w:bookmarkStart w:id="859" w:name="_Toc75182788"/>
      <w:bookmarkStart w:id="860" w:name="_Toc482785099"/>
      <w:r>
        <w:rPr>
          <w:rFonts w:hint="eastAsia" w:ascii="宋体" w:hAnsi="宋体" w:eastAsia="宋体" w:cs="宋体"/>
          <w:color w:val="auto"/>
          <w:sz w:val="28"/>
          <w:highlight w:val="none"/>
        </w:rPr>
        <w:t>目    录</w:t>
      </w:r>
      <w:bookmarkEnd w:id="858"/>
      <w:bookmarkEnd w:id="859"/>
      <w:r>
        <w:rPr>
          <w:rFonts w:hint="eastAsia" w:ascii="宋体" w:hAnsi="宋体" w:eastAsia="宋体" w:cs="宋体"/>
          <w:color w:val="auto"/>
          <w:sz w:val="28"/>
          <w:highlight w:val="none"/>
        </w:rPr>
        <w:t xml:space="preserve"> </w:t>
      </w:r>
    </w:p>
    <w:p w14:paraId="222BFAFB">
      <w:pPr>
        <w:pStyle w:val="3"/>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color w:val="auto"/>
          <w:sz w:val="28"/>
          <w:highlight w:val="none"/>
        </w:rPr>
      </w:pPr>
      <w:bookmarkStart w:id="861" w:name="_Toc47088388"/>
      <w:bookmarkStart w:id="862" w:name="_Toc75182789"/>
      <w:r>
        <w:rPr>
          <w:rFonts w:hint="eastAsia" w:ascii="宋体" w:hAnsi="宋体" w:eastAsia="宋体" w:cs="宋体"/>
          <w:color w:val="auto"/>
          <w:sz w:val="28"/>
          <w:highlight w:val="none"/>
        </w:rPr>
        <w:t>（自拟）</w:t>
      </w:r>
      <w:r>
        <w:rPr>
          <w:rFonts w:hint="eastAsia" w:ascii="宋体" w:hAnsi="宋体" w:eastAsia="宋体" w:cs="宋体"/>
          <w:color w:val="auto"/>
          <w:sz w:val="28"/>
          <w:highlight w:val="none"/>
        </w:rPr>
        <w:br w:type="page"/>
      </w:r>
      <w:bookmarkEnd w:id="851"/>
      <w:bookmarkEnd w:id="852"/>
      <w:bookmarkEnd w:id="853"/>
      <w:bookmarkEnd w:id="854"/>
      <w:bookmarkEnd w:id="855"/>
      <w:bookmarkEnd w:id="856"/>
      <w:bookmarkEnd w:id="857"/>
      <w:bookmarkEnd w:id="860"/>
      <w:bookmarkStart w:id="863" w:name="_Toc75182790"/>
      <w:r>
        <w:rPr>
          <w:rFonts w:hint="eastAsia" w:ascii="宋体" w:hAnsi="宋体" w:eastAsia="宋体" w:cs="宋体"/>
          <w:color w:val="auto"/>
          <w:sz w:val="28"/>
          <w:highlight w:val="none"/>
        </w:rPr>
        <w:t>1、磋商函（格 式）</w:t>
      </w:r>
      <w:bookmarkEnd w:id="861"/>
      <w:bookmarkEnd w:id="862"/>
      <w:bookmarkEnd w:id="863"/>
    </w:p>
    <w:p w14:paraId="31234180">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致：</w:t>
      </w:r>
      <w:r>
        <w:rPr>
          <w:rFonts w:hint="eastAsia" w:hAnsi="宋体" w:cs="宋体"/>
          <w:color w:val="auto"/>
          <w:highlight w:val="none"/>
          <w:u w:val="single"/>
        </w:rPr>
        <w:t xml:space="preserve">广西睿翼工程咨询有限公司 </w:t>
      </w:r>
      <w:r>
        <w:rPr>
          <w:rFonts w:hint="eastAsia" w:hAnsi="宋体" w:cs="宋体"/>
          <w:color w:val="auto"/>
          <w:highlight w:val="none"/>
        </w:rPr>
        <w:t>(采购代理机构)</w:t>
      </w:r>
    </w:p>
    <w:p w14:paraId="30B4D316">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根据贵方</w:t>
      </w:r>
      <w:r>
        <w:rPr>
          <w:rFonts w:hint="eastAsia" w:hAnsi="宋体" w:cs="宋体"/>
          <w:b/>
          <w:color w:val="auto"/>
          <w:szCs w:val="21"/>
          <w:highlight w:val="none"/>
          <w:u w:val="single"/>
        </w:rPr>
        <w:t xml:space="preserve">    （项目名称）   </w:t>
      </w:r>
      <w:r>
        <w:rPr>
          <w:rFonts w:hint="eastAsia" w:hAnsi="宋体" w:cs="宋体"/>
          <w:color w:val="auto"/>
          <w:highlight w:val="none"/>
        </w:rPr>
        <w:t>项目的竞争性磋商文件要求，正式授权下述签字人</w:t>
      </w:r>
      <w:r>
        <w:rPr>
          <w:rFonts w:hint="eastAsia" w:hAnsi="宋体" w:cs="宋体"/>
          <w:color w:val="auto"/>
          <w:highlight w:val="none"/>
          <w:u w:val="single"/>
        </w:rPr>
        <w:t xml:space="preserve">         </w:t>
      </w:r>
      <w:r>
        <w:rPr>
          <w:rFonts w:hint="eastAsia" w:hAnsi="宋体" w:cs="宋体"/>
          <w:color w:val="auto"/>
          <w:highlight w:val="none"/>
        </w:rPr>
        <w:t>（姓名和职务）代表</w:t>
      </w:r>
      <w:r>
        <w:rPr>
          <w:rFonts w:hint="eastAsia" w:hAnsi="宋体" w:cs="宋体"/>
          <w:color w:val="auto"/>
          <w:highlight w:val="none"/>
          <w:u w:val="single"/>
        </w:rPr>
        <w:t xml:space="preserve">          </w:t>
      </w:r>
      <w:r>
        <w:rPr>
          <w:rFonts w:hint="eastAsia" w:hAnsi="宋体" w:cs="宋体"/>
          <w:color w:val="auto"/>
          <w:highlight w:val="none"/>
        </w:rPr>
        <w:t>（ 磋商供应商名称 ），提交响应文件。</w:t>
      </w:r>
    </w:p>
    <w:p w14:paraId="07EBE63F">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据此函，签字人宣布同意如下：</w:t>
      </w:r>
    </w:p>
    <w:p w14:paraId="1DAD3753">
      <w:pPr>
        <w:pStyle w:val="21"/>
        <w:keepNext w:val="0"/>
        <w:keepLines w:val="0"/>
        <w:pageBreakBefore w:val="0"/>
        <w:widowControl w:val="0"/>
        <w:tabs>
          <w:tab w:val="left" w:pos="780"/>
        </w:tabs>
        <w:kinsoku/>
        <w:wordWrap/>
        <w:overflowPunct/>
        <w:topLinePunct w:val="0"/>
        <w:autoSpaceDE/>
        <w:autoSpaceDN/>
        <w:bidi w:val="0"/>
        <w:adjustRightInd w:val="0"/>
        <w:snapToGrid w:val="0"/>
        <w:spacing w:line="400" w:lineRule="exact"/>
        <w:ind w:firstLine="420" w:firstLineChars="200"/>
        <w:textAlignment w:val="auto"/>
        <w:rPr>
          <w:rFonts w:hint="eastAsia" w:hAnsi="宋体" w:cs="宋体"/>
          <w:color w:val="auto"/>
          <w:highlight w:val="none"/>
        </w:rPr>
      </w:pPr>
      <w:r>
        <w:rPr>
          <w:rFonts w:hint="eastAsia" w:hAnsi="宋体" w:cs="宋体"/>
          <w:color w:val="auto"/>
          <w:highlight w:val="none"/>
          <w:lang w:val="en-US" w:eastAsia="zh-CN"/>
        </w:rPr>
        <w:t>1、</w:t>
      </w:r>
      <w:r>
        <w:rPr>
          <w:rFonts w:hint="eastAsia" w:hAnsi="宋体" w:cs="宋体"/>
          <w:color w:val="auto"/>
          <w:highlight w:val="none"/>
        </w:rPr>
        <w:t>按竞争性磋商文件中的磋商须知、合同条件、图纸和其他有关资料要求，我方报价如下：</w:t>
      </w:r>
    </w:p>
    <w:p w14:paraId="303C76E5">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报价：（大写）</w:t>
      </w:r>
      <w:r>
        <w:rPr>
          <w:rFonts w:hint="eastAsia" w:hAnsi="宋体" w:cs="宋体"/>
          <w:color w:val="auto"/>
          <w:highlight w:val="none"/>
          <w:u w:val="single"/>
        </w:rPr>
        <w:t xml:space="preserve">                       </w:t>
      </w:r>
      <w:r>
        <w:rPr>
          <w:rFonts w:hint="eastAsia" w:hAnsi="宋体" w:cs="宋体"/>
          <w:color w:val="auto"/>
          <w:highlight w:val="none"/>
        </w:rPr>
        <w:t>元 (￥</w:t>
      </w:r>
      <w:r>
        <w:rPr>
          <w:rFonts w:hint="eastAsia" w:hAnsi="宋体" w:cs="宋体"/>
          <w:color w:val="auto"/>
          <w:highlight w:val="none"/>
          <w:u w:val="single"/>
        </w:rPr>
        <w:t xml:space="preserve">             </w:t>
      </w:r>
      <w:r>
        <w:rPr>
          <w:rFonts w:hint="eastAsia" w:hAnsi="宋体" w:cs="宋体"/>
          <w:color w:val="auto"/>
          <w:highlight w:val="none"/>
        </w:rPr>
        <w:t xml:space="preserve"> )的总价，承包上述工程的施工、竣工和保修，施工工期</w:t>
      </w:r>
      <w:r>
        <w:rPr>
          <w:rFonts w:hint="eastAsia" w:hAnsi="宋体" w:cs="宋体"/>
          <w:color w:val="auto"/>
          <w:highlight w:val="none"/>
          <w:u w:val="single"/>
        </w:rPr>
        <w:t xml:space="preserve">            </w:t>
      </w:r>
      <w:r>
        <w:rPr>
          <w:rFonts w:hint="eastAsia" w:hAnsi="宋体" w:cs="宋体"/>
          <w:color w:val="auto"/>
          <w:highlight w:val="none"/>
        </w:rPr>
        <w:t>，质量承诺</w:t>
      </w:r>
      <w:r>
        <w:rPr>
          <w:rFonts w:hint="eastAsia" w:hAnsi="宋体" w:cs="宋体"/>
          <w:color w:val="auto"/>
          <w:highlight w:val="none"/>
          <w:u w:val="single"/>
        </w:rPr>
        <w:t xml:space="preserve">               </w:t>
      </w:r>
      <w:r>
        <w:rPr>
          <w:rFonts w:hint="eastAsia" w:hAnsi="宋体" w:cs="宋体"/>
          <w:color w:val="auto"/>
          <w:highlight w:val="none"/>
        </w:rPr>
        <w:t>；</w:t>
      </w:r>
    </w:p>
    <w:p w14:paraId="689046EC">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2、我方同意在磋商供应商须知前附表规定的磋商时间起遵循本磋商响应文件，并在磋商供应商须知前附表规定的磋商有效期满之前均具有约束力，并有可能成交。</w:t>
      </w:r>
    </w:p>
    <w:p w14:paraId="0E8E0A4C">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3、我方承诺已经具备 竞争性磋商文件中规定的参加工程磋商活动的磋商供应商应当具备的条件：</w:t>
      </w:r>
    </w:p>
    <w:p w14:paraId="6AFB6876">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（1）具有独立承担民事责任的能力；</w:t>
      </w:r>
    </w:p>
    <w:p w14:paraId="09858C3C">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（2）具有良好的商业信誉和健全的财务会计制度；</w:t>
      </w:r>
    </w:p>
    <w:p w14:paraId="026DC8F2">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（3）具有履行合同所必需的工程设备和专业技术能力；</w:t>
      </w:r>
    </w:p>
    <w:p w14:paraId="73DBD0EC">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（4）有依法缴纳税收和社会保障资金的良好记录；</w:t>
      </w:r>
    </w:p>
    <w:p w14:paraId="1EDB10FA">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（5）参加此项磋商活动前三年内，在经营活动中没有重大违法记录。</w:t>
      </w:r>
    </w:p>
    <w:p w14:paraId="3AA3FDE4">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4、我方根据竞争性磋商文件的规定，承担完成合同的责任和义务。</w:t>
      </w:r>
    </w:p>
    <w:p w14:paraId="470B12E8">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5、我方已详细审核竞争性磋商文件，放弃提出含糊不清或误解问题的权利。</w:t>
      </w:r>
    </w:p>
    <w:p w14:paraId="24AB475F">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6、如果在磋商截止时间后的磋商有效期内撤回磋商或者有其他违约行为，我方的磋商保证金可被贵方全部没收。</w:t>
      </w:r>
    </w:p>
    <w:p w14:paraId="45F4F11E">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7、同意向贵方提供贵方可能要求的与本磋商有关的任何数据或资料。</w:t>
      </w:r>
    </w:p>
    <w:p w14:paraId="04C620BF">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8、我方完全理解贵方不一定要接受最低报价的磋商供应商为成交单位。</w:t>
      </w:r>
    </w:p>
    <w:p w14:paraId="06D1DA14">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9、若贵方需要，我方愿意提供我方作出的一切承诺的证明材料。</w:t>
      </w:r>
    </w:p>
    <w:p w14:paraId="41BB8E2E">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10、我方将严格遵守《中华人民共和国政府采购法》的有关规定，如有下列违法行为的，将由贵方没收其全部磋商保证金，情节严重的，由工商行政管理机关吊销营业执照；构成犯罪的，依法追究刑事责任：</w:t>
      </w:r>
    </w:p>
    <w:p w14:paraId="5E20C0D9">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（1）提供虚假材料谋取成交的；</w:t>
      </w:r>
    </w:p>
    <w:p w14:paraId="43F30CDA">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（2）采取不正当手段诋毁、排挤其他磋商供应商的；</w:t>
      </w:r>
    </w:p>
    <w:p w14:paraId="362E29C2">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（3）与磋商供应商、其他磋商供应商或者磋商代理机构恶意串通的；</w:t>
      </w:r>
    </w:p>
    <w:p w14:paraId="1D65432C">
      <w:pPr>
        <w:pStyle w:val="21"/>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eastAsia" w:hAnsi="宋体" w:cs="宋体"/>
          <w:color w:val="auto"/>
          <w:highlight w:val="none"/>
        </w:rPr>
      </w:pPr>
      <w:r>
        <w:rPr>
          <w:rFonts w:hint="eastAsia" w:hAnsi="宋体" w:cs="宋体"/>
          <w:color w:val="auto"/>
          <w:highlight w:val="none"/>
        </w:rPr>
        <w:t xml:space="preserve">（4）拒绝有关部门监督检查或提供虚假情况的。 </w:t>
      </w:r>
    </w:p>
    <w:p w14:paraId="3F48D2A0">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与本磋商有关的正式通讯地址为：</w:t>
      </w:r>
    </w:p>
    <w:p w14:paraId="00BE1F15">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地址：</w:t>
      </w:r>
      <w:r>
        <w:rPr>
          <w:rFonts w:hint="eastAsia" w:hAnsi="宋体" w:cs="宋体"/>
          <w:color w:val="auto"/>
          <w:highlight w:val="none"/>
          <w:u w:val="single"/>
        </w:rPr>
        <w:t xml:space="preserve">                                </w:t>
      </w:r>
      <w:r>
        <w:rPr>
          <w:rFonts w:hint="eastAsia" w:hAnsi="宋体" w:cs="宋体"/>
          <w:color w:val="auto"/>
          <w:highlight w:val="none"/>
        </w:rPr>
        <w:t xml:space="preserve"> 邮政编码：</w:t>
      </w:r>
      <w:r>
        <w:rPr>
          <w:rFonts w:hint="eastAsia" w:hAnsi="宋体" w:cs="宋体"/>
          <w:color w:val="auto"/>
          <w:highlight w:val="none"/>
          <w:u w:val="single"/>
        </w:rPr>
        <w:t xml:space="preserve">                                   </w:t>
      </w:r>
    </w:p>
    <w:p w14:paraId="06642547">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u w:val="single"/>
        </w:rPr>
      </w:pPr>
      <w:r>
        <w:rPr>
          <w:rFonts w:hint="eastAsia" w:hAnsi="宋体" w:cs="宋体"/>
          <w:color w:val="auto"/>
          <w:highlight w:val="none"/>
        </w:rPr>
        <w:t>电话、传真：</w:t>
      </w:r>
      <w:r>
        <w:rPr>
          <w:rFonts w:hint="eastAsia" w:hAnsi="宋体" w:cs="宋体"/>
          <w:color w:val="auto"/>
          <w:highlight w:val="none"/>
          <w:u w:val="single"/>
        </w:rPr>
        <w:t xml:space="preserve">                                                                        </w:t>
      </w:r>
    </w:p>
    <w:p w14:paraId="04169742">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jc w:val="left"/>
        <w:textAlignment w:val="auto"/>
        <w:rPr>
          <w:rFonts w:hint="eastAsia" w:hAnsi="宋体" w:cs="宋体"/>
          <w:color w:val="auto"/>
          <w:highlight w:val="none"/>
        </w:rPr>
      </w:pPr>
      <w:r>
        <w:rPr>
          <w:rFonts w:hint="eastAsia" w:hAnsi="宋体" w:cs="宋体"/>
          <w:color w:val="auto"/>
          <w:kern w:val="0"/>
          <w:highlight w:val="none"/>
        </w:rPr>
        <w:t>法定代表人或授权委托代理人（签字）</w:t>
      </w:r>
      <w:r>
        <w:rPr>
          <w:rFonts w:hint="eastAsia" w:hAnsi="宋体" w:cs="宋体"/>
          <w:color w:val="auto"/>
          <w:highlight w:val="none"/>
        </w:rPr>
        <w:t>：</w:t>
      </w:r>
      <w:r>
        <w:rPr>
          <w:rFonts w:hint="eastAsia" w:hAnsi="宋体" w:cs="宋体"/>
          <w:color w:val="auto"/>
          <w:highlight w:val="none"/>
          <w:u w:val="single"/>
        </w:rPr>
        <w:t xml:space="preserve">                                                </w:t>
      </w:r>
    </w:p>
    <w:p w14:paraId="2E282F00">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textAlignment w:val="auto"/>
        <w:rPr>
          <w:rFonts w:hint="eastAsia" w:hAnsi="宋体" w:cs="宋体"/>
          <w:color w:val="auto"/>
          <w:highlight w:val="none"/>
        </w:rPr>
      </w:pPr>
      <w:r>
        <w:rPr>
          <w:rFonts w:hint="eastAsia" w:hAnsi="宋体" w:cs="宋体"/>
          <w:color w:val="auto"/>
          <w:highlight w:val="none"/>
        </w:rPr>
        <w:t>磋商供应商（盖章）：</w:t>
      </w:r>
      <w:r>
        <w:rPr>
          <w:rFonts w:hint="eastAsia" w:hAnsi="宋体" w:cs="宋体"/>
          <w:color w:val="auto"/>
          <w:highlight w:val="none"/>
          <w:u w:val="single"/>
        </w:rPr>
        <w:t xml:space="preserve">                                                                   </w:t>
      </w:r>
    </w:p>
    <w:p w14:paraId="5956592B">
      <w:pPr>
        <w:pStyle w:val="21"/>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sz w:val="28"/>
          <w:szCs w:val="22"/>
          <w:highlight w:val="none"/>
        </w:rPr>
      </w:pPr>
      <w:r>
        <w:rPr>
          <w:rFonts w:hint="eastAsia" w:hAnsi="宋体" w:cs="宋体"/>
          <w:color w:val="auto"/>
          <w:highlight w:val="none"/>
        </w:rPr>
        <w:t>日期：</w:t>
      </w:r>
      <w:r>
        <w:rPr>
          <w:rFonts w:hint="eastAsia" w:hAnsi="宋体" w:cs="宋体"/>
          <w:color w:val="auto"/>
          <w:highlight w:val="none"/>
          <w:u w:val="single"/>
        </w:rPr>
        <w:t xml:space="preserve">                                                                          </w:t>
      </w:r>
      <w:bookmarkStart w:id="864" w:name="_Toc513455298"/>
      <w:bookmarkStart w:id="865" w:name="_Toc47088389"/>
      <w:bookmarkStart w:id="866" w:name="_Toc75182791"/>
      <w:bookmarkStart w:id="867" w:name="_Toc389065357"/>
    </w:p>
    <w:p w14:paraId="213720A4">
      <w:pPr>
        <w:pStyle w:val="3"/>
        <w:keepNext w:val="0"/>
        <w:keepLines w:val="0"/>
        <w:adjustRightInd w:val="0"/>
        <w:snapToGrid w:val="0"/>
        <w:spacing w:line="480" w:lineRule="exact"/>
        <w:jc w:val="center"/>
        <w:rPr>
          <w:rFonts w:hint="eastAsia" w:ascii="宋体" w:hAnsi="宋体" w:eastAsia="宋体" w:cs="宋体"/>
          <w:color w:val="auto"/>
          <w:sz w:val="28"/>
          <w:szCs w:val="22"/>
          <w:highlight w:val="none"/>
        </w:rPr>
      </w:pPr>
    </w:p>
    <w:p w14:paraId="0DDDA8D4">
      <w:pPr>
        <w:pStyle w:val="3"/>
        <w:keepNext w:val="0"/>
        <w:keepLines w:val="0"/>
        <w:adjustRightInd w:val="0"/>
        <w:snapToGrid w:val="0"/>
        <w:spacing w:line="480" w:lineRule="exact"/>
        <w:jc w:val="center"/>
        <w:rPr>
          <w:rFonts w:hint="eastAsia" w:ascii="宋体" w:hAnsi="宋体" w:eastAsia="宋体" w:cs="宋体"/>
          <w:color w:val="auto"/>
          <w:sz w:val="28"/>
          <w:szCs w:val="22"/>
          <w:highlight w:val="none"/>
        </w:rPr>
      </w:pPr>
      <w:r>
        <w:rPr>
          <w:rFonts w:hint="eastAsia" w:ascii="宋体" w:hAnsi="宋体" w:eastAsia="宋体" w:cs="宋体"/>
          <w:color w:val="auto"/>
          <w:sz w:val="28"/>
          <w:szCs w:val="22"/>
          <w:highlight w:val="none"/>
        </w:rPr>
        <w:t>磋商函附录</w:t>
      </w:r>
      <w:bookmarkEnd w:id="864"/>
      <w:bookmarkEnd w:id="865"/>
      <w:bookmarkEnd w:id="866"/>
      <w:bookmarkEnd w:id="867"/>
    </w:p>
    <w:p w14:paraId="1CB87038">
      <w:pPr>
        <w:pStyle w:val="75"/>
        <w:ind w:firstLine="514" w:firstLineChars="245"/>
        <w:rPr>
          <w:rFonts w:ascii="宋体" w:hAnsi="宋体" w:cs="宋体"/>
          <w:color w:val="auto"/>
          <w:szCs w:val="21"/>
          <w:highlight w:val="none"/>
        </w:rPr>
      </w:pPr>
    </w:p>
    <w:p w14:paraId="6FF3CB5F">
      <w:pPr>
        <w:pStyle w:val="75"/>
        <w:ind w:firstLine="514" w:firstLineChars="245"/>
        <w:rPr>
          <w:rFonts w:hint="eastAsia" w:ascii="宋体" w:hAnsi="宋体" w:cs="宋体"/>
          <w:color w:val="auto"/>
          <w:szCs w:val="21"/>
          <w:highlight w:val="none"/>
        </w:rPr>
      </w:pPr>
      <w:r>
        <w:rPr>
          <w:rFonts w:hint="eastAsia" w:ascii="宋体" w:hAnsi="宋体" w:cs="宋体"/>
          <w:color w:val="auto"/>
          <w:szCs w:val="21"/>
          <w:highlight w:val="none"/>
        </w:rPr>
        <w:t>项目名称：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项目编号：</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6E83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5CFDB22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序 号</w:t>
            </w:r>
          </w:p>
        </w:tc>
        <w:tc>
          <w:tcPr>
            <w:tcW w:w="1985" w:type="dxa"/>
            <w:noWrap w:val="0"/>
            <w:vAlign w:val="center"/>
          </w:tcPr>
          <w:p w14:paraId="1AB4CB06">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条款内容</w:t>
            </w:r>
          </w:p>
        </w:tc>
        <w:tc>
          <w:tcPr>
            <w:tcW w:w="2126" w:type="dxa"/>
            <w:noWrap w:val="0"/>
            <w:vAlign w:val="center"/>
          </w:tcPr>
          <w:p w14:paraId="629D84F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合同条款号</w:t>
            </w:r>
          </w:p>
        </w:tc>
        <w:tc>
          <w:tcPr>
            <w:tcW w:w="1984" w:type="dxa"/>
            <w:noWrap w:val="0"/>
            <w:vAlign w:val="center"/>
          </w:tcPr>
          <w:p w14:paraId="35FDBD8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约定内容</w:t>
            </w:r>
          </w:p>
        </w:tc>
        <w:tc>
          <w:tcPr>
            <w:tcW w:w="1843" w:type="dxa"/>
            <w:noWrap w:val="0"/>
            <w:vAlign w:val="center"/>
          </w:tcPr>
          <w:p w14:paraId="764BFB1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4005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45A451C">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985" w:type="dxa"/>
            <w:noWrap w:val="0"/>
            <w:vAlign w:val="center"/>
          </w:tcPr>
          <w:p w14:paraId="2511E492">
            <w:pPr>
              <w:pStyle w:val="75"/>
              <w:rPr>
                <w:rFonts w:hint="eastAsia" w:ascii="宋体" w:hAnsi="宋体" w:cs="宋体"/>
                <w:color w:val="auto"/>
                <w:szCs w:val="21"/>
                <w:highlight w:val="none"/>
              </w:rPr>
            </w:pPr>
            <w:r>
              <w:rPr>
                <w:rFonts w:hint="eastAsia" w:ascii="宋体" w:hAnsi="宋体" w:cs="宋体"/>
                <w:color w:val="auto"/>
                <w:szCs w:val="21"/>
                <w:highlight w:val="none"/>
              </w:rPr>
              <w:t>项目经理</w:t>
            </w:r>
          </w:p>
        </w:tc>
        <w:tc>
          <w:tcPr>
            <w:tcW w:w="2126" w:type="dxa"/>
            <w:noWrap w:val="0"/>
            <w:tcMar>
              <w:left w:w="170" w:type="dxa"/>
            </w:tcMar>
            <w:vAlign w:val="center"/>
          </w:tcPr>
          <w:p w14:paraId="76C274FD">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41C76D2E">
            <w:pPr>
              <w:pStyle w:val="75"/>
              <w:rPr>
                <w:rFonts w:hint="eastAsia" w:ascii="宋体" w:hAnsi="宋体" w:cs="宋体"/>
                <w:color w:val="auto"/>
                <w:szCs w:val="21"/>
                <w:highlight w:val="non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p>
        </w:tc>
        <w:tc>
          <w:tcPr>
            <w:tcW w:w="1843" w:type="dxa"/>
            <w:noWrap w:val="0"/>
            <w:vAlign w:val="center"/>
          </w:tcPr>
          <w:p w14:paraId="17643DED">
            <w:pPr>
              <w:pStyle w:val="75"/>
              <w:jc w:val="center"/>
              <w:rPr>
                <w:rFonts w:hint="eastAsia" w:ascii="宋体" w:hAnsi="宋体" w:cs="宋体"/>
                <w:color w:val="auto"/>
                <w:szCs w:val="21"/>
                <w:highlight w:val="none"/>
              </w:rPr>
            </w:pPr>
          </w:p>
        </w:tc>
      </w:tr>
      <w:tr w14:paraId="3551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47922FAC">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985" w:type="dxa"/>
            <w:noWrap w:val="0"/>
            <w:vAlign w:val="center"/>
          </w:tcPr>
          <w:p w14:paraId="47B6CED0">
            <w:pPr>
              <w:pStyle w:val="75"/>
              <w:rPr>
                <w:rFonts w:hint="eastAsia" w:ascii="宋体" w:hAnsi="宋体" w:cs="宋体"/>
                <w:color w:val="auto"/>
                <w:szCs w:val="21"/>
                <w:highlight w:val="none"/>
              </w:rPr>
            </w:pPr>
            <w:r>
              <w:rPr>
                <w:rFonts w:hint="eastAsia" w:ascii="宋体" w:hAnsi="宋体" w:cs="宋体"/>
                <w:color w:val="auto"/>
                <w:szCs w:val="21"/>
                <w:highlight w:val="none"/>
              </w:rPr>
              <w:t>磋商有效期</w:t>
            </w:r>
          </w:p>
        </w:tc>
        <w:tc>
          <w:tcPr>
            <w:tcW w:w="2126" w:type="dxa"/>
            <w:noWrap w:val="0"/>
            <w:tcMar>
              <w:left w:w="170" w:type="dxa"/>
            </w:tcMar>
            <w:vAlign w:val="center"/>
          </w:tcPr>
          <w:p w14:paraId="64C7EF1F">
            <w:pPr>
              <w:pStyle w:val="75"/>
              <w:rPr>
                <w:rFonts w:hint="eastAsia" w:ascii="宋体" w:hAnsi="宋体" w:cs="宋体"/>
                <w:color w:val="auto"/>
                <w:szCs w:val="21"/>
                <w:highlight w:val="none"/>
              </w:rPr>
            </w:pPr>
          </w:p>
        </w:tc>
        <w:tc>
          <w:tcPr>
            <w:tcW w:w="1984" w:type="dxa"/>
            <w:noWrap w:val="0"/>
            <w:vAlign w:val="center"/>
          </w:tcPr>
          <w:p w14:paraId="7F8FE056">
            <w:pPr>
              <w:pStyle w:val="75"/>
              <w:jc w:val="center"/>
              <w:rPr>
                <w:rFonts w:hint="eastAsia" w:ascii="宋体" w:hAnsi="宋体" w:cs="宋体"/>
                <w:color w:val="auto"/>
                <w:szCs w:val="21"/>
                <w:highlight w:val="none"/>
                <w:u w:val="single"/>
              </w:rPr>
            </w:pPr>
          </w:p>
        </w:tc>
        <w:tc>
          <w:tcPr>
            <w:tcW w:w="1843" w:type="dxa"/>
            <w:noWrap w:val="0"/>
            <w:vAlign w:val="center"/>
          </w:tcPr>
          <w:p w14:paraId="6ADC16AD">
            <w:pPr>
              <w:pStyle w:val="75"/>
              <w:jc w:val="center"/>
              <w:rPr>
                <w:rFonts w:hint="eastAsia" w:ascii="宋体" w:hAnsi="宋体" w:cs="宋体"/>
                <w:color w:val="auto"/>
                <w:szCs w:val="21"/>
                <w:highlight w:val="none"/>
              </w:rPr>
            </w:pPr>
          </w:p>
        </w:tc>
      </w:tr>
      <w:tr w14:paraId="4ED9C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6746821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985" w:type="dxa"/>
            <w:noWrap w:val="0"/>
            <w:vAlign w:val="center"/>
          </w:tcPr>
          <w:p w14:paraId="07941151">
            <w:pPr>
              <w:pStyle w:val="75"/>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2126" w:type="dxa"/>
            <w:noWrap w:val="0"/>
            <w:tcMar>
              <w:left w:w="170" w:type="dxa"/>
            </w:tcMar>
            <w:vAlign w:val="center"/>
          </w:tcPr>
          <w:p w14:paraId="62FEA6F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175FA1BE">
            <w:pPr>
              <w:pStyle w:val="75"/>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日历天</w:t>
            </w:r>
          </w:p>
        </w:tc>
        <w:tc>
          <w:tcPr>
            <w:tcW w:w="1843" w:type="dxa"/>
            <w:noWrap w:val="0"/>
            <w:vAlign w:val="center"/>
          </w:tcPr>
          <w:p w14:paraId="710CE42E">
            <w:pPr>
              <w:pStyle w:val="75"/>
              <w:jc w:val="center"/>
              <w:rPr>
                <w:rFonts w:hint="eastAsia" w:ascii="宋体" w:hAnsi="宋体" w:cs="宋体"/>
                <w:color w:val="auto"/>
                <w:szCs w:val="21"/>
                <w:highlight w:val="none"/>
              </w:rPr>
            </w:pPr>
          </w:p>
        </w:tc>
      </w:tr>
      <w:tr w14:paraId="4A25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4E566973">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985" w:type="dxa"/>
            <w:noWrap w:val="0"/>
            <w:vAlign w:val="center"/>
          </w:tcPr>
          <w:p w14:paraId="0CEC6371">
            <w:pPr>
              <w:pStyle w:val="75"/>
              <w:rPr>
                <w:rFonts w:hint="eastAsia" w:ascii="宋体" w:hAnsi="宋体" w:cs="宋体"/>
                <w:color w:val="auto"/>
                <w:szCs w:val="21"/>
                <w:highlight w:val="none"/>
              </w:rPr>
            </w:pPr>
            <w:r>
              <w:rPr>
                <w:rFonts w:hint="eastAsia" w:ascii="宋体" w:hAnsi="宋体" w:cs="宋体"/>
                <w:color w:val="auto"/>
                <w:szCs w:val="21"/>
                <w:highlight w:val="none"/>
              </w:rPr>
              <w:t>缺陷责任期</w:t>
            </w:r>
          </w:p>
        </w:tc>
        <w:tc>
          <w:tcPr>
            <w:tcW w:w="2126" w:type="dxa"/>
            <w:noWrap w:val="0"/>
            <w:tcMar>
              <w:left w:w="170" w:type="dxa"/>
            </w:tcMar>
            <w:vAlign w:val="center"/>
          </w:tcPr>
          <w:p w14:paraId="524B2A6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72EF9689">
            <w:pPr>
              <w:pStyle w:val="75"/>
              <w:jc w:val="center"/>
              <w:rPr>
                <w:rFonts w:hint="eastAsia" w:ascii="宋体" w:hAnsi="宋体" w:cs="宋体"/>
                <w:color w:val="auto"/>
                <w:szCs w:val="21"/>
                <w:highlight w:val="none"/>
              </w:rPr>
            </w:pPr>
          </w:p>
        </w:tc>
        <w:tc>
          <w:tcPr>
            <w:tcW w:w="1843" w:type="dxa"/>
            <w:noWrap w:val="0"/>
            <w:vAlign w:val="center"/>
          </w:tcPr>
          <w:p w14:paraId="609F9692">
            <w:pPr>
              <w:pStyle w:val="75"/>
              <w:jc w:val="center"/>
              <w:rPr>
                <w:rFonts w:hint="eastAsia" w:ascii="宋体" w:hAnsi="宋体" w:cs="宋体"/>
                <w:color w:val="auto"/>
                <w:szCs w:val="21"/>
                <w:highlight w:val="none"/>
              </w:rPr>
            </w:pPr>
          </w:p>
        </w:tc>
      </w:tr>
      <w:tr w14:paraId="4EF7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539ADD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985" w:type="dxa"/>
            <w:noWrap w:val="0"/>
            <w:vAlign w:val="center"/>
          </w:tcPr>
          <w:p w14:paraId="5C8F5A6A">
            <w:pPr>
              <w:pStyle w:val="75"/>
              <w:rPr>
                <w:rFonts w:hint="eastAsia" w:ascii="宋体" w:hAnsi="宋体" w:cs="宋体"/>
                <w:color w:val="auto"/>
                <w:szCs w:val="21"/>
                <w:highlight w:val="none"/>
              </w:rPr>
            </w:pPr>
            <w:r>
              <w:rPr>
                <w:rFonts w:hint="eastAsia" w:ascii="宋体" w:hAnsi="宋体" w:cs="宋体"/>
                <w:color w:val="auto"/>
                <w:szCs w:val="21"/>
                <w:highlight w:val="none"/>
              </w:rPr>
              <w:t>发包人支付担保</w:t>
            </w:r>
          </w:p>
        </w:tc>
        <w:tc>
          <w:tcPr>
            <w:tcW w:w="2126" w:type="dxa"/>
            <w:noWrap w:val="0"/>
            <w:tcMar>
              <w:left w:w="170" w:type="dxa"/>
            </w:tcMar>
            <w:vAlign w:val="center"/>
          </w:tcPr>
          <w:p w14:paraId="77BFA87D">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6D7400D0">
            <w:pPr>
              <w:pStyle w:val="75"/>
              <w:jc w:val="center"/>
              <w:rPr>
                <w:rFonts w:hint="eastAsia" w:ascii="宋体" w:hAnsi="宋体" w:cs="宋体"/>
                <w:color w:val="auto"/>
                <w:szCs w:val="21"/>
                <w:highlight w:val="none"/>
              </w:rPr>
            </w:pPr>
          </w:p>
        </w:tc>
        <w:tc>
          <w:tcPr>
            <w:tcW w:w="1843" w:type="dxa"/>
            <w:noWrap w:val="0"/>
            <w:vAlign w:val="center"/>
          </w:tcPr>
          <w:p w14:paraId="014562FC">
            <w:pPr>
              <w:pStyle w:val="75"/>
              <w:jc w:val="center"/>
              <w:rPr>
                <w:rFonts w:hint="eastAsia" w:ascii="宋体" w:hAnsi="宋体" w:cs="宋体"/>
                <w:color w:val="auto"/>
                <w:szCs w:val="21"/>
                <w:highlight w:val="none"/>
              </w:rPr>
            </w:pPr>
          </w:p>
        </w:tc>
      </w:tr>
      <w:tr w14:paraId="3A71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DF4FBE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1985" w:type="dxa"/>
            <w:noWrap w:val="0"/>
            <w:vAlign w:val="center"/>
          </w:tcPr>
          <w:p w14:paraId="3E87F9B5">
            <w:pPr>
              <w:pStyle w:val="75"/>
              <w:rPr>
                <w:rFonts w:hint="eastAsia" w:ascii="宋体" w:hAnsi="宋体" w:cs="宋体"/>
                <w:color w:val="auto"/>
                <w:szCs w:val="21"/>
                <w:highlight w:val="none"/>
              </w:rPr>
            </w:pPr>
            <w:r>
              <w:rPr>
                <w:rFonts w:hint="eastAsia" w:ascii="宋体" w:hAnsi="宋体" w:cs="宋体"/>
                <w:color w:val="auto"/>
                <w:szCs w:val="21"/>
                <w:highlight w:val="none"/>
              </w:rPr>
              <w:t>承包人履约担保金额</w:t>
            </w:r>
          </w:p>
        </w:tc>
        <w:tc>
          <w:tcPr>
            <w:tcW w:w="2126" w:type="dxa"/>
            <w:noWrap w:val="0"/>
            <w:tcMar>
              <w:left w:w="170" w:type="dxa"/>
            </w:tcMar>
            <w:vAlign w:val="center"/>
          </w:tcPr>
          <w:p w14:paraId="3CA0643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7E938954">
            <w:pPr>
              <w:pStyle w:val="75"/>
              <w:jc w:val="center"/>
              <w:rPr>
                <w:rFonts w:hint="eastAsia" w:ascii="宋体" w:hAnsi="宋体" w:cs="宋体"/>
                <w:color w:val="auto"/>
                <w:szCs w:val="21"/>
                <w:highlight w:val="none"/>
              </w:rPr>
            </w:pPr>
          </w:p>
        </w:tc>
        <w:tc>
          <w:tcPr>
            <w:tcW w:w="1843" w:type="dxa"/>
            <w:noWrap w:val="0"/>
            <w:vAlign w:val="center"/>
          </w:tcPr>
          <w:p w14:paraId="0E8C9743">
            <w:pPr>
              <w:pStyle w:val="75"/>
              <w:jc w:val="center"/>
              <w:rPr>
                <w:rFonts w:hint="eastAsia" w:ascii="宋体" w:hAnsi="宋体" w:cs="宋体"/>
                <w:color w:val="auto"/>
                <w:szCs w:val="21"/>
                <w:highlight w:val="none"/>
              </w:rPr>
            </w:pPr>
          </w:p>
        </w:tc>
      </w:tr>
      <w:tr w14:paraId="4093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69BA2353">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1985" w:type="dxa"/>
            <w:noWrap w:val="0"/>
            <w:vAlign w:val="center"/>
          </w:tcPr>
          <w:p w14:paraId="7D167F3F">
            <w:pPr>
              <w:pStyle w:val="75"/>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2126" w:type="dxa"/>
            <w:noWrap w:val="0"/>
            <w:tcMar>
              <w:left w:w="170" w:type="dxa"/>
            </w:tcMar>
            <w:vAlign w:val="center"/>
          </w:tcPr>
          <w:p w14:paraId="20EF31A5">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5D5D7A0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见分包项目情况表</w:t>
            </w:r>
          </w:p>
        </w:tc>
        <w:tc>
          <w:tcPr>
            <w:tcW w:w="1843" w:type="dxa"/>
            <w:noWrap w:val="0"/>
            <w:vAlign w:val="center"/>
          </w:tcPr>
          <w:p w14:paraId="6C403AF6">
            <w:pPr>
              <w:pStyle w:val="75"/>
              <w:jc w:val="center"/>
              <w:rPr>
                <w:rFonts w:hint="eastAsia" w:ascii="宋体" w:hAnsi="宋体" w:cs="宋体"/>
                <w:color w:val="auto"/>
                <w:szCs w:val="21"/>
                <w:highlight w:val="none"/>
              </w:rPr>
            </w:pPr>
          </w:p>
        </w:tc>
      </w:tr>
      <w:tr w14:paraId="73333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82105C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1985" w:type="dxa"/>
            <w:noWrap w:val="0"/>
            <w:vAlign w:val="center"/>
          </w:tcPr>
          <w:p w14:paraId="3AE1921D">
            <w:pPr>
              <w:pStyle w:val="75"/>
              <w:rPr>
                <w:rFonts w:hint="eastAsia" w:ascii="宋体" w:hAnsi="宋体" w:cs="宋体"/>
                <w:color w:val="auto"/>
                <w:szCs w:val="21"/>
                <w:highlight w:val="none"/>
              </w:rPr>
            </w:pPr>
            <w:r>
              <w:rPr>
                <w:rFonts w:hint="eastAsia" w:ascii="宋体" w:hAnsi="宋体" w:cs="宋体"/>
                <w:color w:val="auto"/>
                <w:szCs w:val="21"/>
                <w:highlight w:val="none"/>
              </w:rPr>
              <w:t>逾期竣工违约金</w:t>
            </w:r>
          </w:p>
        </w:tc>
        <w:tc>
          <w:tcPr>
            <w:tcW w:w="2126" w:type="dxa"/>
            <w:noWrap w:val="0"/>
            <w:tcMar>
              <w:left w:w="170" w:type="dxa"/>
            </w:tcMar>
            <w:vAlign w:val="center"/>
          </w:tcPr>
          <w:p w14:paraId="560DE19A">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5BD38F8D">
            <w:pPr>
              <w:pStyle w:val="75"/>
              <w:rPr>
                <w:rFonts w:hint="eastAsia" w:ascii="宋体" w:hAnsi="宋体" w:cs="宋体"/>
                <w:color w:val="auto"/>
                <w:szCs w:val="21"/>
                <w:highlight w:val="none"/>
              </w:rPr>
            </w:pPr>
          </w:p>
        </w:tc>
        <w:tc>
          <w:tcPr>
            <w:tcW w:w="1843" w:type="dxa"/>
            <w:noWrap w:val="0"/>
            <w:vAlign w:val="center"/>
          </w:tcPr>
          <w:p w14:paraId="4C98A337">
            <w:pPr>
              <w:pStyle w:val="75"/>
              <w:jc w:val="center"/>
              <w:rPr>
                <w:rFonts w:hint="eastAsia" w:ascii="宋体" w:hAnsi="宋体" w:cs="宋体"/>
                <w:color w:val="auto"/>
                <w:szCs w:val="21"/>
                <w:highlight w:val="none"/>
              </w:rPr>
            </w:pPr>
          </w:p>
        </w:tc>
      </w:tr>
      <w:tr w14:paraId="778A6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7B0008D">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1985" w:type="dxa"/>
            <w:noWrap w:val="0"/>
            <w:vAlign w:val="center"/>
          </w:tcPr>
          <w:p w14:paraId="2147CC38">
            <w:pPr>
              <w:pStyle w:val="75"/>
              <w:rPr>
                <w:rFonts w:hint="eastAsia" w:ascii="宋体" w:hAnsi="宋体" w:cs="宋体"/>
                <w:color w:val="auto"/>
                <w:szCs w:val="21"/>
                <w:highlight w:val="none"/>
              </w:rPr>
            </w:pPr>
            <w:r>
              <w:rPr>
                <w:rFonts w:hint="eastAsia" w:ascii="宋体" w:hAnsi="宋体" w:cs="宋体"/>
                <w:color w:val="auto"/>
                <w:szCs w:val="21"/>
                <w:highlight w:val="none"/>
              </w:rPr>
              <w:t>逾期竣工违约金最高限额</w:t>
            </w:r>
          </w:p>
        </w:tc>
        <w:tc>
          <w:tcPr>
            <w:tcW w:w="2126" w:type="dxa"/>
            <w:noWrap w:val="0"/>
            <w:tcMar>
              <w:left w:w="170" w:type="dxa"/>
            </w:tcMar>
            <w:vAlign w:val="center"/>
          </w:tcPr>
          <w:p w14:paraId="0C28A8A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2630F006">
            <w:pPr>
              <w:pStyle w:val="75"/>
              <w:rPr>
                <w:rFonts w:hint="eastAsia" w:ascii="宋体" w:hAnsi="宋体" w:cs="宋体"/>
                <w:color w:val="auto"/>
                <w:szCs w:val="21"/>
                <w:highlight w:val="none"/>
              </w:rPr>
            </w:pPr>
          </w:p>
        </w:tc>
        <w:tc>
          <w:tcPr>
            <w:tcW w:w="1843" w:type="dxa"/>
            <w:noWrap w:val="0"/>
            <w:vAlign w:val="center"/>
          </w:tcPr>
          <w:p w14:paraId="258D3FB9">
            <w:pPr>
              <w:pStyle w:val="75"/>
              <w:jc w:val="center"/>
              <w:rPr>
                <w:rFonts w:hint="eastAsia" w:ascii="宋体" w:hAnsi="宋体" w:cs="宋体"/>
                <w:color w:val="auto"/>
                <w:szCs w:val="21"/>
                <w:highlight w:val="none"/>
              </w:rPr>
            </w:pPr>
          </w:p>
        </w:tc>
      </w:tr>
      <w:tr w14:paraId="56C1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5FE92F0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1985" w:type="dxa"/>
            <w:noWrap w:val="0"/>
            <w:vAlign w:val="center"/>
          </w:tcPr>
          <w:p w14:paraId="1764411E">
            <w:pPr>
              <w:pStyle w:val="75"/>
              <w:rPr>
                <w:rFonts w:hint="eastAsia" w:ascii="宋体" w:hAnsi="宋体" w:cs="宋体"/>
                <w:color w:val="auto"/>
                <w:szCs w:val="21"/>
                <w:highlight w:val="none"/>
              </w:rPr>
            </w:pPr>
            <w:r>
              <w:rPr>
                <w:rFonts w:hint="eastAsia" w:ascii="宋体" w:hAnsi="宋体" w:cs="宋体"/>
                <w:color w:val="auto"/>
                <w:szCs w:val="21"/>
                <w:highlight w:val="none"/>
              </w:rPr>
              <w:t>质量标准</w:t>
            </w:r>
          </w:p>
        </w:tc>
        <w:tc>
          <w:tcPr>
            <w:tcW w:w="2126" w:type="dxa"/>
            <w:noWrap w:val="0"/>
            <w:tcMar>
              <w:left w:w="170" w:type="dxa"/>
            </w:tcMar>
            <w:vAlign w:val="center"/>
          </w:tcPr>
          <w:p w14:paraId="6B957A9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4FB95192">
            <w:pPr>
              <w:pStyle w:val="75"/>
              <w:jc w:val="center"/>
              <w:rPr>
                <w:rFonts w:hint="eastAsia" w:ascii="宋体" w:hAnsi="宋体" w:cs="宋体"/>
                <w:color w:val="auto"/>
                <w:szCs w:val="21"/>
                <w:highlight w:val="none"/>
              </w:rPr>
            </w:pPr>
          </w:p>
        </w:tc>
        <w:tc>
          <w:tcPr>
            <w:tcW w:w="1843" w:type="dxa"/>
            <w:noWrap w:val="0"/>
            <w:vAlign w:val="center"/>
          </w:tcPr>
          <w:p w14:paraId="05679603">
            <w:pPr>
              <w:pStyle w:val="75"/>
              <w:jc w:val="center"/>
              <w:rPr>
                <w:rFonts w:hint="eastAsia" w:ascii="宋体" w:hAnsi="宋体" w:cs="宋体"/>
                <w:color w:val="auto"/>
                <w:szCs w:val="21"/>
                <w:highlight w:val="none"/>
              </w:rPr>
            </w:pPr>
          </w:p>
        </w:tc>
      </w:tr>
      <w:tr w14:paraId="0CF6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103DDCCD">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1985" w:type="dxa"/>
            <w:noWrap w:val="0"/>
            <w:vAlign w:val="center"/>
          </w:tcPr>
          <w:p w14:paraId="4D6C18D7">
            <w:pPr>
              <w:pStyle w:val="75"/>
              <w:rPr>
                <w:rFonts w:hint="eastAsia" w:ascii="宋体" w:hAnsi="宋体" w:cs="宋体"/>
                <w:color w:val="auto"/>
                <w:szCs w:val="21"/>
                <w:highlight w:val="none"/>
              </w:rPr>
            </w:pPr>
            <w:r>
              <w:rPr>
                <w:rFonts w:hint="eastAsia" w:ascii="宋体" w:hAnsi="宋体" w:cs="宋体"/>
                <w:color w:val="auto"/>
                <w:szCs w:val="21"/>
                <w:highlight w:val="none"/>
              </w:rPr>
              <w:t>预付款额度</w:t>
            </w:r>
          </w:p>
        </w:tc>
        <w:tc>
          <w:tcPr>
            <w:tcW w:w="2126" w:type="dxa"/>
            <w:noWrap w:val="0"/>
            <w:tcMar>
              <w:left w:w="170" w:type="dxa"/>
            </w:tcMar>
            <w:vAlign w:val="center"/>
          </w:tcPr>
          <w:p w14:paraId="0A8DC245">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3C96E9C8">
            <w:pPr>
              <w:pStyle w:val="75"/>
              <w:jc w:val="center"/>
              <w:rPr>
                <w:rFonts w:hint="eastAsia" w:ascii="宋体" w:hAnsi="宋体" w:cs="宋体"/>
                <w:color w:val="auto"/>
                <w:szCs w:val="21"/>
                <w:highlight w:val="none"/>
              </w:rPr>
            </w:pPr>
          </w:p>
        </w:tc>
        <w:tc>
          <w:tcPr>
            <w:tcW w:w="1843" w:type="dxa"/>
            <w:noWrap w:val="0"/>
            <w:vAlign w:val="center"/>
          </w:tcPr>
          <w:p w14:paraId="67B44CC4">
            <w:pPr>
              <w:pStyle w:val="75"/>
              <w:jc w:val="center"/>
              <w:rPr>
                <w:rFonts w:hint="eastAsia" w:ascii="宋体" w:hAnsi="宋体" w:cs="宋体"/>
                <w:color w:val="auto"/>
                <w:szCs w:val="21"/>
                <w:highlight w:val="none"/>
              </w:rPr>
            </w:pPr>
          </w:p>
        </w:tc>
      </w:tr>
      <w:tr w14:paraId="3D118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6AF42747">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12</w:t>
            </w:r>
          </w:p>
        </w:tc>
        <w:tc>
          <w:tcPr>
            <w:tcW w:w="1985" w:type="dxa"/>
            <w:noWrap w:val="0"/>
            <w:vAlign w:val="center"/>
          </w:tcPr>
          <w:p w14:paraId="1A143EA2">
            <w:pPr>
              <w:pStyle w:val="75"/>
              <w:rPr>
                <w:rFonts w:hint="eastAsia" w:ascii="宋体" w:hAnsi="宋体" w:cs="宋体"/>
                <w:color w:val="auto"/>
                <w:szCs w:val="21"/>
                <w:highlight w:val="none"/>
              </w:rPr>
            </w:pPr>
            <w:r>
              <w:rPr>
                <w:rFonts w:hint="eastAsia" w:ascii="宋体" w:hAnsi="宋体" w:cs="宋体"/>
                <w:color w:val="auto"/>
                <w:szCs w:val="21"/>
                <w:highlight w:val="none"/>
              </w:rPr>
              <w:t>预付款保函金额</w:t>
            </w:r>
          </w:p>
        </w:tc>
        <w:tc>
          <w:tcPr>
            <w:tcW w:w="2126" w:type="dxa"/>
            <w:noWrap w:val="0"/>
            <w:tcMar>
              <w:left w:w="170" w:type="dxa"/>
            </w:tcMar>
            <w:vAlign w:val="center"/>
          </w:tcPr>
          <w:p w14:paraId="5FE435A3">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5EAD0B1C">
            <w:pPr>
              <w:pStyle w:val="75"/>
              <w:jc w:val="center"/>
              <w:rPr>
                <w:rFonts w:hint="eastAsia" w:ascii="宋体" w:hAnsi="宋体" w:cs="宋体"/>
                <w:color w:val="auto"/>
                <w:szCs w:val="21"/>
                <w:highlight w:val="none"/>
              </w:rPr>
            </w:pPr>
          </w:p>
        </w:tc>
        <w:tc>
          <w:tcPr>
            <w:tcW w:w="1843" w:type="dxa"/>
            <w:noWrap w:val="0"/>
            <w:vAlign w:val="center"/>
          </w:tcPr>
          <w:p w14:paraId="0567FB49">
            <w:pPr>
              <w:pStyle w:val="75"/>
              <w:jc w:val="center"/>
              <w:rPr>
                <w:rFonts w:hint="eastAsia" w:ascii="宋体" w:hAnsi="宋体" w:cs="宋体"/>
                <w:color w:val="auto"/>
                <w:szCs w:val="21"/>
                <w:highlight w:val="none"/>
              </w:rPr>
            </w:pPr>
          </w:p>
        </w:tc>
      </w:tr>
      <w:tr w14:paraId="2874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7BBD31CD">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13</w:t>
            </w:r>
          </w:p>
        </w:tc>
        <w:tc>
          <w:tcPr>
            <w:tcW w:w="1985" w:type="dxa"/>
            <w:noWrap w:val="0"/>
            <w:vAlign w:val="center"/>
          </w:tcPr>
          <w:p w14:paraId="273A521E">
            <w:pPr>
              <w:pStyle w:val="75"/>
              <w:rPr>
                <w:rFonts w:hint="eastAsia" w:ascii="宋体" w:hAnsi="宋体" w:cs="宋体"/>
                <w:color w:val="auto"/>
                <w:szCs w:val="21"/>
                <w:highlight w:val="none"/>
              </w:rPr>
            </w:pPr>
            <w:r>
              <w:rPr>
                <w:rFonts w:hint="eastAsia" w:ascii="宋体" w:hAnsi="宋体" w:cs="宋体"/>
                <w:color w:val="auto"/>
                <w:szCs w:val="21"/>
                <w:highlight w:val="none"/>
              </w:rPr>
              <w:t>质量保证金额度</w:t>
            </w:r>
          </w:p>
        </w:tc>
        <w:tc>
          <w:tcPr>
            <w:tcW w:w="2126" w:type="dxa"/>
            <w:noWrap w:val="0"/>
            <w:tcMar>
              <w:left w:w="170" w:type="dxa"/>
            </w:tcMar>
            <w:vAlign w:val="center"/>
          </w:tcPr>
          <w:p w14:paraId="3096071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专用条款</w:t>
            </w:r>
          </w:p>
        </w:tc>
        <w:tc>
          <w:tcPr>
            <w:tcW w:w="1984" w:type="dxa"/>
            <w:noWrap w:val="0"/>
            <w:vAlign w:val="center"/>
          </w:tcPr>
          <w:p w14:paraId="1915551A">
            <w:pPr>
              <w:pStyle w:val="75"/>
              <w:jc w:val="center"/>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c>
          <w:tcPr>
            <w:tcW w:w="1843" w:type="dxa"/>
            <w:noWrap w:val="0"/>
            <w:vAlign w:val="center"/>
          </w:tcPr>
          <w:p w14:paraId="0229E542">
            <w:pPr>
              <w:pStyle w:val="75"/>
              <w:jc w:val="center"/>
              <w:rPr>
                <w:rFonts w:hint="eastAsia" w:ascii="宋体" w:hAnsi="宋体" w:cs="宋体"/>
                <w:color w:val="auto"/>
                <w:szCs w:val="21"/>
                <w:highlight w:val="none"/>
              </w:rPr>
            </w:pPr>
          </w:p>
        </w:tc>
      </w:tr>
      <w:tr w14:paraId="1B21A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noWrap w:val="0"/>
            <w:vAlign w:val="center"/>
          </w:tcPr>
          <w:p w14:paraId="26922A57">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985" w:type="dxa"/>
            <w:noWrap w:val="0"/>
            <w:vAlign w:val="center"/>
          </w:tcPr>
          <w:p w14:paraId="66D1581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2126" w:type="dxa"/>
            <w:noWrap w:val="0"/>
            <w:tcMar>
              <w:left w:w="170" w:type="dxa"/>
            </w:tcMar>
            <w:vAlign w:val="center"/>
          </w:tcPr>
          <w:p w14:paraId="30BD1C51">
            <w:pPr>
              <w:pStyle w:val="75"/>
              <w:rPr>
                <w:rFonts w:hint="eastAsia" w:ascii="宋体" w:hAnsi="宋体" w:cs="宋体"/>
                <w:color w:val="auto"/>
                <w:szCs w:val="21"/>
                <w:highlight w:val="none"/>
              </w:rPr>
            </w:pPr>
          </w:p>
        </w:tc>
        <w:tc>
          <w:tcPr>
            <w:tcW w:w="1984" w:type="dxa"/>
            <w:noWrap w:val="0"/>
            <w:vAlign w:val="center"/>
          </w:tcPr>
          <w:p w14:paraId="5FA1F6B0">
            <w:pPr>
              <w:pStyle w:val="75"/>
              <w:jc w:val="center"/>
              <w:rPr>
                <w:rFonts w:hint="eastAsia" w:ascii="宋体" w:hAnsi="宋体" w:cs="宋体"/>
                <w:color w:val="auto"/>
                <w:szCs w:val="21"/>
                <w:highlight w:val="none"/>
              </w:rPr>
            </w:pPr>
          </w:p>
        </w:tc>
        <w:tc>
          <w:tcPr>
            <w:tcW w:w="1843" w:type="dxa"/>
            <w:noWrap w:val="0"/>
            <w:vAlign w:val="center"/>
          </w:tcPr>
          <w:p w14:paraId="51370EC8">
            <w:pPr>
              <w:pStyle w:val="75"/>
              <w:jc w:val="center"/>
              <w:rPr>
                <w:rFonts w:hint="eastAsia" w:ascii="宋体" w:hAnsi="宋体" w:cs="宋体"/>
                <w:color w:val="auto"/>
                <w:szCs w:val="21"/>
                <w:highlight w:val="none"/>
              </w:rPr>
            </w:pPr>
          </w:p>
        </w:tc>
      </w:tr>
      <w:tr w14:paraId="2C93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noWrap w:val="0"/>
            <w:vAlign w:val="center"/>
          </w:tcPr>
          <w:p w14:paraId="4E488E58">
            <w:pPr>
              <w:pStyle w:val="75"/>
              <w:spacing w:line="360" w:lineRule="auto"/>
              <w:rPr>
                <w:rFonts w:hint="eastAsia" w:ascii="宋体" w:hAnsi="宋体" w:cs="宋体"/>
                <w:color w:val="auto"/>
                <w:szCs w:val="21"/>
                <w:highlight w:val="none"/>
              </w:rPr>
            </w:pPr>
            <w:r>
              <w:rPr>
                <w:rFonts w:hint="eastAsia" w:ascii="宋体" w:hAnsi="宋体" w:cs="宋体"/>
                <w:color w:val="auto"/>
                <w:szCs w:val="21"/>
                <w:highlight w:val="none"/>
              </w:rPr>
              <w:t>备注：供应商在响应竞争性磋商文件中规定的实质性要求和条件的基础上，可</w:t>
            </w:r>
            <w:r>
              <w:rPr>
                <w:rFonts w:hint="eastAsia" w:ascii="宋体" w:hAnsi="宋体" w:cs="宋体"/>
                <w:color w:val="auto"/>
                <w:szCs w:val="21"/>
                <w:highlight w:val="none"/>
                <w:lang w:eastAsia="zh-CN"/>
              </w:rPr>
              <w:t>作出</w:t>
            </w:r>
            <w:r>
              <w:rPr>
                <w:rFonts w:hint="eastAsia" w:ascii="宋体" w:hAnsi="宋体" w:cs="宋体"/>
                <w:color w:val="auto"/>
                <w:szCs w:val="21"/>
                <w:highlight w:val="none"/>
              </w:rPr>
              <w:t>其他有利于采购人的承诺。此类承诺可在本表中予以补充填写。</w:t>
            </w:r>
          </w:p>
        </w:tc>
      </w:tr>
    </w:tbl>
    <w:p w14:paraId="40A8556D">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供应商（盖单位章）：</w:t>
      </w:r>
    </w:p>
    <w:p w14:paraId="3C8C3CB0">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法人代表或委托代理人（签字或盖章）：</w:t>
      </w:r>
    </w:p>
    <w:p w14:paraId="529A98B1">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5ECCD484">
      <w:pPr>
        <w:pStyle w:val="75"/>
        <w:spacing w:line="480" w:lineRule="auto"/>
        <w:ind w:firstLine="525" w:firstLineChars="250"/>
        <w:rPr>
          <w:rFonts w:hint="eastAsia" w:ascii="宋体" w:hAnsi="宋体" w:cs="宋体"/>
          <w:color w:val="auto"/>
          <w:szCs w:val="21"/>
          <w:highlight w:val="none"/>
        </w:rPr>
      </w:pPr>
    </w:p>
    <w:p w14:paraId="63D0EAA8">
      <w:pPr>
        <w:pStyle w:val="75"/>
        <w:jc w:val="center"/>
        <w:outlineLvl w:val="0"/>
        <w:rPr>
          <w:rFonts w:hint="eastAsia" w:ascii="宋体" w:hAnsi="宋体" w:cs="宋体"/>
          <w:b/>
          <w:bCs/>
          <w:color w:val="auto"/>
          <w:sz w:val="24"/>
          <w:szCs w:val="24"/>
          <w:highlight w:val="none"/>
        </w:rPr>
      </w:pPr>
      <w:r>
        <w:rPr>
          <w:rFonts w:hint="eastAsia" w:ascii="宋体" w:hAnsi="宋体" w:cs="宋体"/>
          <w:color w:val="auto"/>
          <w:szCs w:val="21"/>
          <w:highlight w:val="none"/>
        </w:rPr>
        <w:br w:type="page"/>
      </w:r>
      <w:bookmarkStart w:id="868" w:name="_Toc349639687"/>
      <w:bookmarkStart w:id="869" w:name="_Toc349640339"/>
      <w:bookmarkStart w:id="870" w:name="_Toc349557654"/>
      <w:bookmarkStart w:id="871" w:name="_Toc349215560"/>
      <w:bookmarkStart w:id="872" w:name="_Toc349558044"/>
      <w:bookmarkStart w:id="873" w:name="_Toc513455299"/>
      <w:bookmarkStart w:id="874" w:name="_Toc349555832"/>
      <w:bookmarkStart w:id="875" w:name="_Toc389065358"/>
      <w:r>
        <w:rPr>
          <w:rFonts w:hint="eastAsia" w:ascii="宋体" w:hAnsi="宋体" w:cs="宋体"/>
          <w:b/>
          <w:bCs/>
          <w:color w:val="auto"/>
          <w:sz w:val="24"/>
          <w:szCs w:val="24"/>
          <w:highlight w:val="none"/>
        </w:rPr>
        <w:t>2、（1）磋商报价表</w:t>
      </w:r>
      <w:bookmarkEnd w:id="868"/>
      <w:bookmarkEnd w:id="869"/>
      <w:bookmarkEnd w:id="870"/>
      <w:bookmarkEnd w:id="871"/>
      <w:bookmarkEnd w:id="872"/>
      <w:bookmarkEnd w:id="873"/>
      <w:bookmarkEnd w:id="874"/>
      <w:bookmarkEnd w:id="875"/>
    </w:p>
    <w:p w14:paraId="22BAC68D">
      <w:pPr>
        <w:pStyle w:val="75"/>
        <w:rPr>
          <w:rFonts w:hint="eastAsia" w:ascii="宋体" w:hAnsi="宋体" w:cs="宋体"/>
          <w:color w:val="auto"/>
          <w:highlight w:val="none"/>
        </w:rPr>
      </w:pPr>
    </w:p>
    <w:p w14:paraId="0D1FCD72">
      <w:pPr>
        <w:pStyle w:val="75"/>
        <w:ind w:left="-178" w:leftChars="-85" w:right="-512" w:rightChars="-244" w:firstLine="840" w:firstLineChars="400"/>
        <w:jc w:val="left"/>
        <w:rPr>
          <w:rFonts w:hint="eastAsia" w:ascii="宋体" w:hAnsi="宋体" w:cs="宋体"/>
          <w:color w:val="auto"/>
          <w:szCs w:val="21"/>
          <w:highlight w:val="none"/>
        </w:rPr>
      </w:pPr>
      <w:r>
        <w:rPr>
          <w:rFonts w:hint="eastAsia" w:ascii="宋体" w:hAnsi="宋体" w:cs="宋体"/>
          <w:color w:val="auto"/>
          <w:szCs w:val="21"/>
          <w:highlight w:val="none"/>
        </w:rPr>
        <w:t>项目名称：                                             币种：人民币</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3116"/>
        <w:gridCol w:w="1987"/>
        <w:gridCol w:w="1702"/>
      </w:tblGrid>
      <w:tr w14:paraId="6C30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5100" w:type="dxa"/>
            <w:gridSpan w:val="2"/>
            <w:noWrap w:val="0"/>
            <w:vAlign w:val="center"/>
          </w:tcPr>
          <w:p w14:paraId="5D213527">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投标报价</w:t>
            </w:r>
          </w:p>
        </w:tc>
        <w:tc>
          <w:tcPr>
            <w:tcW w:w="1987" w:type="dxa"/>
            <w:noWrap w:val="0"/>
            <w:vAlign w:val="center"/>
          </w:tcPr>
          <w:p w14:paraId="21DBB51F">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center"/>
          </w:tcPr>
          <w:p w14:paraId="48EC1FF8">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23A1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984" w:type="dxa"/>
            <w:vMerge w:val="restart"/>
            <w:noWrap w:val="0"/>
            <w:vAlign w:val="center"/>
          </w:tcPr>
          <w:p w14:paraId="292E670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3116" w:type="dxa"/>
            <w:noWrap w:val="0"/>
            <w:vAlign w:val="center"/>
          </w:tcPr>
          <w:p w14:paraId="3EF9A6A0">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安全文明施工费</w:t>
            </w:r>
          </w:p>
        </w:tc>
        <w:tc>
          <w:tcPr>
            <w:tcW w:w="1987" w:type="dxa"/>
            <w:noWrap w:val="0"/>
            <w:vAlign w:val="center"/>
          </w:tcPr>
          <w:p w14:paraId="5512849F">
            <w:pPr>
              <w:pStyle w:val="75"/>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center"/>
          </w:tcPr>
          <w:p w14:paraId="374874E0">
            <w:pPr>
              <w:pStyle w:val="75"/>
              <w:jc w:val="center"/>
              <w:rPr>
                <w:rFonts w:hint="eastAsia" w:ascii="宋体" w:hAnsi="宋体" w:cs="宋体"/>
                <w:color w:val="auto"/>
                <w:szCs w:val="21"/>
                <w:highlight w:val="none"/>
              </w:rPr>
            </w:pPr>
          </w:p>
        </w:tc>
      </w:tr>
      <w:tr w14:paraId="7FF2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84" w:type="dxa"/>
            <w:vMerge w:val="continue"/>
            <w:noWrap w:val="0"/>
            <w:vAlign w:val="center"/>
          </w:tcPr>
          <w:p w14:paraId="736562BC">
            <w:pPr>
              <w:pStyle w:val="75"/>
              <w:widowControl/>
              <w:jc w:val="center"/>
              <w:rPr>
                <w:rFonts w:hint="eastAsia" w:ascii="宋体" w:hAnsi="宋体" w:cs="宋体"/>
                <w:color w:val="auto"/>
                <w:szCs w:val="21"/>
                <w:highlight w:val="none"/>
              </w:rPr>
            </w:pPr>
          </w:p>
        </w:tc>
        <w:tc>
          <w:tcPr>
            <w:tcW w:w="3116" w:type="dxa"/>
            <w:noWrap w:val="0"/>
            <w:vAlign w:val="center"/>
          </w:tcPr>
          <w:p w14:paraId="6A40535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发包人提供材料（如有）</w:t>
            </w:r>
          </w:p>
        </w:tc>
        <w:tc>
          <w:tcPr>
            <w:tcW w:w="1987" w:type="dxa"/>
            <w:noWrap w:val="0"/>
            <w:vAlign w:val="center"/>
          </w:tcPr>
          <w:p w14:paraId="71A5B667">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top"/>
          </w:tcPr>
          <w:p w14:paraId="00277E1D">
            <w:pPr>
              <w:pStyle w:val="75"/>
              <w:widowControl/>
              <w:ind w:right="480"/>
              <w:rPr>
                <w:rFonts w:hint="eastAsia" w:ascii="宋体" w:hAnsi="宋体" w:cs="宋体"/>
                <w:color w:val="auto"/>
                <w:szCs w:val="21"/>
                <w:highlight w:val="none"/>
              </w:rPr>
            </w:pPr>
          </w:p>
        </w:tc>
      </w:tr>
      <w:tr w14:paraId="32F61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84" w:type="dxa"/>
            <w:vMerge w:val="continue"/>
            <w:noWrap w:val="0"/>
            <w:vAlign w:val="center"/>
          </w:tcPr>
          <w:p w14:paraId="1C727384">
            <w:pPr>
              <w:pStyle w:val="75"/>
              <w:widowControl/>
              <w:jc w:val="center"/>
              <w:rPr>
                <w:rFonts w:hint="eastAsia" w:ascii="宋体" w:hAnsi="宋体" w:cs="宋体"/>
                <w:color w:val="auto"/>
                <w:szCs w:val="21"/>
                <w:highlight w:val="none"/>
              </w:rPr>
            </w:pPr>
          </w:p>
        </w:tc>
        <w:tc>
          <w:tcPr>
            <w:tcW w:w="3116" w:type="dxa"/>
            <w:noWrap w:val="0"/>
            <w:vAlign w:val="center"/>
          </w:tcPr>
          <w:p w14:paraId="4F8803B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承包人提供材料（设备）暂估价（如有）</w:t>
            </w:r>
          </w:p>
        </w:tc>
        <w:tc>
          <w:tcPr>
            <w:tcW w:w="1987" w:type="dxa"/>
            <w:noWrap w:val="0"/>
            <w:vAlign w:val="center"/>
          </w:tcPr>
          <w:p w14:paraId="7252527D">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top"/>
          </w:tcPr>
          <w:p w14:paraId="68EF4418">
            <w:pPr>
              <w:pStyle w:val="75"/>
              <w:widowControl/>
              <w:ind w:right="480"/>
              <w:rPr>
                <w:rFonts w:hint="eastAsia" w:ascii="宋体" w:hAnsi="宋体" w:cs="宋体"/>
                <w:color w:val="auto"/>
                <w:szCs w:val="21"/>
                <w:highlight w:val="none"/>
              </w:rPr>
            </w:pPr>
          </w:p>
        </w:tc>
      </w:tr>
      <w:tr w14:paraId="0ED9F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84" w:type="dxa"/>
            <w:vMerge w:val="continue"/>
            <w:noWrap w:val="0"/>
            <w:vAlign w:val="center"/>
          </w:tcPr>
          <w:p w14:paraId="769CCA53">
            <w:pPr>
              <w:pStyle w:val="75"/>
              <w:widowControl/>
              <w:jc w:val="center"/>
              <w:rPr>
                <w:rFonts w:hint="eastAsia" w:ascii="宋体" w:hAnsi="宋体" w:cs="宋体"/>
                <w:color w:val="auto"/>
                <w:szCs w:val="21"/>
                <w:highlight w:val="none"/>
              </w:rPr>
            </w:pPr>
          </w:p>
        </w:tc>
        <w:tc>
          <w:tcPr>
            <w:tcW w:w="3116" w:type="dxa"/>
            <w:noWrap w:val="0"/>
            <w:vAlign w:val="center"/>
          </w:tcPr>
          <w:p w14:paraId="0FAF5CD0">
            <w:pPr>
              <w:pStyle w:val="75"/>
              <w:widowControl/>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暂估专业工程（如有）</w:t>
            </w:r>
          </w:p>
        </w:tc>
        <w:tc>
          <w:tcPr>
            <w:tcW w:w="1987" w:type="dxa"/>
            <w:noWrap w:val="0"/>
            <w:vAlign w:val="center"/>
          </w:tcPr>
          <w:p w14:paraId="2B3E913E">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top"/>
          </w:tcPr>
          <w:p w14:paraId="5D2BD188">
            <w:pPr>
              <w:pStyle w:val="75"/>
              <w:widowControl/>
              <w:ind w:right="480"/>
              <w:rPr>
                <w:rFonts w:hint="eastAsia" w:ascii="宋体" w:hAnsi="宋体" w:cs="宋体"/>
                <w:color w:val="auto"/>
                <w:szCs w:val="21"/>
                <w:highlight w:val="none"/>
              </w:rPr>
            </w:pPr>
          </w:p>
        </w:tc>
      </w:tr>
      <w:tr w14:paraId="4D961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84" w:type="dxa"/>
            <w:vMerge w:val="continue"/>
            <w:noWrap w:val="0"/>
            <w:vAlign w:val="center"/>
          </w:tcPr>
          <w:p w14:paraId="7386D394">
            <w:pPr>
              <w:pStyle w:val="75"/>
              <w:widowControl/>
              <w:jc w:val="center"/>
              <w:rPr>
                <w:rFonts w:hint="eastAsia" w:ascii="宋体" w:hAnsi="宋体" w:cs="宋体"/>
                <w:color w:val="auto"/>
                <w:szCs w:val="21"/>
                <w:highlight w:val="none"/>
              </w:rPr>
            </w:pPr>
          </w:p>
        </w:tc>
        <w:tc>
          <w:tcPr>
            <w:tcW w:w="3116" w:type="dxa"/>
            <w:noWrap w:val="0"/>
            <w:vAlign w:val="center"/>
          </w:tcPr>
          <w:p w14:paraId="214E5413">
            <w:pPr>
              <w:pStyle w:val="75"/>
              <w:widowControl/>
              <w:ind w:firstLine="945" w:firstLineChars="450"/>
              <w:rPr>
                <w:rFonts w:hint="eastAsia" w:ascii="宋体" w:hAnsi="宋体" w:cs="宋体"/>
                <w:color w:val="auto"/>
                <w:szCs w:val="21"/>
                <w:highlight w:val="none"/>
              </w:rPr>
            </w:pPr>
            <w:r>
              <w:rPr>
                <w:rFonts w:hint="eastAsia" w:ascii="宋体" w:hAnsi="宋体" w:cs="宋体"/>
                <w:color w:val="auto"/>
                <w:szCs w:val="21"/>
                <w:highlight w:val="none"/>
              </w:rPr>
              <w:t>暂列金额（如有）</w:t>
            </w:r>
          </w:p>
        </w:tc>
        <w:tc>
          <w:tcPr>
            <w:tcW w:w="1987" w:type="dxa"/>
            <w:noWrap w:val="0"/>
            <w:vAlign w:val="center"/>
          </w:tcPr>
          <w:p w14:paraId="62666BEE">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top"/>
          </w:tcPr>
          <w:p w14:paraId="189FEB5C">
            <w:pPr>
              <w:pStyle w:val="75"/>
              <w:widowControl/>
              <w:ind w:right="480"/>
              <w:rPr>
                <w:rFonts w:hint="eastAsia" w:ascii="宋体" w:hAnsi="宋体" w:cs="宋体"/>
                <w:color w:val="auto"/>
                <w:szCs w:val="21"/>
                <w:highlight w:val="none"/>
              </w:rPr>
            </w:pPr>
          </w:p>
        </w:tc>
      </w:tr>
      <w:tr w14:paraId="3FAC9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984" w:type="dxa"/>
            <w:vMerge w:val="continue"/>
            <w:noWrap w:val="0"/>
            <w:vAlign w:val="center"/>
          </w:tcPr>
          <w:p w14:paraId="5E0A0BC4">
            <w:pPr>
              <w:pStyle w:val="75"/>
              <w:widowControl/>
              <w:jc w:val="center"/>
              <w:rPr>
                <w:rFonts w:hint="eastAsia" w:ascii="宋体" w:hAnsi="宋体" w:cs="宋体"/>
                <w:color w:val="auto"/>
                <w:szCs w:val="21"/>
                <w:highlight w:val="none"/>
              </w:rPr>
            </w:pPr>
          </w:p>
        </w:tc>
        <w:tc>
          <w:tcPr>
            <w:tcW w:w="3116" w:type="dxa"/>
            <w:noWrap w:val="0"/>
            <w:vAlign w:val="center"/>
          </w:tcPr>
          <w:p w14:paraId="17A9329B">
            <w:pPr>
              <w:pStyle w:val="106"/>
              <w:widowControl/>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安全生产责任保险费（如有）</w:t>
            </w:r>
          </w:p>
        </w:tc>
        <w:tc>
          <w:tcPr>
            <w:tcW w:w="1987" w:type="dxa"/>
            <w:noWrap w:val="0"/>
            <w:vAlign w:val="center"/>
          </w:tcPr>
          <w:p w14:paraId="142AF07F">
            <w:pPr>
              <w:pStyle w:val="106"/>
              <w:widowControl/>
              <w:jc w:val="right"/>
              <w:rPr>
                <w:rFonts w:hint="eastAsia" w:ascii="宋体" w:hAnsi="宋体" w:cs="宋体"/>
                <w:color w:val="auto"/>
                <w:szCs w:val="21"/>
                <w:highlight w:val="none"/>
              </w:rPr>
            </w:pPr>
            <w:r>
              <w:rPr>
                <w:rFonts w:hint="eastAsia" w:ascii="宋体" w:hAnsi="宋体" w:cs="宋体"/>
                <w:color w:val="auto"/>
                <w:szCs w:val="21"/>
                <w:highlight w:val="none"/>
              </w:rPr>
              <w:t>万元</w:t>
            </w:r>
          </w:p>
        </w:tc>
        <w:tc>
          <w:tcPr>
            <w:tcW w:w="1702" w:type="dxa"/>
            <w:noWrap w:val="0"/>
            <w:vAlign w:val="top"/>
          </w:tcPr>
          <w:p w14:paraId="41FA90D0">
            <w:pPr>
              <w:pStyle w:val="75"/>
              <w:widowControl/>
              <w:ind w:right="480"/>
              <w:rPr>
                <w:rFonts w:hint="eastAsia" w:ascii="宋体" w:hAnsi="宋体" w:cs="宋体"/>
                <w:color w:val="auto"/>
                <w:szCs w:val="21"/>
                <w:highlight w:val="none"/>
              </w:rPr>
            </w:pPr>
          </w:p>
        </w:tc>
      </w:tr>
      <w:tr w14:paraId="6D2C4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984" w:type="dxa"/>
            <w:vMerge w:val="restart"/>
            <w:noWrap w:val="0"/>
            <w:vAlign w:val="center"/>
          </w:tcPr>
          <w:p w14:paraId="73E9BBFF">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主要材料</w:t>
            </w:r>
          </w:p>
        </w:tc>
        <w:tc>
          <w:tcPr>
            <w:tcW w:w="3116" w:type="dxa"/>
            <w:noWrap w:val="0"/>
            <w:vAlign w:val="center"/>
          </w:tcPr>
          <w:p w14:paraId="49C5C16F">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钢筋</w:t>
            </w:r>
          </w:p>
        </w:tc>
        <w:tc>
          <w:tcPr>
            <w:tcW w:w="1987" w:type="dxa"/>
            <w:noWrap w:val="0"/>
            <w:vAlign w:val="center"/>
          </w:tcPr>
          <w:p w14:paraId="07B077C8">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吨</w:t>
            </w:r>
          </w:p>
        </w:tc>
        <w:tc>
          <w:tcPr>
            <w:tcW w:w="1702" w:type="dxa"/>
            <w:noWrap w:val="0"/>
            <w:vAlign w:val="top"/>
          </w:tcPr>
          <w:p w14:paraId="5C071A4D">
            <w:pPr>
              <w:pStyle w:val="75"/>
              <w:widowControl/>
              <w:jc w:val="right"/>
              <w:rPr>
                <w:rFonts w:hint="eastAsia" w:ascii="宋体" w:hAnsi="宋体" w:cs="宋体"/>
                <w:color w:val="auto"/>
                <w:szCs w:val="21"/>
                <w:highlight w:val="none"/>
              </w:rPr>
            </w:pPr>
          </w:p>
        </w:tc>
      </w:tr>
      <w:tr w14:paraId="3B8F1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984" w:type="dxa"/>
            <w:vMerge w:val="continue"/>
            <w:noWrap w:val="0"/>
            <w:vAlign w:val="center"/>
          </w:tcPr>
          <w:p w14:paraId="249541FB">
            <w:pPr>
              <w:pStyle w:val="75"/>
              <w:widowControl/>
              <w:jc w:val="center"/>
              <w:rPr>
                <w:rFonts w:hint="eastAsia" w:ascii="宋体" w:hAnsi="宋体" w:cs="宋体"/>
                <w:color w:val="auto"/>
                <w:szCs w:val="21"/>
                <w:highlight w:val="none"/>
              </w:rPr>
            </w:pPr>
          </w:p>
        </w:tc>
        <w:tc>
          <w:tcPr>
            <w:tcW w:w="3116" w:type="dxa"/>
            <w:noWrap w:val="0"/>
            <w:vAlign w:val="center"/>
          </w:tcPr>
          <w:p w14:paraId="24A7C368">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水泥（不含商品混凝土用量）</w:t>
            </w:r>
          </w:p>
        </w:tc>
        <w:tc>
          <w:tcPr>
            <w:tcW w:w="1987" w:type="dxa"/>
            <w:noWrap w:val="0"/>
            <w:vAlign w:val="center"/>
          </w:tcPr>
          <w:p w14:paraId="074767AB">
            <w:pPr>
              <w:pStyle w:val="75"/>
              <w:widowControl/>
              <w:tabs>
                <w:tab w:val="left" w:pos="2398"/>
              </w:tabs>
              <w:ind w:right="18"/>
              <w:jc w:val="right"/>
              <w:rPr>
                <w:rFonts w:hint="eastAsia" w:ascii="宋体" w:hAnsi="宋体" w:cs="宋体"/>
                <w:color w:val="auto"/>
                <w:szCs w:val="21"/>
                <w:highlight w:val="none"/>
              </w:rPr>
            </w:pPr>
            <w:r>
              <w:rPr>
                <w:rFonts w:hint="eastAsia" w:ascii="宋体" w:hAnsi="宋体" w:cs="宋体"/>
                <w:color w:val="auto"/>
                <w:szCs w:val="21"/>
                <w:highlight w:val="none"/>
              </w:rPr>
              <w:t>吨</w:t>
            </w:r>
          </w:p>
        </w:tc>
        <w:tc>
          <w:tcPr>
            <w:tcW w:w="1702" w:type="dxa"/>
            <w:noWrap w:val="0"/>
            <w:vAlign w:val="top"/>
          </w:tcPr>
          <w:p w14:paraId="517BB2D1">
            <w:pPr>
              <w:pStyle w:val="75"/>
              <w:widowControl/>
              <w:jc w:val="right"/>
              <w:rPr>
                <w:rFonts w:hint="eastAsia" w:ascii="宋体" w:hAnsi="宋体" w:cs="宋体"/>
                <w:color w:val="auto"/>
                <w:szCs w:val="21"/>
                <w:highlight w:val="none"/>
              </w:rPr>
            </w:pPr>
          </w:p>
        </w:tc>
      </w:tr>
      <w:tr w14:paraId="460EE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84" w:type="dxa"/>
            <w:vMerge w:val="continue"/>
            <w:noWrap w:val="0"/>
            <w:vAlign w:val="center"/>
          </w:tcPr>
          <w:p w14:paraId="149CD40F">
            <w:pPr>
              <w:pStyle w:val="75"/>
              <w:widowControl/>
              <w:jc w:val="center"/>
              <w:rPr>
                <w:rFonts w:hint="eastAsia" w:ascii="宋体" w:hAnsi="宋体" w:cs="宋体"/>
                <w:color w:val="auto"/>
                <w:szCs w:val="21"/>
                <w:highlight w:val="none"/>
              </w:rPr>
            </w:pPr>
          </w:p>
        </w:tc>
        <w:tc>
          <w:tcPr>
            <w:tcW w:w="3116" w:type="dxa"/>
            <w:noWrap w:val="0"/>
            <w:vAlign w:val="center"/>
          </w:tcPr>
          <w:p w14:paraId="56B511B0">
            <w:pPr>
              <w:pStyle w:val="75"/>
              <w:widowControl/>
              <w:jc w:val="center"/>
              <w:rPr>
                <w:rFonts w:hint="eastAsia" w:ascii="宋体" w:hAnsi="宋体" w:cs="宋体"/>
                <w:color w:val="auto"/>
                <w:szCs w:val="21"/>
                <w:highlight w:val="none"/>
              </w:rPr>
            </w:pPr>
            <w:r>
              <w:rPr>
                <w:rFonts w:hint="eastAsia" w:ascii="宋体" w:hAnsi="宋体" w:cs="宋体"/>
                <w:color w:val="auto"/>
                <w:szCs w:val="21"/>
                <w:highlight w:val="none"/>
              </w:rPr>
              <w:t>商品混凝土</w:t>
            </w:r>
          </w:p>
        </w:tc>
        <w:tc>
          <w:tcPr>
            <w:tcW w:w="1987" w:type="dxa"/>
            <w:noWrap w:val="0"/>
            <w:vAlign w:val="center"/>
          </w:tcPr>
          <w:p w14:paraId="424FDC4F">
            <w:pPr>
              <w:pStyle w:val="75"/>
              <w:widowControl/>
              <w:jc w:val="right"/>
              <w:rPr>
                <w:rFonts w:hint="eastAsia" w:ascii="宋体" w:hAnsi="宋体" w:cs="宋体"/>
                <w:color w:val="auto"/>
                <w:szCs w:val="21"/>
                <w:highlight w:val="none"/>
              </w:rPr>
            </w:pPr>
            <w:r>
              <w:rPr>
                <w:rFonts w:hint="eastAsia" w:ascii="宋体" w:hAnsi="宋体" w:cs="宋体"/>
                <w:color w:val="auto"/>
                <w:szCs w:val="21"/>
                <w:highlight w:val="none"/>
              </w:rPr>
              <w:t>m</w:t>
            </w:r>
            <w:r>
              <w:rPr>
                <w:rFonts w:hint="eastAsia" w:ascii="宋体" w:hAnsi="宋体" w:cs="宋体"/>
                <w:color w:val="auto"/>
                <w:szCs w:val="21"/>
                <w:highlight w:val="none"/>
                <w:vertAlign w:val="superscript"/>
              </w:rPr>
              <w:t>3</w:t>
            </w:r>
          </w:p>
        </w:tc>
        <w:tc>
          <w:tcPr>
            <w:tcW w:w="1702" w:type="dxa"/>
            <w:noWrap w:val="0"/>
            <w:vAlign w:val="top"/>
          </w:tcPr>
          <w:p w14:paraId="189CDA81">
            <w:pPr>
              <w:pStyle w:val="75"/>
              <w:widowControl/>
              <w:jc w:val="right"/>
              <w:rPr>
                <w:rFonts w:hint="eastAsia" w:ascii="宋体" w:hAnsi="宋体" w:cs="宋体"/>
                <w:color w:val="auto"/>
                <w:szCs w:val="21"/>
                <w:highlight w:val="none"/>
              </w:rPr>
            </w:pPr>
          </w:p>
        </w:tc>
      </w:tr>
    </w:tbl>
    <w:p w14:paraId="3A0CC950">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供应商（盖单位章）：</w:t>
      </w:r>
    </w:p>
    <w:p w14:paraId="085F5603">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法人代表或委托代理人（签字或盖章）：</w:t>
      </w:r>
    </w:p>
    <w:p w14:paraId="5104D5EB">
      <w:pPr>
        <w:pStyle w:val="75"/>
        <w:spacing w:line="48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0F49CCF9">
      <w:pPr>
        <w:pStyle w:val="75"/>
        <w:ind w:left="-178" w:leftChars="-85" w:firstLine="177" w:firstLineChars="74"/>
        <w:rPr>
          <w:rFonts w:hint="eastAsia" w:ascii="宋体" w:hAnsi="宋体" w:cs="宋体"/>
          <w:color w:val="auto"/>
          <w:sz w:val="24"/>
          <w:szCs w:val="24"/>
          <w:highlight w:val="none"/>
        </w:rPr>
      </w:pPr>
    </w:p>
    <w:p w14:paraId="0D73C007">
      <w:pPr>
        <w:autoSpaceDE w:val="0"/>
        <w:autoSpaceDN w:val="0"/>
        <w:adjustRightInd w:val="0"/>
        <w:spacing w:line="480" w:lineRule="auto"/>
        <w:jc w:val="left"/>
        <w:outlineLvl w:val="0"/>
        <w:rPr>
          <w:rFonts w:hint="eastAsia" w:ascii="宋体" w:hAnsi="宋体" w:cs="宋体"/>
          <w:b/>
          <w:color w:val="auto"/>
          <w:kern w:val="0"/>
          <w:highlight w:val="none"/>
        </w:rPr>
      </w:pPr>
      <w:bookmarkStart w:id="876" w:name="_Toc246259667"/>
      <w:bookmarkStart w:id="877" w:name="_Toc246303916"/>
      <w:bookmarkStart w:id="878" w:name="_Toc245915362"/>
    </w:p>
    <w:p w14:paraId="353C3DDE">
      <w:pPr>
        <w:pStyle w:val="4"/>
        <w:spacing w:before="0" w:beforeLines="0" w:after="0" w:afterLines="0" w:line="440" w:lineRule="exact"/>
        <w:jc w:val="both"/>
        <w:rPr>
          <w:rFonts w:cs="宋体"/>
          <w:bCs/>
          <w:color w:val="auto"/>
          <w:sz w:val="30"/>
          <w:szCs w:val="30"/>
          <w:highlight w:val="none"/>
        </w:rPr>
      </w:pPr>
      <w:bookmarkStart w:id="879" w:name="_Toc482785101"/>
      <w:bookmarkStart w:id="880" w:name="_Toc285108314"/>
      <w:bookmarkStart w:id="881" w:name="_Toc47088390"/>
      <w:bookmarkStart w:id="882" w:name="_Toc336079856"/>
      <w:bookmarkStart w:id="883" w:name="_Toc282355450"/>
    </w:p>
    <w:p w14:paraId="23591647">
      <w:pPr>
        <w:pStyle w:val="4"/>
        <w:spacing w:before="0" w:beforeLines="0" w:after="0" w:afterLines="0" w:line="440" w:lineRule="exact"/>
        <w:jc w:val="center"/>
        <w:rPr>
          <w:rFonts w:cs="宋体"/>
          <w:bCs/>
          <w:color w:val="auto"/>
          <w:sz w:val="30"/>
          <w:szCs w:val="30"/>
          <w:highlight w:val="none"/>
        </w:rPr>
      </w:pPr>
    </w:p>
    <w:p w14:paraId="53EB79F9">
      <w:pPr>
        <w:pStyle w:val="4"/>
        <w:spacing w:before="0" w:beforeLines="0" w:after="0" w:afterLines="0" w:line="440" w:lineRule="exact"/>
        <w:ind w:firstLine="3012" w:firstLineChars="1000"/>
        <w:rPr>
          <w:rFonts w:cs="宋体"/>
          <w:bCs/>
          <w:color w:val="auto"/>
          <w:sz w:val="30"/>
          <w:szCs w:val="30"/>
          <w:highlight w:val="none"/>
        </w:rPr>
      </w:pPr>
      <w:bookmarkStart w:id="884" w:name="_Toc75182792"/>
      <w:r>
        <w:rPr>
          <w:rFonts w:hint="eastAsia" w:cs="宋体"/>
          <w:bCs/>
          <w:color w:val="auto"/>
          <w:sz w:val="30"/>
          <w:szCs w:val="30"/>
          <w:highlight w:val="none"/>
        </w:rPr>
        <w:t>（2）</w:t>
      </w:r>
      <w:r>
        <w:rPr>
          <w:rFonts w:cs="宋体"/>
          <w:bCs/>
          <w:color w:val="auto"/>
          <w:sz w:val="30"/>
          <w:szCs w:val="30"/>
          <w:highlight w:val="none"/>
        </w:rPr>
        <w:t>磋商报价文件</w:t>
      </w:r>
      <w:bookmarkEnd w:id="879"/>
      <w:bookmarkEnd w:id="880"/>
      <w:bookmarkEnd w:id="881"/>
      <w:bookmarkEnd w:id="882"/>
      <w:bookmarkEnd w:id="883"/>
      <w:bookmarkEnd w:id="884"/>
    </w:p>
    <w:p w14:paraId="05CABC83">
      <w:pPr>
        <w:snapToGrid w:val="0"/>
        <w:spacing w:line="340" w:lineRule="exact"/>
        <w:jc w:val="center"/>
        <w:rPr>
          <w:rFonts w:hint="eastAsia" w:ascii="宋体" w:hAnsi="宋体" w:cs="宋体"/>
          <w:b/>
          <w:color w:val="auto"/>
          <w:sz w:val="30"/>
          <w:szCs w:val="30"/>
          <w:highlight w:val="none"/>
        </w:rPr>
      </w:pPr>
      <w:r>
        <w:rPr>
          <w:rFonts w:hint="eastAsia" w:ascii="宋体" w:hAnsi="宋体" w:cs="宋体"/>
          <w:b/>
          <w:bCs/>
          <w:color w:val="auto"/>
          <w:szCs w:val="21"/>
          <w:highlight w:val="none"/>
        </w:rPr>
        <w:t>说明：工程量清单按第三章“图纸及工程量清单”中的相关清单表格式填写。</w:t>
      </w:r>
    </w:p>
    <w:p w14:paraId="37D6663D">
      <w:pPr>
        <w:pStyle w:val="4"/>
        <w:spacing w:before="0" w:beforeLines="0" w:after="0" w:afterLines="0" w:line="440" w:lineRule="exact"/>
        <w:rPr>
          <w:rFonts w:hint="eastAsia" w:ascii="宋体" w:hAnsi="宋体" w:cs="宋体"/>
          <w:color w:val="auto"/>
          <w:kern w:val="0"/>
          <w:sz w:val="30"/>
          <w:szCs w:val="30"/>
          <w:highlight w:val="none"/>
        </w:rPr>
      </w:pPr>
      <w:bookmarkStart w:id="885" w:name="_Toc336079858"/>
      <w:bookmarkStart w:id="886" w:name="_Toc482785102"/>
    </w:p>
    <w:p w14:paraId="5349A021">
      <w:pPr>
        <w:autoSpaceDE w:val="0"/>
        <w:autoSpaceDN w:val="0"/>
        <w:adjustRightInd w:val="0"/>
        <w:jc w:val="center"/>
        <w:rPr>
          <w:rFonts w:hint="eastAsia" w:ascii="宋体" w:hAnsi="宋体" w:cs="宋体"/>
          <w:b/>
          <w:color w:val="auto"/>
          <w:kern w:val="0"/>
          <w:sz w:val="36"/>
          <w:highlight w:val="none"/>
        </w:rPr>
      </w:pPr>
    </w:p>
    <w:p w14:paraId="5151A257">
      <w:pPr>
        <w:autoSpaceDE w:val="0"/>
        <w:autoSpaceDN w:val="0"/>
        <w:adjustRightInd w:val="0"/>
        <w:jc w:val="center"/>
        <w:outlineLvl w:val="0"/>
        <w:rPr>
          <w:rFonts w:hint="eastAsia" w:ascii="宋体" w:hAnsi="宋体" w:cs="宋体"/>
          <w:color w:val="auto"/>
          <w:kern w:val="0"/>
          <w:highlight w:val="none"/>
        </w:rPr>
      </w:pPr>
    </w:p>
    <w:p w14:paraId="4C5254D7">
      <w:pPr>
        <w:pStyle w:val="17"/>
        <w:rPr>
          <w:rFonts w:hint="eastAsia" w:ascii="宋体" w:hAnsi="宋体" w:cs="宋体"/>
          <w:color w:val="auto"/>
          <w:kern w:val="0"/>
          <w:highlight w:val="none"/>
        </w:rPr>
      </w:pPr>
    </w:p>
    <w:p w14:paraId="5FA4BB3D">
      <w:pPr>
        <w:pStyle w:val="4"/>
        <w:spacing w:before="0" w:beforeLines="0" w:after="0" w:afterLines="0" w:line="440" w:lineRule="exact"/>
        <w:rPr>
          <w:rFonts w:hint="eastAsia" w:ascii="Times New Roman" w:hAnsi="Times New Roman" w:eastAsia="宋体" w:cs="宋体"/>
          <w:b/>
          <w:bCs/>
          <w:color w:val="auto"/>
          <w:sz w:val="30"/>
          <w:szCs w:val="30"/>
          <w:highlight w:val="none"/>
        </w:rPr>
      </w:pPr>
      <w:r>
        <w:rPr>
          <w:rFonts w:hint="eastAsia" w:ascii="Times New Roman" w:hAnsi="Times New Roman" w:eastAsia="宋体" w:cs="宋体"/>
          <w:b/>
          <w:bCs/>
          <w:color w:val="auto"/>
          <w:sz w:val="30"/>
          <w:szCs w:val="30"/>
          <w:highlight w:val="none"/>
          <w:lang w:val="en-US" w:eastAsia="zh-CN"/>
        </w:rPr>
        <w:t>3、</w:t>
      </w:r>
      <w:r>
        <w:rPr>
          <w:rFonts w:hint="eastAsia" w:ascii="Times New Roman" w:hAnsi="Times New Roman" w:eastAsia="宋体" w:cs="宋体"/>
          <w:b/>
          <w:bCs/>
          <w:color w:val="auto"/>
          <w:sz w:val="30"/>
          <w:szCs w:val="30"/>
          <w:highlight w:val="none"/>
        </w:rPr>
        <w:t>供应商针对报价需要说明的其他文件和说明（格式自拟）</w:t>
      </w:r>
    </w:p>
    <w:p w14:paraId="2AD370EC">
      <w:pPr>
        <w:spacing w:line="30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p>
    <w:p w14:paraId="77020E41">
      <w:pPr>
        <w:pStyle w:val="31"/>
        <w:snapToGrid w:val="0"/>
        <w:spacing w:line="440" w:lineRule="exact"/>
        <w:ind w:left="0" w:leftChars="0"/>
        <w:rPr>
          <w:rFonts w:hint="eastAsia" w:ascii="宋体" w:hAnsi="宋体" w:cs="宋体"/>
          <w:color w:val="auto"/>
          <w:sz w:val="21"/>
          <w:szCs w:val="21"/>
          <w:highlight w:val="none"/>
        </w:rPr>
      </w:pPr>
      <w:r>
        <w:rPr>
          <w:rFonts w:hint="eastAsia" w:ascii="宋体" w:hAnsi="宋体" w:cs="宋体"/>
          <w:color w:val="auto"/>
          <w:kern w:val="0"/>
          <w:sz w:val="21"/>
          <w:szCs w:val="21"/>
          <w:highlight w:val="none"/>
        </w:rPr>
        <w:t xml:space="preserve">    </w:t>
      </w:r>
    </w:p>
    <w:p w14:paraId="0ABFA7A3">
      <w:pPr>
        <w:pStyle w:val="17"/>
        <w:rPr>
          <w:rFonts w:hint="eastAsia"/>
          <w:color w:val="auto"/>
          <w:highlight w:val="none"/>
        </w:rPr>
      </w:pPr>
    </w:p>
    <w:p w14:paraId="080CC767">
      <w:pPr>
        <w:autoSpaceDE w:val="0"/>
        <w:autoSpaceDN w:val="0"/>
        <w:adjustRightInd w:val="0"/>
        <w:jc w:val="center"/>
        <w:outlineLvl w:val="0"/>
        <w:rPr>
          <w:rFonts w:hint="eastAsia" w:ascii="宋体" w:hAnsi="宋体" w:cs="宋体"/>
          <w:color w:val="auto"/>
          <w:kern w:val="0"/>
          <w:highlight w:val="none"/>
        </w:rPr>
      </w:pPr>
    </w:p>
    <w:p w14:paraId="67055E96">
      <w:pPr>
        <w:autoSpaceDE w:val="0"/>
        <w:autoSpaceDN w:val="0"/>
        <w:adjustRightInd w:val="0"/>
        <w:ind w:firstLine="1039" w:firstLineChars="199"/>
        <w:jc w:val="center"/>
        <w:rPr>
          <w:rFonts w:hint="eastAsia" w:ascii="宋体" w:hAnsi="宋体" w:cs="宋体"/>
          <w:b/>
          <w:color w:val="auto"/>
          <w:kern w:val="0"/>
          <w:sz w:val="52"/>
          <w:szCs w:val="52"/>
          <w:highlight w:val="none"/>
        </w:rPr>
      </w:pPr>
    </w:p>
    <w:p w14:paraId="0FF6F62D">
      <w:pPr>
        <w:autoSpaceDE w:val="0"/>
        <w:autoSpaceDN w:val="0"/>
        <w:adjustRightInd w:val="0"/>
        <w:ind w:firstLine="1039" w:firstLineChars="199"/>
        <w:jc w:val="center"/>
        <w:rPr>
          <w:rFonts w:hint="eastAsia" w:ascii="宋体" w:hAnsi="宋体" w:cs="宋体"/>
          <w:b/>
          <w:color w:val="auto"/>
          <w:kern w:val="0"/>
          <w:sz w:val="52"/>
          <w:szCs w:val="52"/>
          <w:highlight w:val="none"/>
        </w:rPr>
      </w:pPr>
    </w:p>
    <w:p w14:paraId="245D6AC4">
      <w:pPr>
        <w:autoSpaceDE w:val="0"/>
        <w:autoSpaceDN w:val="0"/>
        <w:adjustRightInd w:val="0"/>
        <w:ind w:firstLine="1039" w:firstLineChars="199"/>
        <w:jc w:val="center"/>
        <w:rPr>
          <w:rFonts w:hint="eastAsia" w:ascii="宋体" w:hAnsi="宋体" w:cs="宋体"/>
          <w:color w:val="auto"/>
          <w:kern w:val="0"/>
          <w:sz w:val="52"/>
          <w:szCs w:val="52"/>
          <w:highlight w:val="none"/>
        </w:rPr>
      </w:pPr>
      <w:r>
        <w:rPr>
          <w:rFonts w:hint="eastAsia" w:ascii="宋体" w:hAnsi="宋体" w:cs="宋体"/>
          <w:b/>
          <w:color w:val="auto"/>
          <w:kern w:val="0"/>
          <w:sz w:val="52"/>
          <w:szCs w:val="52"/>
          <w:highlight w:val="none"/>
        </w:rPr>
        <w:t>磋 商 响 应 文 件</w:t>
      </w:r>
    </w:p>
    <w:p w14:paraId="777C3002">
      <w:pPr>
        <w:autoSpaceDE w:val="0"/>
        <w:autoSpaceDN w:val="0"/>
        <w:adjustRightInd w:val="0"/>
        <w:jc w:val="center"/>
        <w:rPr>
          <w:rFonts w:hint="eastAsia" w:ascii="宋体" w:hAnsi="宋体" w:cs="宋体"/>
          <w:color w:val="auto"/>
          <w:kern w:val="0"/>
          <w:szCs w:val="30"/>
          <w:highlight w:val="none"/>
        </w:rPr>
      </w:pPr>
    </w:p>
    <w:p w14:paraId="2C042F29">
      <w:pPr>
        <w:autoSpaceDE w:val="0"/>
        <w:autoSpaceDN w:val="0"/>
        <w:adjustRightInd w:val="0"/>
        <w:jc w:val="center"/>
        <w:rPr>
          <w:rFonts w:hint="eastAsia" w:ascii="宋体" w:hAnsi="宋体" w:cs="宋体"/>
          <w:color w:val="auto"/>
          <w:kern w:val="0"/>
          <w:sz w:val="28"/>
          <w:szCs w:val="28"/>
          <w:highlight w:val="none"/>
        </w:rPr>
      </w:pPr>
    </w:p>
    <w:p w14:paraId="1F55D718">
      <w:pPr>
        <w:autoSpaceDE w:val="0"/>
        <w:autoSpaceDN w:val="0"/>
        <w:adjustRightInd w:val="0"/>
        <w:jc w:val="center"/>
        <w:rPr>
          <w:rFonts w:hint="eastAsia" w:ascii="宋体" w:hAnsi="宋体" w:cs="宋体"/>
          <w:color w:val="auto"/>
          <w:kern w:val="0"/>
          <w:szCs w:val="30"/>
          <w:highlight w:val="none"/>
        </w:rPr>
      </w:pPr>
    </w:p>
    <w:p w14:paraId="72C8AA35">
      <w:pPr>
        <w:autoSpaceDE w:val="0"/>
        <w:autoSpaceDN w:val="0"/>
        <w:adjustRightInd w:val="0"/>
        <w:jc w:val="center"/>
        <w:rPr>
          <w:rFonts w:hint="eastAsia" w:ascii="宋体" w:hAnsi="宋体" w:cs="宋体"/>
          <w:color w:val="auto"/>
          <w:kern w:val="0"/>
          <w:szCs w:val="30"/>
          <w:highlight w:val="none"/>
        </w:rPr>
      </w:pPr>
    </w:p>
    <w:p w14:paraId="3E7E4BBC">
      <w:pPr>
        <w:autoSpaceDE w:val="0"/>
        <w:autoSpaceDN w:val="0"/>
        <w:adjustRightInd w:val="0"/>
        <w:rPr>
          <w:rFonts w:hint="eastAsia" w:ascii="宋体" w:hAnsi="宋体" w:cs="宋体"/>
          <w:color w:val="auto"/>
          <w:kern w:val="0"/>
          <w:szCs w:val="30"/>
          <w:highlight w:val="none"/>
        </w:rPr>
      </w:pPr>
    </w:p>
    <w:p w14:paraId="3DC40915">
      <w:pPr>
        <w:autoSpaceDE w:val="0"/>
        <w:autoSpaceDN w:val="0"/>
        <w:adjustRightInd w:val="0"/>
        <w:rPr>
          <w:rFonts w:hint="eastAsia" w:ascii="宋体" w:hAnsi="宋体" w:cs="宋体"/>
          <w:color w:val="auto"/>
          <w:kern w:val="0"/>
          <w:szCs w:val="30"/>
          <w:highlight w:val="none"/>
        </w:rPr>
      </w:pPr>
    </w:p>
    <w:p w14:paraId="3BC21F21">
      <w:pPr>
        <w:autoSpaceDE w:val="0"/>
        <w:autoSpaceDN w:val="0"/>
        <w:adjustRightInd w:val="0"/>
        <w:spacing w:line="480" w:lineRule="auto"/>
        <w:ind w:firstLine="1560"/>
        <w:rPr>
          <w:rFonts w:hint="eastAsia" w:ascii="宋体" w:hAnsi="宋体" w:cs="宋体"/>
          <w:color w:val="auto"/>
          <w:kern w:val="0"/>
          <w:sz w:val="28"/>
          <w:szCs w:val="28"/>
          <w:highlight w:val="none"/>
          <w:u w:val="single"/>
        </w:rPr>
      </w:pPr>
      <w:r>
        <w:rPr>
          <w:rFonts w:hint="eastAsia" w:ascii="宋体" w:hAnsi="宋体" w:cs="宋体"/>
          <w:color w:val="auto"/>
          <w:kern w:val="0"/>
          <w:sz w:val="28"/>
          <w:szCs w:val="28"/>
          <w:highlight w:val="none"/>
        </w:rPr>
        <w:t>项目名称：</w:t>
      </w:r>
      <w:r>
        <w:rPr>
          <w:rFonts w:hint="eastAsia" w:ascii="宋体" w:hAnsi="宋体" w:cs="宋体"/>
          <w:color w:val="auto"/>
          <w:kern w:val="0"/>
          <w:sz w:val="28"/>
          <w:szCs w:val="28"/>
          <w:highlight w:val="none"/>
          <w:u w:val="single"/>
        </w:rPr>
        <w:t xml:space="preserve">                                     </w:t>
      </w:r>
    </w:p>
    <w:p w14:paraId="27C5CFAA">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项目编号：</w:t>
      </w:r>
    </w:p>
    <w:p w14:paraId="1C6CE172">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eastAsia="宋体" w:cs="宋体"/>
          <w:color w:val="auto"/>
          <w:sz w:val="28"/>
          <w:szCs w:val="28"/>
          <w:highlight w:val="none"/>
        </w:rPr>
        <w:t>响应文件内容：</w:t>
      </w:r>
      <w:r>
        <w:rPr>
          <w:rFonts w:hint="eastAsia" w:ascii="宋体" w:hAnsi="宋体" w:eastAsia="宋体" w:cs="宋体"/>
          <w:color w:val="auto"/>
          <w:sz w:val="28"/>
          <w:szCs w:val="28"/>
          <w:highlight w:val="none"/>
          <w:u w:val="single"/>
        </w:rPr>
        <w:t xml:space="preserve"> 商务技术文件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 xml:space="preserve"> </w:t>
      </w:r>
    </w:p>
    <w:p w14:paraId="117A149C">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（盖单位公章）           </w:t>
      </w:r>
    </w:p>
    <w:p w14:paraId="6F875C24">
      <w:pPr>
        <w:autoSpaceDE w:val="0"/>
        <w:autoSpaceDN w:val="0"/>
        <w:adjustRightInd w:val="0"/>
        <w:spacing w:line="480" w:lineRule="auto"/>
        <w:ind w:firstLine="1560"/>
        <w:outlineLvl w:val="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法定代表人或其委托代理人：</w:t>
      </w:r>
      <w:r>
        <w:rPr>
          <w:rFonts w:hint="eastAsia" w:ascii="宋体" w:hAnsi="宋体" w:cs="宋体"/>
          <w:color w:val="auto"/>
          <w:kern w:val="0"/>
          <w:sz w:val="28"/>
          <w:szCs w:val="28"/>
          <w:highlight w:val="none"/>
          <w:u w:val="single"/>
        </w:rPr>
        <w:t xml:space="preserve">       （签字）      </w:t>
      </w:r>
    </w:p>
    <w:p w14:paraId="3F11FC45">
      <w:pPr>
        <w:autoSpaceDE w:val="0"/>
        <w:autoSpaceDN w:val="0"/>
        <w:adjustRightInd w:val="0"/>
        <w:spacing w:line="480" w:lineRule="auto"/>
        <w:ind w:firstLine="1680" w:firstLineChars="600"/>
        <w:rPr>
          <w:rFonts w:hint="eastAsia" w:ascii="宋体" w:hAnsi="宋体" w:cs="宋体"/>
          <w:color w:val="auto"/>
          <w:kern w:val="0"/>
          <w:sz w:val="28"/>
          <w:szCs w:val="28"/>
          <w:highlight w:val="none"/>
        </w:rPr>
      </w:pPr>
      <w:r>
        <w:rPr>
          <w:rFonts w:hint="eastAsia" w:ascii="宋体" w:hAnsi="宋体" w:cs="宋体"/>
          <w:color w:val="auto"/>
          <w:kern w:val="0"/>
          <w:sz w:val="28"/>
          <w:szCs w:val="28"/>
          <w:highlight w:val="none"/>
        </w:rPr>
        <w:t>日      期：</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年</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月</w:t>
      </w:r>
      <w:r>
        <w:rPr>
          <w:rFonts w:hint="eastAsia" w:ascii="宋体" w:hAnsi="宋体" w:cs="宋体"/>
          <w:color w:val="auto"/>
          <w:kern w:val="0"/>
          <w:sz w:val="28"/>
          <w:szCs w:val="28"/>
          <w:highlight w:val="none"/>
          <w:u w:val="single"/>
        </w:rPr>
        <w:t xml:space="preserve">        </w:t>
      </w:r>
      <w:r>
        <w:rPr>
          <w:rFonts w:hint="eastAsia" w:ascii="宋体" w:hAnsi="宋体" w:cs="宋体"/>
          <w:color w:val="auto"/>
          <w:kern w:val="0"/>
          <w:sz w:val="28"/>
          <w:szCs w:val="28"/>
          <w:highlight w:val="none"/>
        </w:rPr>
        <w:t>日</w:t>
      </w:r>
    </w:p>
    <w:p w14:paraId="11777BBE">
      <w:pPr>
        <w:pStyle w:val="4"/>
        <w:spacing w:before="0" w:beforeLines="0" w:after="0" w:afterLines="0" w:line="440" w:lineRule="exact"/>
        <w:rPr>
          <w:rFonts w:hint="eastAsia" w:ascii="宋体" w:hAnsi="宋体" w:cs="宋体"/>
          <w:color w:val="auto"/>
          <w:kern w:val="0"/>
          <w:sz w:val="30"/>
          <w:szCs w:val="30"/>
          <w:highlight w:val="none"/>
        </w:rPr>
      </w:pPr>
      <w:r>
        <w:rPr>
          <w:rFonts w:hint="eastAsia" w:ascii="宋体" w:hAnsi="宋体" w:eastAsia="宋体" w:cs="宋体"/>
          <w:color w:val="auto"/>
          <w:sz w:val="28"/>
          <w:highlight w:val="none"/>
        </w:rPr>
        <w:br w:type="page"/>
      </w:r>
    </w:p>
    <w:p w14:paraId="06B10B7B">
      <w:pPr>
        <w:pStyle w:val="3"/>
        <w:keepNext w:val="0"/>
        <w:keepLines w:val="0"/>
        <w:adjustRightInd w:val="0"/>
        <w:snapToGrid w:val="0"/>
        <w:spacing w:line="480" w:lineRule="exact"/>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t xml:space="preserve">目    录 </w:t>
      </w:r>
    </w:p>
    <w:p w14:paraId="1C3E3F45">
      <w:pPr>
        <w:pStyle w:val="4"/>
        <w:spacing w:before="0" w:beforeLines="0" w:after="0" w:afterLines="0" w:line="440" w:lineRule="exact"/>
        <w:ind w:firstLine="4216" w:firstLineChars="1500"/>
        <w:rPr>
          <w:rFonts w:hint="eastAsia" w:ascii="宋体" w:hAnsi="宋体" w:cs="宋体"/>
          <w:color w:val="auto"/>
          <w:kern w:val="0"/>
          <w:sz w:val="30"/>
          <w:szCs w:val="30"/>
          <w:highlight w:val="none"/>
        </w:rPr>
      </w:pPr>
      <w:r>
        <w:rPr>
          <w:rFonts w:hint="eastAsia" w:ascii="宋体" w:hAnsi="宋体" w:eastAsia="宋体" w:cs="宋体"/>
          <w:color w:val="auto"/>
          <w:sz w:val="28"/>
          <w:highlight w:val="none"/>
        </w:rPr>
        <w:t>（自拟）</w:t>
      </w:r>
    </w:p>
    <w:p w14:paraId="52478DDF">
      <w:pPr>
        <w:pStyle w:val="4"/>
        <w:spacing w:before="0" w:beforeLines="0" w:after="0" w:afterLines="0" w:line="440" w:lineRule="exact"/>
        <w:rPr>
          <w:rFonts w:hint="eastAsia" w:ascii="宋体" w:hAnsi="宋体" w:cs="宋体"/>
          <w:color w:val="auto"/>
          <w:kern w:val="0"/>
          <w:sz w:val="30"/>
          <w:szCs w:val="30"/>
          <w:highlight w:val="none"/>
        </w:rPr>
      </w:pPr>
    </w:p>
    <w:p w14:paraId="5DC66D39">
      <w:pPr>
        <w:pStyle w:val="4"/>
        <w:spacing w:before="0" w:beforeLines="0" w:after="0" w:afterLines="0" w:line="440" w:lineRule="exact"/>
        <w:rPr>
          <w:rFonts w:hint="eastAsia" w:ascii="宋体" w:hAnsi="宋体" w:cs="宋体"/>
          <w:color w:val="auto"/>
          <w:kern w:val="0"/>
          <w:sz w:val="30"/>
          <w:szCs w:val="30"/>
          <w:highlight w:val="none"/>
        </w:rPr>
      </w:pPr>
    </w:p>
    <w:p w14:paraId="782FCFEE">
      <w:pPr>
        <w:pStyle w:val="4"/>
        <w:spacing w:before="0" w:beforeLines="0" w:after="0" w:afterLines="0" w:line="440" w:lineRule="exact"/>
        <w:rPr>
          <w:rFonts w:hint="eastAsia" w:ascii="宋体" w:hAnsi="宋体" w:cs="宋体"/>
          <w:color w:val="auto"/>
          <w:kern w:val="0"/>
          <w:sz w:val="30"/>
          <w:szCs w:val="30"/>
          <w:highlight w:val="none"/>
        </w:rPr>
      </w:pPr>
    </w:p>
    <w:p w14:paraId="7565D3B5">
      <w:pPr>
        <w:pStyle w:val="4"/>
        <w:spacing w:before="0" w:beforeLines="0" w:after="0" w:afterLines="0" w:line="440" w:lineRule="exact"/>
        <w:rPr>
          <w:rFonts w:hint="eastAsia" w:ascii="宋体" w:hAnsi="宋体" w:cs="宋体"/>
          <w:color w:val="auto"/>
          <w:kern w:val="0"/>
          <w:sz w:val="30"/>
          <w:szCs w:val="30"/>
          <w:highlight w:val="none"/>
        </w:rPr>
      </w:pPr>
      <w:r>
        <w:rPr>
          <w:rFonts w:hint="eastAsia" w:ascii="宋体" w:hAnsi="宋体" w:cs="宋体"/>
          <w:color w:val="auto"/>
          <w:kern w:val="0"/>
          <w:sz w:val="30"/>
          <w:szCs w:val="30"/>
          <w:highlight w:val="none"/>
        </w:rPr>
        <w:br w:type="page"/>
      </w:r>
      <w:bookmarkStart w:id="887" w:name="_Toc75182793"/>
      <w:bookmarkStart w:id="888" w:name="_Toc47088391"/>
    </w:p>
    <w:p w14:paraId="7293AC5C">
      <w:pPr>
        <w:pStyle w:val="4"/>
        <w:spacing w:before="0" w:beforeLines="0" w:after="0" w:afterLines="0" w:line="440" w:lineRule="exact"/>
        <w:rPr>
          <w:rFonts w:hint="eastAsia" w:ascii="宋体" w:hAnsi="宋体" w:cs="宋体"/>
          <w:color w:val="auto"/>
          <w:kern w:val="0"/>
          <w:sz w:val="30"/>
          <w:szCs w:val="30"/>
          <w:highlight w:val="none"/>
        </w:rPr>
      </w:pPr>
    </w:p>
    <w:p w14:paraId="5DF635FC">
      <w:pPr>
        <w:pStyle w:val="4"/>
        <w:spacing w:before="0" w:beforeLines="0" w:after="0" w:afterLines="0" w:line="440" w:lineRule="exact"/>
        <w:rPr>
          <w:rFonts w:hint="eastAsia" w:ascii="宋体" w:hAnsi="宋体" w:cs="宋体"/>
          <w:color w:val="auto"/>
          <w:kern w:val="0"/>
          <w:sz w:val="30"/>
          <w:szCs w:val="30"/>
          <w:highlight w:val="none"/>
        </w:rPr>
      </w:pPr>
      <w:r>
        <w:rPr>
          <w:rFonts w:hint="eastAsia" w:ascii="宋体" w:hAnsi="宋体" w:cs="宋体"/>
          <w:color w:val="auto"/>
          <w:kern w:val="0"/>
          <w:sz w:val="30"/>
          <w:szCs w:val="30"/>
          <w:highlight w:val="none"/>
          <w:lang w:val="en-US" w:eastAsia="zh-CN"/>
        </w:rPr>
        <w:t>1</w:t>
      </w:r>
      <w:r>
        <w:rPr>
          <w:rFonts w:hint="eastAsia" w:ascii="宋体" w:hAnsi="宋体" w:cs="宋体"/>
          <w:color w:val="auto"/>
          <w:kern w:val="0"/>
          <w:sz w:val="30"/>
          <w:szCs w:val="30"/>
          <w:highlight w:val="none"/>
        </w:rPr>
        <w:t>、</w:t>
      </w:r>
      <w:bookmarkEnd w:id="885"/>
      <w:r>
        <w:rPr>
          <w:rFonts w:hint="eastAsia" w:ascii="宋体" w:hAnsi="宋体" w:cs="宋体"/>
          <w:color w:val="auto"/>
          <w:kern w:val="0"/>
          <w:sz w:val="30"/>
          <w:szCs w:val="30"/>
          <w:highlight w:val="none"/>
        </w:rPr>
        <w:t>企业营业执照副本 、资质证书和安全生产许可证复印件；</w:t>
      </w:r>
      <w:bookmarkEnd w:id="886"/>
      <w:bookmarkEnd w:id="887"/>
      <w:bookmarkEnd w:id="888"/>
    </w:p>
    <w:p w14:paraId="34815EDE">
      <w:pPr>
        <w:pStyle w:val="147"/>
        <w:rPr>
          <w:rFonts w:hint="eastAsia" w:ascii="宋体" w:hAnsi="宋体" w:cs="宋体"/>
          <w:color w:val="auto"/>
          <w:kern w:val="0"/>
          <w:sz w:val="30"/>
          <w:szCs w:val="30"/>
          <w:highlight w:val="none"/>
        </w:rPr>
      </w:pPr>
    </w:p>
    <w:p w14:paraId="3E1D22D2">
      <w:pPr>
        <w:pStyle w:val="147"/>
        <w:rPr>
          <w:rFonts w:hint="eastAsia" w:ascii="宋体" w:hAnsi="宋体" w:cs="宋体"/>
          <w:color w:val="auto"/>
          <w:kern w:val="0"/>
          <w:sz w:val="30"/>
          <w:szCs w:val="30"/>
          <w:highlight w:val="none"/>
        </w:rPr>
      </w:pPr>
    </w:p>
    <w:p w14:paraId="18754BCE">
      <w:pPr>
        <w:pStyle w:val="4"/>
        <w:spacing w:before="0" w:beforeLines="0" w:after="0" w:afterLines="0" w:line="440" w:lineRule="exact"/>
        <w:rPr>
          <w:rFonts w:hint="eastAsia" w:ascii="宋体" w:hAnsi="宋体" w:cs="宋体"/>
          <w:color w:val="auto"/>
          <w:kern w:val="0"/>
          <w:sz w:val="30"/>
          <w:szCs w:val="30"/>
          <w:highlight w:val="none"/>
        </w:rPr>
      </w:pPr>
      <w:bookmarkStart w:id="889" w:name="_Toc47088392"/>
      <w:bookmarkStart w:id="890" w:name="_Toc75182794"/>
      <w:r>
        <w:rPr>
          <w:rFonts w:hint="eastAsia" w:ascii="宋体" w:hAnsi="宋体" w:cs="宋体"/>
          <w:color w:val="auto"/>
          <w:kern w:val="0"/>
          <w:sz w:val="30"/>
          <w:szCs w:val="30"/>
          <w:highlight w:val="none"/>
          <w:lang w:val="en-US" w:eastAsia="zh-CN"/>
        </w:rPr>
        <w:t>2</w:t>
      </w:r>
      <w:r>
        <w:rPr>
          <w:rFonts w:hint="eastAsia" w:ascii="宋体" w:hAnsi="宋体" w:cs="宋体"/>
          <w:color w:val="auto"/>
          <w:kern w:val="0"/>
          <w:sz w:val="30"/>
          <w:szCs w:val="30"/>
          <w:highlight w:val="none"/>
        </w:rPr>
        <w:t>、供应商经第三方审计的</w:t>
      </w:r>
      <w:r>
        <w:rPr>
          <w:rFonts w:hint="eastAsia" w:ascii="宋体" w:hAnsi="宋体" w:cs="宋体"/>
          <w:color w:val="auto"/>
          <w:kern w:val="0"/>
          <w:sz w:val="30"/>
          <w:szCs w:val="30"/>
          <w:highlight w:val="none"/>
          <w:lang w:eastAsia="zh-CN"/>
        </w:rPr>
        <w:t>2024年度</w:t>
      </w:r>
      <w:r>
        <w:rPr>
          <w:rFonts w:hint="eastAsia" w:ascii="宋体" w:hAnsi="宋体" w:cs="宋体"/>
          <w:color w:val="auto"/>
          <w:kern w:val="0"/>
          <w:sz w:val="30"/>
          <w:szCs w:val="30"/>
          <w:highlight w:val="none"/>
        </w:rPr>
        <w:t>的财务报表（</w:t>
      </w:r>
      <w:r>
        <w:rPr>
          <w:rFonts w:hint="eastAsia" w:ascii="宋体" w:hAnsi="宋体" w:cs="宋体"/>
          <w:color w:val="auto"/>
          <w:kern w:val="0"/>
          <w:sz w:val="30"/>
          <w:szCs w:val="30"/>
          <w:highlight w:val="none"/>
          <w:lang w:eastAsia="zh-CN"/>
        </w:rPr>
        <w:t>财务报表</w:t>
      </w:r>
      <w:r>
        <w:rPr>
          <w:rFonts w:hint="eastAsia" w:ascii="宋体" w:hAnsi="宋体" w:cs="宋体"/>
          <w:color w:val="auto"/>
          <w:kern w:val="0"/>
          <w:sz w:val="30"/>
          <w:szCs w:val="30"/>
          <w:highlight w:val="none"/>
        </w:rPr>
        <w:t>至少包含资产负债表、利润表、现金流量表及其附注、审计报告）复印件或投标截止之日前</w:t>
      </w:r>
      <w:r>
        <w:rPr>
          <w:rFonts w:hint="eastAsia" w:ascii="宋体" w:hAnsi="宋体" w:cs="宋体"/>
          <w:color w:val="auto"/>
          <w:kern w:val="0"/>
          <w:sz w:val="30"/>
          <w:szCs w:val="30"/>
          <w:highlight w:val="none"/>
          <w:lang w:val="en-US" w:eastAsia="zh-CN"/>
        </w:rPr>
        <w:t>一</w:t>
      </w:r>
      <w:r>
        <w:rPr>
          <w:rFonts w:hint="eastAsia" w:ascii="宋体" w:hAnsi="宋体" w:cs="宋体"/>
          <w:color w:val="auto"/>
          <w:kern w:val="0"/>
          <w:sz w:val="30"/>
          <w:szCs w:val="30"/>
          <w:highlight w:val="none"/>
        </w:rPr>
        <w:t>个月内投标人基本开户银行出具的资信证明（仅提供银行出具的存款证明不能作为其银行资信证明）复印件；(必须提供)</w:t>
      </w:r>
      <w:bookmarkEnd w:id="889"/>
      <w:bookmarkEnd w:id="890"/>
    </w:p>
    <w:p w14:paraId="1A828700">
      <w:pPr>
        <w:rPr>
          <w:rFonts w:hint="eastAsia"/>
          <w:color w:val="auto"/>
          <w:highlight w:val="none"/>
        </w:rPr>
      </w:pPr>
    </w:p>
    <w:p w14:paraId="377E0746">
      <w:pPr>
        <w:pStyle w:val="26"/>
        <w:rPr>
          <w:rFonts w:hint="eastAsia"/>
          <w:color w:val="auto"/>
          <w:highlight w:val="none"/>
        </w:rPr>
      </w:pPr>
    </w:p>
    <w:p w14:paraId="205FC070">
      <w:pPr>
        <w:pStyle w:val="4"/>
        <w:spacing w:before="0" w:beforeLines="0" w:after="0" w:afterLines="0" w:line="440" w:lineRule="exact"/>
        <w:rPr>
          <w:rFonts w:hint="eastAsia" w:ascii="宋体" w:hAnsi="宋体" w:cs="宋体"/>
          <w:color w:val="auto"/>
          <w:kern w:val="0"/>
          <w:sz w:val="30"/>
          <w:szCs w:val="30"/>
          <w:highlight w:val="none"/>
        </w:rPr>
      </w:pPr>
    </w:p>
    <w:p w14:paraId="7508D87E">
      <w:pPr>
        <w:pStyle w:val="4"/>
        <w:spacing w:before="0" w:beforeLines="0" w:after="0" w:afterLines="0" w:line="440" w:lineRule="exact"/>
        <w:rPr>
          <w:rFonts w:hint="eastAsia" w:ascii="宋体" w:hAnsi="宋体" w:cs="宋体"/>
          <w:color w:val="auto"/>
          <w:kern w:val="0"/>
          <w:sz w:val="30"/>
          <w:szCs w:val="30"/>
          <w:highlight w:val="none"/>
        </w:rPr>
      </w:pPr>
      <w:bookmarkStart w:id="891" w:name="_Toc47088393"/>
      <w:bookmarkStart w:id="892" w:name="_Toc75182795"/>
      <w:r>
        <w:rPr>
          <w:rFonts w:hint="eastAsia" w:ascii="宋体" w:hAnsi="宋体" w:cs="宋体"/>
          <w:color w:val="auto"/>
          <w:kern w:val="0"/>
          <w:sz w:val="30"/>
          <w:szCs w:val="30"/>
          <w:highlight w:val="none"/>
          <w:lang w:val="en-US" w:eastAsia="zh-CN"/>
        </w:rPr>
        <w:t>3</w:t>
      </w:r>
      <w:r>
        <w:rPr>
          <w:rFonts w:hint="eastAsia" w:ascii="宋体" w:hAnsi="宋体" w:cs="宋体"/>
          <w:color w:val="auto"/>
          <w:kern w:val="0"/>
          <w:sz w:val="30"/>
          <w:szCs w:val="30"/>
          <w:highlight w:val="none"/>
        </w:rPr>
        <w:t>、</w:t>
      </w:r>
      <w:r>
        <w:rPr>
          <w:rFonts w:cs="宋体"/>
          <w:color w:val="auto"/>
          <w:sz w:val="30"/>
          <w:szCs w:val="30"/>
          <w:highlight w:val="none"/>
        </w:rPr>
        <w:t>磋商供应商</w:t>
      </w:r>
      <w:r>
        <w:rPr>
          <w:rFonts w:hint="eastAsia" w:cs="宋体"/>
          <w:color w:val="auto"/>
          <w:sz w:val="30"/>
          <w:szCs w:val="30"/>
          <w:highlight w:val="none"/>
          <w:lang w:eastAsia="zh-CN"/>
        </w:rPr>
        <w:t>近三个月以来任意一个月</w:t>
      </w:r>
      <w:r>
        <w:rPr>
          <w:rFonts w:cs="宋体"/>
          <w:color w:val="auto"/>
          <w:sz w:val="30"/>
          <w:szCs w:val="30"/>
          <w:highlight w:val="none"/>
        </w:rPr>
        <w:t>依法缴纳税费或依法免缴税费（包括无纳税记录或零报税）的证明（新成立的且不足</w:t>
      </w:r>
      <w:r>
        <w:rPr>
          <w:rFonts w:hint="eastAsia" w:cs="宋体"/>
          <w:color w:val="auto"/>
          <w:sz w:val="30"/>
          <w:szCs w:val="30"/>
          <w:highlight w:val="none"/>
          <w:lang w:val="en-US" w:eastAsia="zh-CN"/>
        </w:rPr>
        <w:t>一</w:t>
      </w:r>
      <w:r>
        <w:rPr>
          <w:rFonts w:cs="宋体"/>
          <w:color w:val="auto"/>
          <w:sz w:val="30"/>
          <w:szCs w:val="30"/>
          <w:highlight w:val="none"/>
        </w:rPr>
        <w:t>个月的企业按实际提供），证明材料可以是：银行已缴纳税费凭证复印件或第三方有效的相关业务托缴凭证或其他有效证明，或供应商所在地税务部门出具的有效证明（复印件）</w:t>
      </w:r>
      <w:r>
        <w:rPr>
          <w:rFonts w:hint="eastAsia" w:ascii="宋体" w:hAnsi="宋体" w:cs="宋体"/>
          <w:color w:val="auto"/>
          <w:kern w:val="0"/>
          <w:sz w:val="30"/>
          <w:szCs w:val="30"/>
          <w:highlight w:val="none"/>
        </w:rPr>
        <w:t>；(必须提供)；</w:t>
      </w:r>
      <w:bookmarkEnd w:id="891"/>
      <w:bookmarkEnd w:id="892"/>
    </w:p>
    <w:p w14:paraId="7193CB2D">
      <w:pPr>
        <w:pStyle w:val="26"/>
        <w:rPr>
          <w:rFonts w:hint="eastAsia" w:hAnsi="宋体" w:cs="宋体"/>
          <w:b/>
          <w:color w:val="auto"/>
          <w:sz w:val="32"/>
          <w:szCs w:val="32"/>
          <w:highlight w:val="none"/>
        </w:rPr>
      </w:pPr>
    </w:p>
    <w:p w14:paraId="622745F3">
      <w:pPr>
        <w:pStyle w:val="26"/>
        <w:rPr>
          <w:rFonts w:hint="eastAsia" w:hAnsi="宋体" w:cs="宋体"/>
          <w:b/>
          <w:color w:val="auto"/>
          <w:sz w:val="32"/>
          <w:szCs w:val="32"/>
          <w:highlight w:val="none"/>
        </w:rPr>
      </w:pPr>
    </w:p>
    <w:p w14:paraId="2B4462B8">
      <w:pPr>
        <w:pStyle w:val="26"/>
        <w:rPr>
          <w:rFonts w:hint="eastAsia" w:hAnsi="宋体" w:cs="宋体"/>
          <w:b/>
          <w:color w:val="auto"/>
          <w:sz w:val="32"/>
          <w:szCs w:val="32"/>
          <w:highlight w:val="none"/>
        </w:rPr>
      </w:pPr>
    </w:p>
    <w:p w14:paraId="753DFEFA">
      <w:pPr>
        <w:pStyle w:val="4"/>
        <w:spacing w:before="0" w:beforeLines="0" w:after="0" w:afterLines="0" w:line="440" w:lineRule="exact"/>
        <w:rPr>
          <w:rFonts w:hint="eastAsia" w:ascii="宋体" w:hAnsi="宋体" w:cs="宋体"/>
          <w:color w:val="auto"/>
          <w:kern w:val="0"/>
          <w:sz w:val="30"/>
          <w:szCs w:val="30"/>
          <w:highlight w:val="none"/>
        </w:rPr>
      </w:pPr>
      <w:bookmarkStart w:id="893" w:name="_Toc47088394"/>
      <w:bookmarkStart w:id="894" w:name="_Toc75182796"/>
      <w:r>
        <w:rPr>
          <w:rFonts w:hint="eastAsia" w:ascii="宋体" w:hAnsi="宋体" w:cs="宋体"/>
          <w:color w:val="auto"/>
          <w:kern w:val="0"/>
          <w:sz w:val="30"/>
          <w:szCs w:val="30"/>
          <w:highlight w:val="none"/>
          <w:lang w:val="en-US" w:eastAsia="zh-CN"/>
        </w:rPr>
        <w:t>4</w:t>
      </w:r>
      <w:r>
        <w:rPr>
          <w:rFonts w:hint="eastAsia" w:ascii="宋体" w:hAnsi="宋体" w:cs="宋体"/>
          <w:color w:val="auto"/>
          <w:kern w:val="0"/>
          <w:sz w:val="30"/>
          <w:szCs w:val="30"/>
          <w:highlight w:val="none"/>
        </w:rPr>
        <w:t>、</w:t>
      </w:r>
      <w:bookmarkStart w:id="895" w:name="_Toc26203"/>
      <w:r>
        <w:rPr>
          <w:rFonts w:hint="eastAsia" w:ascii="宋体" w:hAnsi="宋体" w:cs="宋体"/>
          <w:color w:val="auto"/>
          <w:szCs w:val="22"/>
          <w:highlight w:val="none"/>
        </w:rPr>
        <w:t>磋商供应商</w:t>
      </w:r>
      <w:r>
        <w:rPr>
          <w:rFonts w:hint="eastAsia" w:ascii="宋体" w:hAnsi="宋体" w:cs="宋体"/>
          <w:color w:val="auto"/>
          <w:szCs w:val="22"/>
          <w:highlight w:val="none"/>
          <w:lang w:eastAsia="zh-CN"/>
        </w:rPr>
        <w:t>近三个月以来任意一个月</w:t>
      </w:r>
      <w:r>
        <w:rPr>
          <w:rFonts w:hint="eastAsia" w:ascii="宋体" w:hAnsi="宋体" w:cs="宋体"/>
          <w:color w:val="auto"/>
          <w:szCs w:val="22"/>
          <w:highlight w:val="none"/>
        </w:rPr>
        <w:t>依法缴纳社会保险费（新成立的且不足</w:t>
      </w:r>
      <w:r>
        <w:rPr>
          <w:rFonts w:hint="eastAsia" w:ascii="宋体" w:hAnsi="宋体" w:cs="宋体"/>
          <w:color w:val="auto"/>
          <w:szCs w:val="22"/>
          <w:highlight w:val="none"/>
          <w:lang w:val="en-US" w:eastAsia="zh-CN"/>
        </w:rPr>
        <w:t>一</w:t>
      </w:r>
      <w:r>
        <w:rPr>
          <w:rFonts w:hint="eastAsia" w:ascii="宋体" w:hAnsi="宋体" w:cs="宋体"/>
          <w:color w:val="auto"/>
          <w:szCs w:val="22"/>
          <w:highlight w:val="none"/>
        </w:rPr>
        <w:t>个月的企业按实际提供），证明材料可以是：银行已缴纳社会保险费凭证复印件或第三方有效的相关业务托缴凭证或其他有效证明</w:t>
      </w:r>
      <w:bookmarkEnd w:id="895"/>
      <w:r>
        <w:rPr>
          <w:rFonts w:hint="eastAsia" w:ascii="宋体" w:hAnsi="宋体" w:cs="宋体"/>
          <w:color w:val="auto"/>
          <w:szCs w:val="22"/>
          <w:highlight w:val="none"/>
        </w:rPr>
        <w:t>（复印件）</w:t>
      </w:r>
      <w:r>
        <w:rPr>
          <w:rFonts w:hint="eastAsia" w:ascii="宋体" w:hAnsi="宋体" w:cs="宋体"/>
          <w:color w:val="auto"/>
          <w:kern w:val="0"/>
          <w:sz w:val="30"/>
          <w:szCs w:val="30"/>
          <w:highlight w:val="none"/>
        </w:rPr>
        <w:t>；（必须提供）</w:t>
      </w:r>
      <w:bookmarkEnd w:id="893"/>
      <w:bookmarkEnd w:id="894"/>
    </w:p>
    <w:p w14:paraId="1DDC0D94">
      <w:pPr>
        <w:pStyle w:val="26"/>
        <w:rPr>
          <w:rFonts w:hint="eastAsia" w:hAnsi="宋体" w:cs="宋体"/>
          <w:b/>
          <w:color w:val="auto"/>
          <w:sz w:val="32"/>
          <w:szCs w:val="32"/>
          <w:highlight w:val="none"/>
        </w:rPr>
      </w:pPr>
    </w:p>
    <w:p w14:paraId="5F3B9A27">
      <w:pPr>
        <w:pStyle w:val="26"/>
        <w:rPr>
          <w:rFonts w:hint="eastAsia" w:hAnsi="宋体" w:cs="宋体"/>
          <w:b/>
          <w:color w:val="auto"/>
          <w:sz w:val="32"/>
          <w:szCs w:val="32"/>
          <w:highlight w:val="none"/>
        </w:rPr>
      </w:pPr>
    </w:p>
    <w:p w14:paraId="056278A5">
      <w:pPr>
        <w:pStyle w:val="26"/>
        <w:rPr>
          <w:rFonts w:hint="eastAsia" w:hAnsi="宋体" w:cs="宋体"/>
          <w:b/>
          <w:color w:val="auto"/>
          <w:sz w:val="32"/>
          <w:szCs w:val="32"/>
          <w:highlight w:val="none"/>
        </w:rPr>
      </w:pPr>
    </w:p>
    <w:p w14:paraId="7718ED85">
      <w:pPr>
        <w:pStyle w:val="26"/>
        <w:rPr>
          <w:rFonts w:hint="eastAsia" w:hAnsi="宋体" w:cs="宋体"/>
          <w:b/>
          <w:color w:val="auto"/>
          <w:sz w:val="32"/>
          <w:szCs w:val="32"/>
          <w:highlight w:val="none"/>
        </w:rPr>
      </w:pPr>
    </w:p>
    <w:p w14:paraId="18DE6434">
      <w:pPr>
        <w:pStyle w:val="26"/>
        <w:rPr>
          <w:rFonts w:hint="eastAsia" w:hAnsi="宋体" w:cs="宋体"/>
          <w:b/>
          <w:color w:val="auto"/>
          <w:sz w:val="32"/>
          <w:szCs w:val="32"/>
          <w:highlight w:val="none"/>
        </w:rPr>
      </w:pPr>
    </w:p>
    <w:bookmarkEnd w:id="245"/>
    <w:bookmarkEnd w:id="876"/>
    <w:bookmarkEnd w:id="877"/>
    <w:bookmarkEnd w:id="878"/>
    <w:p w14:paraId="1105177B">
      <w:pPr>
        <w:pStyle w:val="3"/>
        <w:keepNext w:val="0"/>
        <w:keepLines w:val="0"/>
        <w:adjustRightInd w:val="0"/>
        <w:snapToGrid w:val="0"/>
        <w:spacing w:line="480" w:lineRule="exact"/>
        <w:rPr>
          <w:rFonts w:hint="eastAsia" w:ascii="宋体" w:hAnsi="宋体" w:eastAsia="宋体" w:cs="宋体"/>
          <w:color w:val="auto"/>
          <w:highlight w:val="none"/>
          <w:lang w:eastAsia="zh-CN"/>
        </w:rPr>
      </w:pPr>
      <w:bookmarkStart w:id="896" w:name="_Toc482785104"/>
      <w:bookmarkStart w:id="897" w:name="_Toc130105468"/>
      <w:bookmarkStart w:id="898" w:name="_Toc245915364"/>
      <w:bookmarkStart w:id="899" w:name="_Toc121504879"/>
      <w:bookmarkStart w:id="900" w:name="_Toc246693222"/>
      <w:bookmarkStart w:id="901" w:name="_Toc246303918"/>
      <w:bookmarkStart w:id="902" w:name="_Toc312957796"/>
      <w:bookmarkStart w:id="903" w:name="_Toc256259992"/>
      <w:bookmarkStart w:id="904" w:name="_Toc121749448"/>
      <w:bookmarkStart w:id="905" w:name="_Toc246259669"/>
      <w:r>
        <w:rPr>
          <w:rFonts w:hint="eastAsia" w:ascii="宋体" w:hAnsi="宋体" w:eastAsia="宋体" w:cs="宋体"/>
          <w:color w:val="auto"/>
          <w:highlight w:val="none"/>
        </w:rPr>
        <w:br w:type="page"/>
      </w:r>
      <w:bookmarkStart w:id="906" w:name="_Toc75182797"/>
      <w:bookmarkStart w:id="907" w:name="_Toc47088395"/>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w:t>
      </w:r>
      <w:bookmarkEnd w:id="896"/>
      <w:bookmarkEnd w:id="906"/>
      <w:bookmarkEnd w:id="907"/>
      <w:r>
        <w:rPr>
          <w:rFonts w:hint="eastAsia" w:ascii="宋体" w:hAnsi="宋体" w:eastAsia="宋体" w:cs="宋体"/>
          <w:color w:val="auto"/>
          <w:highlight w:val="none"/>
          <w:lang w:eastAsia="zh-CN"/>
        </w:rPr>
        <w:t>中小企业声明函（格式后附），若是监狱企业，</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lang w:eastAsia="zh-CN"/>
        </w:rPr>
        <w:t>提供由省级以上监狱管理局、戒毒管理局(含新疆生产建设兵团)出具的属于监狱企业的证明文件）；若是残疾人福利性单位参加，</w:t>
      </w:r>
      <w:r>
        <w:rPr>
          <w:rFonts w:hint="eastAsia" w:ascii="宋体" w:hAnsi="宋体" w:eastAsia="宋体" w:cs="宋体"/>
          <w:color w:val="auto"/>
          <w:highlight w:val="none"/>
          <w:lang w:val="en-US" w:eastAsia="zh-CN"/>
        </w:rPr>
        <w:t>须</w:t>
      </w:r>
      <w:r>
        <w:rPr>
          <w:rFonts w:hint="eastAsia" w:ascii="宋体" w:hAnsi="宋体" w:eastAsia="宋体" w:cs="宋体"/>
          <w:color w:val="auto"/>
          <w:highlight w:val="none"/>
          <w:lang w:eastAsia="zh-CN"/>
        </w:rPr>
        <w:t>提供该通知规定的《残疾人福利性单位声明函》（格式后附）；【</w:t>
      </w:r>
      <w:r>
        <w:rPr>
          <w:rFonts w:hint="eastAsia" w:ascii="宋体" w:hAnsi="宋体" w:eastAsia="宋体" w:cs="宋体"/>
          <w:color w:val="auto"/>
          <w:highlight w:val="none"/>
          <w:lang w:val="en-US" w:eastAsia="zh-CN"/>
        </w:rPr>
        <w:t>竞标</w:t>
      </w:r>
      <w:r>
        <w:rPr>
          <w:rFonts w:hint="eastAsia" w:ascii="宋体" w:hAnsi="宋体" w:eastAsia="宋体" w:cs="宋体"/>
          <w:color w:val="auto"/>
          <w:highlight w:val="none"/>
          <w:lang w:eastAsia="zh-CN"/>
        </w:rPr>
        <w:t>时必须提供，否则作无效</w:t>
      </w:r>
      <w:r>
        <w:rPr>
          <w:rFonts w:hint="eastAsia" w:ascii="宋体" w:hAnsi="宋体" w:eastAsia="宋体" w:cs="宋体"/>
          <w:color w:val="auto"/>
          <w:highlight w:val="none"/>
          <w:lang w:val="en-US" w:eastAsia="zh-CN"/>
        </w:rPr>
        <w:t>竞标</w:t>
      </w:r>
      <w:r>
        <w:rPr>
          <w:rFonts w:hint="eastAsia" w:ascii="宋体" w:hAnsi="宋体" w:eastAsia="宋体" w:cs="宋体"/>
          <w:color w:val="auto"/>
          <w:highlight w:val="none"/>
          <w:lang w:eastAsia="zh-CN"/>
        </w:rPr>
        <w:t>处理】</w:t>
      </w:r>
    </w:p>
    <w:p w14:paraId="5F0ABB92">
      <w:pPr>
        <w:snapToGrid w:val="0"/>
        <w:spacing w:before="156" w:beforeLines="50" w:after="50" w:afterLines="0"/>
        <w:jc w:val="center"/>
        <w:rPr>
          <w:rFonts w:hint="eastAsia" w:ascii="宋体" w:hAnsi="宋体" w:cs="宋体"/>
          <w:b/>
          <w:color w:val="auto"/>
          <w:sz w:val="24"/>
          <w:szCs w:val="24"/>
          <w:highlight w:val="none"/>
        </w:rPr>
      </w:pPr>
      <w:r>
        <w:rPr>
          <w:rFonts w:hint="eastAsia" w:ascii="宋体" w:hAnsi="宋体" w:cs="宋体"/>
          <w:b/>
          <w:bCs/>
          <w:color w:val="auto"/>
          <w:sz w:val="24"/>
          <w:szCs w:val="24"/>
          <w:highlight w:val="none"/>
        </w:rPr>
        <w:t>中小企业声明函（工程）</w:t>
      </w:r>
    </w:p>
    <w:p w14:paraId="3857862C">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本公司（联合体）郑重声明，根据《政府采购促进中小企业发展管理办法》（财库﹝2020﹞46 号）的规定，本公司（联合体）参加</w:t>
      </w:r>
      <w:r>
        <w:rPr>
          <w:rFonts w:hint="eastAsia" w:hAnsi="宋体"/>
          <w:color w:val="auto"/>
          <w:sz w:val="24"/>
          <w:szCs w:val="24"/>
          <w:highlight w:val="none"/>
          <w:u w:val="single"/>
        </w:rPr>
        <w:t xml:space="preserve">  （单位名称）   </w:t>
      </w:r>
      <w:r>
        <w:rPr>
          <w:rFonts w:hint="eastAsia" w:hAnsi="宋体"/>
          <w:color w:val="auto"/>
          <w:sz w:val="24"/>
          <w:szCs w:val="24"/>
          <w:highlight w:val="none"/>
        </w:rPr>
        <w:t xml:space="preserve">的 </w:t>
      </w:r>
      <w:r>
        <w:rPr>
          <w:rFonts w:hint="eastAsia" w:hAnsi="宋体"/>
          <w:color w:val="auto"/>
          <w:sz w:val="24"/>
          <w:szCs w:val="24"/>
          <w:highlight w:val="none"/>
          <w:u w:val="single"/>
        </w:rPr>
        <w:t xml:space="preserve"> （项目名称）</w:t>
      </w:r>
      <w:r>
        <w:rPr>
          <w:rFonts w:hint="eastAsia" w:hAnsi="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4454484">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1、</w:t>
      </w:r>
      <w:r>
        <w:rPr>
          <w:rFonts w:hint="eastAsia" w:hAnsi="宋体"/>
          <w:color w:val="auto"/>
          <w:sz w:val="24"/>
          <w:szCs w:val="24"/>
          <w:highlight w:val="none"/>
          <w:u w:val="single"/>
        </w:rPr>
        <w:t>（标的名称）</w:t>
      </w:r>
      <w:r>
        <w:rPr>
          <w:rFonts w:hint="eastAsia" w:hAnsi="宋体"/>
          <w:color w:val="auto"/>
          <w:sz w:val="24"/>
          <w:szCs w:val="24"/>
          <w:highlight w:val="none"/>
        </w:rPr>
        <w:t>，属于</w:t>
      </w:r>
      <w:r>
        <w:rPr>
          <w:rFonts w:hint="eastAsia" w:hAnsi="宋体"/>
          <w:color w:val="auto"/>
          <w:sz w:val="24"/>
          <w:szCs w:val="24"/>
          <w:highlight w:val="none"/>
          <w:u w:val="single"/>
        </w:rPr>
        <w:t>（采购文件中明确的所属行业）</w:t>
      </w:r>
      <w:r>
        <w:rPr>
          <w:rFonts w:hint="eastAsia" w:hAnsi="宋体"/>
          <w:color w:val="auto"/>
          <w:sz w:val="24"/>
          <w:szCs w:val="24"/>
          <w:highlight w:val="none"/>
        </w:rPr>
        <w:t>；承建（承接）企业为</w:t>
      </w:r>
      <w:r>
        <w:rPr>
          <w:rFonts w:hint="eastAsia" w:hAnsi="宋体"/>
          <w:color w:val="auto"/>
          <w:sz w:val="24"/>
          <w:szCs w:val="24"/>
          <w:highlight w:val="none"/>
          <w:u w:val="single"/>
        </w:rPr>
        <w:t xml:space="preserve">  （企业名称）</w:t>
      </w:r>
      <w:r>
        <w:rPr>
          <w:rFonts w:hint="eastAsia" w:hAnsi="宋体"/>
          <w:color w:val="auto"/>
          <w:sz w:val="24"/>
          <w:szCs w:val="24"/>
          <w:highlight w:val="none"/>
        </w:rPr>
        <w:t>，从业人员</w:t>
      </w:r>
      <w:r>
        <w:rPr>
          <w:rFonts w:hint="eastAsia" w:hAnsi="宋体"/>
          <w:color w:val="auto"/>
          <w:sz w:val="24"/>
          <w:szCs w:val="24"/>
          <w:highlight w:val="none"/>
          <w:u w:val="single"/>
        </w:rPr>
        <w:t xml:space="preserve"> </w:t>
      </w:r>
      <w:r>
        <w:rPr>
          <w:rFonts w:hint="eastAsia" w:hAnsi="宋体"/>
          <w:color w:val="auto"/>
          <w:sz w:val="24"/>
          <w:szCs w:val="24"/>
          <w:highlight w:val="none"/>
          <w:u w:val="single"/>
        </w:rPr>
        <w:tab/>
      </w:r>
      <w:r>
        <w:rPr>
          <w:rFonts w:hint="eastAsia" w:hAnsi="宋体"/>
          <w:color w:val="auto"/>
          <w:sz w:val="24"/>
          <w:szCs w:val="24"/>
          <w:highlight w:val="none"/>
        </w:rPr>
        <w:t>人，营业收入为</w:t>
      </w:r>
      <w:r>
        <w:rPr>
          <w:rFonts w:hint="eastAsia" w:hAnsi="宋体"/>
          <w:color w:val="auto"/>
          <w:sz w:val="24"/>
          <w:szCs w:val="24"/>
          <w:highlight w:val="none"/>
          <w:u w:val="single"/>
        </w:rPr>
        <w:t xml:space="preserve"> </w:t>
      </w:r>
      <w:r>
        <w:rPr>
          <w:rFonts w:hint="eastAsia" w:hAnsi="宋体"/>
          <w:color w:val="auto"/>
          <w:sz w:val="24"/>
          <w:szCs w:val="24"/>
          <w:highlight w:val="none"/>
          <w:u w:val="single"/>
        </w:rPr>
        <w:tab/>
      </w:r>
      <w:r>
        <w:rPr>
          <w:rFonts w:hint="eastAsia" w:hAnsi="宋体"/>
          <w:color w:val="auto"/>
          <w:sz w:val="24"/>
          <w:szCs w:val="24"/>
          <w:highlight w:val="none"/>
        </w:rPr>
        <w:t>万元，资产总额为</w:t>
      </w:r>
      <w:r>
        <w:rPr>
          <w:rFonts w:hint="eastAsia" w:hAnsi="宋体"/>
          <w:color w:val="auto"/>
          <w:sz w:val="24"/>
          <w:szCs w:val="24"/>
          <w:highlight w:val="none"/>
          <w:u w:val="single"/>
        </w:rPr>
        <w:t xml:space="preserve"> </w:t>
      </w:r>
      <w:r>
        <w:rPr>
          <w:rFonts w:hint="eastAsia" w:hAnsi="宋体"/>
          <w:color w:val="auto"/>
          <w:sz w:val="24"/>
          <w:szCs w:val="24"/>
          <w:highlight w:val="none"/>
          <w:u w:val="single"/>
        </w:rPr>
        <w:tab/>
      </w:r>
      <w:r>
        <w:rPr>
          <w:rFonts w:hint="eastAsia" w:hAnsi="宋体"/>
          <w:color w:val="auto"/>
          <w:sz w:val="24"/>
          <w:szCs w:val="24"/>
          <w:highlight w:val="none"/>
          <w:u w:val="single"/>
        </w:rPr>
        <w:t xml:space="preserve">  </w:t>
      </w:r>
      <w:r>
        <w:rPr>
          <w:rFonts w:hint="eastAsia" w:hAnsi="宋体"/>
          <w:color w:val="auto"/>
          <w:sz w:val="24"/>
          <w:szCs w:val="24"/>
          <w:highlight w:val="none"/>
        </w:rPr>
        <w:t>万元</w:t>
      </w:r>
      <w:r>
        <w:rPr>
          <w:rFonts w:hint="eastAsia" w:hAnsi="宋体" w:cs="宋体"/>
          <w:color w:val="auto"/>
          <w:sz w:val="24"/>
          <w:szCs w:val="24"/>
          <w:highlight w:val="none"/>
        </w:rPr>
        <w:t>¹</w:t>
      </w:r>
      <w:r>
        <w:rPr>
          <w:rFonts w:hint="eastAsia" w:hAnsi="宋体"/>
          <w:color w:val="auto"/>
          <w:sz w:val="24"/>
          <w:szCs w:val="24"/>
          <w:highlight w:val="none"/>
        </w:rPr>
        <w:t>，属于</w:t>
      </w:r>
      <w:r>
        <w:rPr>
          <w:rFonts w:hint="eastAsia" w:hAnsi="宋体"/>
          <w:color w:val="auto"/>
          <w:sz w:val="24"/>
          <w:szCs w:val="24"/>
          <w:highlight w:val="none"/>
          <w:u w:val="single"/>
        </w:rPr>
        <w:t>（中型企业、小型企业、微型企业）</w:t>
      </w:r>
      <w:r>
        <w:rPr>
          <w:rFonts w:hint="eastAsia" w:hAnsi="宋体"/>
          <w:color w:val="auto"/>
          <w:sz w:val="24"/>
          <w:szCs w:val="24"/>
          <w:highlight w:val="none"/>
        </w:rPr>
        <w:t>；</w:t>
      </w:r>
    </w:p>
    <w:p w14:paraId="5D459D47">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2、</w:t>
      </w:r>
      <w:r>
        <w:rPr>
          <w:rFonts w:hint="eastAsia" w:hAnsi="宋体"/>
          <w:color w:val="auto"/>
          <w:sz w:val="24"/>
          <w:szCs w:val="24"/>
          <w:highlight w:val="none"/>
          <w:u w:val="single"/>
        </w:rPr>
        <w:t>（标的名称</w:t>
      </w:r>
      <w:r>
        <w:rPr>
          <w:rFonts w:hint="eastAsia" w:hAnsi="宋体"/>
          <w:color w:val="auto"/>
          <w:sz w:val="24"/>
          <w:szCs w:val="24"/>
          <w:highlight w:val="none"/>
        </w:rPr>
        <w:t>），属于</w:t>
      </w:r>
      <w:r>
        <w:rPr>
          <w:rFonts w:hint="eastAsia" w:hAnsi="宋体"/>
          <w:color w:val="auto"/>
          <w:sz w:val="24"/>
          <w:szCs w:val="24"/>
          <w:highlight w:val="none"/>
          <w:u w:val="single"/>
        </w:rPr>
        <w:t>（采购文件中明确的所属行业）</w:t>
      </w:r>
      <w:r>
        <w:rPr>
          <w:rFonts w:hint="eastAsia" w:hAnsi="宋体"/>
          <w:color w:val="auto"/>
          <w:sz w:val="24"/>
          <w:szCs w:val="24"/>
          <w:highlight w:val="none"/>
        </w:rPr>
        <w:t>；承建（承接）企业为（企业名称），从业人员</w:t>
      </w:r>
      <w:r>
        <w:rPr>
          <w:rFonts w:hint="eastAsia" w:hAnsi="宋体"/>
          <w:color w:val="auto"/>
          <w:sz w:val="24"/>
          <w:szCs w:val="24"/>
          <w:highlight w:val="none"/>
          <w:u w:val="single"/>
        </w:rPr>
        <w:t xml:space="preserve"> </w:t>
      </w:r>
      <w:r>
        <w:rPr>
          <w:rFonts w:hint="eastAsia" w:hAnsi="宋体"/>
          <w:color w:val="auto"/>
          <w:sz w:val="24"/>
          <w:szCs w:val="24"/>
          <w:highlight w:val="none"/>
          <w:u w:val="single"/>
        </w:rPr>
        <w:tab/>
      </w:r>
      <w:r>
        <w:rPr>
          <w:rFonts w:hint="eastAsia" w:hAnsi="宋体"/>
          <w:color w:val="auto"/>
          <w:sz w:val="24"/>
          <w:szCs w:val="24"/>
          <w:highlight w:val="none"/>
          <w:u w:val="single"/>
        </w:rPr>
        <w:t xml:space="preserve"> </w:t>
      </w:r>
      <w:r>
        <w:rPr>
          <w:rFonts w:hint="eastAsia" w:hAnsi="宋体"/>
          <w:color w:val="auto"/>
          <w:sz w:val="24"/>
          <w:szCs w:val="24"/>
          <w:highlight w:val="none"/>
        </w:rPr>
        <w:t>人，营业收入为</w:t>
      </w:r>
      <w:r>
        <w:rPr>
          <w:rFonts w:hint="eastAsia" w:hAnsi="宋体"/>
          <w:color w:val="auto"/>
          <w:sz w:val="24"/>
          <w:szCs w:val="24"/>
          <w:highlight w:val="none"/>
          <w:u w:val="single"/>
        </w:rPr>
        <w:t xml:space="preserve">  </w:t>
      </w:r>
      <w:r>
        <w:rPr>
          <w:rFonts w:hint="eastAsia" w:hAnsi="宋体"/>
          <w:color w:val="auto"/>
          <w:sz w:val="24"/>
          <w:szCs w:val="24"/>
          <w:highlight w:val="none"/>
          <w:u w:val="single"/>
        </w:rPr>
        <w:tab/>
      </w:r>
      <w:r>
        <w:rPr>
          <w:rFonts w:hint="eastAsia" w:hAnsi="宋体"/>
          <w:color w:val="auto"/>
          <w:sz w:val="24"/>
          <w:szCs w:val="24"/>
          <w:highlight w:val="none"/>
        </w:rPr>
        <w:t>万元，资产总额为</w:t>
      </w:r>
      <w:r>
        <w:rPr>
          <w:rFonts w:hint="eastAsia" w:hAnsi="宋体"/>
          <w:color w:val="auto"/>
          <w:sz w:val="24"/>
          <w:szCs w:val="24"/>
          <w:highlight w:val="none"/>
          <w:u w:val="single"/>
        </w:rPr>
        <w:t xml:space="preserve">   </w:t>
      </w:r>
      <w:r>
        <w:rPr>
          <w:rFonts w:hint="eastAsia" w:hAnsi="宋体"/>
          <w:color w:val="auto"/>
          <w:sz w:val="24"/>
          <w:szCs w:val="24"/>
          <w:highlight w:val="none"/>
        </w:rPr>
        <w:t>万元，属于（中型企业、小型企业、微型企业）；</w:t>
      </w:r>
    </w:p>
    <w:p w14:paraId="6BD93369">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w:t>
      </w:r>
    </w:p>
    <w:p w14:paraId="27A67DA7">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以上企业，不属于大企业的分支机构，不存在控股股东为大企业的情形，也不存在与大企业的负责人为同一人的情形。</w:t>
      </w:r>
    </w:p>
    <w:p w14:paraId="5D5611F2">
      <w:pPr>
        <w:pStyle w:val="21"/>
        <w:spacing w:line="500" w:lineRule="exact"/>
        <w:ind w:firstLine="480" w:firstLineChars="200"/>
        <w:rPr>
          <w:rFonts w:hint="eastAsia" w:hAnsi="宋体"/>
          <w:color w:val="auto"/>
          <w:sz w:val="24"/>
          <w:szCs w:val="24"/>
          <w:highlight w:val="none"/>
        </w:rPr>
      </w:pPr>
      <w:r>
        <w:rPr>
          <w:rFonts w:hint="eastAsia" w:hAnsi="宋体"/>
          <w:color w:val="auto"/>
          <w:sz w:val="24"/>
          <w:szCs w:val="24"/>
          <w:highlight w:val="none"/>
        </w:rPr>
        <w:t>本企业对上述声明内容的真实性负责。如有虚假，将依法承担相应责任。</w:t>
      </w:r>
    </w:p>
    <w:p w14:paraId="399502BB">
      <w:pPr>
        <w:pStyle w:val="21"/>
        <w:spacing w:line="500" w:lineRule="exact"/>
        <w:ind w:firstLine="480" w:firstLineChars="200"/>
        <w:rPr>
          <w:rFonts w:hint="eastAsia" w:hAnsi="宋体"/>
          <w:color w:val="auto"/>
          <w:sz w:val="24"/>
          <w:szCs w:val="24"/>
          <w:highlight w:val="none"/>
        </w:rPr>
      </w:pPr>
    </w:p>
    <w:p w14:paraId="5456C0A7">
      <w:pPr>
        <w:pStyle w:val="21"/>
        <w:spacing w:line="500" w:lineRule="exact"/>
        <w:ind w:firstLine="5520" w:firstLineChars="2300"/>
        <w:rPr>
          <w:rFonts w:hint="eastAsia" w:hAnsi="宋体"/>
          <w:color w:val="auto"/>
          <w:sz w:val="24"/>
          <w:szCs w:val="24"/>
          <w:highlight w:val="none"/>
        </w:rPr>
      </w:pPr>
      <w:r>
        <w:rPr>
          <w:rFonts w:hint="eastAsia" w:hAnsi="宋体"/>
          <w:color w:val="auto"/>
          <w:sz w:val="24"/>
          <w:szCs w:val="24"/>
          <w:highlight w:val="none"/>
        </w:rPr>
        <w:t>企业名称（盖章）：</w:t>
      </w:r>
    </w:p>
    <w:p w14:paraId="418BA4E0">
      <w:pPr>
        <w:pStyle w:val="21"/>
        <w:spacing w:line="500" w:lineRule="exact"/>
        <w:ind w:firstLine="6480" w:firstLineChars="2700"/>
        <w:rPr>
          <w:rFonts w:hint="eastAsia" w:hAnsi="宋体" w:cs="宋体"/>
          <w:color w:val="auto"/>
          <w:sz w:val="24"/>
          <w:szCs w:val="24"/>
          <w:highlight w:val="none"/>
        </w:rPr>
      </w:pPr>
      <w:r>
        <w:rPr>
          <w:rFonts w:hint="eastAsia" w:hAnsi="宋体"/>
          <w:color w:val="auto"/>
          <w:sz w:val="24"/>
          <w:szCs w:val="24"/>
          <w:highlight w:val="none"/>
        </w:rPr>
        <w:t>日期：</w:t>
      </w:r>
    </w:p>
    <w:p w14:paraId="0A264B31">
      <w:pPr>
        <w:pStyle w:val="17"/>
        <w:rPr>
          <w:rFonts w:hint="eastAsia"/>
          <w:color w:val="auto"/>
          <w:sz w:val="24"/>
          <w:szCs w:val="24"/>
          <w:highlight w:val="none"/>
        </w:rPr>
      </w:pPr>
    </w:p>
    <w:p w14:paraId="04C0C9D5">
      <w:pPr>
        <w:rPr>
          <w:rFonts w:hint="eastAsia" w:eastAsia="宋体"/>
          <w:color w:val="auto"/>
          <w:highlight w:val="none"/>
          <w:lang w:val="en-US" w:eastAsia="zh-CN"/>
        </w:rPr>
      </w:pPr>
      <w:r>
        <w:rPr>
          <w:rFonts w:hint="eastAsia"/>
          <w:color w:val="auto"/>
          <w:highlight w:val="none"/>
          <w:lang w:val="en-US" w:eastAsia="zh-CN"/>
        </w:rPr>
        <w:t>注：</w:t>
      </w:r>
    </w:p>
    <w:p w14:paraId="0A79C32F">
      <w:pPr>
        <w:numPr>
          <w:ilvl w:val="0"/>
          <w:numId w:val="3"/>
        </w:numPr>
        <w:snapToGrid w:val="0"/>
        <w:spacing w:line="324" w:lineRule="auto"/>
        <w:jc w:val="left"/>
        <w:rPr>
          <w:rFonts w:hint="eastAsia"/>
          <w:color w:val="auto"/>
          <w:sz w:val="20"/>
          <w:highlight w:val="none"/>
        </w:rPr>
      </w:pPr>
      <w:r>
        <w:rPr>
          <w:rFonts w:hint="eastAsia"/>
          <w:color w:val="auto"/>
          <w:sz w:val="20"/>
          <w:highlight w:val="none"/>
        </w:rPr>
        <w:t>从业人员、营业收入、资产总额填报上一年度数据，无上一年度数据的新成立企业可不填报。</w:t>
      </w:r>
    </w:p>
    <w:p w14:paraId="3CBB4882">
      <w:pPr>
        <w:snapToGrid w:val="0"/>
        <w:spacing w:line="324" w:lineRule="auto"/>
        <w:ind w:firstLine="300" w:firstLineChars="150"/>
        <w:jc w:val="left"/>
        <w:rPr>
          <w:color w:val="auto"/>
          <w:sz w:val="20"/>
          <w:highlight w:val="none"/>
        </w:rPr>
        <w:sectPr>
          <w:pgSz w:w="11906" w:h="16838"/>
          <w:pgMar w:top="1134" w:right="1134" w:bottom="1134" w:left="1134" w:header="720" w:footer="720" w:gutter="0"/>
          <w:cols w:space="720" w:num="1"/>
          <w:docGrid w:type="lines" w:linePitch="331" w:charSpace="0"/>
        </w:sectPr>
      </w:pPr>
      <w:r>
        <w:rPr>
          <w:rFonts w:hint="eastAsia"/>
          <w:color w:val="auto"/>
          <w:sz w:val="20"/>
          <w:highlight w:val="none"/>
        </w:rPr>
        <w:t>2、请根据自己的真实情况出具《中小企业声明函》。采购人或者采购代理机构在公告中标结果时，同时公告其《中小企业声明函》，接受社会监督。</w:t>
      </w:r>
    </w:p>
    <w:p w14:paraId="60A740A0">
      <w:pPr>
        <w:pStyle w:val="21"/>
        <w:spacing w:line="324" w:lineRule="auto"/>
        <w:jc w:val="center"/>
        <w:rPr>
          <w:rFonts w:hint="eastAsia"/>
          <w:b/>
          <w:color w:val="auto"/>
          <w:sz w:val="30"/>
          <w:szCs w:val="30"/>
          <w:highlight w:val="none"/>
        </w:rPr>
      </w:pPr>
      <w:r>
        <w:rPr>
          <w:rFonts w:hint="eastAsia"/>
          <w:b/>
          <w:color w:val="auto"/>
          <w:sz w:val="30"/>
          <w:szCs w:val="30"/>
          <w:highlight w:val="none"/>
        </w:rPr>
        <w:t>残疾人福利性单位声明函（格式）</w:t>
      </w:r>
    </w:p>
    <w:p w14:paraId="084A8E0F">
      <w:pPr>
        <w:pStyle w:val="21"/>
        <w:spacing w:line="324" w:lineRule="auto"/>
        <w:jc w:val="center"/>
        <w:rPr>
          <w:b/>
          <w:color w:val="auto"/>
          <w:sz w:val="30"/>
          <w:szCs w:val="30"/>
          <w:highlight w:val="none"/>
        </w:rPr>
      </w:pPr>
    </w:p>
    <w:p w14:paraId="2F9400FC">
      <w:pPr>
        <w:pStyle w:val="21"/>
        <w:spacing w:line="324" w:lineRule="auto"/>
        <w:jc w:val="left"/>
        <w:rPr>
          <w:rFonts w:hint="eastAsia" w:ascii="宋体" w:hAnsi="宋体" w:eastAsia="宋体" w:cs="宋体"/>
          <w:color w:val="auto"/>
          <w:sz w:val="24"/>
          <w:szCs w:val="24"/>
          <w:highlight w:val="none"/>
        </w:rPr>
      </w:pPr>
      <w:r>
        <w:rPr>
          <w:rFonts w:hint="eastAsia"/>
          <w:color w:val="auto"/>
          <w:sz w:val="30"/>
          <w:szCs w:val="30"/>
          <w:highlight w:val="none"/>
        </w:rPr>
        <w:t xml:space="preserve">   </w:t>
      </w:r>
      <w:r>
        <w:rPr>
          <w:rFonts w:hint="eastAsia" w:ascii="宋体" w:hAnsi="宋体" w:eastAsia="宋体" w:cs="宋体"/>
          <w:color w:val="auto"/>
          <w:sz w:val="24"/>
          <w:szCs w:val="24"/>
          <w:highlight w:val="none"/>
        </w:rPr>
        <w:t>本公司郑重声明，根据《财政部 民政部 中国残疾人联合会关于促进残疾人就业政府采购政策的通知》（财库〔2017〕 141号）的规定，本公司为符合条件的残疾人福利性单位，且本公司参加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项目采购活动提供本公司制造的货物（由本公司承担工程/提供服务），或者提供其他残疾人福利性单位制造的货物（不包括使用非残疾人福利性单位注册商标的货物）。</w:t>
      </w:r>
    </w:p>
    <w:p w14:paraId="5163D00F">
      <w:pPr>
        <w:pStyle w:val="21"/>
        <w:spacing w:line="324"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本公司对上述声明的真实性负责。如有虚假，将依法承担相应责任。</w:t>
      </w:r>
    </w:p>
    <w:p w14:paraId="3FF637AA">
      <w:pPr>
        <w:pStyle w:val="21"/>
        <w:spacing w:line="324" w:lineRule="auto"/>
        <w:jc w:val="left"/>
        <w:rPr>
          <w:rFonts w:hint="eastAsia" w:ascii="宋体" w:hAnsi="宋体" w:eastAsia="宋体" w:cs="宋体"/>
          <w:b/>
          <w:color w:val="auto"/>
          <w:szCs w:val="21"/>
          <w:highlight w:val="none"/>
        </w:rPr>
      </w:pPr>
    </w:p>
    <w:p w14:paraId="58BC8307">
      <w:pPr>
        <w:pStyle w:val="21"/>
        <w:spacing w:line="324" w:lineRule="auto"/>
        <w:jc w:val="left"/>
        <w:rPr>
          <w:rFonts w:hint="eastAsia" w:ascii="宋体" w:hAnsi="宋体" w:eastAsia="宋体" w:cs="宋体"/>
          <w:b/>
          <w:color w:val="auto"/>
          <w:szCs w:val="21"/>
          <w:highlight w:val="none"/>
        </w:rPr>
      </w:pPr>
    </w:p>
    <w:p w14:paraId="3E29C7C5">
      <w:pPr>
        <w:snapToGrid w:val="0"/>
        <w:spacing w:line="324" w:lineRule="auto"/>
        <w:ind w:left="5137" w:leftChars="1736" w:hanging="1491" w:hangingChars="825"/>
        <w:rPr>
          <w:rFonts w:hint="eastAsia" w:ascii="宋体" w:hAnsi="宋体" w:eastAsia="宋体" w:cs="宋体"/>
          <w:color w:val="auto"/>
          <w:kern w:val="0"/>
          <w:sz w:val="24"/>
          <w:highlight w:val="none"/>
        </w:rPr>
      </w:pPr>
      <w:r>
        <w:rPr>
          <w:rFonts w:hint="eastAsia" w:ascii="宋体" w:hAnsi="宋体" w:eastAsia="宋体" w:cs="宋体"/>
          <w:b/>
          <w:color w:val="auto"/>
          <w:sz w:val="18"/>
          <w:szCs w:val="18"/>
          <w:highlight w:val="none"/>
        </w:rPr>
        <w:t xml:space="preserve">                                                                    </w:t>
      </w:r>
      <w:r>
        <w:rPr>
          <w:rFonts w:hint="eastAsia" w:ascii="宋体" w:hAnsi="宋体" w:eastAsia="宋体" w:cs="宋体"/>
          <w:color w:val="auto"/>
          <w:kern w:val="0"/>
          <w:sz w:val="24"/>
          <w:highlight w:val="none"/>
          <w:lang w:val="zh-CN"/>
        </w:rPr>
        <w:t>投标人名称(盖章)：</w:t>
      </w:r>
    </w:p>
    <w:p w14:paraId="222B9C14">
      <w:pPr>
        <w:snapToGrid w:val="0"/>
        <w:spacing w:line="324" w:lineRule="auto"/>
        <w:ind w:firstLine="5160" w:firstLineChars="21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14:paraId="7CA8BFBF">
      <w:pPr>
        <w:pStyle w:val="21"/>
        <w:spacing w:line="324" w:lineRule="auto"/>
        <w:ind w:left="5132" w:leftChars="1979" w:hanging="976" w:hangingChars="488"/>
        <w:rPr>
          <w:rFonts w:hint="eastAsia" w:ascii="宋体" w:hAnsi="宋体" w:eastAsia="宋体" w:cs="宋体"/>
          <w:color w:val="auto"/>
          <w:sz w:val="20"/>
          <w:highlight w:val="none"/>
        </w:rPr>
      </w:pPr>
    </w:p>
    <w:p w14:paraId="251BDB32">
      <w:pPr>
        <w:spacing w:line="324"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请根据自己的真实情况出具《残疾人福利性单位声明函》。采购人或者采购代理机构在公告中标结果时，同时公告其《残疾人福利性单位声明函》，接受社会监督；根据《关于政府采购支持监狱企业发展有关问题的通知》（财库[2014]68号）的规定，投标人提供由省级以上监狱管理局、戒毒管理局（含新疆生产建设兵团）出具的属于监狱企业证明文件的，视同为小型和微型企业。</w:t>
      </w:r>
    </w:p>
    <w:p w14:paraId="3A4B073A">
      <w:pPr>
        <w:pStyle w:val="3"/>
        <w:keepNext w:val="0"/>
        <w:keepLines w:val="0"/>
        <w:adjustRightInd w:val="0"/>
        <w:snapToGrid w:val="0"/>
        <w:spacing w:line="480" w:lineRule="exact"/>
        <w:rPr>
          <w:rFonts w:hint="eastAsia" w:ascii="宋体" w:hAnsi="宋体" w:eastAsia="宋体" w:cs="宋体"/>
          <w:color w:val="auto"/>
          <w:highlight w:val="none"/>
        </w:rPr>
      </w:pPr>
    </w:p>
    <w:p w14:paraId="71051A22">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p>
    <w:p w14:paraId="4520A459">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p>
    <w:p w14:paraId="4DEA7B57">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p>
    <w:p w14:paraId="17A566B1">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p>
    <w:p w14:paraId="459BBFE1">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p>
    <w:p w14:paraId="006B3599">
      <w:pPr>
        <w:pStyle w:val="3"/>
        <w:keepNext w:val="0"/>
        <w:keepLines w:val="0"/>
        <w:adjustRightInd w:val="0"/>
        <w:snapToGrid w:val="0"/>
        <w:spacing w:line="480" w:lineRule="exac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法定代表人资格证明书及授权委托书（授权委托代理时必须提供）</w:t>
      </w:r>
    </w:p>
    <w:p w14:paraId="5C039AE9">
      <w:pPr>
        <w:rPr>
          <w:rFonts w:hint="eastAsia" w:ascii="宋体" w:hAnsi="宋体" w:cs="宋体"/>
          <w:color w:val="auto"/>
          <w:highlight w:val="none"/>
        </w:rPr>
      </w:pPr>
    </w:p>
    <w:p w14:paraId="5E959D0A">
      <w:pPr>
        <w:autoSpaceDE w:val="0"/>
        <w:autoSpaceDN w:val="0"/>
        <w:adjustRightInd w:val="0"/>
        <w:snapToGrid w:val="0"/>
        <w:spacing w:line="400" w:lineRule="exact"/>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法定代表人身份证明书（格式）</w:t>
      </w:r>
    </w:p>
    <w:p w14:paraId="5AF9072C">
      <w:pPr>
        <w:spacing w:after="50" w:afterLines="0" w:line="400" w:lineRule="exact"/>
        <w:ind w:firstLine="268" w:firstLineChars="128"/>
        <w:rPr>
          <w:rFonts w:hint="eastAsia" w:ascii="宋体" w:hAnsi="宋体" w:cs="宋体"/>
          <w:color w:val="auto"/>
          <w:szCs w:val="21"/>
          <w:highlight w:val="none"/>
        </w:rPr>
      </w:pPr>
    </w:p>
    <w:p w14:paraId="423A9CA2">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供应商名称：</w:t>
      </w:r>
      <w:r>
        <w:rPr>
          <w:rFonts w:hint="eastAsia" w:ascii="宋体" w:hAnsi="宋体" w:cs="宋体"/>
          <w:color w:val="auto"/>
          <w:szCs w:val="21"/>
          <w:highlight w:val="none"/>
          <w:u w:val="single"/>
        </w:rPr>
        <w:t xml:space="preserve">                                   </w:t>
      </w:r>
    </w:p>
    <w:p w14:paraId="0C88EFD9">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单位性质：</w:t>
      </w:r>
      <w:r>
        <w:rPr>
          <w:rFonts w:hint="eastAsia" w:ascii="宋体" w:hAnsi="宋体" w:cs="宋体"/>
          <w:color w:val="auto"/>
          <w:szCs w:val="21"/>
          <w:highlight w:val="none"/>
          <w:u w:val="single"/>
        </w:rPr>
        <w:t xml:space="preserve">                                      </w:t>
      </w:r>
    </w:p>
    <w:p w14:paraId="0E3EE39C">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p>
    <w:p w14:paraId="5DD7B4D7">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成立时间：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7CD35A4">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经营期限：</w:t>
      </w:r>
      <w:r>
        <w:rPr>
          <w:rFonts w:hint="eastAsia" w:ascii="宋体" w:hAnsi="宋体" w:cs="宋体"/>
          <w:color w:val="auto"/>
          <w:szCs w:val="21"/>
          <w:highlight w:val="none"/>
          <w:u w:val="single"/>
        </w:rPr>
        <w:t xml:space="preserve">                         </w:t>
      </w:r>
    </w:p>
    <w:p w14:paraId="797E8C09">
      <w:pPr>
        <w:spacing w:after="50" w:afterLines="0" w:line="400" w:lineRule="exact"/>
        <w:ind w:firstLine="268" w:firstLineChars="128"/>
        <w:rPr>
          <w:rFonts w:hint="eastAsia" w:ascii="宋体" w:hAnsi="宋体" w:cs="宋体"/>
          <w:color w:val="auto"/>
          <w:szCs w:val="21"/>
          <w:highlight w:val="none"/>
          <w:u w:val="single"/>
        </w:rPr>
      </w:pPr>
      <w:r>
        <w:rPr>
          <w:rFonts w:hint="eastAsia" w:ascii="宋体" w:hAnsi="宋体" w:cs="宋体"/>
          <w:color w:val="auto"/>
          <w:szCs w:val="21"/>
          <w:highlight w:val="none"/>
        </w:rPr>
        <w:t>姓名：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性别：</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职务：</w:t>
      </w:r>
      <w:r>
        <w:rPr>
          <w:rFonts w:hint="eastAsia" w:ascii="宋体" w:hAnsi="宋体" w:cs="宋体"/>
          <w:color w:val="auto"/>
          <w:szCs w:val="21"/>
          <w:highlight w:val="none"/>
          <w:u w:val="single"/>
        </w:rPr>
        <w:t xml:space="preserve">               </w:t>
      </w:r>
    </w:p>
    <w:p w14:paraId="5AB049B5">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系</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（供应商名称）的法定代表人。</w:t>
      </w:r>
    </w:p>
    <w:p w14:paraId="5CCF8444">
      <w:pPr>
        <w:spacing w:after="50" w:afterLines="0" w:line="400" w:lineRule="exact"/>
        <w:ind w:firstLine="268" w:firstLineChars="128"/>
        <w:rPr>
          <w:rFonts w:hint="eastAsia" w:ascii="宋体" w:hAnsi="宋体" w:cs="宋体"/>
          <w:color w:val="auto"/>
          <w:szCs w:val="21"/>
          <w:highlight w:val="none"/>
        </w:rPr>
      </w:pPr>
      <w:r>
        <w:rPr>
          <w:rFonts w:hint="eastAsia" w:ascii="宋体" w:hAnsi="宋体" w:cs="宋体"/>
          <w:color w:val="auto"/>
          <w:szCs w:val="21"/>
          <w:highlight w:val="none"/>
        </w:rPr>
        <w:t>特此证明。</w:t>
      </w:r>
    </w:p>
    <w:p w14:paraId="09ADAFCA">
      <w:pPr>
        <w:spacing w:after="50" w:afterLines="0" w:line="400" w:lineRule="exact"/>
        <w:rPr>
          <w:rFonts w:hint="eastAsia" w:ascii="宋体" w:hAnsi="宋体" w:cs="宋体"/>
          <w:color w:val="auto"/>
          <w:szCs w:val="21"/>
          <w:highlight w:val="none"/>
        </w:rPr>
      </w:pPr>
    </w:p>
    <w:p w14:paraId="35DE77A6">
      <w:pPr>
        <w:spacing w:after="50" w:afterLines="0" w:line="400" w:lineRule="exact"/>
        <w:ind w:firstLine="3990" w:firstLineChars="1900"/>
        <w:rPr>
          <w:rFonts w:hint="eastAsia" w:ascii="宋体" w:hAnsi="宋体" w:cs="宋体"/>
          <w:color w:val="auto"/>
          <w:szCs w:val="21"/>
          <w:highlight w:val="none"/>
        </w:rPr>
      </w:pPr>
      <w:r>
        <w:rPr>
          <w:rFonts w:hint="eastAsia" w:ascii="宋体" w:hAnsi="宋体" w:cs="宋体"/>
          <w:color w:val="auto"/>
          <w:szCs w:val="21"/>
          <w:highlight w:val="none"/>
        </w:rPr>
        <w:t>供应商：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（盖单位章）</w:t>
      </w:r>
    </w:p>
    <w:p w14:paraId="4BE17F14">
      <w:pPr>
        <w:spacing w:after="50" w:afterLines="0" w:line="400" w:lineRule="exact"/>
        <w:rPr>
          <w:rFonts w:hint="eastAsia" w:ascii="宋体" w:hAnsi="宋体" w:cs="宋体"/>
          <w:color w:val="auto"/>
          <w:szCs w:val="21"/>
          <w:highlight w:val="none"/>
        </w:rPr>
      </w:pPr>
    </w:p>
    <w:p w14:paraId="6927A36F">
      <w:pPr>
        <w:spacing w:after="50" w:afterLines="0" w:line="400" w:lineRule="exact"/>
        <w:ind w:firstLine="5250" w:firstLineChars="2500"/>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8063B2B">
      <w:pPr>
        <w:topLinePunct/>
        <w:spacing w:line="410" w:lineRule="exact"/>
        <w:rPr>
          <w:rFonts w:hint="eastAsia" w:ascii="宋体" w:hAnsi="宋体" w:cs="宋体"/>
          <w:color w:val="auto"/>
          <w:highlight w:val="none"/>
        </w:rPr>
      </w:pPr>
      <w:r>
        <w:rPr>
          <w:rFonts w:hint="eastAsia" w:ascii="宋体" w:hAnsi="宋体" w:cs="宋体"/>
          <w:color w:val="auto"/>
          <w:highlight w:val="none"/>
        </w:rPr>
        <w:t xml:space="preserve"> 附：法定代表人身份证复印件</w:t>
      </w:r>
    </w:p>
    <w:p w14:paraId="7EBB53D4">
      <w:pPr>
        <w:pStyle w:val="17"/>
        <w:rPr>
          <w:rFonts w:hint="eastAsia" w:ascii="宋体" w:hAnsi="宋体" w:cs="宋体"/>
          <w:color w:val="auto"/>
          <w:highlight w:val="none"/>
        </w:rPr>
      </w:pPr>
    </w:p>
    <w:p w14:paraId="61060956">
      <w:pPr>
        <w:rPr>
          <w:rFonts w:hint="eastAsia" w:ascii="宋体" w:hAnsi="宋体" w:cs="宋体"/>
          <w:color w:val="auto"/>
          <w:highlight w:val="none"/>
        </w:rPr>
      </w:pPr>
    </w:p>
    <w:p w14:paraId="25B3008D">
      <w:pPr>
        <w:pStyle w:val="17"/>
        <w:rPr>
          <w:rFonts w:hint="eastAsia" w:ascii="宋体" w:hAnsi="宋体" w:cs="宋体"/>
          <w:color w:val="auto"/>
          <w:highlight w:val="none"/>
        </w:rPr>
      </w:pPr>
    </w:p>
    <w:p w14:paraId="56B0819A">
      <w:pPr>
        <w:rPr>
          <w:rFonts w:hint="eastAsia" w:ascii="宋体" w:hAnsi="宋体" w:cs="宋体"/>
          <w:color w:val="auto"/>
          <w:highlight w:val="none"/>
        </w:rPr>
      </w:pPr>
    </w:p>
    <w:p w14:paraId="45FEF3B6">
      <w:pPr>
        <w:pStyle w:val="17"/>
        <w:rPr>
          <w:rFonts w:hint="eastAsia" w:ascii="宋体" w:hAnsi="宋体" w:cs="宋体"/>
          <w:color w:val="auto"/>
          <w:highlight w:val="none"/>
        </w:rPr>
      </w:pPr>
    </w:p>
    <w:p w14:paraId="20B22A7A">
      <w:pPr>
        <w:rPr>
          <w:rFonts w:hint="eastAsia" w:ascii="宋体" w:hAnsi="宋体" w:cs="宋体"/>
          <w:color w:val="auto"/>
          <w:highlight w:val="none"/>
        </w:rPr>
      </w:pPr>
    </w:p>
    <w:p w14:paraId="56D646C3">
      <w:pPr>
        <w:pStyle w:val="17"/>
        <w:rPr>
          <w:rFonts w:hint="eastAsia" w:ascii="宋体" w:hAnsi="宋体" w:cs="宋体"/>
          <w:color w:val="auto"/>
          <w:highlight w:val="none"/>
        </w:rPr>
      </w:pPr>
    </w:p>
    <w:p w14:paraId="2BE97C65">
      <w:pPr>
        <w:rPr>
          <w:rFonts w:hint="eastAsia" w:ascii="宋体" w:hAnsi="宋体" w:cs="宋体"/>
          <w:color w:val="auto"/>
          <w:highlight w:val="none"/>
        </w:rPr>
      </w:pPr>
    </w:p>
    <w:p w14:paraId="04705A01">
      <w:pPr>
        <w:pStyle w:val="17"/>
        <w:rPr>
          <w:rFonts w:hint="eastAsia" w:ascii="宋体" w:hAnsi="宋体" w:cs="宋体"/>
          <w:color w:val="auto"/>
          <w:highlight w:val="none"/>
        </w:rPr>
      </w:pPr>
    </w:p>
    <w:p w14:paraId="112465E0">
      <w:pPr>
        <w:rPr>
          <w:rFonts w:hint="eastAsia" w:ascii="宋体" w:hAnsi="宋体" w:cs="宋体"/>
          <w:color w:val="auto"/>
          <w:highlight w:val="none"/>
        </w:rPr>
      </w:pPr>
    </w:p>
    <w:p w14:paraId="4D283CC8">
      <w:pPr>
        <w:pStyle w:val="3"/>
        <w:spacing w:before="0" w:beforeLines="0" w:after="0" w:afterLines="0" w:line="600" w:lineRule="exact"/>
        <w:jc w:val="center"/>
        <w:rPr>
          <w:rFonts w:hint="eastAsia" w:ascii="宋体" w:hAnsi="宋体" w:eastAsia="宋体" w:cs="宋体"/>
          <w:color w:val="auto"/>
          <w:kern w:val="0"/>
          <w:highlight w:val="none"/>
        </w:rPr>
      </w:pPr>
      <w:r>
        <w:rPr>
          <w:rFonts w:hint="eastAsia" w:ascii="宋体" w:hAnsi="宋体" w:eastAsia="宋体" w:cs="宋体"/>
          <w:color w:val="auto"/>
          <w:kern w:val="0"/>
          <w:highlight w:val="none"/>
        </w:rPr>
        <w:t>授权委托书（格式）</w:t>
      </w:r>
    </w:p>
    <w:p w14:paraId="04261598">
      <w:pPr>
        <w:rPr>
          <w:rFonts w:hint="eastAsia" w:ascii="宋体" w:hAnsi="宋体" w:cs="宋体"/>
          <w:b/>
          <w:color w:val="auto"/>
          <w:sz w:val="32"/>
          <w:highlight w:val="none"/>
        </w:rPr>
      </w:pPr>
    </w:p>
    <w:p w14:paraId="2DDBA81B">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（供应商名称）的法定代表人，现委托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〔姓名〕为我方代理人。代理人根据授权，以我方名义签署、澄清、说明、补正、递交、撤回、修改</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磋商响应文件、出席开标会、签订合同和处理有关事宜，其签名真迹和印章如本授权委托书末尾所示，其法律后果由我方承担。</w:t>
      </w:r>
    </w:p>
    <w:p w14:paraId="7809BD9B">
      <w:pPr>
        <w:spacing w:line="500" w:lineRule="exact"/>
        <w:rPr>
          <w:rFonts w:hint="eastAsia" w:ascii="宋体" w:hAnsi="宋体" w:cs="宋体"/>
          <w:color w:val="auto"/>
          <w:sz w:val="24"/>
          <w:highlight w:val="none"/>
        </w:rPr>
      </w:pPr>
      <w:r>
        <w:rPr>
          <w:rFonts w:hint="eastAsia" w:ascii="宋体" w:hAnsi="宋体" w:cs="宋体"/>
          <w:color w:val="auto"/>
          <w:sz w:val="24"/>
          <w:highlight w:val="none"/>
        </w:rPr>
        <w:t xml:space="preserve">    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166151B5">
      <w:pPr>
        <w:spacing w:line="500" w:lineRule="exact"/>
        <w:ind w:firstLine="480"/>
        <w:rPr>
          <w:rFonts w:hint="eastAsia" w:ascii="宋体" w:hAnsi="宋体" w:cs="宋体"/>
          <w:color w:val="auto"/>
          <w:sz w:val="24"/>
          <w:highlight w:val="none"/>
        </w:rPr>
      </w:pPr>
      <w:r>
        <w:rPr>
          <w:rFonts w:hint="eastAsia" w:ascii="宋体" w:hAnsi="宋体" w:cs="宋体"/>
          <w:color w:val="auto"/>
          <w:sz w:val="24"/>
          <w:highlight w:val="none"/>
        </w:rPr>
        <w:t>代理人无转委托权。</w:t>
      </w:r>
    </w:p>
    <w:p w14:paraId="5FCA78C0">
      <w:pPr>
        <w:pStyle w:val="26"/>
        <w:ind w:firstLine="480"/>
        <w:rPr>
          <w:rFonts w:hint="eastAsia" w:hAnsi="宋体" w:cs="宋体"/>
          <w:color w:val="auto"/>
          <w:highlight w:val="none"/>
        </w:rPr>
      </w:pPr>
    </w:p>
    <w:p w14:paraId="7B547557">
      <w:pPr>
        <w:pStyle w:val="26"/>
        <w:ind w:firstLine="480"/>
        <w:rPr>
          <w:rFonts w:hint="eastAsia" w:hAnsi="宋体" w:cs="宋体"/>
          <w:color w:val="auto"/>
          <w:highlight w:val="none"/>
        </w:rPr>
      </w:pPr>
    </w:p>
    <w:p w14:paraId="6D898734">
      <w:pPr>
        <w:spacing w:line="440" w:lineRule="exact"/>
        <w:ind w:firstLine="4320" w:firstLineChars="1800"/>
        <w:rPr>
          <w:rFonts w:hint="eastAsia" w:ascii="宋体" w:hAnsi="宋体" w:cs="宋体"/>
          <w:color w:val="auto"/>
          <w:sz w:val="24"/>
          <w:highlight w:val="none"/>
        </w:rPr>
      </w:pPr>
      <w:r>
        <w:rPr>
          <w:rFonts w:hint="eastAsia" w:ascii="宋体" w:hAnsi="宋体" w:cs="宋体"/>
          <w:color w:val="auto"/>
          <w:sz w:val="24"/>
          <w:highlight w:val="none"/>
          <w:lang w:val="en-US" w:eastAsia="zh-CN"/>
        </w:rPr>
        <w:t>供  应  商</w:t>
      </w:r>
      <w:r>
        <w:rPr>
          <w:rFonts w:hint="eastAsia" w:ascii="宋体" w:hAnsi="宋体" w:cs="宋体"/>
          <w:color w:val="auto"/>
          <w:sz w:val="24"/>
          <w:highlight w:val="none"/>
        </w:rPr>
        <w:t>：</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〔盖单位章〕</w:t>
      </w:r>
    </w:p>
    <w:p w14:paraId="7DF9F2A2">
      <w:pPr>
        <w:spacing w:line="440" w:lineRule="exact"/>
        <w:rPr>
          <w:rFonts w:hint="eastAsia" w:ascii="宋体" w:hAnsi="宋体" w:cs="宋体"/>
          <w:color w:val="auto"/>
          <w:sz w:val="24"/>
          <w:highlight w:val="none"/>
        </w:rPr>
      </w:pPr>
      <w:r>
        <w:rPr>
          <w:rFonts w:hint="eastAsia" w:ascii="宋体" w:hAnsi="宋体" w:cs="宋体"/>
          <w:color w:val="auto"/>
          <w:sz w:val="24"/>
          <w:highlight w:val="none"/>
        </w:rPr>
        <w:t xml:space="preserve">                                    法定代表人：</w:t>
      </w:r>
      <w:r>
        <w:rPr>
          <w:rFonts w:hint="eastAsia" w:ascii="宋体" w:hAnsi="宋体" w:cs="宋体"/>
          <w:color w:val="auto"/>
          <w:sz w:val="24"/>
          <w:highlight w:val="none"/>
          <w:u w:val="single"/>
        </w:rPr>
        <w:t xml:space="preserve">签名或盖章         </w:t>
      </w:r>
    </w:p>
    <w:p w14:paraId="5632ABA7">
      <w:pPr>
        <w:spacing w:line="440" w:lineRule="exact"/>
        <w:rPr>
          <w:rFonts w:hint="eastAsia" w:ascii="宋体" w:hAnsi="宋体" w:cs="宋体"/>
          <w:color w:val="auto"/>
          <w:sz w:val="24"/>
          <w:highlight w:val="none"/>
        </w:rPr>
      </w:pPr>
      <w:r>
        <w:rPr>
          <w:rFonts w:hint="eastAsia" w:ascii="宋体" w:hAnsi="宋体" w:cs="宋体"/>
          <w:color w:val="auto"/>
          <w:sz w:val="24"/>
          <w:highlight w:val="none"/>
        </w:rPr>
        <w:t xml:space="preserve">                                    身份证号码：</w:t>
      </w:r>
      <w:r>
        <w:rPr>
          <w:rFonts w:hint="eastAsia" w:ascii="宋体" w:hAnsi="宋体" w:cs="宋体"/>
          <w:color w:val="auto"/>
          <w:sz w:val="24"/>
          <w:highlight w:val="none"/>
          <w:u w:val="single"/>
        </w:rPr>
        <w:t xml:space="preserve"> </w:t>
      </w:r>
      <w:r>
        <w:rPr>
          <w:rFonts w:hint="eastAsia" w:ascii="宋体" w:hAnsi="宋体" w:cs="宋体"/>
          <w:b/>
          <w:color w:val="auto"/>
          <w:sz w:val="24"/>
          <w:highlight w:val="none"/>
          <w:u w:val="single"/>
        </w:rPr>
        <w:t xml:space="preserve">                </w:t>
      </w:r>
      <w:r>
        <w:rPr>
          <w:rFonts w:hint="eastAsia" w:ascii="宋体" w:hAnsi="宋体" w:cs="宋体"/>
          <w:color w:val="auto"/>
          <w:sz w:val="24"/>
          <w:highlight w:val="none"/>
          <w:u w:val="single"/>
        </w:rPr>
        <w:t xml:space="preserve">                 </w:t>
      </w:r>
    </w:p>
    <w:p w14:paraId="0B7C467A">
      <w:pPr>
        <w:spacing w:line="440" w:lineRule="exact"/>
        <w:rPr>
          <w:rFonts w:hint="eastAsia" w:ascii="宋体" w:hAnsi="宋体" w:cs="宋体"/>
          <w:color w:val="auto"/>
          <w:sz w:val="24"/>
          <w:highlight w:val="none"/>
          <w:u w:val="single"/>
        </w:rPr>
      </w:pPr>
      <w:r>
        <w:rPr>
          <w:rFonts w:hint="eastAsia" w:ascii="宋体" w:hAnsi="宋体" w:cs="宋体"/>
          <w:color w:val="auto"/>
          <w:sz w:val="24"/>
          <w:highlight w:val="none"/>
        </w:rPr>
        <w:t xml:space="preserve">                                    委托代理人：</w:t>
      </w:r>
      <w:r>
        <w:rPr>
          <w:rFonts w:hint="eastAsia" w:ascii="宋体" w:hAnsi="宋体" w:cs="宋体"/>
          <w:color w:val="auto"/>
          <w:sz w:val="24"/>
          <w:highlight w:val="none"/>
          <w:u w:val="single"/>
        </w:rPr>
        <w:t xml:space="preserve">  签名            </w:t>
      </w:r>
    </w:p>
    <w:p w14:paraId="2E73A03A">
      <w:pPr>
        <w:spacing w:line="440" w:lineRule="exact"/>
        <w:rPr>
          <w:rFonts w:hint="eastAsia" w:ascii="宋体" w:hAnsi="宋体" w:cs="宋体"/>
          <w:color w:val="auto"/>
          <w:szCs w:val="21"/>
          <w:highlight w:val="none"/>
        </w:rPr>
      </w:pPr>
      <w:r>
        <w:rPr>
          <w:rFonts w:hint="eastAsia" w:ascii="宋体" w:hAnsi="宋体" w:cs="宋体"/>
          <w:color w:val="auto"/>
          <w:sz w:val="24"/>
          <w:highlight w:val="none"/>
        </w:rPr>
        <w:t xml:space="preserve">                                    身份证号码：</w:t>
      </w:r>
      <w:r>
        <w:rPr>
          <w:rFonts w:hint="eastAsia" w:ascii="宋体" w:hAnsi="宋体" w:cs="宋体"/>
          <w:color w:val="auto"/>
          <w:sz w:val="24"/>
          <w:highlight w:val="none"/>
          <w:u w:val="single"/>
        </w:rPr>
        <w:t xml:space="preserve">                   </w:t>
      </w:r>
    </w:p>
    <w:p w14:paraId="568E1B55">
      <w:pPr>
        <w:pStyle w:val="26"/>
        <w:ind w:firstLine="5076" w:firstLineChars="2115"/>
        <w:rPr>
          <w:rFonts w:hint="eastAsia" w:hAnsi="宋体" w:cs="宋体"/>
          <w:color w:val="auto"/>
          <w:sz w:val="24"/>
          <w:highlight w:val="none"/>
        </w:rPr>
      </w:pPr>
    </w:p>
    <w:p w14:paraId="3C1464CB">
      <w:pPr>
        <w:pStyle w:val="26"/>
        <w:ind w:firstLine="5076" w:firstLineChars="2115"/>
        <w:rPr>
          <w:rFonts w:hint="eastAsia" w:hAnsi="宋体" w:cs="宋体"/>
          <w:color w:val="auto"/>
          <w:highlight w:val="none"/>
        </w:rPr>
      </w:pPr>
      <w:r>
        <w:rPr>
          <w:rFonts w:hint="eastAsia" w:hAnsi="宋体" w:cs="宋体"/>
          <w:color w:val="auto"/>
          <w:sz w:val="24"/>
          <w:highlight w:val="none"/>
        </w:rPr>
        <w:t xml:space="preserve">    年     月      日</w:t>
      </w:r>
    </w:p>
    <w:p w14:paraId="0631927C">
      <w:pPr>
        <w:widowControl/>
        <w:snapToGrid w:val="0"/>
        <w:spacing w:line="620" w:lineRule="exact"/>
        <w:ind w:firstLine="4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附：委托代理人身份证（复印件）</w:t>
      </w:r>
    </w:p>
    <w:p w14:paraId="0ED14EF2">
      <w:pPr>
        <w:pStyle w:val="4"/>
        <w:spacing w:before="0" w:beforeLines="0" w:after="0" w:afterLines="0" w:line="440" w:lineRule="exact"/>
        <w:ind w:firstLine="2249" w:firstLineChars="700"/>
        <w:rPr>
          <w:rFonts w:cs="宋体"/>
          <w:color w:val="auto"/>
          <w:sz w:val="30"/>
          <w:szCs w:val="30"/>
          <w:highlight w:val="none"/>
        </w:rPr>
      </w:pPr>
      <w:r>
        <w:rPr>
          <w:rFonts w:cs="宋体"/>
          <w:color w:val="auto"/>
          <w:highlight w:val="none"/>
        </w:rPr>
        <w:br w:type="page"/>
      </w:r>
      <w:bookmarkStart w:id="908" w:name="_Toc47088396"/>
      <w:bookmarkStart w:id="909" w:name="_Toc482785105"/>
      <w:bookmarkStart w:id="910" w:name="_Toc336079861"/>
    </w:p>
    <w:p w14:paraId="2030BD4B">
      <w:pPr>
        <w:pStyle w:val="4"/>
        <w:spacing w:before="0" w:beforeLines="0" w:after="0" w:afterLines="0" w:line="440" w:lineRule="exact"/>
        <w:ind w:firstLine="602" w:firstLineChars="200"/>
        <w:rPr>
          <w:rFonts w:cs="宋体"/>
          <w:color w:val="auto"/>
          <w:sz w:val="30"/>
          <w:szCs w:val="30"/>
          <w:highlight w:val="none"/>
        </w:rPr>
      </w:pPr>
      <w:bookmarkStart w:id="911" w:name="_Toc75182798"/>
      <w:r>
        <w:rPr>
          <w:rFonts w:hint="eastAsia" w:cs="宋体"/>
          <w:color w:val="auto"/>
          <w:sz w:val="30"/>
          <w:szCs w:val="30"/>
          <w:highlight w:val="none"/>
          <w:lang w:val="en-US" w:eastAsia="zh-CN"/>
        </w:rPr>
        <w:t>7</w:t>
      </w:r>
      <w:r>
        <w:rPr>
          <w:rFonts w:cs="宋体"/>
          <w:color w:val="auto"/>
          <w:sz w:val="30"/>
          <w:szCs w:val="30"/>
          <w:highlight w:val="none"/>
        </w:rPr>
        <w:t>、项目经理资格证书及身份证复印件。</w:t>
      </w:r>
      <w:bookmarkEnd w:id="908"/>
      <w:bookmarkEnd w:id="909"/>
      <w:bookmarkEnd w:id="911"/>
    </w:p>
    <w:p w14:paraId="011DC9EA">
      <w:pPr>
        <w:spacing w:line="280" w:lineRule="exact"/>
        <w:jc w:val="center"/>
        <w:rPr>
          <w:rFonts w:hint="eastAsia" w:ascii="宋体" w:hAnsi="宋体" w:cs="宋体"/>
          <w:color w:val="auto"/>
          <w:szCs w:val="21"/>
          <w:highlight w:val="none"/>
        </w:rPr>
      </w:pPr>
      <w:r>
        <w:rPr>
          <w:rFonts w:hint="eastAsia" w:ascii="宋体" w:hAnsi="宋体" w:cs="宋体"/>
          <w:color w:val="auto"/>
          <w:szCs w:val="21"/>
          <w:highlight w:val="none"/>
        </w:rPr>
        <w:t>（注册单位为磋商供应商）</w:t>
      </w:r>
    </w:p>
    <w:p w14:paraId="64848BE2">
      <w:pPr>
        <w:rPr>
          <w:rFonts w:hint="eastAsia" w:ascii="宋体" w:hAnsi="宋体" w:cs="宋体"/>
          <w:color w:val="auto"/>
          <w:highlight w:val="none"/>
        </w:rPr>
      </w:pPr>
    </w:p>
    <w:bookmarkEnd w:id="910"/>
    <w:p w14:paraId="66E7A164">
      <w:pPr>
        <w:pStyle w:val="26"/>
        <w:rPr>
          <w:rFonts w:hint="eastAsia" w:hAnsi="宋体" w:cs="宋体"/>
          <w:color w:val="auto"/>
          <w:highlight w:val="none"/>
        </w:rPr>
      </w:pPr>
    </w:p>
    <w:p w14:paraId="042CF0FB">
      <w:pPr>
        <w:rPr>
          <w:rFonts w:hint="eastAsia" w:ascii="宋体" w:hAnsi="宋体" w:cs="宋体"/>
          <w:color w:val="auto"/>
          <w:highlight w:val="none"/>
        </w:rPr>
      </w:pPr>
    </w:p>
    <w:p w14:paraId="2553B463">
      <w:pPr>
        <w:pStyle w:val="4"/>
        <w:spacing w:before="0" w:beforeLines="0" w:after="0" w:afterLines="0" w:line="440" w:lineRule="exact"/>
        <w:ind w:firstLine="643" w:firstLineChars="200"/>
        <w:rPr>
          <w:rFonts w:cs="宋体"/>
          <w:color w:val="auto"/>
          <w:highlight w:val="none"/>
        </w:rPr>
      </w:pPr>
      <w:bookmarkStart w:id="912" w:name="_Toc75182800"/>
      <w:bookmarkStart w:id="913" w:name="_Toc47088398"/>
      <w:bookmarkStart w:id="914" w:name="_Toc336079863"/>
      <w:r>
        <w:rPr>
          <w:rFonts w:hint="eastAsia" w:ascii="宋体" w:hAnsi="宋体" w:eastAsia="宋体" w:cs="宋体"/>
          <w:color w:val="auto"/>
          <w:kern w:val="0"/>
          <w:highlight w:val="none"/>
          <w:lang w:val="en-US" w:eastAsia="zh-CN"/>
        </w:rPr>
        <w:t>8</w:t>
      </w:r>
      <w:r>
        <w:rPr>
          <w:rFonts w:cs="宋体"/>
          <w:color w:val="auto"/>
          <w:highlight w:val="none"/>
        </w:rPr>
        <w:t>、农民工工资保障金的交纳与使用承诺书（格式）</w:t>
      </w:r>
      <w:bookmarkEnd w:id="912"/>
      <w:bookmarkEnd w:id="913"/>
    </w:p>
    <w:p w14:paraId="5E221AE6">
      <w:pPr>
        <w:spacing w:line="480" w:lineRule="auto"/>
        <w:rPr>
          <w:rFonts w:hint="eastAsia" w:ascii="宋体" w:hAnsi="宋体" w:cs="宋体"/>
          <w:color w:val="auto"/>
          <w:sz w:val="24"/>
          <w:szCs w:val="24"/>
          <w:highlight w:val="none"/>
        </w:rPr>
      </w:pPr>
    </w:p>
    <w:p w14:paraId="0AA550EB">
      <w:pPr>
        <w:spacing w:line="480" w:lineRule="auto"/>
        <w:rPr>
          <w:rFonts w:hint="eastAsia"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（采购人名称）    </w:t>
      </w:r>
    </w:p>
    <w:p w14:paraId="53DB3435">
      <w:pPr>
        <w:spacing w:line="480" w:lineRule="auto"/>
        <w:ind w:firstLine="480"/>
        <w:rPr>
          <w:rFonts w:hint="eastAsia" w:ascii="宋体" w:hAnsi="宋体" w:cs="宋体"/>
          <w:color w:val="auto"/>
          <w:szCs w:val="21"/>
          <w:highlight w:val="none"/>
        </w:rPr>
      </w:pPr>
      <w:r>
        <w:rPr>
          <w:rFonts w:hint="eastAsia" w:ascii="宋体" w:hAnsi="宋体" w:cs="宋体"/>
          <w:color w:val="auto"/>
          <w:szCs w:val="21"/>
          <w:highlight w:val="none"/>
        </w:rPr>
        <w:t>根据按劳动保障、住房城乡建设行政主管部门按照《关于进一步完善建筑行业农民工工资保证金制度的通知》（桂劳社发〔2009〕50号），我方在此向采购人承诺：</w:t>
      </w:r>
    </w:p>
    <w:p w14:paraId="3FE180D2">
      <w:pPr>
        <w:spacing w:line="480" w:lineRule="auto"/>
        <w:ind w:firstLine="480"/>
        <w:rPr>
          <w:rFonts w:hint="eastAsia" w:ascii="宋体" w:hAnsi="宋体" w:cs="宋体"/>
          <w:bCs/>
          <w:color w:val="auto"/>
          <w:kern w:val="0"/>
          <w:szCs w:val="21"/>
          <w:highlight w:val="none"/>
        </w:rPr>
      </w:pPr>
      <w:r>
        <w:rPr>
          <w:rFonts w:hint="eastAsia" w:ascii="宋体" w:hAnsi="宋体" w:cs="宋体"/>
          <w:color w:val="auto"/>
          <w:szCs w:val="21"/>
          <w:highlight w:val="none"/>
        </w:rPr>
        <w:t xml:space="preserve">1．我方参与磋商的 </w:t>
      </w:r>
      <w:r>
        <w:rPr>
          <w:rFonts w:hint="eastAsia" w:ascii="宋体" w:hAnsi="宋体" w:cs="宋体"/>
          <w:color w:val="auto"/>
          <w:szCs w:val="21"/>
          <w:highlight w:val="none"/>
          <w:u w:val="single"/>
        </w:rPr>
        <w:t xml:space="preserve">   </w:t>
      </w:r>
      <w:r>
        <w:rPr>
          <w:rFonts w:hint="eastAsia" w:ascii="宋体" w:hAnsi="宋体" w:cs="宋体"/>
          <w:b/>
          <w:color w:val="auto"/>
          <w:kern w:val="0"/>
          <w:szCs w:val="21"/>
          <w:highlight w:val="none"/>
          <w:u w:val="single"/>
        </w:rPr>
        <w:t xml:space="preserve">(工程名称)     </w:t>
      </w:r>
      <w:r>
        <w:rPr>
          <w:rFonts w:hint="eastAsia" w:ascii="宋体" w:hAnsi="宋体" w:cs="宋体"/>
          <w:color w:val="auto"/>
          <w:szCs w:val="21"/>
          <w:highlight w:val="none"/>
        </w:rPr>
        <w:t>项目，一旦成交，我方保证在收到成交通知书后7个工作日内，</w:t>
      </w:r>
      <w:r>
        <w:rPr>
          <w:rFonts w:hint="eastAsia" w:ascii="宋体" w:hAnsi="宋体" w:cs="宋体"/>
          <w:bCs/>
          <w:color w:val="auto"/>
          <w:kern w:val="0"/>
          <w:szCs w:val="21"/>
          <w:highlight w:val="none"/>
        </w:rPr>
        <w:t>足额将农民工工资保障金转入当地建设行政管理部门</w:t>
      </w:r>
      <w:r>
        <w:rPr>
          <w:rFonts w:hint="eastAsia" w:ascii="宋体" w:hAnsi="宋体" w:cs="宋体"/>
          <w:bCs/>
          <w:color w:val="auto"/>
          <w:kern w:val="0"/>
          <w:szCs w:val="21"/>
          <w:highlight w:val="none"/>
          <w:lang w:eastAsia="zh-CN"/>
        </w:rPr>
        <w:t>指定的账户</w:t>
      </w:r>
      <w:r>
        <w:rPr>
          <w:rFonts w:hint="eastAsia" w:ascii="宋体" w:hAnsi="宋体" w:cs="宋体"/>
          <w:bCs/>
          <w:color w:val="auto"/>
          <w:kern w:val="0"/>
          <w:szCs w:val="21"/>
          <w:highlight w:val="none"/>
        </w:rPr>
        <w:t>，作为本项目农民工工资保障金。</w:t>
      </w:r>
    </w:p>
    <w:p w14:paraId="4BAA596D">
      <w:pPr>
        <w:spacing w:line="480" w:lineRule="auto"/>
        <w:ind w:firstLine="480"/>
        <w:rPr>
          <w:rFonts w:hint="eastAsia" w:ascii="宋体" w:hAnsi="宋体" w:cs="宋体"/>
          <w:color w:val="auto"/>
          <w:szCs w:val="21"/>
          <w:highlight w:val="none"/>
        </w:rPr>
      </w:pPr>
      <w:r>
        <w:rPr>
          <w:rFonts w:hint="eastAsia" w:ascii="宋体" w:hAnsi="宋体" w:cs="宋体"/>
          <w:color w:val="auto"/>
          <w:szCs w:val="21"/>
          <w:highlight w:val="none"/>
        </w:rPr>
        <w:t>2．如我方在承包的</w:t>
      </w:r>
      <w:r>
        <w:rPr>
          <w:rFonts w:hint="eastAsia" w:ascii="宋体" w:hAnsi="宋体" w:cs="宋体"/>
          <w:color w:val="auto"/>
          <w:szCs w:val="21"/>
          <w:highlight w:val="none"/>
          <w:u w:val="single"/>
        </w:rPr>
        <w:t xml:space="preserve">   </w:t>
      </w:r>
      <w:r>
        <w:rPr>
          <w:rFonts w:hint="eastAsia" w:ascii="宋体" w:hAnsi="宋体" w:cs="宋体"/>
          <w:b/>
          <w:color w:val="auto"/>
          <w:kern w:val="0"/>
          <w:szCs w:val="21"/>
          <w:highlight w:val="none"/>
          <w:u w:val="single"/>
        </w:rPr>
        <w:t xml:space="preserve">(工程名称)      </w:t>
      </w:r>
      <w:r>
        <w:rPr>
          <w:rFonts w:hint="eastAsia" w:ascii="宋体" w:hAnsi="宋体" w:cs="宋体"/>
          <w:color w:val="auto"/>
          <w:szCs w:val="21"/>
          <w:highlight w:val="none"/>
        </w:rPr>
        <w:t>项目中出现拖欠农民工和工人工资情况的，</w:t>
      </w:r>
      <w:r>
        <w:rPr>
          <w:rFonts w:hint="eastAsia" w:ascii="宋体" w:hAnsi="宋体" w:cs="宋体"/>
          <w:bCs/>
          <w:color w:val="auto"/>
          <w:kern w:val="0"/>
          <w:szCs w:val="21"/>
          <w:highlight w:val="none"/>
        </w:rPr>
        <w:t>当地建设行政管理部门</w:t>
      </w:r>
      <w:r>
        <w:rPr>
          <w:rFonts w:hint="eastAsia" w:ascii="宋体" w:hAnsi="宋体" w:cs="宋体"/>
          <w:color w:val="auto"/>
          <w:szCs w:val="21"/>
          <w:highlight w:val="none"/>
        </w:rPr>
        <w:t>从其农民工工资保障金中先予划支。</w:t>
      </w:r>
    </w:p>
    <w:p w14:paraId="6EE51E74">
      <w:pPr>
        <w:spacing w:line="480" w:lineRule="auto"/>
        <w:ind w:firstLine="480"/>
        <w:rPr>
          <w:rFonts w:hint="eastAsia" w:ascii="宋体" w:hAnsi="宋体" w:cs="宋体"/>
          <w:color w:val="auto"/>
          <w:szCs w:val="21"/>
          <w:highlight w:val="none"/>
        </w:rPr>
      </w:pPr>
      <w:r>
        <w:rPr>
          <w:rFonts w:hint="eastAsia" w:ascii="宋体" w:hAnsi="宋体" w:cs="宋体"/>
          <w:color w:val="auto"/>
          <w:szCs w:val="21"/>
          <w:highlight w:val="none"/>
        </w:rPr>
        <w:t>3．如我方在成交后不按时、足额存入农民工工资保障金的，将被取消成交资格。</w:t>
      </w:r>
    </w:p>
    <w:p w14:paraId="4059DD6B">
      <w:pPr>
        <w:spacing w:line="480" w:lineRule="auto"/>
        <w:ind w:firstLine="480"/>
        <w:rPr>
          <w:rFonts w:hint="eastAsia" w:ascii="宋体" w:hAnsi="宋体" w:cs="宋体"/>
          <w:color w:val="auto"/>
          <w:szCs w:val="21"/>
          <w:highlight w:val="none"/>
        </w:rPr>
      </w:pPr>
    </w:p>
    <w:p w14:paraId="7CF4FC86">
      <w:pPr>
        <w:spacing w:line="480" w:lineRule="auto"/>
        <w:ind w:firstLine="480"/>
        <w:rPr>
          <w:rFonts w:hint="eastAsia" w:ascii="宋体" w:hAnsi="宋体" w:cs="宋体"/>
          <w:color w:val="auto"/>
          <w:szCs w:val="21"/>
          <w:highlight w:val="none"/>
        </w:rPr>
      </w:pPr>
      <w:r>
        <w:rPr>
          <w:rFonts w:hint="eastAsia" w:ascii="宋体" w:hAnsi="宋体" w:cs="宋体"/>
          <w:color w:val="auto"/>
          <w:szCs w:val="21"/>
          <w:highlight w:val="none"/>
        </w:rPr>
        <w:t>磋商供应商：</w:t>
      </w:r>
      <w:r>
        <w:rPr>
          <w:rFonts w:hint="eastAsia" w:ascii="宋体" w:hAnsi="宋体" w:cs="宋体"/>
          <w:color w:val="auto"/>
          <w:szCs w:val="21"/>
          <w:highlight w:val="none"/>
          <w:u w:val="single"/>
        </w:rPr>
        <w:t xml:space="preserve">                                             （盖章）</w:t>
      </w:r>
    </w:p>
    <w:p w14:paraId="5451E666">
      <w:pPr>
        <w:spacing w:line="480" w:lineRule="auto"/>
        <w:ind w:firstLine="480"/>
        <w:rPr>
          <w:rFonts w:hint="eastAsia" w:ascii="宋体" w:hAnsi="宋体" w:cs="宋体"/>
          <w:color w:val="auto"/>
          <w:szCs w:val="21"/>
          <w:highlight w:val="none"/>
        </w:rPr>
      </w:pP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 xml:space="preserve">                       （签字）</w:t>
      </w:r>
    </w:p>
    <w:p w14:paraId="000A253D">
      <w:pPr>
        <w:ind w:firstLine="420" w:firstLineChars="200"/>
        <w:rPr>
          <w:rFonts w:hint="eastAsia" w:ascii="宋体" w:hAnsi="宋体" w:cs="宋体"/>
          <w:color w:val="auto"/>
          <w:sz w:val="24"/>
          <w:szCs w:val="24"/>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5B1B3FDF">
      <w:pPr>
        <w:spacing w:line="500" w:lineRule="exact"/>
        <w:jc w:val="center"/>
        <w:rPr>
          <w:rFonts w:hint="eastAsia" w:ascii="宋体" w:hAnsi="宋体" w:cs="宋体"/>
          <w:color w:val="auto"/>
          <w:sz w:val="28"/>
          <w:szCs w:val="28"/>
          <w:highlight w:val="none"/>
        </w:rPr>
      </w:pPr>
    </w:p>
    <w:p w14:paraId="321325AF">
      <w:pPr>
        <w:pStyle w:val="4"/>
        <w:spacing w:before="0" w:beforeLines="0" w:after="0" w:afterLines="0" w:line="440" w:lineRule="exact"/>
        <w:jc w:val="center"/>
        <w:rPr>
          <w:rFonts w:hint="eastAsia" w:ascii="宋体" w:hAnsi="宋体" w:cs="宋体"/>
          <w:color w:val="auto"/>
          <w:kern w:val="0"/>
          <w:highlight w:val="none"/>
        </w:rPr>
      </w:pPr>
    </w:p>
    <w:p w14:paraId="67DCDB65">
      <w:pPr>
        <w:pStyle w:val="4"/>
        <w:spacing w:before="0" w:beforeLines="0" w:after="0" w:afterLines="0" w:line="440" w:lineRule="exact"/>
        <w:jc w:val="center"/>
        <w:rPr>
          <w:rFonts w:hint="eastAsia" w:ascii="宋体" w:hAnsi="宋体" w:cs="宋体"/>
          <w:color w:val="auto"/>
          <w:kern w:val="0"/>
          <w:highlight w:val="none"/>
        </w:rPr>
      </w:pPr>
    </w:p>
    <w:p w14:paraId="7560A8A5">
      <w:pPr>
        <w:rPr>
          <w:rFonts w:hint="eastAsia" w:ascii="宋体" w:hAnsi="宋体" w:cs="宋体"/>
          <w:color w:val="auto"/>
          <w:kern w:val="0"/>
          <w:highlight w:val="none"/>
        </w:rPr>
      </w:pPr>
    </w:p>
    <w:bookmarkEnd w:id="914"/>
    <w:p w14:paraId="36C65354">
      <w:pPr>
        <w:pStyle w:val="3"/>
        <w:keepNext w:val="0"/>
        <w:keepLines w:val="0"/>
        <w:adjustRightInd w:val="0"/>
        <w:snapToGrid w:val="0"/>
        <w:spacing w:line="480" w:lineRule="exact"/>
        <w:jc w:val="center"/>
        <w:rPr>
          <w:rFonts w:hint="eastAsia" w:ascii="宋体" w:hAnsi="宋体" w:eastAsia="宋体" w:cs="宋体"/>
          <w:color w:val="auto"/>
          <w:highlight w:val="none"/>
        </w:rPr>
      </w:pPr>
      <w:bookmarkStart w:id="915" w:name="_Toc482785107"/>
      <w:bookmarkStart w:id="916" w:name="_Toc75182801"/>
      <w:bookmarkStart w:id="917" w:name="_Toc47088399"/>
      <w:r>
        <w:rPr>
          <w:rFonts w:hint="eastAsia" w:ascii="宋体" w:hAnsi="宋体" w:eastAsia="宋体" w:cs="宋体"/>
          <w:color w:val="auto"/>
          <w:kern w:val="0"/>
          <w:highlight w:val="none"/>
          <w:lang w:val="en-US" w:eastAsia="zh-CN"/>
        </w:rPr>
        <w:t>9</w:t>
      </w:r>
      <w:r>
        <w:rPr>
          <w:rFonts w:hint="eastAsia" w:ascii="宋体" w:hAnsi="宋体" w:eastAsia="宋体" w:cs="宋体"/>
          <w:color w:val="auto"/>
          <w:kern w:val="0"/>
          <w:highlight w:val="none"/>
        </w:rPr>
        <w:t>、</w:t>
      </w:r>
      <w:bookmarkEnd w:id="915"/>
      <w:r>
        <w:rPr>
          <w:rFonts w:hint="eastAsia" w:ascii="宋体" w:hAnsi="宋体" w:eastAsia="宋体" w:cs="宋体"/>
          <w:color w:val="auto"/>
          <w:kern w:val="0"/>
          <w:highlight w:val="none"/>
        </w:rPr>
        <w:t>建设工程项目管理承诺书</w:t>
      </w:r>
      <w:bookmarkEnd w:id="916"/>
      <w:bookmarkEnd w:id="917"/>
    </w:p>
    <w:p w14:paraId="3600C8AA">
      <w:pPr>
        <w:spacing w:line="400" w:lineRule="exact"/>
        <w:rPr>
          <w:rFonts w:hint="eastAsia" w:ascii="宋体" w:hAnsi="宋体" w:cs="宋体"/>
          <w:b/>
          <w:bCs/>
          <w:color w:val="auto"/>
          <w:szCs w:val="21"/>
          <w:highlight w:val="none"/>
        </w:rPr>
      </w:pPr>
    </w:p>
    <w:p w14:paraId="17461A4D">
      <w:pPr>
        <w:pStyle w:val="75"/>
        <w:spacing w:line="480" w:lineRule="auto"/>
        <w:jc w:val="left"/>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（采购人名称）：</w:t>
      </w:r>
    </w:p>
    <w:p w14:paraId="65C7B4BC">
      <w:pPr>
        <w:pStyle w:val="75"/>
        <w:spacing w:line="520" w:lineRule="exact"/>
        <w:ind w:left="-10" w:firstLine="455" w:firstLineChars="217"/>
        <w:jc w:val="left"/>
        <w:rPr>
          <w:rFonts w:hint="eastAsia" w:ascii="宋体" w:hAnsi="宋体" w:cs="宋体"/>
          <w:color w:val="auto"/>
          <w:szCs w:val="21"/>
          <w:highlight w:val="none"/>
        </w:rPr>
      </w:pPr>
      <w:r>
        <w:rPr>
          <w:rFonts w:hint="eastAsia" w:ascii="宋体" w:hAnsi="宋体" w:cs="宋体"/>
          <w:color w:val="auto"/>
          <w:szCs w:val="21"/>
          <w:highlight w:val="none"/>
        </w:rPr>
        <w:t>作为参与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（工程名称）项目的投标方，根据国家、自治区相关文件规定，我方在此向采购人承诺：</w:t>
      </w:r>
    </w:p>
    <w:p w14:paraId="6CD50D6C">
      <w:pPr>
        <w:pStyle w:val="75"/>
        <w:spacing w:line="520" w:lineRule="exact"/>
        <w:ind w:left="-10" w:firstLine="455" w:firstLineChars="217"/>
        <w:jc w:val="left"/>
        <w:rPr>
          <w:rFonts w:hint="eastAsia" w:ascii="宋体" w:hAnsi="宋体" w:cs="宋体"/>
          <w:color w:val="auto"/>
          <w:szCs w:val="21"/>
          <w:highlight w:val="none"/>
        </w:rPr>
      </w:pPr>
      <w:r>
        <w:rPr>
          <w:rFonts w:hint="eastAsia" w:ascii="宋体" w:hAnsi="宋体" w:cs="宋体"/>
          <w:color w:val="auto"/>
          <w:szCs w:val="21"/>
          <w:highlight w:val="none"/>
        </w:rPr>
        <w:t>1、一旦中标，我方保证按照政府相关部门的规定，在发出成交通知书之日起7个工作日内足额将农民工工资保障金转入农民工工资保障金专用账户。一旦我方所承包的该项目中出现拖欠农民工工资情况，由劳动保障、住房城乡建设行政主管部门按照《关于进一步完善建筑行业农民工工资保证金制度的通知》（桂劳社发〔2009〕50号）从我方农民工工资保障金中先予划支。</w:t>
      </w:r>
    </w:p>
    <w:p w14:paraId="6A9389ED">
      <w:pPr>
        <w:pStyle w:val="75"/>
        <w:spacing w:line="520" w:lineRule="exact"/>
        <w:ind w:left="-10" w:firstLine="455" w:firstLineChars="217"/>
        <w:jc w:val="left"/>
        <w:rPr>
          <w:rFonts w:hint="eastAsia" w:ascii="宋体" w:hAnsi="宋体" w:cs="宋体"/>
          <w:color w:val="auto"/>
          <w:szCs w:val="21"/>
          <w:highlight w:val="none"/>
        </w:rPr>
      </w:pPr>
      <w:r>
        <w:rPr>
          <w:rFonts w:hint="eastAsia" w:ascii="宋体" w:hAnsi="宋体" w:cs="宋体"/>
          <w:color w:val="auto"/>
          <w:szCs w:val="21"/>
          <w:highlight w:val="none"/>
        </w:rPr>
        <w:t>2、一旦中标，我方保证在施工过程中，严格执行《广西壮族自治区建筑工程安全文明施工费使用管理细则》（桂建质〔2015〕16号）的有关规定，确保建设工程各项安全防护、文明施工措施落实到位。如我方在该项目的承包中出现未按桂建质〔2015〕16号文附件一规定执行的情形，我方愿意按照相关规定接受建设单位及有关主管部门的处罚。</w:t>
      </w:r>
    </w:p>
    <w:p w14:paraId="4073D5BA">
      <w:pPr>
        <w:pStyle w:val="75"/>
        <w:spacing w:line="520" w:lineRule="exact"/>
        <w:ind w:left="-2" w:leftChars="-1" w:firstLine="449" w:firstLineChars="214"/>
        <w:jc w:val="left"/>
        <w:rPr>
          <w:rFonts w:hint="eastAsia" w:ascii="宋体" w:hAnsi="宋体" w:cs="宋体"/>
          <w:color w:val="auto"/>
          <w:szCs w:val="21"/>
          <w:highlight w:val="none"/>
        </w:rPr>
      </w:pPr>
      <w:r>
        <w:rPr>
          <w:rFonts w:hint="eastAsia" w:ascii="宋体" w:hAnsi="宋体" w:cs="宋体"/>
          <w:color w:val="auto"/>
          <w:szCs w:val="21"/>
          <w:highlight w:val="none"/>
        </w:rPr>
        <w:t>3、一旦中标，我方保证在施工过程中，严格执行散装水泥和预拌混凝土管理的有关规定，确保建设工程按规定使用散装水泥和预拌混凝土。如我方在该项目的承包中出现未按规定执行的情形，我方愿意按照相关规定接受建设单位及有关主管部门的处罚。</w:t>
      </w:r>
    </w:p>
    <w:p w14:paraId="2244B07C">
      <w:pPr>
        <w:pStyle w:val="75"/>
        <w:spacing w:line="520" w:lineRule="exact"/>
        <w:ind w:left="-10" w:firstLine="455" w:firstLineChars="217"/>
        <w:jc w:val="left"/>
        <w:rPr>
          <w:rFonts w:hint="eastAsia" w:ascii="宋体" w:hAnsi="宋体" w:cs="宋体"/>
          <w:color w:val="auto"/>
          <w:szCs w:val="21"/>
          <w:highlight w:val="none"/>
        </w:rPr>
      </w:pPr>
      <w:r>
        <w:rPr>
          <w:rFonts w:hint="eastAsia" w:ascii="宋体" w:hAnsi="宋体" w:cs="宋体"/>
          <w:color w:val="auto"/>
          <w:szCs w:val="21"/>
          <w:highlight w:val="none"/>
        </w:rPr>
        <w:t>4、一旦中标，我方保证在施工过程中，严格执行《关于禁止使用不符合规范要求的竹脚手架的通知》（桂建管字〔2003〕40号）的有关规定，不使用竹脚手架。如我方在该项目的承包中出现未按规定执行的情形，我方愿意按照相关规定接受建设单位及有关主管部门的处罚。</w:t>
      </w:r>
    </w:p>
    <w:p w14:paraId="5EF3A84F">
      <w:pPr>
        <w:pStyle w:val="75"/>
        <w:spacing w:line="520" w:lineRule="exact"/>
        <w:ind w:left="-10" w:firstLine="455" w:firstLineChars="217"/>
        <w:jc w:val="left"/>
        <w:rPr>
          <w:rFonts w:hint="eastAsia" w:ascii="宋体" w:hAnsi="宋体" w:cs="宋体"/>
          <w:color w:val="auto"/>
          <w:szCs w:val="21"/>
          <w:highlight w:val="none"/>
        </w:rPr>
      </w:pPr>
      <w:r>
        <w:rPr>
          <w:rFonts w:hint="eastAsia" w:ascii="宋体" w:hAnsi="宋体" w:cs="宋体"/>
          <w:color w:val="auto"/>
          <w:szCs w:val="21"/>
          <w:highlight w:val="none"/>
        </w:rPr>
        <w:t>5、一旦中标，我方保证严格执行《危险性较大的分部分项工程安全管理办法》（建质〔2009〕87号）的规定，强化对深基坑、高切坡、高大模板、人工挖孔桩、起重吊装、临时活动板房等重大危险源的专项施工方案的编制、论证、审批、实施、检测的风险管理。</w:t>
      </w:r>
    </w:p>
    <w:p w14:paraId="48FB9B38">
      <w:pPr>
        <w:pStyle w:val="75"/>
        <w:spacing w:line="520" w:lineRule="exact"/>
        <w:jc w:val="left"/>
        <w:rPr>
          <w:rFonts w:hint="eastAsia" w:ascii="宋体" w:hAnsi="宋体" w:cs="宋体"/>
          <w:color w:val="auto"/>
          <w:szCs w:val="21"/>
          <w:highlight w:val="none"/>
        </w:rPr>
      </w:pPr>
    </w:p>
    <w:p w14:paraId="605FE5BD">
      <w:pPr>
        <w:pStyle w:val="75"/>
        <w:spacing w:line="360" w:lineRule="auto"/>
        <w:ind w:firstLine="4410" w:firstLineChars="2100"/>
        <w:jc w:val="left"/>
        <w:rPr>
          <w:rFonts w:hint="eastAsia" w:ascii="宋体" w:hAnsi="宋体" w:cs="宋体"/>
          <w:color w:val="auto"/>
          <w:szCs w:val="21"/>
          <w:highlight w:val="none"/>
          <w:u w:val="single"/>
        </w:rPr>
      </w:pPr>
      <w:r>
        <w:rPr>
          <w:rFonts w:hint="eastAsia" w:ascii="宋体" w:hAnsi="宋体" w:cs="宋体"/>
          <w:color w:val="auto"/>
          <w:szCs w:val="21"/>
          <w:highlight w:val="none"/>
        </w:rPr>
        <w:t>供应商：</w:t>
      </w:r>
      <w:r>
        <w:rPr>
          <w:rFonts w:hint="eastAsia" w:ascii="宋体" w:hAnsi="宋体" w:cs="宋体"/>
          <w:color w:val="auto"/>
          <w:szCs w:val="21"/>
          <w:highlight w:val="none"/>
          <w:u w:val="single"/>
        </w:rPr>
        <w:t xml:space="preserve">                     （盖单位章）</w:t>
      </w:r>
    </w:p>
    <w:p w14:paraId="2EDF06F6">
      <w:pPr>
        <w:pStyle w:val="75"/>
        <w:spacing w:line="360" w:lineRule="auto"/>
        <w:ind w:firstLine="3465" w:firstLineChars="1650"/>
        <w:jc w:val="left"/>
        <w:rPr>
          <w:rFonts w:hint="eastAsia" w:ascii="宋体" w:hAnsi="宋体" w:cs="宋体"/>
          <w:color w:val="auto"/>
          <w:szCs w:val="21"/>
          <w:highlight w:val="none"/>
          <w:u w:val="single"/>
        </w:rPr>
      </w:pPr>
      <w:r>
        <w:rPr>
          <w:rFonts w:hint="eastAsia" w:ascii="宋体" w:hAnsi="宋体" w:cs="宋体"/>
          <w:color w:val="auto"/>
          <w:szCs w:val="21"/>
          <w:highlight w:val="none"/>
        </w:rPr>
        <w:t>法定代表人或授权代理人：</w:t>
      </w:r>
      <w:r>
        <w:rPr>
          <w:rFonts w:hint="eastAsia" w:ascii="宋体" w:hAnsi="宋体" w:cs="宋体"/>
          <w:color w:val="auto"/>
          <w:szCs w:val="21"/>
          <w:highlight w:val="none"/>
          <w:u w:val="single"/>
        </w:rPr>
        <w:t xml:space="preserve">              （签字或盖章）</w:t>
      </w:r>
    </w:p>
    <w:p w14:paraId="38EDBD87">
      <w:pPr>
        <w:pStyle w:val="75"/>
        <w:spacing w:line="360" w:lineRule="auto"/>
        <w:ind w:firstLine="4515" w:firstLineChars="2150"/>
        <w:jc w:val="center"/>
        <w:rPr>
          <w:rFonts w:hint="eastAsia" w:ascii="宋体" w:hAnsi="宋体" w:cs="宋体"/>
          <w:color w:val="auto"/>
          <w:szCs w:val="21"/>
          <w:highlight w:val="none"/>
        </w:rPr>
      </w:pPr>
      <w:r>
        <w:rPr>
          <w:rFonts w:hint="eastAsia" w:ascii="宋体" w:hAnsi="宋体" w:cs="宋体"/>
          <w:color w:val="auto"/>
          <w:szCs w:val="21"/>
          <w:highlight w:val="none"/>
        </w:rPr>
        <w:t>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rPr>
        <w:br w:type="page"/>
      </w:r>
      <w:r>
        <w:rPr>
          <w:rFonts w:hint="eastAsia" w:ascii="宋体" w:hAnsi="宋体" w:cs="宋体"/>
          <w:b/>
          <w:bCs/>
          <w:color w:val="auto"/>
          <w:sz w:val="28"/>
          <w:szCs w:val="28"/>
          <w:highlight w:val="none"/>
        </w:rPr>
        <w:t>广西壮族自治区建筑工程安全文明施工措施项目清单内容</w:t>
      </w:r>
    </w:p>
    <w:p w14:paraId="4D14EC7D">
      <w:pPr>
        <w:pStyle w:val="75"/>
        <w:spacing w:line="360" w:lineRule="auto"/>
        <w:ind w:firstLine="600" w:firstLineChars="25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（桂建质〔2015〕16号文附件一）</w:t>
      </w:r>
    </w:p>
    <w:p w14:paraId="62BF4A9C">
      <w:pPr>
        <w:pStyle w:val="75"/>
        <w:spacing w:line="240" w:lineRule="atLeast"/>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广西壮族自治区</w:t>
      </w:r>
    </w:p>
    <w:p w14:paraId="54F7F086">
      <w:pPr>
        <w:pStyle w:val="75"/>
        <w:spacing w:line="240" w:lineRule="atLeast"/>
        <w:ind w:firstLine="546"/>
        <w:jc w:val="center"/>
        <w:rPr>
          <w:rFonts w:hint="eastAsia" w:ascii="宋体" w:hAnsi="宋体" w:cs="宋体"/>
          <w:b/>
          <w:bCs/>
          <w:color w:val="auto"/>
          <w:w w:val="90"/>
          <w:sz w:val="24"/>
          <w:szCs w:val="24"/>
          <w:highlight w:val="none"/>
        </w:rPr>
      </w:pPr>
      <w:r>
        <w:rPr>
          <w:rFonts w:hint="eastAsia" w:ascii="宋体" w:hAnsi="宋体" w:cs="宋体"/>
          <w:b/>
          <w:bCs/>
          <w:color w:val="auto"/>
          <w:w w:val="90"/>
          <w:sz w:val="24"/>
          <w:szCs w:val="24"/>
          <w:highlight w:val="none"/>
        </w:rPr>
        <w:t>建设工程安全文明施工措施项目清单内容</w:t>
      </w:r>
    </w:p>
    <w:p w14:paraId="727CD253">
      <w:pPr>
        <w:pStyle w:val="75"/>
        <w:spacing w:line="240" w:lineRule="atLeast"/>
        <w:ind w:firstLine="546"/>
        <w:jc w:val="center"/>
        <w:rPr>
          <w:rFonts w:hint="eastAsia" w:ascii="宋体" w:hAnsi="宋体" w:cs="宋体"/>
          <w:b/>
          <w:bCs/>
          <w:color w:val="auto"/>
          <w:w w:val="90"/>
          <w:sz w:val="24"/>
          <w:szCs w:val="24"/>
          <w:highlight w:val="none"/>
        </w:rPr>
      </w:pPr>
    </w:p>
    <w:tbl>
      <w:tblPr>
        <w:tblStyle w:val="40"/>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8"/>
        <w:gridCol w:w="525"/>
        <w:gridCol w:w="1545"/>
        <w:gridCol w:w="6396"/>
      </w:tblGrid>
      <w:tr w14:paraId="0A2179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1" w:hRule="exact"/>
        </w:trPr>
        <w:tc>
          <w:tcPr>
            <w:tcW w:w="738" w:type="dxa"/>
            <w:tcBorders>
              <w:top w:val="single" w:color="auto" w:sz="12" w:space="0"/>
            </w:tcBorders>
            <w:noWrap w:val="0"/>
            <w:vAlign w:val="center"/>
          </w:tcPr>
          <w:p w14:paraId="172CD2C0">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类别</w:t>
            </w:r>
          </w:p>
        </w:tc>
        <w:tc>
          <w:tcPr>
            <w:tcW w:w="2070" w:type="dxa"/>
            <w:gridSpan w:val="2"/>
            <w:tcBorders>
              <w:top w:val="single" w:color="auto" w:sz="12" w:space="0"/>
            </w:tcBorders>
            <w:noWrap w:val="0"/>
            <w:vAlign w:val="center"/>
          </w:tcPr>
          <w:p w14:paraId="53D2B721">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项目名称</w:t>
            </w:r>
          </w:p>
        </w:tc>
        <w:tc>
          <w:tcPr>
            <w:tcW w:w="6396" w:type="dxa"/>
            <w:tcBorders>
              <w:top w:val="single" w:color="auto" w:sz="12" w:space="0"/>
            </w:tcBorders>
            <w:noWrap w:val="0"/>
            <w:vAlign w:val="center"/>
          </w:tcPr>
          <w:p w14:paraId="6E194682">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主要内容和要求</w:t>
            </w:r>
          </w:p>
        </w:tc>
      </w:tr>
      <w:tr w14:paraId="6C7EB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restart"/>
            <w:noWrap w:val="0"/>
            <w:vAlign w:val="center"/>
          </w:tcPr>
          <w:p w14:paraId="7A7FA5BB">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文明</w:t>
            </w:r>
          </w:p>
          <w:p w14:paraId="10B8F780">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w:t>
            </w:r>
          </w:p>
          <w:p w14:paraId="300B2D5A">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与</w:t>
            </w:r>
          </w:p>
          <w:p w14:paraId="5091F7CC">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环境</w:t>
            </w:r>
          </w:p>
          <w:p w14:paraId="613A2259">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保护</w:t>
            </w:r>
          </w:p>
        </w:tc>
        <w:tc>
          <w:tcPr>
            <w:tcW w:w="2070" w:type="dxa"/>
            <w:gridSpan w:val="2"/>
            <w:noWrap w:val="0"/>
            <w:vAlign w:val="center"/>
          </w:tcPr>
          <w:p w14:paraId="32472BBD">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安全警示</w:t>
            </w:r>
          </w:p>
          <w:p w14:paraId="090B1C60">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标志牌</w:t>
            </w:r>
          </w:p>
        </w:tc>
        <w:tc>
          <w:tcPr>
            <w:tcW w:w="6396" w:type="dxa"/>
            <w:noWrap w:val="0"/>
            <w:vAlign w:val="center"/>
          </w:tcPr>
          <w:p w14:paraId="019F39F1">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在易发伤亡事故（或危险）处设置明显的、符合国家标准要求的安全警示标志牌。</w:t>
            </w:r>
          </w:p>
        </w:tc>
      </w:tr>
      <w:tr w14:paraId="6C5E6C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70128E82">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4EFF1F67">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现场围挡</w:t>
            </w:r>
          </w:p>
        </w:tc>
        <w:tc>
          <w:tcPr>
            <w:tcW w:w="6396" w:type="dxa"/>
            <w:noWrap w:val="0"/>
            <w:vAlign w:val="center"/>
          </w:tcPr>
          <w:p w14:paraId="3C7E1971">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现场采用封闭围挡，高度不小于1.8m。</w:t>
            </w:r>
          </w:p>
          <w:p w14:paraId="083C3972">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围挡材料可用彩色、定型钢板，砌块等墙体。</w:t>
            </w:r>
          </w:p>
        </w:tc>
      </w:tr>
      <w:tr w14:paraId="32161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13735784">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1826FEC4">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七牌二图</w:t>
            </w:r>
          </w:p>
        </w:tc>
        <w:tc>
          <w:tcPr>
            <w:tcW w:w="6396" w:type="dxa"/>
            <w:noWrap w:val="0"/>
            <w:vAlign w:val="center"/>
          </w:tcPr>
          <w:p w14:paraId="29091BD5">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在进门处悬挂工程概况、现场出入制度、管理人员名单及监督电话、安全生产规定、文明施工、消防保卫、节能公示等七牌以及施工现场总平面图、工程效果图。</w:t>
            </w:r>
          </w:p>
        </w:tc>
      </w:tr>
      <w:tr w14:paraId="7B2223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738" w:type="dxa"/>
            <w:vMerge w:val="continue"/>
            <w:noWrap w:val="0"/>
            <w:vAlign w:val="center"/>
          </w:tcPr>
          <w:p w14:paraId="32627A28">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33EDCFE2">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企业标志</w:t>
            </w:r>
          </w:p>
        </w:tc>
        <w:tc>
          <w:tcPr>
            <w:tcW w:w="6396" w:type="dxa"/>
            <w:noWrap w:val="0"/>
            <w:vAlign w:val="center"/>
          </w:tcPr>
          <w:p w14:paraId="789AF86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现场出入的大门应设有本企业标志或企业标识。</w:t>
            </w:r>
          </w:p>
        </w:tc>
      </w:tr>
      <w:tr w14:paraId="279F1F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2A16A972">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46DC402C">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场容场貌</w:t>
            </w:r>
          </w:p>
        </w:tc>
        <w:tc>
          <w:tcPr>
            <w:tcW w:w="6396" w:type="dxa"/>
            <w:noWrap w:val="0"/>
            <w:vAlign w:val="center"/>
          </w:tcPr>
          <w:p w14:paraId="0A10B324">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道路畅通。</w:t>
            </w:r>
          </w:p>
          <w:p w14:paraId="3C35A67C">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排水设施齐全畅通。</w:t>
            </w:r>
          </w:p>
          <w:p w14:paraId="05A90EC7">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3. 工地地面硬化处理（办公区、生活区、现场道路、材料堆放、混凝土搅拌、砂浆搅拌、钢筋加工等场地和外脚手架基础等）。</w:t>
            </w:r>
          </w:p>
        </w:tc>
      </w:tr>
      <w:tr w14:paraId="5B3D5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4B32ECD7">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247B8BB2">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材料堆放</w:t>
            </w:r>
          </w:p>
        </w:tc>
        <w:tc>
          <w:tcPr>
            <w:tcW w:w="6396" w:type="dxa"/>
            <w:noWrap w:val="0"/>
            <w:vAlign w:val="center"/>
          </w:tcPr>
          <w:p w14:paraId="167EE91C">
            <w:pPr>
              <w:pStyle w:val="75"/>
              <w:numPr>
                <w:ilvl w:val="0"/>
                <w:numId w:val="2"/>
              </w:numPr>
              <w:spacing w:line="300" w:lineRule="exact"/>
              <w:rPr>
                <w:rFonts w:hint="eastAsia" w:ascii="宋体" w:hAnsi="宋体" w:cs="宋体"/>
                <w:color w:val="auto"/>
                <w:szCs w:val="21"/>
                <w:highlight w:val="none"/>
              </w:rPr>
            </w:pPr>
            <w:r>
              <w:rPr>
                <w:rFonts w:hint="eastAsia" w:ascii="宋体" w:hAnsi="宋体" w:cs="宋体"/>
                <w:color w:val="auto"/>
                <w:szCs w:val="21"/>
                <w:highlight w:val="none"/>
              </w:rPr>
              <w:t>材料、构件、料具等堆放时，应有名称、品种、规格等标牌。</w:t>
            </w:r>
          </w:p>
          <w:p w14:paraId="060810F1">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水泥和其它易飞扬细颗粒建筑材料应封闭存放或采取覆盖等措施。</w:t>
            </w:r>
          </w:p>
          <w:p w14:paraId="60FB39DC">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3. 易燃、易爆和有毒有害物品分类存放。</w:t>
            </w:r>
          </w:p>
        </w:tc>
      </w:tr>
      <w:tr w14:paraId="19784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738" w:type="dxa"/>
            <w:vMerge w:val="continue"/>
            <w:noWrap w:val="0"/>
            <w:vAlign w:val="center"/>
          </w:tcPr>
          <w:p w14:paraId="235B2E7C">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06540076">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现场防火</w:t>
            </w:r>
          </w:p>
        </w:tc>
        <w:tc>
          <w:tcPr>
            <w:tcW w:w="6396" w:type="dxa"/>
            <w:noWrap w:val="0"/>
            <w:vAlign w:val="center"/>
          </w:tcPr>
          <w:p w14:paraId="6C1D6A08">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消防器材配置合理，符合消防要求。</w:t>
            </w:r>
          </w:p>
        </w:tc>
      </w:tr>
      <w:tr w14:paraId="2A7A19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09C91E43">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4A426429">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垃圾清运</w:t>
            </w:r>
          </w:p>
        </w:tc>
        <w:tc>
          <w:tcPr>
            <w:tcW w:w="6396" w:type="dxa"/>
            <w:noWrap w:val="0"/>
            <w:vAlign w:val="center"/>
          </w:tcPr>
          <w:p w14:paraId="57F9090C">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施工现场应设置密闭式垃圾站，施工垃圾、生活垃圾应分类存放。</w:t>
            </w:r>
          </w:p>
          <w:p w14:paraId="33E5FC9B">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施工垃圾必须采用相应容器或管道运输。</w:t>
            </w:r>
          </w:p>
        </w:tc>
      </w:tr>
      <w:tr w14:paraId="3C7A17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0EB3062E">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6F196896">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宣传栏、环保及不扰民措施</w:t>
            </w:r>
          </w:p>
        </w:tc>
        <w:tc>
          <w:tcPr>
            <w:tcW w:w="6396" w:type="dxa"/>
            <w:noWrap w:val="0"/>
            <w:vAlign w:val="center"/>
          </w:tcPr>
          <w:p w14:paraId="45D6EF4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宣传栏、安全宣传标语等，洗车（防止污染市区道路）、粉尘、噪声控制和排污（污水、废气）措施等。</w:t>
            </w:r>
          </w:p>
        </w:tc>
      </w:tr>
      <w:tr w14:paraId="5B71B2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restart"/>
            <w:noWrap w:val="0"/>
            <w:vAlign w:val="center"/>
          </w:tcPr>
          <w:p w14:paraId="26AF5229">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临时设施</w:t>
            </w:r>
          </w:p>
        </w:tc>
        <w:tc>
          <w:tcPr>
            <w:tcW w:w="2070" w:type="dxa"/>
            <w:gridSpan w:val="2"/>
            <w:noWrap w:val="0"/>
            <w:vAlign w:val="center"/>
          </w:tcPr>
          <w:p w14:paraId="4756F27F">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现场办公</w:t>
            </w:r>
          </w:p>
          <w:p w14:paraId="200A9000">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生活设施</w:t>
            </w:r>
          </w:p>
        </w:tc>
        <w:tc>
          <w:tcPr>
            <w:tcW w:w="6396" w:type="dxa"/>
            <w:noWrap w:val="0"/>
            <w:vAlign w:val="center"/>
          </w:tcPr>
          <w:p w14:paraId="3E8CF4C1">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施工现场办公、生活区与作业区分开设置，保持安全距离。</w:t>
            </w:r>
          </w:p>
          <w:p w14:paraId="09C53EA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工地办公室、现场宿舍、食堂、厕所、饮水、沐浴、休息场所等符合卫生、消防安全要求。</w:t>
            </w:r>
          </w:p>
        </w:tc>
      </w:tr>
      <w:tr w14:paraId="3B99E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46A880B4">
            <w:pPr>
              <w:pStyle w:val="75"/>
              <w:spacing w:line="300" w:lineRule="exact"/>
              <w:jc w:val="center"/>
              <w:rPr>
                <w:rFonts w:hint="eastAsia" w:ascii="宋体" w:hAnsi="宋体" w:cs="宋体"/>
                <w:color w:val="auto"/>
                <w:szCs w:val="21"/>
                <w:highlight w:val="none"/>
              </w:rPr>
            </w:pPr>
          </w:p>
        </w:tc>
        <w:tc>
          <w:tcPr>
            <w:tcW w:w="525" w:type="dxa"/>
            <w:vMerge w:val="restart"/>
            <w:noWrap w:val="0"/>
            <w:vAlign w:val="center"/>
          </w:tcPr>
          <w:p w14:paraId="0211B2F7">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施工现场</w:t>
            </w:r>
          </w:p>
          <w:p w14:paraId="01606D00">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临时用电</w:t>
            </w:r>
          </w:p>
        </w:tc>
        <w:tc>
          <w:tcPr>
            <w:tcW w:w="1545" w:type="dxa"/>
            <w:noWrap w:val="0"/>
            <w:vAlign w:val="center"/>
          </w:tcPr>
          <w:p w14:paraId="77B3BEEE">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配电线路</w:t>
            </w:r>
          </w:p>
        </w:tc>
        <w:tc>
          <w:tcPr>
            <w:tcW w:w="6396" w:type="dxa"/>
            <w:noWrap w:val="0"/>
            <w:vAlign w:val="center"/>
          </w:tcPr>
          <w:p w14:paraId="70B6005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按照TN-S系统要求配备五芯电缆、四芯电缆和三芯电缆。</w:t>
            </w:r>
          </w:p>
          <w:p w14:paraId="14717E54">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按要求架设临时用电线路的电杆、横担、瓷夹、瓷瓶等，或电缆埋地的地沟。</w:t>
            </w:r>
          </w:p>
          <w:p w14:paraId="031665A6">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3. 对靠近施工现场的外电线路，设置木质、塑料等绝缘体的防护设施。</w:t>
            </w:r>
          </w:p>
        </w:tc>
      </w:tr>
      <w:tr w14:paraId="7F2C36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4BAD59FC">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25AB4805">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2B3AC23E">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配电箱</w:t>
            </w:r>
          </w:p>
          <w:p w14:paraId="271A513C">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开关箱</w:t>
            </w:r>
          </w:p>
        </w:tc>
        <w:tc>
          <w:tcPr>
            <w:tcW w:w="6396" w:type="dxa"/>
            <w:noWrap w:val="0"/>
            <w:vAlign w:val="center"/>
          </w:tcPr>
          <w:p w14:paraId="455AAE92">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按三级配电要求，配备总配电箱、分配电箱、开关箱三类（铁质）标准电箱，开关箱应符合“一机、一箱、一闸、一漏”，三类电箱中的各类电器应是合格品。</w:t>
            </w:r>
          </w:p>
          <w:p w14:paraId="5C3C2FEF">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按两级保护的要求，选取符合容量要求和质量合格的总配电箱和开关箱中的漏电保护器。</w:t>
            </w:r>
          </w:p>
          <w:p w14:paraId="77DF2817">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3. 对大型、落地式分配电箱、开关箱设置防护棚和通透式围挡。</w:t>
            </w:r>
          </w:p>
        </w:tc>
      </w:tr>
      <w:tr w14:paraId="2B36F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738" w:type="dxa"/>
            <w:vMerge w:val="continue"/>
            <w:noWrap w:val="0"/>
            <w:vAlign w:val="center"/>
          </w:tcPr>
          <w:p w14:paraId="35D472BE">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1B2D2F6B">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4EB8DA82">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接地装置</w:t>
            </w:r>
          </w:p>
        </w:tc>
        <w:tc>
          <w:tcPr>
            <w:tcW w:w="6396" w:type="dxa"/>
            <w:noWrap w:val="0"/>
            <w:vAlign w:val="center"/>
          </w:tcPr>
          <w:p w14:paraId="095BE03D">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施工现场应设置不少于三处的重复接地装置。</w:t>
            </w:r>
          </w:p>
        </w:tc>
      </w:tr>
      <w:tr w14:paraId="058F0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738" w:type="dxa"/>
            <w:vMerge w:val="continue"/>
            <w:noWrap w:val="0"/>
            <w:vAlign w:val="center"/>
          </w:tcPr>
          <w:p w14:paraId="0924B83F">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17E2D7F2">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73937EDC">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现场变配电装置</w:t>
            </w:r>
          </w:p>
        </w:tc>
        <w:tc>
          <w:tcPr>
            <w:tcW w:w="6396" w:type="dxa"/>
            <w:noWrap w:val="0"/>
            <w:vAlign w:val="center"/>
          </w:tcPr>
          <w:p w14:paraId="2593BC6D">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总配电房建筑材料必须达到消防防火要求，室内做硬地坪、电缆沟。</w:t>
            </w:r>
          </w:p>
        </w:tc>
      </w:tr>
      <w:tr w14:paraId="69B6E2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738" w:type="dxa"/>
            <w:noWrap w:val="0"/>
            <w:vAlign w:val="center"/>
          </w:tcPr>
          <w:p w14:paraId="187296AA">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类别</w:t>
            </w:r>
          </w:p>
        </w:tc>
        <w:tc>
          <w:tcPr>
            <w:tcW w:w="2070" w:type="dxa"/>
            <w:gridSpan w:val="2"/>
            <w:noWrap w:val="0"/>
            <w:vAlign w:val="center"/>
          </w:tcPr>
          <w:p w14:paraId="00DAB99D">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项目名称</w:t>
            </w:r>
          </w:p>
        </w:tc>
        <w:tc>
          <w:tcPr>
            <w:tcW w:w="6396" w:type="dxa"/>
            <w:noWrap w:val="0"/>
            <w:vAlign w:val="center"/>
          </w:tcPr>
          <w:p w14:paraId="2F179332">
            <w:pPr>
              <w:pStyle w:val="75"/>
              <w:spacing w:line="300" w:lineRule="exact"/>
              <w:jc w:val="center"/>
              <w:rPr>
                <w:rFonts w:hint="eastAsia" w:ascii="宋体" w:hAnsi="宋体" w:cs="宋体"/>
                <w:b/>
                <w:bCs/>
                <w:color w:val="auto"/>
                <w:szCs w:val="21"/>
                <w:highlight w:val="none"/>
              </w:rPr>
            </w:pPr>
            <w:r>
              <w:rPr>
                <w:rFonts w:hint="eastAsia" w:ascii="宋体" w:hAnsi="宋体" w:cs="宋体"/>
                <w:b/>
                <w:bCs/>
                <w:color w:val="auto"/>
                <w:szCs w:val="21"/>
                <w:highlight w:val="none"/>
              </w:rPr>
              <w:t>主要内容和要求</w:t>
            </w:r>
          </w:p>
        </w:tc>
      </w:tr>
      <w:tr w14:paraId="38FD14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restart"/>
            <w:noWrap w:val="0"/>
            <w:vAlign w:val="center"/>
          </w:tcPr>
          <w:p w14:paraId="2AE2C7A8">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安全施工</w:t>
            </w:r>
          </w:p>
        </w:tc>
        <w:tc>
          <w:tcPr>
            <w:tcW w:w="525" w:type="dxa"/>
            <w:vMerge w:val="restart"/>
            <w:noWrap w:val="0"/>
            <w:vAlign w:val="center"/>
          </w:tcPr>
          <w:p w14:paraId="0FCDB534">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高处作业防护</w:t>
            </w:r>
          </w:p>
        </w:tc>
        <w:tc>
          <w:tcPr>
            <w:tcW w:w="1545" w:type="dxa"/>
            <w:noWrap w:val="0"/>
            <w:vAlign w:val="center"/>
          </w:tcPr>
          <w:p w14:paraId="0C20E215">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楼层、屋面、阳台等临边</w:t>
            </w:r>
          </w:p>
        </w:tc>
        <w:tc>
          <w:tcPr>
            <w:tcW w:w="6396" w:type="dxa"/>
            <w:noWrap w:val="0"/>
            <w:vAlign w:val="center"/>
          </w:tcPr>
          <w:p w14:paraId="48C8F3AA">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设两道防护栏杆和18cm高的踢脚板，用密目式安全立网全封闭。</w:t>
            </w:r>
          </w:p>
        </w:tc>
      </w:tr>
      <w:tr w14:paraId="7DE26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1AAB64FF">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156E2C1F">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1249BAD1">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通道口</w:t>
            </w:r>
          </w:p>
        </w:tc>
        <w:tc>
          <w:tcPr>
            <w:tcW w:w="6396" w:type="dxa"/>
            <w:noWrap w:val="0"/>
            <w:vAlign w:val="center"/>
          </w:tcPr>
          <w:p w14:paraId="015B2F1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设防护棚，防护棚应为不小于5cm厚的木板或两道相距50cm的竹笆。两侧应沿栏杆架用密目式安全网封闭。</w:t>
            </w:r>
          </w:p>
        </w:tc>
      </w:tr>
      <w:tr w14:paraId="6869D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6025D546">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0F314AEB">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0ABD9C50">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预留洞口</w:t>
            </w:r>
          </w:p>
        </w:tc>
        <w:tc>
          <w:tcPr>
            <w:tcW w:w="6396" w:type="dxa"/>
            <w:noWrap w:val="0"/>
            <w:vAlign w:val="center"/>
          </w:tcPr>
          <w:p w14:paraId="6EB6807E">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用硬质材料全封闭，短边超过1.5m长的洞口，除封闭外四周还应设有防护栏杆。</w:t>
            </w:r>
          </w:p>
        </w:tc>
      </w:tr>
      <w:tr w14:paraId="78A88A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738" w:type="dxa"/>
            <w:vMerge w:val="continue"/>
            <w:noWrap w:val="0"/>
            <w:vAlign w:val="center"/>
          </w:tcPr>
          <w:p w14:paraId="4D716E3E">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470BEF34">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56725714">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电梯井口</w:t>
            </w:r>
          </w:p>
        </w:tc>
        <w:tc>
          <w:tcPr>
            <w:tcW w:w="6396" w:type="dxa"/>
            <w:noWrap w:val="0"/>
            <w:vAlign w:val="center"/>
          </w:tcPr>
          <w:p w14:paraId="37CE4038">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设置定型化、工具化的防护门，在电梯井内每隔2层（不大于10m）设置一道水平防护。</w:t>
            </w:r>
          </w:p>
        </w:tc>
      </w:tr>
      <w:tr w14:paraId="151771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25DC9FCE">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22CC432C">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085F296C">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楼梯边</w:t>
            </w:r>
          </w:p>
        </w:tc>
        <w:tc>
          <w:tcPr>
            <w:tcW w:w="6396" w:type="dxa"/>
            <w:noWrap w:val="0"/>
            <w:vAlign w:val="center"/>
          </w:tcPr>
          <w:p w14:paraId="46F9B546">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设1.2m高的定型化、工具化的防护栏，18cm高的踢脚板。</w:t>
            </w:r>
          </w:p>
        </w:tc>
      </w:tr>
      <w:tr w14:paraId="75E4FA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1E13B52F">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2607C2B7">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648B9B14">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垂直方向交叉作业</w:t>
            </w:r>
          </w:p>
        </w:tc>
        <w:tc>
          <w:tcPr>
            <w:tcW w:w="6396" w:type="dxa"/>
            <w:noWrap w:val="0"/>
            <w:vAlign w:val="center"/>
          </w:tcPr>
          <w:p w14:paraId="0774E5B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设置防护隔离棚或其它设施。</w:t>
            </w:r>
          </w:p>
        </w:tc>
      </w:tr>
      <w:tr w14:paraId="14AEC4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1F0112D5">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47CCCED6">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3EAD4775">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高处作业</w:t>
            </w:r>
          </w:p>
        </w:tc>
        <w:tc>
          <w:tcPr>
            <w:tcW w:w="6396" w:type="dxa"/>
            <w:noWrap w:val="0"/>
            <w:vAlign w:val="center"/>
          </w:tcPr>
          <w:p w14:paraId="2070F47B">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有悬挂安全带的悬索或其它设施，有操作平台，有上下的梯子或其它形式的通道。</w:t>
            </w:r>
          </w:p>
        </w:tc>
      </w:tr>
      <w:tr w14:paraId="17551F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47444C69">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421E6A98">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0B2EC498">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基坑、物料平台</w:t>
            </w:r>
          </w:p>
        </w:tc>
        <w:tc>
          <w:tcPr>
            <w:tcW w:w="6396" w:type="dxa"/>
            <w:noWrap w:val="0"/>
            <w:vAlign w:val="center"/>
          </w:tcPr>
          <w:p w14:paraId="11E28276">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设1.2m高标准化的防护栏，用密目式安全立网封闭，悬挂标识。</w:t>
            </w:r>
          </w:p>
        </w:tc>
      </w:tr>
      <w:tr w14:paraId="42564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7CAD5056">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51C4CC02">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安全防护用品</w:t>
            </w:r>
          </w:p>
        </w:tc>
        <w:tc>
          <w:tcPr>
            <w:tcW w:w="6396" w:type="dxa"/>
            <w:noWrap w:val="0"/>
            <w:vAlign w:val="center"/>
          </w:tcPr>
          <w:p w14:paraId="7FC7D3F0">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安全帽、安全带、特种作业人员（电工、焊工、架子工等）防护服装、用品等。</w:t>
            </w:r>
          </w:p>
        </w:tc>
      </w:tr>
      <w:tr w14:paraId="100EF8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738" w:type="dxa"/>
            <w:vMerge w:val="restart"/>
            <w:noWrap w:val="0"/>
            <w:vAlign w:val="center"/>
          </w:tcPr>
          <w:p w14:paraId="22D537F4">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其它</w:t>
            </w:r>
          </w:p>
        </w:tc>
        <w:tc>
          <w:tcPr>
            <w:tcW w:w="525" w:type="dxa"/>
            <w:vMerge w:val="restart"/>
            <w:noWrap w:val="0"/>
            <w:vAlign w:val="center"/>
          </w:tcPr>
          <w:p w14:paraId="5B16231D">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机械设备防护</w:t>
            </w:r>
          </w:p>
        </w:tc>
        <w:tc>
          <w:tcPr>
            <w:tcW w:w="1545" w:type="dxa"/>
            <w:noWrap w:val="0"/>
            <w:vAlign w:val="center"/>
          </w:tcPr>
          <w:p w14:paraId="7BC04CFE">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中小型机械</w:t>
            </w:r>
          </w:p>
        </w:tc>
        <w:tc>
          <w:tcPr>
            <w:tcW w:w="6396" w:type="dxa"/>
            <w:noWrap w:val="0"/>
            <w:vAlign w:val="center"/>
          </w:tcPr>
          <w:p w14:paraId="09FD024C">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设防护棚（同通道口防护并有防雨措施）。</w:t>
            </w:r>
          </w:p>
        </w:tc>
      </w:tr>
      <w:tr w14:paraId="28670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noWrap w:val="0"/>
            <w:vAlign w:val="center"/>
          </w:tcPr>
          <w:p w14:paraId="3D3900F3">
            <w:pPr>
              <w:pStyle w:val="75"/>
              <w:spacing w:line="300" w:lineRule="exact"/>
              <w:jc w:val="center"/>
              <w:rPr>
                <w:rFonts w:hint="eastAsia" w:ascii="宋体" w:hAnsi="宋体" w:cs="宋体"/>
                <w:color w:val="auto"/>
                <w:szCs w:val="21"/>
                <w:highlight w:val="none"/>
              </w:rPr>
            </w:pPr>
          </w:p>
        </w:tc>
        <w:tc>
          <w:tcPr>
            <w:tcW w:w="525" w:type="dxa"/>
            <w:vMerge w:val="continue"/>
            <w:noWrap w:val="0"/>
            <w:vAlign w:val="center"/>
          </w:tcPr>
          <w:p w14:paraId="076448AF">
            <w:pPr>
              <w:pStyle w:val="75"/>
              <w:spacing w:line="300" w:lineRule="exact"/>
              <w:jc w:val="center"/>
              <w:rPr>
                <w:rFonts w:hint="eastAsia" w:ascii="宋体" w:hAnsi="宋体" w:cs="宋体"/>
                <w:color w:val="auto"/>
                <w:szCs w:val="21"/>
                <w:highlight w:val="none"/>
              </w:rPr>
            </w:pPr>
          </w:p>
        </w:tc>
        <w:tc>
          <w:tcPr>
            <w:tcW w:w="1545" w:type="dxa"/>
            <w:noWrap w:val="0"/>
            <w:vAlign w:val="center"/>
          </w:tcPr>
          <w:p w14:paraId="40BF8994">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垂直运输设备</w:t>
            </w:r>
          </w:p>
        </w:tc>
        <w:tc>
          <w:tcPr>
            <w:tcW w:w="6396" w:type="dxa"/>
            <w:noWrap w:val="0"/>
            <w:vAlign w:val="center"/>
          </w:tcPr>
          <w:p w14:paraId="4918B868">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1. 垂直运输设备检测、检验、日常维护、保养等。</w:t>
            </w:r>
          </w:p>
          <w:p w14:paraId="50A26AAB">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2. 物料提升机、施工电梯等物料平台搭设、外侧用密目式安全立网全封闭，有安全通道、安全防护门、防护棚等。</w:t>
            </w:r>
          </w:p>
        </w:tc>
      </w:tr>
      <w:tr w14:paraId="67B884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738" w:type="dxa"/>
            <w:vMerge w:val="continue"/>
            <w:noWrap w:val="0"/>
            <w:vAlign w:val="center"/>
          </w:tcPr>
          <w:p w14:paraId="3863B940">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7AD0B516">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专家论证审查</w:t>
            </w:r>
          </w:p>
        </w:tc>
        <w:tc>
          <w:tcPr>
            <w:tcW w:w="6396" w:type="dxa"/>
            <w:noWrap w:val="0"/>
            <w:vAlign w:val="center"/>
          </w:tcPr>
          <w:p w14:paraId="7750727A">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超过一定规模的危险性较大分部分项工程专家论证审查。</w:t>
            </w:r>
          </w:p>
        </w:tc>
      </w:tr>
      <w:tr w14:paraId="73CA05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738" w:type="dxa"/>
            <w:vMerge w:val="continue"/>
            <w:noWrap w:val="0"/>
            <w:vAlign w:val="center"/>
          </w:tcPr>
          <w:p w14:paraId="2F1E6636">
            <w:pPr>
              <w:pStyle w:val="75"/>
              <w:spacing w:line="300" w:lineRule="exact"/>
              <w:jc w:val="center"/>
              <w:rPr>
                <w:rFonts w:hint="eastAsia" w:ascii="宋体" w:hAnsi="宋体" w:cs="宋体"/>
                <w:color w:val="auto"/>
                <w:szCs w:val="21"/>
                <w:highlight w:val="none"/>
              </w:rPr>
            </w:pPr>
          </w:p>
        </w:tc>
        <w:tc>
          <w:tcPr>
            <w:tcW w:w="2070" w:type="dxa"/>
            <w:gridSpan w:val="2"/>
            <w:noWrap w:val="0"/>
            <w:vAlign w:val="center"/>
          </w:tcPr>
          <w:p w14:paraId="35D90B5E">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应急救援预案</w:t>
            </w:r>
          </w:p>
        </w:tc>
        <w:tc>
          <w:tcPr>
            <w:tcW w:w="6396" w:type="dxa"/>
            <w:noWrap w:val="0"/>
            <w:vAlign w:val="center"/>
          </w:tcPr>
          <w:p w14:paraId="4834E9C9">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救援器材准备及演练等。</w:t>
            </w:r>
          </w:p>
        </w:tc>
      </w:tr>
      <w:tr w14:paraId="33074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738" w:type="dxa"/>
            <w:vMerge w:val="continue"/>
            <w:tcBorders>
              <w:bottom w:val="single" w:color="auto" w:sz="12" w:space="0"/>
            </w:tcBorders>
            <w:noWrap w:val="0"/>
            <w:vAlign w:val="center"/>
          </w:tcPr>
          <w:p w14:paraId="1C2AE8AE">
            <w:pPr>
              <w:pStyle w:val="75"/>
              <w:spacing w:line="300" w:lineRule="exact"/>
              <w:jc w:val="center"/>
              <w:rPr>
                <w:rFonts w:hint="eastAsia" w:ascii="宋体" w:hAnsi="宋体" w:cs="宋体"/>
                <w:color w:val="auto"/>
                <w:szCs w:val="21"/>
                <w:highlight w:val="none"/>
              </w:rPr>
            </w:pPr>
          </w:p>
        </w:tc>
        <w:tc>
          <w:tcPr>
            <w:tcW w:w="2070" w:type="dxa"/>
            <w:gridSpan w:val="2"/>
            <w:tcBorders>
              <w:bottom w:val="single" w:color="auto" w:sz="12" w:space="0"/>
            </w:tcBorders>
            <w:noWrap w:val="0"/>
            <w:vAlign w:val="center"/>
          </w:tcPr>
          <w:p w14:paraId="422F7CA9">
            <w:pPr>
              <w:pStyle w:val="75"/>
              <w:spacing w:line="300" w:lineRule="exact"/>
              <w:jc w:val="center"/>
              <w:rPr>
                <w:rFonts w:hint="eastAsia" w:ascii="宋体" w:hAnsi="宋体" w:cs="宋体"/>
                <w:color w:val="auto"/>
                <w:szCs w:val="21"/>
                <w:highlight w:val="none"/>
              </w:rPr>
            </w:pPr>
            <w:r>
              <w:rPr>
                <w:rFonts w:hint="eastAsia" w:ascii="宋体" w:hAnsi="宋体" w:cs="宋体"/>
                <w:color w:val="auto"/>
                <w:szCs w:val="21"/>
                <w:highlight w:val="none"/>
              </w:rPr>
              <w:t>非正常情况施工</w:t>
            </w:r>
          </w:p>
        </w:tc>
        <w:tc>
          <w:tcPr>
            <w:tcW w:w="6396" w:type="dxa"/>
            <w:tcBorders>
              <w:bottom w:val="single" w:color="auto" w:sz="12" w:space="0"/>
            </w:tcBorders>
            <w:noWrap w:val="0"/>
            <w:vAlign w:val="center"/>
          </w:tcPr>
          <w:p w14:paraId="490463A2">
            <w:pPr>
              <w:pStyle w:val="75"/>
              <w:spacing w:line="300" w:lineRule="exact"/>
              <w:rPr>
                <w:rFonts w:hint="eastAsia" w:ascii="宋体" w:hAnsi="宋体" w:cs="宋体"/>
                <w:color w:val="auto"/>
                <w:szCs w:val="21"/>
                <w:highlight w:val="none"/>
              </w:rPr>
            </w:pPr>
            <w:r>
              <w:rPr>
                <w:rFonts w:hint="eastAsia" w:ascii="宋体" w:hAnsi="宋体" w:cs="宋体"/>
                <w:color w:val="auto"/>
                <w:szCs w:val="21"/>
                <w:highlight w:val="none"/>
              </w:rPr>
              <w:t>其它特殊情况下的防护费用，如：城市主干道、人流密集、河边等处施工及文物、古建筑、古树保护等。</w:t>
            </w:r>
          </w:p>
        </w:tc>
      </w:tr>
    </w:tbl>
    <w:p w14:paraId="68CE253A">
      <w:pPr>
        <w:pStyle w:val="75"/>
        <w:spacing w:line="240" w:lineRule="atLeast"/>
        <w:ind w:firstLine="546"/>
        <w:jc w:val="center"/>
        <w:rPr>
          <w:rFonts w:hint="eastAsia" w:ascii="宋体" w:hAnsi="宋体" w:cs="宋体"/>
          <w:b/>
          <w:bCs/>
          <w:color w:val="auto"/>
          <w:w w:val="90"/>
          <w:sz w:val="24"/>
          <w:szCs w:val="24"/>
          <w:highlight w:val="none"/>
        </w:rPr>
      </w:pPr>
    </w:p>
    <w:p w14:paraId="6F77081D">
      <w:pPr>
        <w:pStyle w:val="75"/>
        <w:spacing w:before="156" w:beforeLines="50"/>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注：本表所列建筑工程安全文明施工费，是依据现行法律法规及标准规范确定的。如法律法规和标准规范修订，本表所列项目应按照修订后的法律法规和标准规范进行调整。</w:t>
      </w:r>
    </w:p>
    <w:p w14:paraId="5E9765AC">
      <w:pPr>
        <w:pStyle w:val="26"/>
        <w:ind w:right="630"/>
        <w:jc w:val="right"/>
        <w:rPr>
          <w:rFonts w:hint="eastAsia" w:hAnsi="宋体" w:cs="宋体"/>
          <w:color w:val="auto"/>
          <w:sz w:val="21"/>
          <w:szCs w:val="21"/>
          <w:highlight w:val="none"/>
        </w:rPr>
      </w:pPr>
    </w:p>
    <w:p w14:paraId="6ADB1BB7">
      <w:pPr>
        <w:pStyle w:val="26"/>
        <w:ind w:right="630"/>
        <w:jc w:val="right"/>
        <w:rPr>
          <w:rFonts w:hint="eastAsia" w:hAnsi="宋体" w:cs="宋体"/>
          <w:color w:val="auto"/>
          <w:sz w:val="21"/>
          <w:szCs w:val="21"/>
          <w:highlight w:val="none"/>
        </w:rPr>
      </w:pPr>
    </w:p>
    <w:p w14:paraId="2CC6AD9E">
      <w:pPr>
        <w:pStyle w:val="26"/>
        <w:ind w:right="630"/>
        <w:jc w:val="right"/>
        <w:rPr>
          <w:rFonts w:hint="eastAsia" w:hAnsi="宋体" w:cs="宋体"/>
          <w:color w:val="auto"/>
          <w:sz w:val="21"/>
          <w:szCs w:val="21"/>
          <w:highlight w:val="none"/>
        </w:rPr>
      </w:pPr>
    </w:p>
    <w:p w14:paraId="7366B9E7">
      <w:pPr>
        <w:pStyle w:val="26"/>
        <w:rPr>
          <w:rFonts w:hint="eastAsia" w:hAnsi="宋体" w:cs="宋体"/>
          <w:color w:val="auto"/>
          <w:highlight w:val="none"/>
        </w:rPr>
      </w:pPr>
    </w:p>
    <w:p w14:paraId="2EF98983">
      <w:pPr>
        <w:pStyle w:val="26"/>
        <w:rPr>
          <w:rFonts w:hint="eastAsia" w:hAnsi="宋体" w:cs="宋体"/>
          <w:color w:val="auto"/>
          <w:highlight w:val="none"/>
        </w:rPr>
      </w:pPr>
    </w:p>
    <w:bookmarkEnd w:id="246"/>
    <w:bookmarkEnd w:id="247"/>
    <w:bookmarkEnd w:id="897"/>
    <w:bookmarkEnd w:id="898"/>
    <w:bookmarkEnd w:id="899"/>
    <w:bookmarkEnd w:id="900"/>
    <w:bookmarkEnd w:id="901"/>
    <w:bookmarkEnd w:id="902"/>
    <w:bookmarkEnd w:id="903"/>
    <w:bookmarkEnd w:id="904"/>
    <w:bookmarkEnd w:id="905"/>
    <w:p w14:paraId="2FBEF1F2">
      <w:pPr>
        <w:pStyle w:val="4"/>
        <w:spacing w:before="0" w:beforeLines="0" w:after="0" w:afterLines="0" w:line="440" w:lineRule="exact"/>
        <w:jc w:val="center"/>
        <w:rPr>
          <w:rFonts w:hint="eastAsia" w:ascii="宋体" w:hAnsi="宋体" w:cs="宋体"/>
          <w:color w:val="auto"/>
          <w:kern w:val="0"/>
          <w:highlight w:val="none"/>
        </w:rPr>
      </w:pPr>
      <w:bookmarkStart w:id="918" w:name="_Toc336079865"/>
      <w:bookmarkStart w:id="919" w:name="_Toc47088400"/>
      <w:bookmarkStart w:id="920" w:name="_Toc482785109"/>
      <w:bookmarkStart w:id="921" w:name="_Toc75182802"/>
      <w:r>
        <w:rPr>
          <w:rFonts w:hint="eastAsia" w:ascii="宋体" w:hAnsi="宋体" w:cs="宋体"/>
          <w:color w:val="auto"/>
          <w:kern w:val="0"/>
          <w:highlight w:val="none"/>
          <w:lang w:val="en-US" w:eastAsia="zh-CN"/>
        </w:rPr>
        <w:t>10</w:t>
      </w:r>
      <w:r>
        <w:rPr>
          <w:rFonts w:hint="eastAsia" w:ascii="宋体" w:hAnsi="宋体" w:cs="宋体"/>
          <w:color w:val="auto"/>
          <w:kern w:val="0"/>
          <w:highlight w:val="none"/>
        </w:rPr>
        <w:t>、施工组织设计</w:t>
      </w:r>
      <w:bookmarkEnd w:id="918"/>
      <w:bookmarkEnd w:id="919"/>
      <w:bookmarkEnd w:id="920"/>
      <w:bookmarkEnd w:id="921"/>
    </w:p>
    <w:p w14:paraId="0B2F182C">
      <w:pPr>
        <w:spacing w:line="460" w:lineRule="exact"/>
        <w:ind w:firstLine="420" w:firstLineChars="200"/>
        <w:rPr>
          <w:rFonts w:hint="eastAsia" w:ascii="宋体" w:hAnsi="宋体" w:cs="宋体"/>
          <w:color w:val="auto"/>
          <w:szCs w:val="21"/>
          <w:highlight w:val="none"/>
        </w:rPr>
      </w:pPr>
      <w:bookmarkStart w:id="922" w:name="_Toc42046274"/>
      <w:bookmarkStart w:id="923" w:name="_Toc74156291"/>
      <w:bookmarkStart w:id="924" w:name="_Toc93199519"/>
      <w:bookmarkStart w:id="925" w:name="_Toc235533438"/>
    </w:p>
    <w:p w14:paraId="18E88A66">
      <w:pPr>
        <w:pStyle w:val="145"/>
        <w:spacing w:before="0" w:beforeLines="0" w:after="0" w:afterLines="0" w:afterAutospacing="0" w:line="419" w:lineRule="exact"/>
        <w:ind w:left="520"/>
        <w:jc w:val="center"/>
        <w:rPr>
          <w:rFonts w:hint="eastAsia" w:ascii="宋体" w:hAnsi="宋体" w:cs="宋体"/>
          <w:color w:val="auto"/>
          <w:highlight w:val="none"/>
        </w:rPr>
      </w:pPr>
      <w:r>
        <w:rPr>
          <w:rStyle w:val="99"/>
          <w:rFonts w:hint="eastAsia" w:ascii="宋体" w:hAnsi="宋体" w:cs="宋体"/>
          <w:color w:val="auto"/>
          <w:highlight w:val="none"/>
        </w:rPr>
        <w:t>（供应商须结合项目实际情况和文件需求、评标办法自行编制技术内容、格式自拟，要求文字简易精炼、内容具有针对性）</w:t>
      </w:r>
    </w:p>
    <w:p w14:paraId="1A2AED91">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w:t>
      </w:r>
      <w:r>
        <w:rPr>
          <w:rFonts w:hint="eastAsia" w:ascii="宋体" w:hAnsi="宋体" w:cs="宋体"/>
          <w:color w:val="auto"/>
          <w:szCs w:val="21"/>
          <w:highlight w:val="none"/>
        </w:rPr>
        <w:t>供应商编制施工组织设计的要求：编制时应采用文字并结合图表形式说明施工方法；</w:t>
      </w:r>
      <w:r>
        <w:rPr>
          <w:rFonts w:hint="eastAsia" w:ascii="宋体" w:hAnsi="宋体" w:cs="宋体"/>
          <w:color w:val="auto"/>
          <w:szCs w:val="21"/>
          <w:highlight w:val="none"/>
          <w:lang w:eastAsia="zh-CN"/>
        </w:rPr>
        <w:t>结合工程特点提出切实可行的</w:t>
      </w:r>
      <w:r>
        <w:rPr>
          <w:rFonts w:hint="eastAsia" w:ascii="宋体" w:hAnsi="宋体" w:cs="宋体"/>
          <w:color w:val="auto"/>
          <w:szCs w:val="21"/>
          <w:highlight w:val="none"/>
        </w:rPr>
        <w:t>施工进度计划和各阶段进度的保证措施及违约责任承诺</w:t>
      </w:r>
      <w:r>
        <w:rPr>
          <w:rFonts w:hint="eastAsia" w:ascii="宋体" w:hAnsi="宋体" w:cs="宋体"/>
          <w:color w:val="auto"/>
          <w:szCs w:val="21"/>
          <w:highlight w:val="none"/>
          <w:lang w:eastAsia="zh-CN"/>
        </w:rPr>
        <w:t>、</w:t>
      </w:r>
      <w:r>
        <w:rPr>
          <w:rFonts w:hint="eastAsia" w:ascii="宋体" w:hAnsi="宋体" w:cs="宋体"/>
          <w:color w:val="auto"/>
          <w:szCs w:val="21"/>
          <w:highlight w:val="none"/>
        </w:rPr>
        <w:t>主要施工方法</w:t>
      </w:r>
      <w:r>
        <w:rPr>
          <w:rFonts w:hint="eastAsia" w:ascii="宋体" w:hAnsi="宋体" w:cs="宋体"/>
          <w:color w:val="auto"/>
          <w:szCs w:val="21"/>
          <w:highlight w:val="none"/>
          <w:lang w:eastAsia="zh-CN"/>
        </w:rPr>
        <w:t>、</w:t>
      </w:r>
      <w:r>
        <w:rPr>
          <w:rFonts w:hint="eastAsia" w:ascii="宋体" w:hAnsi="宋体" w:cs="宋体"/>
          <w:color w:val="auto"/>
          <w:szCs w:val="21"/>
          <w:highlight w:val="none"/>
        </w:rPr>
        <w:t>机械和材料投入计划及其保证措施</w:t>
      </w:r>
      <w:r>
        <w:rPr>
          <w:rFonts w:hint="eastAsia" w:ascii="宋体" w:hAnsi="宋体" w:cs="宋体"/>
          <w:color w:val="auto"/>
          <w:szCs w:val="21"/>
          <w:highlight w:val="none"/>
          <w:lang w:eastAsia="zh-CN"/>
        </w:rPr>
        <w:t>、</w:t>
      </w:r>
      <w:r>
        <w:rPr>
          <w:rFonts w:hint="eastAsia" w:ascii="宋体" w:hAnsi="宋体" w:cs="宋体"/>
          <w:color w:val="auto"/>
          <w:szCs w:val="21"/>
          <w:highlight w:val="none"/>
        </w:rPr>
        <w:t>安全文明施工措施</w:t>
      </w:r>
      <w:r>
        <w:rPr>
          <w:rFonts w:hint="eastAsia" w:ascii="宋体" w:hAnsi="宋体" w:cs="宋体"/>
          <w:color w:val="auto"/>
          <w:szCs w:val="21"/>
          <w:highlight w:val="none"/>
          <w:lang w:eastAsia="zh-CN"/>
        </w:rPr>
        <w:t>、</w:t>
      </w:r>
      <w:r>
        <w:rPr>
          <w:rFonts w:hint="eastAsia" w:ascii="宋体" w:hAnsi="宋体" w:cs="宋体"/>
          <w:color w:val="auto"/>
          <w:szCs w:val="21"/>
          <w:highlight w:val="none"/>
        </w:rPr>
        <w:t>质量保证措施</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劳动力安排计划</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确保工期的技术组织措施</w:t>
      </w:r>
      <w:r>
        <w:rPr>
          <w:rFonts w:hint="eastAsia" w:ascii="宋体" w:hAnsi="宋体" w:cs="宋体"/>
          <w:color w:val="auto"/>
          <w:szCs w:val="21"/>
          <w:highlight w:val="none"/>
        </w:rPr>
        <w:t>，同时应对关键工序、复杂环节重点提出相应技术措施，如冬雨季施工技术、减少噪音、降低环境污染、地下管线及其他地上地下设施的保护加固措施等。</w:t>
      </w:r>
    </w:p>
    <w:p w14:paraId="3795B7C7">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2．施工组织设计除采用文字表述外可附下列图表，图表及格式要求附后。</w:t>
      </w:r>
    </w:p>
    <w:p w14:paraId="12F4202A">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附表一  拟投入本工程的主要施工设备表</w:t>
      </w:r>
    </w:p>
    <w:p w14:paraId="0792F67D">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附表二  拟配备本工程的试验和检测仪器设备表</w:t>
      </w:r>
    </w:p>
    <w:p w14:paraId="3320B520">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附表三  劳动力计划表</w:t>
      </w:r>
    </w:p>
    <w:p w14:paraId="36401176">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附表四  计划开、竣工日期和施工进度网络图</w:t>
      </w:r>
    </w:p>
    <w:p w14:paraId="284BC8FF">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附表五  施工总平面图</w:t>
      </w:r>
    </w:p>
    <w:p w14:paraId="1ED3479E">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附表六  临时用地表</w:t>
      </w:r>
    </w:p>
    <w:p w14:paraId="46ED3729">
      <w:pPr>
        <w:pStyle w:val="75"/>
        <w:spacing w:line="460" w:lineRule="exact"/>
        <w:ind w:firstLine="420" w:firstLineChars="200"/>
        <w:rPr>
          <w:rFonts w:hint="eastAsia" w:ascii="宋体" w:hAnsi="宋体" w:cs="宋体"/>
          <w:color w:val="auto"/>
          <w:szCs w:val="21"/>
          <w:highlight w:val="none"/>
        </w:rPr>
      </w:pPr>
    </w:p>
    <w:p w14:paraId="7E895E71">
      <w:pPr>
        <w:pStyle w:val="75"/>
        <w:rPr>
          <w:rFonts w:hint="eastAsia" w:ascii="宋体" w:hAnsi="宋体" w:cs="宋体"/>
          <w:color w:val="auto"/>
          <w:szCs w:val="21"/>
          <w:highlight w:val="none"/>
        </w:rPr>
      </w:pPr>
      <w:r>
        <w:rPr>
          <w:rFonts w:hint="eastAsia" w:ascii="宋体" w:hAnsi="宋体" w:cs="宋体"/>
          <w:color w:val="auto"/>
          <w:szCs w:val="21"/>
          <w:highlight w:val="none"/>
        </w:rPr>
        <w:t>附表一：拟投入本工程的主要施工设备表</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0D20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noWrap w:val="0"/>
            <w:vAlign w:val="center"/>
          </w:tcPr>
          <w:p w14:paraId="5C6D8D3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226" w:type="dxa"/>
            <w:noWrap w:val="0"/>
            <w:vAlign w:val="center"/>
          </w:tcPr>
          <w:p w14:paraId="023CD106">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设备名称</w:t>
            </w:r>
          </w:p>
        </w:tc>
        <w:tc>
          <w:tcPr>
            <w:tcW w:w="851" w:type="dxa"/>
            <w:noWrap w:val="0"/>
            <w:vAlign w:val="center"/>
          </w:tcPr>
          <w:p w14:paraId="3EA4477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型号</w:t>
            </w:r>
          </w:p>
          <w:p w14:paraId="48CBC3C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规格</w:t>
            </w:r>
          </w:p>
        </w:tc>
        <w:tc>
          <w:tcPr>
            <w:tcW w:w="708" w:type="dxa"/>
            <w:noWrap w:val="0"/>
            <w:vAlign w:val="center"/>
          </w:tcPr>
          <w:p w14:paraId="76A2676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709" w:type="dxa"/>
            <w:noWrap w:val="0"/>
            <w:vAlign w:val="center"/>
          </w:tcPr>
          <w:p w14:paraId="08214D40">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国别</w:t>
            </w:r>
          </w:p>
          <w:p w14:paraId="0DCDDBD7">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产地</w:t>
            </w:r>
          </w:p>
        </w:tc>
        <w:tc>
          <w:tcPr>
            <w:tcW w:w="851" w:type="dxa"/>
            <w:noWrap w:val="0"/>
            <w:vAlign w:val="center"/>
          </w:tcPr>
          <w:p w14:paraId="20D9BA7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制造</w:t>
            </w:r>
          </w:p>
          <w:p w14:paraId="728ABA88">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年份</w:t>
            </w:r>
          </w:p>
        </w:tc>
        <w:tc>
          <w:tcPr>
            <w:tcW w:w="1134" w:type="dxa"/>
            <w:noWrap w:val="0"/>
            <w:vAlign w:val="center"/>
          </w:tcPr>
          <w:p w14:paraId="04E660C8">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额定功率</w:t>
            </w:r>
          </w:p>
          <w:p w14:paraId="40BDFF9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（KW）</w:t>
            </w:r>
          </w:p>
        </w:tc>
        <w:tc>
          <w:tcPr>
            <w:tcW w:w="992" w:type="dxa"/>
            <w:noWrap w:val="0"/>
            <w:vAlign w:val="center"/>
          </w:tcPr>
          <w:p w14:paraId="2627818E">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生产</w:t>
            </w:r>
          </w:p>
          <w:p w14:paraId="779C4F2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能力</w:t>
            </w:r>
          </w:p>
        </w:tc>
        <w:tc>
          <w:tcPr>
            <w:tcW w:w="1134" w:type="dxa"/>
            <w:noWrap w:val="0"/>
            <w:vAlign w:val="center"/>
          </w:tcPr>
          <w:p w14:paraId="6B74B10A">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用于施</w:t>
            </w:r>
          </w:p>
          <w:p w14:paraId="6AAA7B9B">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工部位</w:t>
            </w:r>
          </w:p>
        </w:tc>
        <w:tc>
          <w:tcPr>
            <w:tcW w:w="992" w:type="dxa"/>
            <w:noWrap w:val="0"/>
            <w:vAlign w:val="center"/>
          </w:tcPr>
          <w:p w14:paraId="487BD04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1C65B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noWrap w:val="0"/>
            <w:vAlign w:val="top"/>
          </w:tcPr>
          <w:p w14:paraId="74C3C179">
            <w:pPr>
              <w:pStyle w:val="75"/>
              <w:spacing w:line="360" w:lineRule="auto"/>
              <w:rPr>
                <w:rFonts w:hint="eastAsia" w:ascii="宋体" w:hAnsi="宋体" w:cs="宋体"/>
                <w:color w:val="auto"/>
                <w:szCs w:val="21"/>
                <w:highlight w:val="none"/>
              </w:rPr>
            </w:pPr>
          </w:p>
        </w:tc>
        <w:tc>
          <w:tcPr>
            <w:tcW w:w="1226" w:type="dxa"/>
            <w:noWrap w:val="0"/>
            <w:vAlign w:val="top"/>
          </w:tcPr>
          <w:p w14:paraId="41D81A6F">
            <w:pPr>
              <w:pStyle w:val="75"/>
              <w:spacing w:line="360" w:lineRule="auto"/>
              <w:ind w:firstLine="420" w:firstLineChars="200"/>
              <w:rPr>
                <w:rFonts w:hint="eastAsia" w:ascii="宋体" w:hAnsi="宋体" w:cs="宋体"/>
                <w:color w:val="auto"/>
                <w:szCs w:val="21"/>
                <w:highlight w:val="none"/>
              </w:rPr>
            </w:pPr>
          </w:p>
        </w:tc>
        <w:tc>
          <w:tcPr>
            <w:tcW w:w="851" w:type="dxa"/>
            <w:noWrap w:val="0"/>
            <w:vAlign w:val="top"/>
          </w:tcPr>
          <w:p w14:paraId="1220641B">
            <w:pPr>
              <w:pStyle w:val="75"/>
              <w:spacing w:line="360" w:lineRule="auto"/>
              <w:rPr>
                <w:rFonts w:hint="eastAsia" w:ascii="宋体" w:hAnsi="宋体" w:cs="宋体"/>
                <w:color w:val="auto"/>
                <w:szCs w:val="21"/>
                <w:highlight w:val="none"/>
              </w:rPr>
            </w:pPr>
          </w:p>
        </w:tc>
        <w:tc>
          <w:tcPr>
            <w:tcW w:w="708" w:type="dxa"/>
            <w:noWrap w:val="0"/>
            <w:vAlign w:val="top"/>
          </w:tcPr>
          <w:p w14:paraId="29FEFAFB">
            <w:pPr>
              <w:pStyle w:val="75"/>
              <w:spacing w:line="360" w:lineRule="auto"/>
              <w:rPr>
                <w:rFonts w:hint="eastAsia" w:ascii="宋体" w:hAnsi="宋体" w:cs="宋体"/>
                <w:color w:val="auto"/>
                <w:szCs w:val="21"/>
                <w:highlight w:val="none"/>
              </w:rPr>
            </w:pPr>
          </w:p>
        </w:tc>
        <w:tc>
          <w:tcPr>
            <w:tcW w:w="709" w:type="dxa"/>
            <w:noWrap w:val="0"/>
            <w:vAlign w:val="top"/>
          </w:tcPr>
          <w:p w14:paraId="4C60240B">
            <w:pPr>
              <w:pStyle w:val="75"/>
              <w:spacing w:line="360" w:lineRule="auto"/>
              <w:rPr>
                <w:rFonts w:hint="eastAsia" w:ascii="宋体" w:hAnsi="宋体" w:cs="宋体"/>
                <w:color w:val="auto"/>
                <w:szCs w:val="21"/>
                <w:highlight w:val="none"/>
              </w:rPr>
            </w:pPr>
          </w:p>
        </w:tc>
        <w:tc>
          <w:tcPr>
            <w:tcW w:w="851" w:type="dxa"/>
            <w:noWrap w:val="0"/>
            <w:vAlign w:val="top"/>
          </w:tcPr>
          <w:p w14:paraId="79A17019">
            <w:pPr>
              <w:pStyle w:val="75"/>
              <w:spacing w:line="360" w:lineRule="auto"/>
              <w:rPr>
                <w:rFonts w:hint="eastAsia" w:ascii="宋体" w:hAnsi="宋体" w:cs="宋体"/>
                <w:color w:val="auto"/>
                <w:szCs w:val="21"/>
                <w:highlight w:val="none"/>
              </w:rPr>
            </w:pPr>
          </w:p>
        </w:tc>
        <w:tc>
          <w:tcPr>
            <w:tcW w:w="1134" w:type="dxa"/>
            <w:noWrap w:val="0"/>
            <w:vAlign w:val="top"/>
          </w:tcPr>
          <w:p w14:paraId="1EADA89B">
            <w:pPr>
              <w:pStyle w:val="75"/>
              <w:spacing w:line="360" w:lineRule="auto"/>
              <w:rPr>
                <w:rFonts w:hint="eastAsia" w:ascii="宋体" w:hAnsi="宋体" w:cs="宋体"/>
                <w:color w:val="auto"/>
                <w:szCs w:val="21"/>
                <w:highlight w:val="none"/>
              </w:rPr>
            </w:pPr>
          </w:p>
        </w:tc>
        <w:tc>
          <w:tcPr>
            <w:tcW w:w="992" w:type="dxa"/>
            <w:noWrap w:val="0"/>
            <w:vAlign w:val="top"/>
          </w:tcPr>
          <w:p w14:paraId="0A44E758">
            <w:pPr>
              <w:pStyle w:val="75"/>
              <w:spacing w:line="360" w:lineRule="auto"/>
              <w:rPr>
                <w:rFonts w:hint="eastAsia" w:ascii="宋体" w:hAnsi="宋体" w:cs="宋体"/>
                <w:color w:val="auto"/>
                <w:szCs w:val="21"/>
                <w:highlight w:val="none"/>
              </w:rPr>
            </w:pPr>
          </w:p>
        </w:tc>
        <w:tc>
          <w:tcPr>
            <w:tcW w:w="1134" w:type="dxa"/>
            <w:noWrap w:val="0"/>
            <w:vAlign w:val="top"/>
          </w:tcPr>
          <w:p w14:paraId="68C540FB">
            <w:pPr>
              <w:pStyle w:val="75"/>
              <w:spacing w:line="360" w:lineRule="auto"/>
              <w:rPr>
                <w:rFonts w:hint="eastAsia" w:ascii="宋体" w:hAnsi="宋体" w:cs="宋体"/>
                <w:color w:val="auto"/>
                <w:szCs w:val="21"/>
                <w:highlight w:val="none"/>
              </w:rPr>
            </w:pPr>
          </w:p>
        </w:tc>
        <w:tc>
          <w:tcPr>
            <w:tcW w:w="992" w:type="dxa"/>
            <w:noWrap w:val="0"/>
            <w:vAlign w:val="top"/>
          </w:tcPr>
          <w:p w14:paraId="2B22220D">
            <w:pPr>
              <w:pStyle w:val="75"/>
              <w:spacing w:line="360" w:lineRule="auto"/>
              <w:rPr>
                <w:rFonts w:hint="eastAsia" w:ascii="宋体" w:hAnsi="宋体" w:cs="宋体"/>
                <w:color w:val="auto"/>
                <w:szCs w:val="21"/>
                <w:highlight w:val="none"/>
              </w:rPr>
            </w:pPr>
          </w:p>
        </w:tc>
      </w:tr>
      <w:tr w14:paraId="6EAB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noWrap w:val="0"/>
            <w:vAlign w:val="top"/>
          </w:tcPr>
          <w:p w14:paraId="0FD0EDA2">
            <w:pPr>
              <w:pStyle w:val="75"/>
              <w:spacing w:line="360" w:lineRule="auto"/>
              <w:rPr>
                <w:rFonts w:hint="eastAsia" w:ascii="宋体" w:hAnsi="宋体" w:cs="宋体"/>
                <w:color w:val="auto"/>
                <w:szCs w:val="21"/>
                <w:highlight w:val="none"/>
              </w:rPr>
            </w:pPr>
          </w:p>
        </w:tc>
        <w:tc>
          <w:tcPr>
            <w:tcW w:w="1226" w:type="dxa"/>
            <w:noWrap w:val="0"/>
            <w:vAlign w:val="top"/>
          </w:tcPr>
          <w:p w14:paraId="7E37FF37">
            <w:pPr>
              <w:pStyle w:val="75"/>
              <w:spacing w:line="360" w:lineRule="auto"/>
              <w:rPr>
                <w:rFonts w:hint="eastAsia" w:ascii="宋体" w:hAnsi="宋体" w:cs="宋体"/>
                <w:color w:val="auto"/>
                <w:szCs w:val="21"/>
                <w:highlight w:val="none"/>
              </w:rPr>
            </w:pPr>
          </w:p>
        </w:tc>
        <w:tc>
          <w:tcPr>
            <w:tcW w:w="851" w:type="dxa"/>
            <w:noWrap w:val="0"/>
            <w:vAlign w:val="top"/>
          </w:tcPr>
          <w:p w14:paraId="7E763EF1">
            <w:pPr>
              <w:pStyle w:val="75"/>
              <w:spacing w:line="360" w:lineRule="auto"/>
              <w:rPr>
                <w:rFonts w:hint="eastAsia" w:ascii="宋体" w:hAnsi="宋体" w:cs="宋体"/>
                <w:color w:val="auto"/>
                <w:szCs w:val="21"/>
                <w:highlight w:val="none"/>
              </w:rPr>
            </w:pPr>
          </w:p>
        </w:tc>
        <w:tc>
          <w:tcPr>
            <w:tcW w:w="708" w:type="dxa"/>
            <w:noWrap w:val="0"/>
            <w:vAlign w:val="top"/>
          </w:tcPr>
          <w:p w14:paraId="7006BA73">
            <w:pPr>
              <w:pStyle w:val="75"/>
              <w:spacing w:line="360" w:lineRule="auto"/>
              <w:rPr>
                <w:rFonts w:hint="eastAsia" w:ascii="宋体" w:hAnsi="宋体" w:cs="宋体"/>
                <w:color w:val="auto"/>
                <w:szCs w:val="21"/>
                <w:highlight w:val="none"/>
              </w:rPr>
            </w:pPr>
          </w:p>
        </w:tc>
        <w:tc>
          <w:tcPr>
            <w:tcW w:w="709" w:type="dxa"/>
            <w:noWrap w:val="0"/>
            <w:vAlign w:val="top"/>
          </w:tcPr>
          <w:p w14:paraId="3E9065A6">
            <w:pPr>
              <w:pStyle w:val="75"/>
              <w:spacing w:line="360" w:lineRule="auto"/>
              <w:rPr>
                <w:rFonts w:hint="eastAsia" w:ascii="宋体" w:hAnsi="宋体" w:cs="宋体"/>
                <w:color w:val="auto"/>
                <w:szCs w:val="21"/>
                <w:highlight w:val="none"/>
              </w:rPr>
            </w:pPr>
          </w:p>
        </w:tc>
        <w:tc>
          <w:tcPr>
            <w:tcW w:w="851" w:type="dxa"/>
            <w:noWrap w:val="0"/>
            <w:vAlign w:val="top"/>
          </w:tcPr>
          <w:p w14:paraId="37483141">
            <w:pPr>
              <w:pStyle w:val="75"/>
              <w:spacing w:line="360" w:lineRule="auto"/>
              <w:rPr>
                <w:rFonts w:hint="eastAsia" w:ascii="宋体" w:hAnsi="宋体" w:cs="宋体"/>
                <w:color w:val="auto"/>
                <w:szCs w:val="21"/>
                <w:highlight w:val="none"/>
              </w:rPr>
            </w:pPr>
          </w:p>
        </w:tc>
        <w:tc>
          <w:tcPr>
            <w:tcW w:w="1134" w:type="dxa"/>
            <w:noWrap w:val="0"/>
            <w:vAlign w:val="top"/>
          </w:tcPr>
          <w:p w14:paraId="3E2247D9">
            <w:pPr>
              <w:pStyle w:val="75"/>
              <w:spacing w:line="360" w:lineRule="auto"/>
              <w:rPr>
                <w:rFonts w:hint="eastAsia" w:ascii="宋体" w:hAnsi="宋体" w:cs="宋体"/>
                <w:color w:val="auto"/>
                <w:szCs w:val="21"/>
                <w:highlight w:val="none"/>
              </w:rPr>
            </w:pPr>
          </w:p>
        </w:tc>
        <w:tc>
          <w:tcPr>
            <w:tcW w:w="992" w:type="dxa"/>
            <w:noWrap w:val="0"/>
            <w:vAlign w:val="top"/>
          </w:tcPr>
          <w:p w14:paraId="45453E44">
            <w:pPr>
              <w:pStyle w:val="75"/>
              <w:spacing w:line="360" w:lineRule="auto"/>
              <w:rPr>
                <w:rFonts w:hint="eastAsia" w:ascii="宋体" w:hAnsi="宋体" w:cs="宋体"/>
                <w:color w:val="auto"/>
                <w:szCs w:val="21"/>
                <w:highlight w:val="none"/>
              </w:rPr>
            </w:pPr>
          </w:p>
        </w:tc>
        <w:tc>
          <w:tcPr>
            <w:tcW w:w="1134" w:type="dxa"/>
            <w:noWrap w:val="0"/>
            <w:vAlign w:val="top"/>
          </w:tcPr>
          <w:p w14:paraId="1C85A889">
            <w:pPr>
              <w:pStyle w:val="75"/>
              <w:spacing w:line="360" w:lineRule="auto"/>
              <w:rPr>
                <w:rFonts w:hint="eastAsia" w:ascii="宋体" w:hAnsi="宋体" w:cs="宋体"/>
                <w:color w:val="auto"/>
                <w:szCs w:val="21"/>
                <w:highlight w:val="none"/>
              </w:rPr>
            </w:pPr>
          </w:p>
        </w:tc>
        <w:tc>
          <w:tcPr>
            <w:tcW w:w="992" w:type="dxa"/>
            <w:noWrap w:val="0"/>
            <w:vAlign w:val="top"/>
          </w:tcPr>
          <w:p w14:paraId="06410F85">
            <w:pPr>
              <w:pStyle w:val="75"/>
              <w:spacing w:line="360" w:lineRule="auto"/>
              <w:rPr>
                <w:rFonts w:hint="eastAsia" w:ascii="宋体" w:hAnsi="宋体" w:cs="宋体"/>
                <w:color w:val="auto"/>
                <w:szCs w:val="21"/>
                <w:highlight w:val="none"/>
              </w:rPr>
            </w:pPr>
          </w:p>
        </w:tc>
      </w:tr>
      <w:tr w14:paraId="04AD5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noWrap w:val="0"/>
            <w:vAlign w:val="top"/>
          </w:tcPr>
          <w:p w14:paraId="7BE0BA51">
            <w:pPr>
              <w:pStyle w:val="75"/>
              <w:spacing w:line="360" w:lineRule="auto"/>
              <w:rPr>
                <w:rFonts w:hint="eastAsia" w:ascii="宋体" w:hAnsi="宋体" w:cs="宋体"/>
                <w:color w:val="auto"/>
                <w:szCs w:val="21"/>
                <w:highlight w:val="none"/>
              </w:rPr>
            </w:pPr>
          </w:p>
        </w:tc>
        <w:tc>
          <w:tcPr>
            <w:tcW w:w="1226" w:type="dxa"/>
            <w:noWrap w:val="0"/>
            <w:vAlign w:val="top"/>
          </w:tcPr>
          <w:p w14:paraId="2D3C24AE">
            <w:pPr>
              <w:pStyle w:val="75"/>
              <w:spacing w:line="360" w:lineRule="auto"/>
              <w:rPr>
                <w:rFonts w:hint="eastAsia" w:ascii="宋体" w:hAnsi="宋体" w:cs="宋体"/>
                <w:color w:val="auto"/>
                <w:szCs w:val="21"/>
                <w:highlight w:val="none"/>
              </w:rPr>
            </w:pPr>
          </w:p>
        </w:tc>
        <w:tc>
          <w:tcPr>
            <w:tcW w:w="851" w:type="dxa"/>
            <w:noWrap w:val="0"/>
            <w:vAlign w:val="top"/>
          </w:tcPr>
          <w:p w14:paraId="210C0682">
            <w:pPr>
              <w:pStyle w:val="75"/>
              <w:spacing w:line="360" w:lineRule="auto"/>
              <w:rPr>
                <w:rFonts w:hint="eastAsia" w:ascii="宋体" w:hAnsi="宋体" w:cs="宋体"/>
                <w:color w:val="auto"/>
                <w:szCs w:val="21"/>
                <w:highlight w:val="none"/>
              </w:rPr>
            </w:pPr>
          </w:p>
        </w:tc>
        <w:tc>
          <w:tcPr>
            <w:tcW w:w="708" w:type="dxa"/>
            <w:noWrap w:val="0"/>
            <w:vAlign w:val="top"/>
          </w:tcPr>
          <w:p w14:paraId="37613887">
            <w:pPr>
              <w:pStyle w:val="75"/>
              <w:spacing w:line="360" w:lineRule="auto"/>
              <w:rPr>
                <w:rFonts w:hint="eastAsia" w:ascii="宋体" w:hAnsi="宋体" w:cs="宋体"/>
                <w:color w:val="auto"/>
                <w:szCs w:val="21"/>
                <w:highlight w:val="none"/>
              </w:rPr>
            </w:pPr>
          </w:p>
        </w:tc>
        <w:tc>
          <w:tcPr>
            <w:tcW w:w="709" w:type="dxa"/>
            <w:noWrap w:val="0"/>
            <w:vAlign w:val="top"/>
          </w:tcPr>
          <w:p w14:paraId="5C51772B">
            <w:pPr>
              <w:pStyle w:val="75"/>
              <w:spacing w:line="360" w:lineRule="auto"/>
              <w:rPr>
                <w:rFonts w:hint="eastAsia" w:ascii="宋体" w:hAnsi="宋体" w:cs="宋体"/>
                <w:color w:val="auto"/>
                <w:szCs w:val="21"/>
                <w:highlight w:val="none"/>
              </w:rPr>
            </w:pPr>
          </w:p>
        </w:tc>
        <w:tc>
          <w:tcPr>
            <w:tcW w:w="851" w:type="dxa"/>
            <w:noWrap w:val="0"/>
            <w:vAlign w:val="top"/>
          </w:tcPr>
          <w:p w14:paraId="65D926B5">
            <w:pPr>
              <w:pStyle w:val="75"/>
              <w:spacing w:line="360" w:lineRule="auto"/>
              <w:rPr>
                <w:rFonts w:hint="eastAsia" w:ascii="宋体" w:hAnsi="宋体" w:cs="宋体"/>
                <w:color w:val="auto"/>
                <w:szCs w:val="21"/>
                <w:highlight w:val="none"/>
              </w:rPr>
            </w:pPr>
          </w:p>
        </w:tc>
        <w:tc>
          <w:tcPr>
            <w:tcW w:w="1134" w:type="dxa"/>
            <w:noWrap w:val="0"/>
            <w:vAlign w:val="top"/>
          </w:tcPr>
          <w:p w14:paraId="5E3FAE90">
            <w:pPr>
              <w:pStyle w:val="75"/>
              <w:spacing w:line="360" w:lineRule="auto"/>
              <w:rPr>
                <w:rFonts w:hint="eastAsia" w:ascii="宋体" w:hAnsi="宋体" w:cs="宋体"/>
                <w:color w:val="auto"/>
                <w:szCs w:val="21"/>
                <w:highlight w:val="none"/>
              </w:rPr>
            </w:pPr>
          </w:p>
        </w:tc>
        <w:tc>
          <w:tcPr>
            <w:tcW w:w="992" w:type="dxa"/>
            <w:noWrap w:val="0"/>
            <w:vAlign w:val="top"/>
          </w:tcPr>
          <w:p w14:paraId="1F266012">
            <w:pPr>
              <w:pStyle w:val="75"/>
              <w:spacing w:line="360" w:lineRule="auto"/>
              <w:rPr>
                <w:rFonts w:hint="eastAsia" w:ascii="宋体" w:hAnsi="宋体" w:cs="宋体"/>
                <w:color w:val="auto"/>
                <w:szCs w:val="21"/>
                <w:highlight w:val="none"/>
              </w:rPr>
            </w:pPr>
          </w:p>
        </w:tc>
        <w:tc>
          <w:tcPr>
            <w:tcW w:w="1134" w:type="dxa"/>
            <w:noWrap w:val="0"/>
            <w:vAlign w:val="top"/>
          </w:tcPr>
          <w:p w14:paraId="0A08544A">
            <w:pPr>
              <w:pStyle w:val="75"/>
              <w:spacing w:line="360" w:lineRule="auto"/>
              <w:rPr>
                <w:rFonts w:hint="eastAsia" w:ascii="宋体" w:hAnsi="宋体" w:cs="宋体"/>
                <w:color w:val="auto"/>
                <w:szCs w:val="21"/>
                <w:highlight w:val="none"/>
              </w:rPr>
            </w:pPr>
          </w:p>
        </w:tc>
        <w:tc>
          <w:tcPr>
            <w:tcW w:w="992" w:type="dxa"/>
            <w:noWrap w:val="0"/>
            <w:vAlign w:val="top"/>
          </w:tcPr>
          <w:p w14:paraId="33C09FEA">
            <w:pPr>
              <w:pStyle w:val="75"/>
              <w:spacing w:line="360" w:lineRule="auto"/>
              <w:rPr>
                <w:rFonts w:hint="eastAsia" w:ascii="宋体" w:hAnsi="宋体" w:cs="宋体"/>
                <w:color w:val="auto"/>
                <w:szCs w:val="21"/>
                <w:highlight w:val="none"/>
              </w:rPr>
            </w:pPr>
          </w:p>
        </w:tc>
      </w:tr>
      <w:tr w14:paraId="3811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noWrap w:val="0"/>
            <w:vAlign w:val="top"/>
          </w:tcPr>
          <w:p w14:paraId="43F80300">
            <w:pPr>
              <w:pStyle w:val="75"/>
              <w:spacing w:line="360" w:lineRule="auto"/>
              <w:rPr>
                <w:rFonts w:hint="eastAsia" w:ascii="宋体" w:hAnsi="宋体" w:cs="宋体"/>
                <w:color w:val="auto"/>
                <w:szCs w:val="21"/>
                <w:highlight w:val="none"/>
              </w:rPr>
            </w:pPr>
          </w:p>
        </w:tc>
        <w:tc>
          <w:tcPr>
            <w:tcW w:w="1226" w:type="dxa"/>
            <w:noWrap w:val="0"/>
            <w:vAlign w:val="top"/>
          </w:tcPr>
          <w:p w14:paraId="789D6C95">
            <w:pPr>
              <w:pStyle w:val="75"/>
              <w:spacing w:line="360" w:lineRule="auto"/>
              <w:rPr>
                <w:rFonts w:hint="eastAsia" w:ascii="宋体" w:hAnsi="宋体" w:cs="宋体"/>
                <w:color w:val="auto"/>
                <w:szCs w:val="21"/>
                <w:highlight w:val="none"/>
              </w:rPr>
            </w:pPr>
          </w:p>
        </w:tc>
        <w:tc>
          <w:tcPr>
            <w:tcW w:w="851" w:type="dxa"/>
            <w:noWrap w:val="0"/>
            <w:vAlign w:val="top"/>
          </w:tcPr>
          <w:p w14:paraId="1353A9DC">
            <w:pPr>
              <w:pStyle w:val="75"/>
              <w:spacing w:line="360" w:lineRule="auto"/>
              <w:rPr>
                <w:rFonts w:hint="eastAsia" w:ascii="宋体" w:hAnsi="宋体" w:cs="宋体"/>
                <w:color w:val="auto"/>
                <w:szCs w:val="21"/>
                <w:highlight w:val="none"/>
              </w:rPr>
            </w:pPr>
          </w:p>
        </w:tc>
        <w:tc>
          <w:tcPr>
            <w:tcW w:w="708" w:type="dxa"/>
            <w:noWrap w:val="0"/>
            <w:vAlign w:val="top"/>
          </w:tcPr>
          <w:p w14:paraId="4FEE83F3">
            <w:pPr>
              <w:pStyle w:val="75"/>
              <w:spacing w:line="360" w:lineRule="auto"/>
              <w:rPr>
                <w:rFonts w:hint="eastAsia" w:ascii="宋体" w:hAnsi="宋体" w:cs="宋体"/>
                <w:color w:val="auto"/>
                <w:szCs w:val="21"/>
                <w:highlight w:val="none"/>
              </w:rPr>
            </w:pPr>
          </w:p>
        </w:tc>
        <w:tc>
          <w:tcPr>
            <w:tcW w:w="709" w:type="dxa"/>
            <w:noWrap w:val="0"/>
            <w:vAlign w:val="top"/>
          </w:tcPr>
          <w:p w14:paraId="26C807AC">
            <w:pPr>
              <w:pStyle w:val="75"/>
              <w:spacing w:line="360" w:lineRule="auto"/>
              <w:rPr>
                <w:rFonts w:hint="eastAsia" w:ascii="宋体" w:hAnsi="宋体" w:cs="宋体"/>
                <w:color w:val="auto"/>
                <w:szCs w:val="21"/>
                <w:highlight w:val="none"/>
              </w:rPr>
            </w:pPr>
          </w:p>
        </w:tc>
        <w:tc>
          <w:tcPr>
            <w:tcW w:w="851" w:type="dxa"/>
            <w:noWrap w:val="0"/>
            <w:vAlign w:val="top"/>
          </w:tcPr>
          <w:p w14:paraId="5C235D22">
            <w:pPr>
              <w:pStyle w:val="75"/>
              <w:spacing w:line="360" w:lineRule="auto"/>
              <w:rPr>
                <w:rFonts w:hint="eastAsia" w:ascii="宋体" w:hAnsi="宋体" w:cs="宋体"/>
                <w:color w:val="auto"/>
                <w:szCs w:val="21"/>
                <w:highlight w:val="none"/>
              </w:rPr>
            </w:pPr>
          </w:p>
        </w:tc>
        <w:tc>
          <w:tcPr>
            <w:tcW w:w="1134" w:type="dxa"/>
            <w:noWrap w:val="0"/>
            <w:vAlign w:val="top"/>
          </w:tcPr>
          <w:p w14:paraId="18DE5046">
            <w:pPr>
              <w:pStyle w:val="75"/>
              <w:spacing w:line="360" w:lineRule="auto"/>
              <w:rPr>
                <w:rFonts w:hint="eastAsia" w:ascii="宋体" w:hAnsi="宋体" w:cs="宋体"/>
                <w:color w:val="auto"/>
                <w:szCs w:val="21"/>
                <w:highlight w:val="none"/>
              </w:rPr>
            </w:pPr>
          </w:p>
        </w:tc>
        <w:tc>
          <w:tcPr>
            <w:tcW w:w="992" w:type="dxa"/>
            <w:noWrap w:val="0"/>
            <w:vAlign w:val="top"/>
          </w:tcPr>
          <w:p w14:paraId="0C9AD32E">
            <w:pPr>
              <w:pStyle w:val="75"/>
              <w:spacing w:line="360" w:lineRule="auto"/>
              <w:rPr>
                <w:rFonts w:hint="eastAsia" w:ascii="宋体" w:hAnsi="宋体" w:cs="宋体"/>
                <w:color w:val="auto"/>
                <w:szCs w:val="21"/>
                <w:highlight w:val="none"/>
              </w:rPr>
            </w:pPr>
          </w:p>
        </w:tc>
        <w:tc>
          <w:tcPr>
            <w:tcW w:w="1134" w:type="dxa"/>
            <w:noWrap w:val="0"/>
            <w:vAlign w:val="top"/>
          </w:tcPr>
          <w:p w14:paraId="5D04A9C3">
            <w:pPr>
              <w:pStyle w:val="75"/>
              <w:spacing w:line="360" w:lineRule="auto"/>
              <w:rPr>
                <w:rFonts w:hint="eastAsia" w:ascii="宋体" w:hAnsi="宋体" w:cs="宋体"/>
                <w:color w:val="auto"/>
                <w:szCs w:val="21"/>
                <w:highlight w:val="none"/>
              </w:rPr>
            </w:pPr>
          </w:p>
        </w:tc>
        <w:tc>
          <w:tcPr>
            <w:tcW w:w="992" w:type="dxa"/>
            <w:noWrap w:val="0"/>
            <w:vAlign w:val="top"/>
          </w:tcPr>
          <w:p w14:paraId="1379121F">
            <w:pPr>
              <w:pStyle w:val="75"/>
              <w:spacing w:line="360" w:lineRule="auto"/>
              <w:rPr>
                <w:rFonts w:hint="eastAsia" w:ascii="宋体" w:hAnsi="宋体" w:cs="宋体"/>
                <w:color w:val="auto"/>
                <w:szCs w:val="21"/>
                <w:highlight w:val="none"/>
              </w:rPr>
            </w:pPr>
          </w:p>
        </w:tc>
      </w:tr>
      <w:tr w14:paraId="73F9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noWrap w:val="0"/>
            <w:vAlign w:val="top"/>
          </w:tcPr>
          <w:p w14:paraId="0AB41A5F">
            <w:pPr>
              <w:pStyle w:val="75"/>
              <w:spacing w:line="360" w:lineRule="auto"/>
              <w:rPr>
                <w:rFonts w:hint="eastAsia" w:ascii="宋体" w:hAnsi="宋体" w:cs="宋体"/>
                <w:color w:val="auto"/>
                <w:szCs w:val="21"/>
                <w:highlight w:val="none"/>
              </w:rPr>
            </w:pPr>
          </w:p>
        </w:tc>
        <w:tc>
          <w:tcPr>
            <w:tcW w:w="1226" w:type="dxa"/>
            <w:noWrap w:val="0"/>
            <w:vAlign w:val="top"/>
          </w:tcPr>
          <w:p w14:paraId="3A809233">
            <w:pPr>
              <w:pStyle w:val="75"/>
              <w:spacing w:line="360" w:lineRule="auto"/>
              <w:rPr>
                <w:rFonts w:hint="eastAsia" w:ascii="宋体" w:hAnsi="宋体" w:cs="宋体"/>
                <w:color w:val="auto"/>
                <w:szCs w:val="21"/>
                <w:highlight w:val="none"/>
              </w:rPr>
            </w:pPr>
          </w:p>
        </w:tc>
        <w:tc>
          <w:tcPr>
            <w:tcW w:w="851" w:type="dxa"/>
            <w:noWrap w:val="0"/>
            <w:vAlign w:val="top"/>
          </w:tcPr>
          <w:p w14:paraId="34C295D7">
            <w:pPr>
              <w:pStyle w:val="75"/>
              <w:spacing w:line="360" w:lineRule="auto"/>
              <w:rPr>
                <w:rFonts w:hint="eastAsia" w:ascii="宋体" w:hAnsi="宋体" w:cs="宋体"/>
                <w:color w:val="auto"/>
                <w:szCs w:val="21"/>
                <w:highlight w:val="none"/>
              </w:rPr>
            </w:pPr>
          </w:p>
        </w:tc>
        <w:tc>
          <w:tcPr>
            <w:tcW w:w="708" w:type="dxa"/>
            <w:noWrap w:val="0"/>
            <w:vAlign w:val="top"/>
          </w:tcPr>
          <w:p w14:paraId="3394735D">
            <w:pPr>
              <w:pStyle w:val="75"/>
              <w:spacing w:line="360" w:lineRule="auto"/>
              <w:rPr>
                <w:rFonts w:hint="eastAsia" w:ascii="宋体" w:hAnsi="宋体" w:cs="宋体"/>
                <w:color w:val="auto"/>
                <w:szCs w:val="21"/>
                <w:highlight w:val="none"/>
              </w:rPr>
            </w:pPr>
          </w:p>
        </w:tc>
        <w:tc>
          <w:tcPr>
            <w:tcW w:w="709" w:type="dxa"/>
            <w:noWrap w:val="0"/>
            <w:vAlign w:val="top"/>
          </w:tcPr>
          <w:p w14:paraId="6B7DAFE7">
            <w:pPr>
              <w:pStyle w:val="75"/>
              <w:spacing w:line="360" w:lineRule="auto"/>
              <w:rPr>
                <w:rFonts w:hint="eastAsia" w:ascii="宋体" w:hAnsi="宋体" w:cs="宋体"/>
                <w:color w:val="auto"/>
                <w:szCs w:val="21"/>
                <w:highlight w:val="none"/>
              </w:rPr>
            </w:pPr>
          </w:p>
        </w:tc>
        <w:tc>
          <w:tcPr>
            <w:tcW w:w="851" w:type="dxa"/>
            <w:noWrap w:val="0"/>
            <w:vAlign w:val="top"/>
          </w:tcPr>
          <w:p w14:paraId="38905200">
            <w:pPr>
              <w:pStyle w:val="75"/>
              <w:spacing w:line="360" w:lineRule="auto"/>
              <w:rPr>
                <w:rFonts w:hint="eastAsia" w:ascii="宋体" w:hAnsi="宋体" w:cs="宋体"/>
                <w:color w:val="auto"/>
                <w:szCs w:val="21"/>
                <w:highlight w:val="none"/>
              </w:rPr>
            </w:pPr>
          </w:p>
        </w:tc>
        <w:tc>
          <w:tcPr>
            <w:tcW w:w="1134" w:type="dxa"/>
            <w:noWrap w:val="0"/>
            <w:vAlign w:val="top"/>
          </w:tcPr>
          <w:p w14:paraId="3A0039A4">
            <w:pPr>
              <w:pStyle w:val="75"/>
              <w:spacing w:line="360" w:lineRule="auto"/>
              <w:rPr>
                <w:rFonts w:hint="eastAsia" w:ascii="宋体" w:hAnsi="宋体" w:cs="宋体"/>
                <w:color w:val="auto"/>
                <w:szCs w:val="21"/>
                <w:highlight w:val="none"/>
              </w:rPr>
            </w:pPr>
          </w:p>
        </w:tc>
        <w:tc>
          <w:tcPr>
            <w:tcW w:w="992" w:type="dxa"/>
            <w:noWrap w:val="0"/>
            <w:vAlign w:val="top"/>
          </w:tcPr>
          <w:p w14:paraId="4FA59184">
            <w:pPr>
              <w:pStyle w:val="75"/>
              <w:spacing w:line="360" w:lineRule="auto"/>
              <w:rPr>
                <w:rFonts w:hint="eastAsia" w:ascii="宋体" w:hAnsi="宋体" w:cs="宋体"/>
                <w:color w:val="auto"/>
                <w:szCs w:val="21"/>
                <w:highlight w:val="none"/>
              </w:rPr>
            </w:pPr>
          </w:p>
        </w:tc>
        <w:tc>
          <w:tcPr>
            <w:tcW w:w="1134" w:type="dxa"/>
            <w:noWrap w:val="0"/>
            <w:vAlign w:val="top"/>
          </w:tcPr>
          <w:p w14:paraId="74EB39C8">
            <w:pPr>
              <w:pStyle w:val="75"/>
              <w:spacing w:line="360" w:lineRule="auto"/>
              <w:rPr>
                <w:rFonts w:hint="eastAsia" w:ascii="宋体" w:hAnsi="宋体" w:cs="宋体"/>
                <w:color w:val="auto"/>
                <w:szCs w:val="21"/>
                <w:highlight w:val="none"/>
              </w:rPr>
            </w:pPr>
          </w:p>
        </w:tc>
        <w:tc>
          <w:tcPr>
            <w:tcW w:w="992" w:type="dxa"/>
            <w:noWrap w:val="0"/>
            <w:vAlign w:val="top"/>
          </w:tcPr>
          <w:p w14:paraId="7000E0EA">
            <w:pPr>
              <w:pStyle w:val="75"/>
              <w:spacing w:line="360" w:lineRule="auto"/>
              <w:rPr>
                <w:rFonts w:hint="eastAsia" w:ascii="宋体" w:hAnsi="宋体" w:cs="宋体"/>
                <w:color w:val="auto"/>
                <w:szCs w:val="21"/>
                <w:highlight w:val="none"/>
              </w:rPr>
            </w:pPr>
          </w:p>
        </w:tc>
      </w:tr>
    </w:tbl>
    <w:p w14:paraId="21B2C521">
      <w:pPr>
        <w:pStyle w:val="75"/>
        <w:rPr>
          <w:rFonts w:hint="eastAsia" w:ascii="宋体" w:hAnsi="宋体" w:cs="宋体"/>
          <w:color w:val="auto"/>
          <w:szCs w:val="21"/>
          <w:highlight w:val="none"/>
        </w:rPr>
      </w:pPr>
    </w:p>
    <w:p w14:paraId="7E80E7EB">
      <w:pPr>
        <w:pStyle w:val="75"/>
        <w:rPr>
          <w:rFonts w:hint="eastAsia" w:ascii="宋体" w:hAnsi="宋体" w:cs="宋体"/>
          <w:color w:val="auto"/>
          <w:szCs w:val="21"/>
          <w:highlight w:val="none"/>
        </w:rPr>
      </w:pPr>
    </w:p>
    <w:p w14:paraId="2080156D">
      <w:pPr>
        <w:pStyle w:val="75"/>
        <w:rPr>
          <w:rFonts w:hint="eastAsia" w:ascii="宋体" w:hAnsi="宋体" w:cs="宋体"/>
          <w:color w:val="auto"/>
          <w:szCs w:val="21"/>
          <w:highlight w:val="none"/>
        </w:rPr>
      </w:pPr>
      <w:r>
        <w:rPr>
          <w:rFonts w:hint="eastAsia" w:ascii="宋体" w:hAnsi="宋体" w:cs="宋体"/>
          <w:color w:val="auto"/>
          <w:szCs w:val="21"/>
          <w:highlight w:val="none"/>
        </w:rPr>
        <w:br w:type="page"/>
      </w:r>
    </w:p>
    <w:p w14:paraId="710F5702">
      <w:pPr>
        <w:pStyle w:val="75"/>
        <w:rPr>
          <w:rFonts w:hint="eastAsia" w:ascii="宋体" w:hAnsi="宋体" w:cs="宋体"/>
          <w:color w:val="auto"/>
          <w:szCs w:val="21"/>
          <w:highlight w:val="none"/>
        </w:rPr>
      </w:pPr>
      <w:r>
        <w:rPr>
          <w:rFonts w:hint="eastAsia" w:ascii="宋体" w:hAnsi="宋体" w:cs="宋体"/>
          <w:color w:val="auto"/>
          <w:szCs w:val="21"/>
          <w:highlight w:val="none"/>
        </w:rPr>
        <w:t>附表二：拟配备本工程的试验和检测仪器设备表</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37CA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4C3F02F5">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226" w:type="dxa"/>
            <w:noWrap w:val="0"/>
            <w:vAlign w:val="center"/>
          </w:tcPr>
          <w:p w14:paraId="5C025798">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仪器设备名称</w:t>
            </w:r>
          </w:p>
        </w:tc>
        <w:tc>
          <w:tcPr>
            <w:tcW w:w="851" w:type="dxa"/>
            <w:noWrap w:val="0"/>
            <w:vAlign w:val="center"/>
          </w:tcPr>
          <w:p w14:paraId="602CCF1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型号</w:t>
            </w:r>
          </w:p>
          <w:p w14:paraId="21C5CF6B">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规格</w:t>
            </w:r>
          </w:p>
        </w:tc>
        <w:tc>
          <w:tcPr>
            <w:tcW w:w="708" w:type="dxa"/>
            <w:noWrap w:val="0"/>
            <w:vAlign w:val="center"/>
          </w:tcPr>
          <w:p w14:paraId="747396BB">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709" w:type="dxa"/>
            <w:noWrap w:val="0"/>
            <w:vAlign w:val="center"/>
          </w:tcPr>
          <w:p w14:paraId="17F8E8F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国别</w:t>
            </w:r>
          </w:p>
          <w:p w14:paraId="0731F25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产地</w:t>
            </w:r>
          </w:p>
        </w:tc>
        <w:tc>
          <w:tcPr>
            <w:tcW w:w="1134" w:type="dxa"/>
            <w:noWrap w:val="0"/>
            <w:vAlign w:val="center"/>
          </w:tcPr>
          <w:p w14:paraId="7E7144EC">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制造年份</w:t>
            </w:r>
          </w:p>
        </w:tc>
        <w:tc>
          <w:tcPr>
            <w:tcW w:w="1276" w:type="dxa"/>
            <w:noWrap w:val="0"/>
            <w:vAlign w:val="center"/>
          </w:tcPr>
          <w:p w14:paraId="1F76D51A">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已使用</w:t>
            </w:r>
          </w:p>
          <w:p w14:paraId="2370258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台时数</w:t>
            </w:r>
          </w:p>
        </w:tc>
        <w:tc>
          <w:tcPr>
            <w:tcW w:w="1134" w:type="dxa"/>
            <w:noWrap w:val="0"/>
            <w:vAlign w:val="center"/>
          </w:tcPr>
          <w:p w14:paraId="2EB4BD1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用途</w:t>
            </w:r>
          </w:p>
        </w:tc>
        <w:tc>
          <w:tcPr>
            <w:tcW w:w="1559" w:type="dxa"/>
            <w:noWrap w:val="0"/>
            <w:vAlign w:val="center"/>
          </w:tcPr>
          <w:p w14:paraId="43BDF50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7B100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6C76CBC3">
            <w:pPr>
              <w:pStyle w:val="75"/>
              <w:spacing w:line="360" w:lineRule="auto"/>
              <w:ind w:firstLine="420" w:firstLineChars="200"/>
              <w:rPr>
                <w:rFonts w:hint="eastAsia" w:ascii="宋体" w:hAnsi="宋体" w:cs="宋体"/>
                <w:color w:val="auto"/>
                <w:szCs w:val="21"/>
                <w:highlight w:val="none"/>
              </w:rPr>
            </w:pPr>
          </w:p>
        </w:tc>
        <w:tc>
          <w:tcPr>
            <w:tcW w:w="1226" w:type="dxa"/>
            <w:noWrap w:val="0"/>
            <w:vAlign w:val="center"/>
          </w:tcPr>
          <w:p w14:paraId="12B3C564">
            <w:pPr>
              <w:pStyle w:val="75"/>
              <w:spacing w:line="360" w:lineRule="auto"/>
              <w:ind w:firstLine="420" w:firstLineChars="200"/>
              <w:rPr>
                <w:rFonts w:hint="eastAsia" w:ascii="宋体" w:hAnsi="宋体" w:cs="宋体"/>
                <w:color w:val="auto"/>
                <w:szCs w:val="21"/>
                <w:highlight w:val="none"/>
              </w:rPr>
            </w:pPr>
          </w:p>
        </w:tc>
        <w:tc>
          <w:tcPr>
            <w:tcW w:w="851" w:type="dxa"/>
            <w:noWrap w:val="0"/>
            <w:vAlign w:val="center"/>
          </w:tcPr>
          <w:p w14:paraId="3931021D">
            <w:pPr>
              <w:pStyle w:val="75"/>
              <w:spacing w:line="360" w:lineRule="auto"/>
              <w:ind w:firstLine="420" w:firstLineChars="200"/>
              <w:rPr>
                <w:rFonts w:hint="eastAsia" w:ascii="宋体" w:hAnsi="宋体" w:cs="宋体"/>
                <w:color w:val="auto"/>
                <w:szCs w:val="21"/>
                <w:highlight w:val="none"/>
              </w:rPr>
            </w:pPr>
          </w:p>
        </w:tc>
        <w:tc>
          <w:tcPr>
            <w:tcW w:w="708" w:type="dxa"/>
            <w:noWrap w:val="0"/>
            <w:vAlign w:val="center"/>
          </w:tcPr>
          <w:p w14:paraId="12152A93">
            <w:pPr>
              <w:pStyle w:val="75"/>
              <w:spacing w:line="360" w:lineRule="auto"/>
              <w:ind w:firstLine="420" w:firstLineChars="200"/>
              <w:rPr>
                <w:rFonts w:hint="eastAsia" w:ascii="宋体" w:hAnsi="宋体" w:cs="宋体"/>
                <w:color w:val="auto"/>
                <w:szCs w:val="21"/>
                <w:highlight w:val="none"/>
              </w:rPr>
            </w:pPr>
          </w:p>
        </w:tc>
        <w:tc>
          <w:tcPr>
            <w:tcW w:w="709" w:type="dxa"/>
            <w:noWrap w:val="0"/>
            <w:vAlign w:val="center"/>
          </w:tcPr>
          <w:p w14:paraId="1E186A2E">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4E6A9AEB">
            <w:pPr>
              <w:pStyle w:val="75"/>
              <w:spacing w:line="360" w:lineRule="auto"/>
              <w:ind w:firstLine="420" w:firstLineChars="200"/>
              <w:rPr>
                <w:rFonts w:hint="eastAsia" w:ascii="宋体" w:hAnsi="宋体" w:cs="宋体"/>
                <w:color w:val="auto"/>
                <w:szCs w:val="21"/>
                <w:highlight w:val="none"/>
              </w:rPr>
            </w:pPr>
          </w:p>
        </w:tc>
        <w:tc>
          <w:tcPr>
            <w:tcW w:w="1276" w:type="dxa"/>
            <w:noWrap w:val="0"/>
            <w:vAlign w:val="center"/>
          </w:tcPr>
          <w:p w14:paraId="391E58A7">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0F1C9BDD">
            <w:pPr>
              <w:pStyle w:val="75"/>
              <w:spacing w:line="360" w:lineRule="auto"/>
              <w:ind w:firstLine="420" w:firstLineChars="200"/>
              <w:rPr>
                <w:rFonts w:hint="eastAsia" w:ascii="宋体" w:hAnsi="宋体" w:cs="宋体"/>
                <w:color w:val="auto"/>
                <w:szCs w:val="21"/>
                <w:highlight w:val="none"/>
              </w:rPr>
            </w:pPr>
          </w:p>
        </w:tc>
        <w:tc>
          <w:tcPr>
            <w:tcW w:w="1559" w:type="dxa"/>
            <w:noWrap w:val="0"/>
            <w:vAlign w:val="center"/>
          </w:tcPr>
          <w:p w14:paraId="0252161C">
            <w:pPr>
              <w:pStyle w:val="75"/>
              <w:spacing w:line="360" w:lineRule="auto"/>
              <w:ind w:firstLine="420" w:firstLineChars="200"/>
              <w:rPr>
                <w:rFonts w:hint="eastAsia" w:ascii="宋体" w:hAnsi="宋体" w:cs="宋体"/>
                <w:color w:val="auto"/>
                <w:szCs w:val="21"/>
                <w:highlight w:val="none"/>
              </w:rPr>
            </w:pPr>
          </w:p>
        </w:tc>
      </w:tr>
      <w:tr w14:paraId="7E6C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5ED3F3A4">
            <w:pPr>
              <w:pStyle w:val="75"/>
              <w:spacing w:line="360" w:lineRule="auto"/>
              <w:ind w:firstLine="420" w:firstLineChars="200"/>
              <w:rPr>
                <w:rFonts w:hint="eastAsia" w:ascii="宋体" w:hAnsi="宋体" w:cs="宋体"/>
                <w:color w:val="auto"/>
                <w:szCs w:val="21"/>
                <w:highlight w:val="none"/>
              </w:rPr>
            </w:pPr>
          </w:p>
        </w:tc>
        <w:tc>
          <w:tcPr>
            <w:tcW w:w="1226" w:type="dxa"/>
            <w:noWrap w:val="0"/>
            <w:vAlign w:val="center"/>
          </w:tcPr>
          <w:p w14:paraId="78B20DAB">
            <w:pPr>
              <w:pStyle w:val="75"/>
              <w:spacing w:line="360" w:lineRule="auto"/>
              <w:ind w:firstLine="420" w:firstLineChars="200"/>
              <w:rPr>
                <w:rFonts w:hint="eastAsia" w:ascii="宋体" w:hAnsi="宋体" w:cs="宋体"/>
                <w:color w:val="auto"/>
                <w:szCs w:val="21"/>
                <w:highlight w:val="none"/>
              </w:rPr>
            </w:pPr>
          </w:p>
        </w:tc>
        <w:tc>
          <w:tcPr>
            <w:tcW w:w="851" w:type="dxa"/>
            <w:noWrap w:val="0"/>
            <w:vAlign w:val="center"/>
          </w:tcPr>
          <w:p w14:paraId="43AC7F68">
            <w:pPr>
              <w:pStyle w:val="75"/>
              <w:spacing w:line="360" w:lineRule="auto"/>
              <w:ind w:firstLine="420" w:firstLineChars="200"/>
              <w:rPr>
                <w:rFonts w:hint="eastAsia" w:ascii="宋体" w:hAnsi="宋体" w:cs="宋体"/>
                <w:color w:val="auto"/>
                <w:szCs w:val="21"/>
                <w:highlight w:val="none"/>
              </w:rPr>
            </w:pPr>
          </w:p>
        </w:tc>
        <w:tc>
          <w:tcPr>
            <w:tcW w:w="708" w:type="dxa"/>
            <w:noWrap w:val="0"/>
            <w:vAlign w:val="center"/>
          </w:tcPr>
          <w:p w14:paraId="0AE57932">
            <w:pPr>
              <w:pStyle w:val="75"/>
              <w:spacing w:line="360" w:lineRule="auto"/>
              <w:ind w:firstLine="420" w:firstLineChars="200"/>
              <w:rPr>
                <w:rFonts w:hint="eastAsia" w:ascii="宋体" w:hAnsi="宋体" w:cs="宋体"/>
                <w:color w:val="auto"/>
                <w:szCs w:val="21"/>
                <w:highlight w:val="none"/>
              </w:rPr>
            </w:pPr>
          </w:p>
        </w:tc>
        <w:tc>
          <w:tcPr>
            <w:tcW w:w="709" w:type="dxa"/>
            <w:noWrap w:val="0"/>
            <w:vAlign w:val="center"/>
          </w:tcPr>
          <w:p w14:paraId="09B59E44">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5B783BA1">
            <w:pPr>
              <w:pStyle w:val="75"/>
              <w:spacing w:line="360" w:lineRule="auto"/>
              <w:ind w:firstLine="420" w:firstLineChars="200"/>
              <w:rPr>
                <w:rFonts w:hint="eastAsia" w:ascii="宋体" w:hAnsi="宋体" w:cs="宋体"/>
                <w:color w:val="auto"/>
                <w:szCs w:val="21"/>
                <w:highlight w:val="none"/>
              </w:rPr>
            </w:pPr>
          </w:p>
        </w:tc>
        <w:tc>
          <w:tcPr>
            <w:tcW w:w="1276" w:type="dxa"/>
            <w:noWrap w:val="0"/>
            <w:vAlign w:val="center"/>
          </w:tcPr>
          <w:p w14:paraId="26AA0573">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45C88542">
            <w:pPr>
              <w:pStyle w:val="75"/>
              <w:spacing w:line="360" w:lineRule="auto"/>
              <w:ind w:firstLine="420" w:firstLineChars="200"/>
              <w:rPr>
                <w:rFonts w:hint="eastAsia" w:ascii="宋体" w:hAnsi="宋体" w:cs="宋体"/>
                <w:color w:val="auto"/>
                <w:szCs w:val="21"/>
                <w:highlight w:val="none"/>
              </w:rPr>
            </w:pPr>
          </w:p>
        </w:tc>
        <w:tc>
          <w:tcPr>
            <w:tcW w:w="1559" w:type="dxa"/>
            <w:noWrap w:val="0"/>
            <w:vAlign w:val="center"/>
          </w:tcPr>
          <w:p w14:paraId="2CF58330">
            <w:pPr>
              <w:pStyle w:val="75"/>
              <w:spacing w:line="360" w:lineRule="auto"/>
              <w:ind w:firstLine="420" w:firstLineChars="200"/>
              <w:rPr>
                <w:rFonts w:hint="eastAsia" w:ascii="宋体" w:hAnsi="宋体" w:cs="宋体"/>
                <w:color w:val="auto"/>
                <w:szCs w:val="21"/>
                <w:highlight w:val="none"/>
              </w:rPr>
            </w:pPr>
          </w:p>
        </w:tc>
      </w:tr>
      <w:tr w14:paraId="23542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7D5B5D1C">
            <w:pPr>
              <w:pStyle w:val="75"/>
              <w:spacing w:line="360" w:lineRule="auto"/>
              <w:ind w:firstLine="420" w:firstLineChars="200"/>
              <w:rPr>
                <w:rFonts w:hint="eastAsia" w:ascii="宋体" w:hAnsi="宋体" w:cs="宋体"/>
                <w:color w:val="auto"/>
                <w:szCs w:val="21"/>
                <w:highlight w:val="none"/>
              </w:rPr>
            </w:pPr>
          </w:p>
        </w:tc>
        <w:tc>
          <w:tcPr>
            <w:tcW w:w="1226" w:type="dxa"/>
            <w:noWrap w:val="0"/>
            <w:vAlign w:val="center"/>
          </w:tcPr>
          <w:p w14:paraId="62BFB77A">
            <w:pPr>
              <w:pStyle w:val="75"/>
              <w:spacing w:line="360" w:lineRule="auto"/>
              <w:ind w:firstLine="420" w:firstLineChars="200"/>
              <w:rPr>
                <w:rFonts w:hint="eastAsia" w:ascii="宋体" w:hAnsi="宋体" w:cs="宋体"/>
                <w:color w:val="auto"/>
                <w:szCs w:val="21"/>
                <w:highlight w:val="none"/>
              </w:rPr>
            </w:pPr>
          </w:p>
        </w:tc>
        <w:tc>
          <w:tcPr>
            <w:tcW w:w="851" w:type="dxa"/>
            <w:noWrap w:val="0"/>
            <w:vAlign w:val="center"/>
          </w:tcPr>
          <w:p w14:paraId="62F67CDC">
            <w:pPr>
              <w:pStyle w:val="75"/>
              <w:spacing w:line="360" w:lineRule="auto"/>
              <w:ind w:firstLine="420" w:firstLineChars="200"/>
              <w:rPr>
                <w:rFonts w:hint="eastAsia" w:ascii="宋体" w:hAnsi="宋体" w:cs="宋体"/>
                <w:color w:val="auto"/>
                <w:szCs w:val="21"/>
                <w:highlight w:val="none"/>
              </w:rPr>
            </w:pPr>
          </w:p>
        </w:tc>
        <w:tc>
          <w:tcPr>
            <w:tcW w:w="708" w:type="dxa"/>
            <w:noWrap w:val="0"/>
            <w:vAlign w:val="center"/>
          </w:tcPr>
          <w:p w14:paraId="7D1AB63F">
            <w:pPr>
              <w:pStyle w:val="75"/>
              <w:spacing w:line="360" w:lineRule="auto"/>
              <w:ind w:firstLine="420" w:firstLineChars="200"/>
              <w:rPr>
                <w:rFonts w:hint="eastAsia" w:ascii="宋体" w:hAnsi="宋体" w:cs="宋体"/>
                <w:color w:val="auto"/>
                <w:szCs w:val="21"/>
                <w:highlight w:val="none"/>
              </w:rPr>
            </w:pPr>
          </w:p>
        </w:tc>
        <w:tc>
          <w:tcPr>
            <w:tcW w:w="709" w:type="dxa"/>
            <w:noWrap w:val="0"/>
            <w:vAlign w:val="center"/>
          </w:tcPr>
          <w:p w14:paraId="0ABA0C55">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70211492">
            <w:pPr>
              <w:pStyle w:val="75"/>
              <w:spacing w:line="360" w:lineRule="auto"/>
              <w:ind w:firstLine="420" w:firstLineChars="200"/>
              <w:rPr>
                <w:rFonts w:hint="eastAsia" w:ascii="宋体" w:hAnsi="宋体" w:cs="宋体"/>
                <w:color w:val="auto"/>
                <w:szCs w:val="21"/>
                <w:highlight w:val="none"/>
              </w:rPr>
            </w:pPr>
          </w:p>
        </w:tc>
        <w:tc>
          <w:tcPr>
            <w:tcW w:w="1276" w:type="dxa"/>
            <w:noWrap w:val="0"/>
            <w:vAlign w:val="center"/>
          </w:tcPr>
          <w:p w14:paraId="38D2DA86">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35FD6D4C">
            <w:pPr>
              <w:pStyle w:val="75"/>
              <w:spacing w:line="360" w:lineRule="auto"/>
              <w:ind w:firstLine="420" w:firstLineChars="200"/>
              <w:rPr>
                <w:rFonts w:hint="eastAsia" w:ascii="宋体" w:hAnsi="宋体" w:cs="宋体"/>
                <w:color w:val="auto"/>
                <w:szCs w:val="21"/>
                <w:highlight w:val="none"/>
              </w:rPr>
            </w:pPr>
          </w:p>
        </w:tc>
        <w:tc>
          <w:tcPr>
            <w:tcW w:w="1559" w:type="dxa"/>
            <w:noWrap w:val="0"/>
            <w:vAlign w:val="center"/>
          </w:tcPr>
          <w:p w14:paraId="39ED2DCF">
            <w:pPr>
              <w:pStyle w:val="75"/>
              <w:spacing w:line="360" w:lineRule="auto"/>
              <w:ind w:firstLine="420" w:firstLineChars="200"/>
              <w:rPr>
                <w:rFonts w:hint="eastAsia" w:ascii="宋体" w:hAnsi="宋体" w:cs="宋体"/>
                <w:color w:val="auto"/>
                <w:szCs w:val="21"/>
                <w:highlight w:val="none"/>
              </w:rPr>
            </w:pPr>
          </w:p>
        </w:tc>
      </w:tr>
      <w:tr w14:paraId="3782D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3CFD4B12">
            <w:pPr>
              <w:pStyle w:val="75"/>
              <w:spacing w:line="360" w:lineRule="auto"/>
              <w:ind w:firstLine="420" w:firstLineChars="200"/>
              <w:rPr>
                <w:rFonts w:hint="eastAsia" w:ascii="宋体" w:hAnsi="宋体" w:cs="宋体"/>
                <w:color w:val="auto"/>
                <w:szCs w:val="21"/>
                <w:highlight w:val="none"/>
              </w:rPr>
            </w:pPr>
          </w:p>
        </w:tc>
        <w:tc>
          <w:tcPr>
            <w:tcW w:w="1226" w:type="dxa"/>
            <w:noWrap w:val="0"/>
            <w:vAlign w:val="center"/>
          </w:tcPr>
          <w:p w14:paraId="3FB641A9">
            <w:pPr>
              <w:pStyle w:val="75"/>
              <w:spacing w:line="360" w:lineRule="auto"/>
              <w:ind w:firstLine="420" w:firstLineChars="200"/>
              <w:rPr>
                <w:rFonts w:hint="eastAsia" w:ascii="宋体" w:hAnsi="宋体" w:cs="宋体"/>
                <w:color w:val="auto"/>
                <w:szCs w:val="21"/>
                <w:highlight w:val="none"/>
              </w:rPr>
            </w:pPr>
          </w:p>
        </w:tc>
        <w:tc>
          <w:tcPr>
            <w:tcW w:w="851" w:type="dxa"/>
            <w:noWrap w:val="0"/>
            <w:vAlign w:val="center"/>
          </w:tcPr>
          <w:p w14:paraId="5F188582">
            <w:pPr>
              <w:pStyle w:val="75"/>
              <w:spacing w:line="360" w:lineRule="auto"/>
              <w:ind w:firstLine="420" w:firstLineChars="200"/>
              <w:rPr>
                <w:rFonts w:hint="eastAsia" w:ascii="宋体" w:hAnsi="宋体" w:cs="宋体"/>
                <w:color w:val="auto"/>
                <w:szCs w:val="21"/>
                <w:highlight w:val="none"/>
              </w:rPr>
            </w:pPr>
          </w:p>
        </w:tc>
        <w:tc>
          <w:tcPr>
            <w:tcW w:w="708" w:type="dxa"/>
            <w:noWrap w:val="0"/>
            <w:vAlign w:val="center"/>
          </w:tcPr>
          <w:p w14:paraId="55B9185D">
            <w:pPr>
              <w:pStyle w:val="75"/>
              <w:spacing w:line="360" w:lineRule="auto"/>
              <w:ind w:firstLine="420" w:firstLineChars="200"/>
              <w:rPr>
                <w:rFonts w:hint="eastAsia" w:ascii="宋体" w:hAnsi="宋体" w:cs="宋体"/>
                <w:color w:val="auto"/>
                <w:szCs w:val="21"/>
                <w:highlight w:val="none"/>
              </w:rPr>
            </w:pPr>
          </w:p>
        </w:tc>
        <w:tc>
          <w:tcPr>
            <w:tcW w:w="709" w:type="dxa"/>
            <w:noWrap w:val="0"/>
            <w:vAlign w:val="center"/>
          </w:tcPr>
          <w:p w14:paraId="3514A836">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15AF567A">
            <w:pPr>
              <w:pStyle w:val="75"/>
              <w:spacing w:line="360" w:lineRule="auto"/>
              <w:ind w:firstLine="420" w:firstLineChars="200"/>
              <w:rPr>
                <w:rFonts w:hint="eastAsia" w:ascii="宋体" w:hAnsi="宋体" w:cs="宋体"/>
                <w:color w:val="auto"/>
                <w:szCs w:val="21"/>
                <w:highlight w:val="none"/>
              </w:rPr>
            </w:pPr>
          </w:p>
        </w:tc>
        <w:tc>
          <w:tcPr>
            <w:tcW w:w="1276" w:type="dxa"/>
            <w:noWrap w:val="0"/>
            <w:vAlign w:val="center"/>
          </w:tcPr>
          <w:p w14:paraId="167288F3">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728EFB4E">
            <w:pPr>
              <w:pStyle w:val="75"/>
              <w:spacing w:line="360" w:lineRule="auto"/>
              <w:ind w:firstLine="420" w:firstLineChars="200"/>
              <w:rPr>
                <w:rFonts w:hint="eastAsia" w:ascii="宋体" w:hAnsi="宋体" w:cs="宋体"/>
                <w:color w:val="auto"/>
                <w:szCs w:val="21"/>
                <w:highlight w:val="none"/>
              </w:rPr>
            </w:pPr>
          </w:p>
        </w:tc>
        <w:tc>
          <w:tcPr>
            <w:tcW w:w="1559" w:type="dxa"/>
            <w:noWrap w:val="0"/>
            <w:vAlign w:val="center"/>
          </w:tcPr>
          <w:p w14:paraId="17DE671C">
            <w:pPr>
              <w:pStyle w:val="75"/>
              <w:spacing w:line="360" w:lineRule="auto"/>
              <w:ind w:firstLine="420" w:firstLineChars="200"/>
              <w:rPr>
                <w:rFonts w:hint="eastAsia" w:ascii="宋体" w:hAnsi="宋体" w:cs="宋体"/>
                <w:color w:val="auto"/>
                <w:szCs w:val="21"/>
                <w:highlight w:val="none"/>
              </w:rPr>
            </w:pPr>
          </w:p>
        </w:tc>
      </w:tr>
      <w:tr w14:paraId="021C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noWrap w:val="0"/>
            <w:vAlign w:val="center"/>
          </w:tcPr>
          <w:p w14:paraId="0FA10300">
            <w:pPr>
              <w:pStyle w:val="75"/>
              <w:spacing w:line="360" w:lineRule="auto"/>
              <w:ind w:firstLine="420" w:firstLineChars="200"/>
              <w:rPr>
                <w:rFonts w:hint="eastAsia" w:ascii="宋体" w:hAnsi="宋体" w:cs="宋体"/>
                <w:color w:val="auto"/>
                <w:szCs w:val="21"/>
                <w:highlight w:val="none"/>
              </w:rPr>
            </w:pPr>
          </w:p>
        </w:tc>
        <w:tc>
          <w:tcPr>
            <w:tcW w:w="1226" w:type="dxa"/>
            <w:noWrap w:val="0"/>
            <w:vAlign w:val="center"/>
          </w:tcPr>
          <w:p w14:paraId="26D2443F">
            <w:pPr>
              <w:pStyle w:val="75"/>
              <w:spacing w:line="360" w:lineRule="auto"/>
              <w:ind w:firstLine="420" w:firstLineChars="200"/>
              <w:rPr>
                <w:rFonts w:hint="eastAsia" w:ascii="宋体" w:hAnsi="宋体" w:cs="宋体"/>
                <w:color w:val="auto"/>
                <w:szCs w:val="21"/>
                <w:highlight w:val="none"/>
              </w:rPr>
            </w:pPr>
          </w:p>
        </w:tc>
        <w:tc>
          <w:tcPr>
            <w:tcW w:w="851" w:type="dxa"/>
            <w:noWrap w:val="0"/>
            <w:vAlign w:val="center"/>
          </w:tcPr>
          <w:p w14:paraId="08E55D01">
            <w:pPr>
              <w:pStyle w:val="75"/>
              <w:spacing w:line="360" w:lineRule="auto"/>
              <w:ind w:firstLine="420" w:firstLineChars="200"/>
              <w:rPr>
                <w:rFonts w:hint="eastAsia" w:ascii="宋体" w:hAnsi="宋体" w:cs="宋体"/>
                <w:color w:val="auto"/>
                <w:szCs w:val="21"/>
                <w:highlight w:val="none"/>
              </w:rPr>
            </w:pPr>
          </w:p>
        </w:tc>
        <w:tc>
          <w:tcPr>
            <w:tcW w:w="708" w:type="dxa"/>
            <w:noWrap w:val="0"/>
            <w:vAlign w:val="center"/>
          </w:tcPr>
          <w:p w14:paraId="07E8627A">
            <w:pPr>
              <w:pStyle w:val="75"/>
              <w:spacing w:line="360" w:lineRule="auto"/>
              <w:ind w:firstLine="420" w:firstLineChars="200"/>
              <w:rPr>
                <w:rFonts w:hint="eastAsia" w:ascii="宋体" w:hAnsi="宋体" w:cs="宋体"/>
                <w:color w:val="auto"/>
                <w:szCs w:val="21"/>
                <w:highlight w:val="none"/>
              </w:rPr>
            </w:pPr>
          </w:p>
        </w:tc>
        <w:tc>
          <w:tcPr>
            <w:tcW w:w="709" w:type="dxa"/>
            <w:noWrap w:val="0"/>
            <w:vAlign w:val="center"/>
          </w:tcPr>
          <w:p w14:paraId="485971FB">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211382C4">
            <w:pPr>
              <w:pStyle w:val="75"/>
              <w:spacing w:line="360" w:lineRule="auto"/>
              <w:ind w:firstLine="420" w:firstLineChars="200"/>
              <w:rPr>
                <w:rFonts w:hint="eastAsia" w:ascii="宋体" w:hAnsi="宋体" w:cs="宋体"/>
                <w:color w:val="auto"/>
                <w:szCs w:val="21"/>
                <w:highlight w:val="none"/>
              </w:rPr>
            </w:pPr>
          </w:p>
        </w:tc>
        <w:tc>
          <w:tcPr>
            <w:tcW w:w="1276" w:type="dxa"/>
            <w:noWrap w:val="0"/>
            <w:vAlign w:val="center"/>
          </w:tcPr>
          <w:p w14:paraId="471C69B7">
            <w:pPr>
              <w:pStyle w:val="75"/>
              <w:spacing w:line="360" w:lineRule="auto"/>
              <w:ind w:firstLine="420" w:firstLineChars="200"/>
              <w:rPr>
                <w:rFonts w:hint="eastAsia" w:ascii="宋体" w:hAnsi="宋体" w:cs="宋体"/>
                <w:color w:val="auto"/>
                <w:szCs w:val="21"/>
                <w:highlight w:val="none"/>
              </w:rPr>
            </w:pPr>
          </w:p>
        </w:tc>
        <w:tc>
          <w:tcPr>
            <w:tcW w:w="1134" w:type="dxa"/>
            <w:noWrap w:val="0"/>
            <w:vAlign w:val="center"/>
          </w:tcPr>
          <w:p w14:paraId="40BBE0E1">
            <w:pPr>
              <w:pStyle w:val="75"/>
              <w:spacing w:line="360" w:lineRule="auto"/>
              <w:ind w:firstLine="420" w:firstLineChars="200"/>
              <w:rPr>
                <w:rFonts w:hint="eastAsia" w:ascii="宋体" w:hAnsi="宋体" w:cs="宋体"/>
                <w:color w:val="auto"/>
                <w:szCs w:val="21"/>
                <w:highlight w:val="none"/>
              </w:rPr>
            </w:pPr>
          </w:p>
        </w:tc>
        <w:tc>
          <w:tcPr>
            <w:tcW w:w="1559" w:type="dxa"/>
            <w:noWrap w:val="0"/>
            <w:vAlign w:val="center"/>
          </w:tcPr>
          <w:p w14:paraId="25FF985B">
            <w:pPr>
              <w:pStyle w:val="75"/>
              <w:spacing w:line="360" w:lineRule="auto"/>
              <w:ind w:firstLine="420" w:firstLineChars="200"/>
              <w:rPr>
                <w:rFonts w:hint="eastAsia" w:ascii="宋体" w:hAnsi="宋体" w:cs="宋体"/>
                <w:color w:val="auto"/>
                <w:szCs w:val="21"/>
                <w:highlight w:val="none"/>
              </w:rPr>
            </w:pPr>
          </w:p>
        </w:tc>
      </w:tr>
    </w:tbl>
    <w:p w14:paraId="6FF0D1AB">
      <w:pPr>
        <w:pStyle w:val="75"/>
        <w:rPr>
          <w:rFonts w:hint="eastAsia" w:ascii="宋体" w:hAnsi="宋体" w:cs="宋体"/>
          <w:color w:val="auto"/>
          <w:szCs w:val="21"/>
          <w:highlight w:val="none"/>
        </w:rPr>
      </w:pPr>
    </w:p>
    <w:p w14:paraId="4B9C0F4B">
      <w:pPr>
        <w:pStyle w:val="75"/>
        <w:rPr>
          <w:rFonts w:hint="eastAsia" w:ascii="宋体" w:hAnsi="宋体" w:cs="宋体"/>
          <w:color w:val="auto"/>
          <w:szCs w:val="21"/>
          <w:highlight w:val="none"/>
        </w:rPr>
      </w:pPr>
    </w:p>
    <w:p w14:paraId="7CC414D0">
      <w:pPr>
        <w:pStyle w:val="75"/>
        <w:rPr>
          <w:rFonts w:hint="eastAsia" w:ascii="宋体" w:hAnsi="宋体" w:cs="宋体"/>
          <w:color w:val="auto"/>
          <w:szCs w:val="21"/>
          <w:highlight w:val="none"/>
        </w:rPr>
      </w:pPr>
    </w:p>
    <w:p w14:paraId="396B3BD5">
      <w:pPr>
        <w:pStyle w:val="75"/>
        <w:rPr>
          <w:rFonts w:hint="eastAsia" w:ascii="宋体" w:hAnsi="宋体" w:cs="宋体"/>
          <w:color w:val="auto"/>
          <w:szCs w:val="21"/>
          <w:highlight w:val="none"/>
        </w:rPr>
      </w:pPr>
      <w:r>
        <w:rPr>
          <w:rFonts w:hint="eastAsia" w:ascii="宋体" w:hAnsi="宋体" w:cs="宋体"/>
          <w:color w:val="auto"/>
          <w:szCs w:val="21"/>
          <w:highlight w:val="none"/>
        </w:rPr>
        <w:t>附表三：劳动力计划表</w:t>
      </w:r>
    </w:p>
    <w:p w14:paraId="2570F0E0">
      <w:pPr>
        <w:pStyle w:val="75"/>
        <w:ind w:firstLine="7245" w:firstLineChars="3450"/>
        <w:rPr>
          <w:rFonts w:hint="eastAsia" w:ascii="宋体" w:hAnsi="宋体" w:cs="宋体"/>
          <w:color w:val="auto"/>
          <w:szCs w:val="21"/>
          <w:highlight w:val="none"/>
        </w:rPr>
      </w:pPr>
      <w:r>
        <w:rPr>
          <w:rFonts w:hint="eastAsia" w:ascii="宋体" w:hAnsi="宋体" w:cs="宋体"/>
          <w:color w:val="auto"/>
          <w:szCs w:val="21"/>
          <w:highlight w:val="none"/>
        </w:rPr>
        <w:t xml:space="preserve">    单位：人</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3040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760850DE">
            <w:pPr>
              <w:pStyle w:val="75"/>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工种</w:t>
            </w:r>
          </w:p>
        </w:tc>
        <w:tc>
          <w:tcPr>
            <w:tcW w:w="8506" w:type="dxa"/>
            <w:gridSpan w:val="7"/>
            <w:noWrap w:val="0"/>
            <w:vAlign w:val="center"/>
          </w:tcPr>
          <w:p w14:paraId="48223129">
            <w:pPr>
              <w:pStyle w:val="75"/>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按工程施工阶段投入劳动力情况</w:t>
            </w:r>
          </w:p>
        </w:tc>
      </w:tr>
      <w:tr w14:paraId="51DF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38440ECB">
            <w:pPr>
              <w:pStyle w:val="75"/>
              <w:spacing w:line="360" w:lineRule="auto"/>
              <w:jc w:val="center"/>
              <w:rPr>
                <w:rFonts w:hint="eastAsia" w:ascii="宋体" w:hAnsi="宋体" w:cs="宋体"/>
                <w:color w:val="auto"/>
                <w:szCs w:val="21"/>
                <w:highlight w:val="none"/>
              </w:rPr>
            </w:pPr>
          </w:p>
        </w:tc>
        <w:tc>
          <w:tcPr>
            <w:tcW w:w="961" w:type="dxa"/>
            <w:noWrap w:val="0"/>
            <w:vAlign w:val="center"/>
          </w:tcPr>
          <w:p w14:paraId="395CEEAC">
            <w:pPr>
              <w:pStyle w:val="75"/>
              <w:spacing w:line="360" w:lineRule="auto"/>
              <w:jc w:val="center"/>
              <w:rPr>
                <w:rFonts w:hint="eastAsia" w:ascii="宋体" w:hAnsi="宋体" w:cs="宋体"/>
                <w:color w:val="auto"/>
                <w:szCs w:val="21"/>
                <w:highlight w:val="none"/>
              </w:rPr>
            </w:pPr>
          </w:p>
        </w:tc>
        <w:tc>
          <w:tcPr>
            <w:tcW w:w="1257" w:type="dxa"/>
            <w:noWrap w:val="0"/>
            <w:vAlign w:val="center"/>
          </w:tcPr>
          <w:p w14:paraId="05780D6B">
            <w:pPr>
              <w:pStyle w:val="75"/>
              <w:spacing w:line="360" w:lineRule="auto"/>
              <w:jc w:val="center"/>
              <w:rPr>
                <w:rFonts w:hint="eastAsia" w:ascii="宋体" w:hAnsi="宋体" w:cs="宋体"/>
                <w:color w:val="auto"/>
                <w:szCs w:val="21"/>
                <w:highlight w:val="none"/>
              </w:rPr>
            </w:pPr>
          </w:p>
        </w:tc>
        <w:tc>
          <w:tcPr>
            <w:tcW w:w="1258" w:type="dxa"/>
            <w:noWrap w:val="0"/>
            <w:vAlign w:val="center"/>
          </w:tcPr>
          <w:p w14:paraId="0DFD6434">
            <w:pPr>
              <w:pStyle w:val="75"/>
              <w:spacing w:line="360" w:lineRule="auto"/>
              <w:jc w:val="center"/>
              <w:rPr>
                <w:rFonts w:hint="eastAsia" w:ascii="宋体" w:hAnsi="宋体" w:cs="宋体"/>
                <w:color w:val="auto"/>
                <w:szCs w:val="21"/>
                <w:highlight w:val="none"/>
              </w:rPr>
            </w:pPr>
          </w:p>
        </w:tc>
        <w:tc>
          <w:tcPr>
            <w:tcW w:w="1257" w:type="dxa"/>
            <w:noWrap w:val="0"/>
            <w:vAlign w:val="center"/>
          </w:tcPr>
          <w:p w14:paraId="3A9C123A">
            <w:pPr>
              <w:pStyle w:val="75"/>
              <w:spacing w:line="360" w:lineRule="auto"/>
              <w:jc w:val="center"/>
              <w:rPr>
                <w:rFonts w:hint="eastAsia" w:ascii="宋体" w:hAnsi="宋体" w:cs="宋体"/>
                <w:color w:val="auto"/>
                <w:szCs w:val="21"/>
                <w:highlight w:val="none"/>
              </w:rPr>
            </w:pPr>
          </w:p>
        </w:tc>
        <w:tc>
          <w:tcPr>
            <w:tcW w:w="1258" w:type="dxa"/>
            <w:noWrap w:val="0"/>
            <w:vAlign w:val="center"/>
          </w:tcPr>
          <w:p w14:paraId="5FD8FD95">
            <w:pPr>
              <w:pStyle w:val="75"/>
              <w:spacing w:line="360" w:lineRule="auto"/>
              <w:jc w:val="center"/>
              <w:rPr>
                <w:rFonts w:hint="eastAsia" w:ascii="宋体" w:hAnsi="宋体" w:cs="宋体"/>
                <w:color w:val="auto"/>
                <w:szCs w:val="21"/>
                <w:highlight w:val="none"/>
              </w:rPr>
            </w:pPr>
          </w:p>
        </w:tc>
        <w:tc>
          <w:tcPr>
            <w:tcW w:w="1257" w:type="dxa"/>
            <w:noWrap w:val="0"/>
            <w:vAlign w:val="center"/>
          </w:tcPr>
          <w:p w14:paraId="5415A933">
            <w:pPr>
              <w:pStyle w:val="75"/>
              <w:spacing w:line="360" w:lineRule="auto"/>
              <w:jc w:val="center"/>
              <w:rPr>
                <w:rFonts w:hint="eastAsia" w:ascii="宋体" w:hAnsi="宋体" w:cs="宋体"/>
                <w:color w:val="auto"/>
                <w:szCs w:val="21"/>
                <w:highlight w:val="none"/>
              </w:rPr>
            </w:pPr>
          </w:p>
        </w:tc>
        <w:tc>
          <w:tcPr>
            <w:tcW w:w="1258" w:type="dxa"/>
            <w:noWrap w:val="0"/>
            <w:vAlign w:val="center"/>
          </w:tcPr>
          <w:p w14:paraId="743225E1">
            <w:pPr>
              <w:pStyle w:val="75"/>
              <w:spacing w:line="360" w:lineRule="auto"/>
              <w:jc w:val="center"/>
              <w:rPr>
                <w:rFonts w:hint="eastAsia" w:ascii="宋体" w:hAnsi="宋体" w:cs="宋体"/>
                <w:color w:val="auto"/>
                <w:szCs w:val="21"/>
                <w:highlight w:val="none"/>
              </w:rPr>
            </w:pPr>
          </w:p>
        </w:tc>
      </w:tr>
      <w:tr w14:paraId="6391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09754956">
            <w:pPr>
              <w:pStyle w:val="75"/>
              <w:spacing w:line="360" w:lineRule="auto"/>
              <w:jc w:val="center"/>
              <w:rPr>
                <w:rFonts w:hint="eastAsia" w:ascii="宋体" w:hAnsi="宋体" w:cs="宋体"/>
                <w:color w:val="auto"/>
                <w:szCs w:val="21"/>
                <w:highlight w:val="none"/>
              </w:rPr>
            </w:pPr>
          </w:p>
        </w:tc>
        <w:tc>
          <w:tcPr>
            <w:tcW w:w="961" w:type="dxa"/>
            <w:noWrap w:val="0"/>
            <w:vAlign w:val="center"/>
          </w:tcPr>
          <w:p w14:paraId="58DF97A2">
            <w:pPr>
              <w:pStyle w:val="75"/>
              <w:spacing w:line="360" w:lineRule="auto"/>
              <w:jc w:val="center"/>
              <w:rPr>
                <w:rFonts w:hint="eastAsia" w:ascii="宋体" w:hAnsi="宋体" w:cs="宋体"/>
                <w:color w:val="auto"/>
                <w:szCs w:val="21"/>
                <w:highlight w:val="none"/>
              </w:rPr>
            </w:pPr>
          </w:p>
        </w:tc>
        <w:tc>
          <w:tcPr>
            <w:tcW w:w="1257" w:type="dxa"/>
            <w:noWrap w:val="0"/>
            <w:vAlign w:val="center"/>
          </w:tcPr>
          <w:p w14:paraId="1294B6E2">
            <w:pPr>
              <w:pStyle w:val="75"/>
              <w:spacing w:line="360" w:lineRule="auto"/>
              <w:jc w:val="center"/>
              <w:rPr>
                <w:rFonts w:hint="eastAsia" w:ascii="宋体" w:hAnsi="宋体" w:cs="宋体"/>
                <w:color w:val="auto"/>
                <w:szCs w:val="21"/>
                <w:highlight w:val="none"/>
              </w:rPr>
            </w:pPr>
          </w:p>
        </w:tc>
        <w:tc>
          <w:tcPr>
            <w:tcW w:w="1258" w:type="dxa"/>
            <w:noWrap w:val="0"/>
            <w:vAlign w:val="center"/>
          </w:tcPr>
          <w:p w14:paraId="714BF23E">
            <w:pPr>
              <w:pStyle w:val="75"/>
              <w:spacing w:line="360" w:lineRule="auto"/>
              <w:jc w:val="center"/>
              <w:rPr>
                <w:rFonts w:hint="eastAsia" w:ascii="宋体" w:hAnsi="宋体" w:cs="宋体"/>
                <w:color w:val="auto"/>
                <w:szCs w:val="21"/>
                <w:highlight w:val="none"/>
              </w:rPr>
            </w:pPr>
          </w:p>
        </w:tc>
        <w:tc>
          <w:tcPr>
            <w:tcW w:w="1257" w:type="dxa"/>
            <w:noWrap w:val="0"/>
            <w:vAlign w:val="center"/>
          </w:tcPr>
          <w:p w14:paraId="6A72AFF3">
            <w:pPr>
              <w:pStyle w:val="75"/>
              <w:spacing w:line="360" w:lineRule="auto"/>
              <w:jc w:val="center"/>
              <w:rPr>
                <w:rFonts w:hint="eastAsia" w:ascii="宋体" w:hAnsi="宋体" w:cs="宋体"/>
                <w:color w:val="auto"/>
                <w:szCs w:val="21"/>
                <w:highlight w:val="none"/>
              </w:rPr>
            </w:pPr>
          </w:p>
        </w:tc>
        <w:tc>
          <w:tcPr>
            <w:tcW w:w="1258" w:type="dxa"/>
            <w:noWrap w:val="0"/>
            <w:vAlign w:val="center"/>
          </w:tcPr>
          <w:p w14:paraId="01BC472F">
            <w:pPr>
              <w:pStyle w:val="75"/>
              <w:spacing w:line="360" w:lineRule="auto"/>
              <w:jc w:val="center"/>
              <w:rPr>
                <w:rFonts w:hint="eastAsia" w:ascii="宋体" w:hAnsi="宋体" w:cs="宋体"/>
                <w:color w:val="auto"/>
                <w:szCs w:val="21"/>
                <w:highlight w:val="none"/>
              </w:rPr>
            </w:pPr>
          </w:p>
        </w:tc>
        <w:tc>
          <w:tcPr>
            <w:tcW w:w="1257" w:type="dxa"/>
            <w:noWrap w:val="0"/>
            <w:vAlign w:val="center"/>
          </w:tcPr>
          <w:p w14:paraId="7C7DAFB0">
            <w:pPr>
              <w:pStyle w:val="75"/>
              <w:spacing w:line="360" w:lineRule="auto"/>
              <w:jc w:val="center"/>
              <w:rPr>
                <w:rFonts w:hint="eastAsia" w:ascii="宋体" w:hAnsi="宋体" w:cs="宋体"/>
                <w:color w:val="auto"/>
                <w:szCs w:val="21"/>
                <w:highlight w:val="none"/>
              </w:rPr>
            </w:pPr>
          </w:p>
        </w:tc>
        <w:tc>
          <w:tcPr>
            <w:tcW w:w="1258" w:type="dxa"/>
            <w:noWrap w:val="0"/>
            <w:vAlign w:val="center"/>
          </w:tcPr>
          <w:p w14:paraId="67825A06">
            <w:pPr>
              <w:pStyle w:val="75"/>
              <w:spacing w:line="360" w:lineRule="auto"/>
              <w:jc w:val="center"/>
              <w:rPr>
                <w:rFonts w:hint="eastAsia" w:ascii="宋体" w:hAnsi="宋体" w:cs="宋体"/>
                <w:color w:val="auto"/>
                <w:szCs w:val="21"/>
                <w:highlight w:val="none"/>
              </w:rPr>
            </w:pPr>
          </w:p>
        </w:tc>
      </w:tr>
      <w:tr w14:paraId="43A7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78B38190">
            <w:pPr>
              <w:pStyle w:val="75"/>
              <w:spacing w:line="360" w:lineRule="auto"/>
              <w:jc w:val="center"/>
              <w:rPr>
                <w:rFonts w:hint="eastAsia" w:ascii="宋体" w:hAnsi="宋体" w:cs="宋体"/>
                <w:color w:val="auto"/>
                <w:szCs w:val="21"/>
                <w:highlight w:val="none"/>
              </w:rPr>
            </w:pPr>
          </w:p>
        </w:tc>
        <w:tc>
          <w:tcPr>
            <w:tcW w:w="961" w:type="dxa"/>
            <w:noWrap w:val="0"/>
            <w:vAlign w:val="center"/>
          </w:tcPr>
          <w:p w14:paraId="35D706BC">
            <w:pPr>
              <w:pStyle w:val="75"/>
              <w:spacing w:line="360" w:lineRule="auto"/>
              <w:jc w:val="center"/>
              <w:rPr>
                <w:rFonts w:hint="eastAsia" w:ascii="宋体" w:hAnsi="宋体" w:cs="宋体"/>
                <w:color w:val="auto"/>
                <w:szCs w:val="21"/>
                <w:highlight w:val="none"/>
              </w:rPr>
            </w:pPr>
          </w:p>
        </w:tc>
        <w:tc>
          <w:tcPr>
            <w:tcW w:w="1257" w:type="dxa"/>
            <w:noWrap w:val="0"/>
            <w:vAlign w:val="center"/>
          </w:tcPr>
          <w:p w14:paraId="3F896997">
            <w:pPr>
              <w:pStyle w:val="75"/>
              <w:spacing w:line="360" w:lineRule="auto"/>
              <w:jc w:val="center"/>
              <w:rPr>
                <w:rFonts w:hint="eastAsia" w:ascii="宋体" w:hAnsi="宋体" w:cs="宋体"/>
                <w:color w:val="auto"/>
                <w:szCs w:val="21"/>
                <w:highlight w:val="none"/>
              </w:rPr>
            </w:pPr>
          </w:p>
        </w:tc>
        <w:tc>
          <w:tcPr>
            <w:tcW w:w="1258" w:type="dxa"/>
            <w:noWrap w:val="0"/>
            <w:vAlign w:val="center"/>
          </w:tcPr>
          <w:p w14:paraId="32D662B0">
            <w:pPr>
              <w:pStyle w:val="75"/>
              <w:spacing w:line="360" w:lineRule="auto"/>
              <w:jc w:val="center"/>
              <w:rPr>
                <w:rFonts w:hint="eastAsia" w:ascii="宋体" w:hAnsi="宋体" w:cs="宋体"/>
                <w:color w:val="auto"/>
                <w:szCs w:val="21"/>
                <w:highlight w:val="none"/>
              </w:rPr>
            </w:pPr>
          </w:p>
        </w:tc>
        <w:tc>
          <w:tcPr>
            <w:tcW w:w="1257" w:type="dxa"/>
            <w:noWrap w:val="0"/>
            <w:vAlign w:val="center"/>
          </w:tcPr>
          <w:p w14:paraId="16AC7769">
            <w:pPr>
              <w:pStyle w:val="75"/>
              <w:spacing w:line="360" w:lineRule="auto"/>
              <w:jc w:val="center"/>
              <w:rPr>
                <w:rFonts w:hint="eastAsia" w:ascii="宋体" w:hAnsi="宋体" w:cs="宋体"/>
                <w:color w:val="auto"/>
                <w:szCs w:val="21"/>
                <w:highlight w:val="none"/>
              </w:rPr>
            </w:pPr>
          </w:p>
        </w:tc>
        <w:tc>
          <w:tcPr>
            <w:tcW w:w="1258" w:type="dxa"/>
            <w:noWrap w:val="0"/>
            <w:vAlign w:val="center"/>
          </w:tcPr>
          <w:p w14:paraId="541080D7">
            <w:pPr>
              <w:pStyle w:val="75"/>
              <w:spacing w:line="360" w:lineRule="auto"/>
              <w:jc w:val="center"/>
              <w:rPr>
                <w:rFonts w:hint="eastAsia" w:ascii="宋体" w:hAnsi="宋体" w:cs="宋体"/>
                <w:color w:val="auto"/>
                <w:szCs w:val="21"/>
                <w:highlight w:val="none"/>
              </w:rPr>
            </w:pPr>
          </w:p>
        </w:tc>
        <w:tc>
          <w:tcPr>
            <w:tcW w:w="1257" w:type="dxa"/>
            <w:noWrap w:val="0"/>
            <w:vAlign w:val="center"/>
          </w:tcPr>
          <w:p w14:paraId="2D4A744A">
            <w:pPr>
              <w:pStyle w:val="75"/>
              <w:spacing w:line="360" w:lineRule="auto"/>
              <w:jc w:val="center"/>
              <w:rPr>
                <w:rFonts w:hint="eastAsia" w:ascii="宋体" w:hAnsi="宋体" w:cs="宋体"/>
                <w:color w:val="auto"/>
                <w:szCs w:val="21"/>
                <w:highlight w:val="none"/>
              </w:rPr>
            </w:pPr>
          </w:p>
        </w:tc>
        <w:tc>
          <w:tcPr>
            <w:tcW w:w="1258" w:type="dxa"/>
            <w:noWrap w:val="0"/>
            <w:vAlign w:val="center"/>
          </w:tcPr>
          <w:p w14:paraId="0D74CF76">
            <w:pPr>
              <w:pStyle w:val="75"/>
              <w:spacing w:line="360" w:lineRule="auto"/>
              <w:jc w:val="center"/>
              <w:rPr>
                <w:rFonts w:hint="eastAsia" w:ascii="宋体" w:hAnsi="宋体" w:cs="宋体"/>
                <w:color w:val="auto"/>
                <w:szCs w:val="21"/>
                <w:highlight w:val="none"/>
              </w:rPr>
            </w:pPr>
          </w:p>
        </w:tc>
      </w:tr>
      <w:tr w14:paraId="3246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2CF754C2">
            <w:pPr>
              <w:pStyle w:val="75"/>
              <w:spacing w:line="360" w:lineRule="auto"/>
              <w:jc w:val="center"/>
              <w:rPr>
                <w:rFonts w:hint="eastAsia" w:ascii="宋体" w:hAnsi="宋体" w:cs="宋体"/>
                <w:color w:val="auto"/>
                <w:szCs w:val="21"/>
                <w:highlight w:val="none"/>
              </w:rPr>
            </w:pPr>
          </w:p>
        </w:tc>
        <w:tc>
          <w:tcPr>
            <w:tcW w:w="961" w:type="dxa"/>
            <w:noWrap w:val="0"/>
            <w:vAlign w:val="center"/>
          </w:tcPr>
          <w:p w14:paraId="7EC4AC52">
            <w:pPr>
              <w:pStyle w:val="75"/>
              <w:spacing w:line="360" w:lineRule="auto"/>
              <w:jc w:val="center"/>
              <w:rPr>
                <w:rFonts w:hint="eastAsia" w:ascii="宋体" w:hAnsi="宋体" w:cs="宋体"/>
                <w:color w:val="auto"/>
                <w:szCs w:val="21"/>
                <w:highlight w:val="none"/>
              </w:rPr>
            </w:pPr>
          </w:p>
        </w:tc>
        <w:tc>
          <w:tcPr>
            <w:tcW w:w="1257" w:type="dxa"/>
            <w:noWrap w:val="0"/>
            <w:vAlign w:val="center"/>
          </w:tcPr>
          <w:p w14:paraId="447942B8">
            <w:pPr>
              <w:pStyle w:val="75"/>
              <w:spacing w:line="360" w:lineRule="auto"/>
              <w:jc w:val="center"/>
              <w:rPr>
                <w:rFonts w:hint="eastAsia" w:ascii="宋体" w:hAnsi="宋体" w:cs="宋体"/>
                <w:color w:val="auto"/>
                <w:szCs w:val="21"/>
                <w:highlight w:val="none"/>
              </w:rPr>
            </w:pPr>
          </w:p>
        </w:tc>
        <w:tc>
          <w:tcPr>
            <w:tcW w:w="1258" w:type="dxa"/>
            <w:noWrap w:val="0"/>
            <w:vAlign w:val="center"/>
          </w:tcPr>
          <w:p w14:paraId="717A548A">
            <w:pPr>
              <w:pStyle w:val="75"/>
              <w:spacing w:line="360" w:lineRule="auto"/>
              <w:jc w:val="center"/>
              <w:rPr>
                <w:rFonts w:hint="eastAsia" w:ascii="宋体" w:hAnsi="宋体" w:cs="宋体"/>
                <w:color w:val="auto"/>
                <w:szCs w:val="21"/>
                <w:highlight w:val="none"/>
              </w:rPr>
            </w:pPr>
          </w:p>
        </w:tc>
        <w:tc>
          <w:tcPr>
            <w:tcW w:w="1257" w:type="dxa"/>
            <w:noWrap w:val="0"/>
            <w:vAlign w:val="center"/>
          </w:tcPr>
          <w:p w14:paraId="4064123C">
            <w:pPr>
              <w:pStyle w:val="75"/>
              <w:spacing w:line="360" w:lineRule="auto"/>
              <w:jc w:val="center"/>
              <w:rPr>
                <w:rFonts w:hint="eastAsia" w:ascii="宋体" w:hAnsi="宋体" w:cs="宋体"/>
                <w:color w:val="auto"/>
                <w:szCs w:val="21"/>
                <w:highlight w:val="none"/>
              </w:rPr>
            </w:pPr>
          </w:p>
        </w:tc>
        <w:tc>
          <w:tcPr>
            <w:tcW w:w="1258" w:type="dxa"/>
            <w:noWrap w:val="0"/>
            <w:vAlign w:val="center"/>
          </w:tcPr>
          <w:p w14:paraId="5664E0BF">
            <w:pPr>
              <w:pStyle w:val="75"/>
              <w:spacing w:line="360" w:lineRule="auto"/>
              <w:jc w:val="center"/>
              <w:rPr>
                <w:rFonts w:hint="eastAsia" w:ascii="宋体" w:hAnsi="宋体" w:cs="宋体"/>
                <w:color w:val="auto"/>
                <w:szCs w:val="21"/>
                <w:highlight w:val="none"/>
              </w:rPr>
            </w:pPr>
          </w:p>
        </w:tc>
        <w:tc>
          <w:tcPr>
            <w:tcW w:w="1257" w:type="dxa"/>
            <w:noWrap w:val="0"/>
            <w:vAlign w:val="center"/>
          </w:tcPr>
          <w:p w14:paraId="58697343">
            <w:pPr>
              <w:pStyle w:val="75"/>
              <w:spacing w:line="360" w:lineRule="auto"/>
              <w:jc w:val="center"/>
              <w:rPr>
                <w:rFonts w:hint="eastAsia" w:ascii="宋体" w:hAnsi="宋体" w:cs="宋体"/>
                <w:color w:val="auto"/>
                <w:szCs w:val="21"/>
                <w:highlight w:val="none"/>
              </w:rPr>
            </w:pPr>
          </w:p>
        </w:tc>
        <w:tc>
          <w:tcPr>
            <w:tcW w:w="1258" w:type="dxa"/>
            <w:noWrap w:val="0"/>
            <w:vAlign w:val="center"/>
          </w:tcPr>
          <w:p w14:paraId="6AF93DC9">
            <w:pPr>
              <w:pStyle w:val="75"/>
              <w:spacing w:line="360" w:lineRule="auto"/>
              <w:jc w:val="center"/>
              <w:rPr>
                <w:rFonts w:hint="eastAsia" w:ascii="宋体" w:hAnsi="宋体" w:cs="宋体"/>
                <w:color w:val="auto"/>
                <w:szCs w:val="21"/>
                <w:highlight w:val="none"/>
              </w:rPr>
            </w:pPr>
          </w:p>
        </w:tc>
      </w:tr>
      <w:tr w14:paraId="7011F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225C9282">
            <w:pPr>
              <w:pStyle w:val="75"/>
              <w:spacing w:line="360" w:lineRule="auto"/>
              <w:jc w:val="center"/>
              <w:rPr>
                <w:rFonts w:hint="eastAsia" w:ascii="宋体" w:hAnsi="宋体" w:cs="宋体"/>
                <w:color w:val="auto"/>
                <w:szCs w:val="21"/>
                <w:highlight w:val="none"/>
              </w:rPr>
            </w:pPr>
          </w:p>
        </w:tc>
        <w:tc>
          <w:tcPr>
            <w:tcW w:w="961" w:type="dxa"/>
            <w:noWrap w:val="0"/>
            <w:vAlign w:val="center"/>
          </w:tcPr>
          <w:p w14:paraId="3D66E74E">
            <w:pPr>
              <w:pStyle w:val="75"/>
              <w:spacing w:line="360" w:lineRule="auto"/>
              <w:jc w:val="center"/>
              <w:rPr>
                <w:rFonts w:hint="eastAsia" w:ascii="宋体" w:hAnsi="宋体" w:cs="宋体"/>
                <w:color w:val="auto"/>
                <w:szCs w:val="21"/>
                <w:highlight w:val="none"/>
              </w:rPr>
            </w:pPr>
          </w:p>
        </w:tc>
        <w:tc>
          <w:tcPr>
            <w:tcW w:w="1257" w:type="dxa"/>
            <w:noWrap w:val="0"/>
            <w:vAlign w:val="center"/>
          </w:tcPr>
          <w:p w14:paraId="40129065">
            <w:pPr>
              <w:pStyle w:val="75"/>
              <w:spacing w:line="360" w:lineRule="auto"/>
              <w:jc w:val="center"/>
              <w:rPr>
                <w:rFonts w:hint="eastAsia" w:ascii="宋体" w:hAnsi="宋体" w:cs="宋体"/>
                <w:color w:val="auto"/>
                <w:szCs w:val="21"/>
                <w:highlight w:val="none"/>
              </w:rPr>
            </w:pPr>
          </w:p>
        </w:tc>
        <w:tc>
          <w:tcPr>
            <w:tcW w:w="1258" w:type="dxa"/>
            <w:noWrap w:val="0"/>
            <w:vAlign w:val="center"/>
          </w:tcPr>
          <w:p w14:paraId="456C684B">
            <w:pPr>
              <w:pStyle w:val="75"/>
              <w:spacing w:line="360" w:lineRule="auto"/>
              <w:jc w:val="center"/>
              <w:rPr>
                <w:rFonts w:hint="eastAsia" w:ascii="宋体" w:hAnsi="宋体" w:cs="宋体"/>
                <w:color w:val="auto"/>
                <w:szCs w:val="21"/>
                <w:highlight w:val="none"/>
              </w:rPr>
            </w:pPr>
          </w:p>
        </w:tc>
        <w:tc>
          <w:tcPr>
            <w:tcW w:w="1257" w:type="dxa"/>
            <w:noWrap w:val="0"/>
            <w:vAlign w:val="center"/>
          </w:tcPr>
          <w:p w14:paraId="5B81C273">
            <w:pPr>
              <w:pStyle w:val="75"/>
              <w:spacing w:line="360" w:lineRule="auto"/>
              <w:jc w:val="center"/>
              <w:rPr>
                <w:rFonts w:hint="eastAsia" w:ascii="宋体" w:hAnsi="宋体" w:cs="宋体"/>
                <w:color w:val="auto"/>
                <w:szCs w:val="21"/>
                <w:highlight w:val="none"/>
              </w:rPr>
            </w:pPr>
          </w:p>
        </w:tc>
        <w:tc>
          <w:tcPr>
            <w:tcW w:w="1258" w:type="dxa"/>
            <w:noWrap w:val="0"/>
            <w:vAlign w:val="center"/>
          </w:tcPr>
          <w:p w14:paraId="19C8D84A">
            <w:pPr>
              <w:pStyle w:val="75"/>
              <w:spacing w:line="360" w:lineRule="auto"/>
              <w:jc w:val="center"/>
              <w:rPr>
                <w:rFonts w:hint="eastAsia" w:ascii="宋体" w:hAnsi="宋体" w:cs="宋体"/>
                <w:color w:val="auto"/>
                <w:szCs w:val="21"/>
                <w:highlight w:val="none"/>
              </w:rPr>
            </w:pPr>
          </w:p>
        </w:tc>
        <w:tc>
          <w:tcPr>
            <w:tcW w:w="1257" w:type="dxa"/>
            <w:noWrap w:val="0"/>
            <w:vAlign w:val="center"/>
          </w:tcPr>
          <w:p w14:paraId="3C1D7110">
            <w:pPr>
              <w:pStyle w:val="75"/>
              <w:spacing w:line="360" w:lineRule="auto"/>
              <w:jc w:val="center"/>
              <w:rPr>
                <w:rFonts w:hint="eastAsia" w:ascii="宋体" w:hAnsi="宋体" w:cs="宋体"/>
                <w:color w:val="auto"/>
                <w:szCs w:val="21"/>
                <w:highlight w:val="none"/>
              </w:rPr>
            </w:pPr>
          </w:p>
        </w:tc>
        <w:tc>
          <w:tcPr>
            <w:tcW w:w="1258" w:type="dxa"/>
            <w:noWrap w:val="0"/>
            <w:vAlign w:val="center"/>
          </w:tcPr>
          <w:p w14:paraId="6ED9435A">
            <w:pPr>
              <w:pStyle w:val="75"/>
              <w:spacing w:line="360" w:lineRule="auto"/>
              <w:jc w:val="center"/>
              <w:rPr>
                <w:rFonts w:hint="eastAsia" w:ascii="宋体" w:hAnsi="宋体" w:cs="宋体"/>
                <w:color w:val="auto"/>
                <w:szCs w:val="21"/>
                <w:highlight w:val="none"/>
              </w:rPr>
            </w:pPr>
          </w:p>
        </w:tc>
      </w:tr>
      <w:tr w14:paraId="456B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2C771968">
            <w:pPr>
              <w:pStyle w:val="75"/>
              <w:spacing w:line="360" w:lineRule="auto"/>
              <w:jc w:val="center"/>
              <w:rPr>
                <w:rFonts w:hint="eastAsia" w:ascii="宋体" w:hAnsi="宋体" w:cs="宋体"/>
                <w:color w:val="auto"/>
                <w:szCs w:val="21"/>
                <w:highlight w:val="none"/>
              </w:rPr>
            </w:pPr>
          </w:p>
        </w:tc>
        <w:tc>
          <w:tcPr>
            <w:tcW w:w="961" w:type="dxa"/>
            <w:noWrap w:val="0"/>
            <w:vAlign w:val="center"/>
          </w:tcPr>
          <w:p w14:paraId="72B72324">
            <w:pPr>
              <w:pStyle w:val="75"/>
              <w:spacing w:line="360" w:lineRule="auto"/>
              <w:jc w:val="center"/>
              <w:rPr>
                <w:rFonts w:hint="eastAsia" w:ascii="宋体" w:hAnsi="宋体" w:cs="宋体"/>
                <w:color w:val="auto"/>
                <w:szCs w:val="21"/>
                <w:highlight w:val="none"/>
              </w:rPr>
            </w:pPr>
          </w:p>
        </w:tc>
        <w:tc>
          <w:tcPr>
            <w:tcW w:w="1257" w:type="dxa"/>
            <w:noWrap w:val="0"/>
            <w:vAlign w:val="center"/>
          </w:tcPr>
          <w:p w14:paraId="36958C8A">
            <w:pPr>
              <w:pStyle w:val="75"/>
              <w:spacing w:line="360" w:lineRule="auto"/>
              <w:jc w:val="center"/>
              <w:rPr>
                <w:rFonts w:hint="eastAsia" w:ascii="宋体" w:hAnsi="宋体" w:cs="宋体"/>
                <w:color w:val="auto"/>
                <w:szCs w:val="21"/>
                <w:highlight w:val="none"/>
              </w:rPr>
            </w:pPr>
          </w:p>
        </w:tc>
        <w:tc>
          <w:tcPr>
            <w:tcW w:w="1258" w:type="dxa"/>
            <w:noWrap w:val="0"/>
            <w:vAlign w:val="center"/>
          </w:tcPr>
          <w:p w14:paraId="11BF2366">
            <w:pPr>
              <w:pStyle w:val="75"/>
              <w:spacing w:line="360" w:lineRule="auto"/>
              <w:jc w:val="center"/>
              <w:rPr>
                <w:rFonts w:hint="eastAsia" w:ascii="宋体" w:hAnsi="宋体" w:cs="宋体"/>
                <w:color w:val="auto"/>
                <w:szCs w:val="21"/>
                <w:highlight w:val="none"/>
              </w:rPr>
            </w:pPr>
          </w:p>
        </w:tc>
        <w:tc>
          <w:tcPr>
            <w:tcW w:w="1257" w:type="dxa"/>
            <w:noWrap w:val="0"/>
            <w:vAlign w:val="center"/>
          </w:tcPr>
          <w:p w14:paraId="79D3E937">
            <w:pPr>
              <w:pStyle w:val="75"/>
              <w:spacing w:line="360" w:lineRule="auto"/>
              <w:jc w:val="center"/>
              <w:rPr>
                <w:rFonts w:hint="eastAsia" w:ascii="宋体" w:hAnsi="宋体" w:cs="宋体"/>
                <w:color w:val="auto"/>
                <w:szCs w:val="21"/>
                <w:highlight w:val="none"/>
              </w:rPr>
            </w:pPr>
          </w:p>
        </w:tc>
        <w:tc>
          <w:tcPr>
            <w:tcW w:w="1258" w:type="dxa"/>
            <w:noWrap w:val="0"/>
            <w:vAlign w:val="center"/>
          </w:tcPr>
          <w:p w14:paraId="06A53F2F">
            <w:pPr>
              <w:pStyle w:val="75"/>
              <w:spacing w:line="360" w:lineRule="auto"/>
              <w:jc w:val="center"/>
              <w:rPr>
                <w:rFonts w:hint="eastAsia" w:ascii="宋体" w:hAnsi="宋体" w:cs="宋体"/>
                <w:color w:val="auto"/>
                <w:szCs w:val="21"/>
                <w:highlight w:val="none"/>
              </w:rPr>
            </w:pPr>
          </w:p>
        </w:tc>
        <w:tc>
          <w:tcPr>
            <w:tcW w:w="1257" w:type="dxa"/>
            <w:noWrap w:val="0"/>
            <w:vAlign w:val="center"/>
          </w:tcPr>
          <w:p w14:paraId="33A13348">
            <w:pPr>
              <w:pStyle w:val="75"/>
              <w:spacing w:line="360" w:lineRule="auto"/>
              <w:jc w:val="center"/>
              <w:rPr>
                <w:rFonts w:hint="eastAsia" w:ascii="宋体" w:hAnsi="宋体" w:cs="宋体"/>
                <w:color w:val="auto"/>
                <w:szCs w:val="21"/>
                <w:highlight w:val="none"/>
              </w:rPr>
            </w:pPr>
          </w:p>
        </w:tc>
        <w:tc>
          <w:tcPr>
            <w:tcW w:w="1258" w:type="dxa"/>
            <w:noWrap w:val="0"/>
            <w:vAlign w:val="center"/>
          </w:tcPr>
          <w:p w14:paraId="7FCFEFD6">
            <w:pPr>
              <w:pStyle w:val="75"/>
              <w:spacing w:line="360" w:lineRule="auto"/>
              <w:jc w:val="center"/>
              <w:rPr>
                <w:rFonts w:hint="eastAsia" w:ascii="宋体" w:hAnsi="宋体" w:cs="宋体"/>
                <w:color w:val="auto"/>
                <w:szCs w:val="21"/>
                <w:highlight w:val="none"/>
              </w:rPr>
            </w:pPr>
          </w:p>
        </w:tc>
      </w:tr>
      <w:tr w14:paraId="317B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noWrap w:val="0"/>
            <w:vAlign w:val="center"/>
          </w:tcPr>
          <w:p w14:paraId="04D8B2F1">
            <w:pPr>
              <w:pStyle w:val="75"/>
              <w:spacing w:line="360" w:lineRule="auto"/>
              <w:jc w:val="center"/>
              <w:rPr>
                <w:rFonts w:hint="eastAsia" w:ascii="宋体" w:hAnsi="宋体" w:cs="宋体"/>
                <w:color w:val="auto"/>
                <w:szCs w:val="21"/>
                <w:highlight w:val="none"/>
              </w:rPr>
            </w:pPr>
          </w:p>
        </w:tc>
        <w:tc>
          <w:tcPr>
            <w:tcW w:w="961" w:type="dxa"/>
            <w:noWrap w:val="0"/>
            <w:vAlign w:val="center"/>
          </w:tcPr>
          <w:p w14:paraId="6DC6E58E">
            <w:pPr>
              <w:pStyle w:val="75"/>
              <w:spacing w:line="360" w:lineRule="auto"/>
              <w:jc w:val="center"/>
              <w:rPr>
                <w:rFonts w:hint="eastAsia" w:ascii="宋体" w:hAnsi="宋体" w:cs="宋体"/>
                <w:color w:val="auto"/>
                <w:szCs w:val="21"/>
                <w:highlight w:val="none"/>
              </w:rPr>
            </w:pPr>
          </w:p>
        </w:tc>
        <w:tc>
          <w:tcPr>
            <w:tcW w:w="1257" w:type="dxa"/>
            <w:noWrap w:val="0"/>
            <w:vAlign w:val="center"/>
          </w:tcPr>
          <w:p w14:paraId="200AA3B7">
            <w:pPr>
              <w:pStyle w:val="75"/>
              <w:spacing w:line="360" w:lineRule="auto"/>
              <w:jc w:val="center"/>
              <w:rPr>
                <w:rFonts w:hint="eastAsia" w:ascii="宋体" w:hAnsi="宋体" w:cs="宋体"/>
                <w:color w:val="auto"/>
                <w:szCs w:val="21"/>
                <w:highlight w:val="none"/>
              </w:rPr>
            </w:pPr>
          </w:p>
        </w:tc>
        <w:tc>
          <w:tcPr>
            <w:tcW w:w="1258" w:type="dxa"/>
            <w:noWrap w:val="0"/>
            <w:vAlign w:val="center"/>
          </w:tcPr>
          <w:p w14:paraId="14706839">
            <w:pPr>
              <w:pStyle w:val="75"/>
              <w:spacing w:line="360" w:lineRule="auto"/>
              <w:jc w:val="center"/>
              <w:rPr>
                <w:rFonts w:hint="eastAsia" w:ascii="宋体" w:hAnsi="宋体" w:cs="宋体"/>
                <w:color w:val="auto"/>
                <w:szCs w:val="21"/>
                <w:highlight w:val="none"/>
              </w:rPr>
            </w:pPr>
          </w:p>
        </w:tc>
        <w:tc>
          <w:tcPr>
            <w:tcW w:w="1257" w:type="dxa"/>
            <w:noWrap w:val="0"/>
            <w:vAlign w:val="center"/>
          </w:tcPr>
          <w:p w14:paraId="19C423E8">
            <w:pPr>
              <w:pStyle w:val="75"/>
              <w:spacing w:line="360" w:lineRule="auto"/>
              <w:jc w:val="center"/>
              <w:rPr>
                <w:rFonts w:hint="eastAsia" w:ascii="宋体" w:hAnsi="宋体" w:cs="宋体"/>
                <w:color w:val="auto"/>
                <w:szCs w:val="21"/>
                <w:highlight w:val="none"/>
              </w:rPr>
            </w:pPr>
          </w:p>
        </w:tc>
        <w:tc>
          <w:tcPr>
            <w:tcW w:w="1258" w:type="dxa"/>
            <w:noWrap w:val="0"/>
            <w:vAlign w:val="center"/>
          </w:tcPr>
          <w:p w14:paraId="1F1E0921">
            <w:pPr>
              <w:pStyle w:val="75"/>
              <w:spacing w:line="360" w:lineRule="auto"/>
              <w:jc w:val="center"/>
              <w:rPr>
                <w:rFonts w:hint="eastAsia" w:ascii="宋体" w:hAnsi="宋体" w:cs="宋体"/>
                <w:color w:val="auto"/>
                <w:szCs w:val="21"/>
                <w:highlight w:val="none"/>
              </w:rPr>
            </w:pPr>
          </w:p>
        </w:tc>
        <w:tc>
          <w:tcPr>
            <w:tcW w:w="1257" w:type="dxa"/>
            <w:noWrap w:val="0"/>
            <w:vAlign w:val="center"/>
          </w:tcPr>
          <w:p w14:paraId="726873F6">
            <w:pPr>
              <w:pStyle w:val="75"/>
              <w:spacing w:line="360" w:lineRule="auto"/>
              <w:jc w:val="center"/>
              <w:rPr>
                <w:rFonts w:hint="eastAsia" w:ascii="宋体" w:hAnsi="宋体" w:cs="宋体"/>
                <w:color w:val="auto"/>
                <w:szCs w:val="21"/>
                <w:highlight w:val="none"/>
              </w:rPr>
            </w:pPr>
          </w:p>
        </w:tc>
        <w:tc>
          <w:tcPr>
            <w:tcW w:w="1258" w:type="dxa"/>
            <w:noWrap w:val="0"/>
            <w:vAlign w:val="center"/>
          </w:tcPr>
          <w:p w14:paraId="5FEF1AC8">
            <w:pPr>
              <w:pStyle w:val="75"/>
              <w:spacing w:line="360" w:lineRule="auto"/>
              <w:jc w:val="center"/>
              <w:rPr>
                <w:rFonts w:hint="eastAsia" w:ascii="宋体" w:hAnsi="宋体" w:cs="宋体"/>
                <w:color w:val="auto"/>
                <w:szCs w:val="21"/>
                <w:highlight w:val="none"/>
              </w:rPr>
            </w:pPr>
          </w:p>
        </w:tc>
      </w:tr>
    </w:tbl>
    <w:p w14:paraId="6921ACF1">
      <w:pPr>
        <w:pStyle w:val="75"/>
        <w:rPr>
          <w:rFonts w:hint="eastAsia" w:ascii="宋体" w:hAnsi="宋体" w:cs="宋体"/>
          <w:color w:val="auto"/>
          <w:szCs w:val="21"/>
          <w:highlight w:val="none"/>
        </w:rPr>
      </w:pPr>
    </w:p>
    <w:p w14:paraId="13DC9F32">
      <w:pPr>
        <w:pStyle w:val="75"/>
        <w:rPr>
          <w:rFonts w:hint="eastAsia" w:ascii="宋体" w:hAnsi="宋体" w:cs="宋体"/>
          <w:b/>
          <w:bCs/>
          <w:color w:val="auto"/>
          <w:szCs w:val="21"/>
          <w:highlight w:val="none"/>
        </w:rPr>
      </w:pPr>
    </w:p>
    <w:p w14:paraId="73FA00E8">
      <w:pPr>
        <w:pStyle w:val="75"/>
        <w:rPr>
          <w:rFonts w:hint="eastAsia" w:ascii="宋体" w:hAnsi="宋体" w:cs="宋体"/>
          <w:color w:val="auto"/>
          <w:szCs w:val="21"/>
          <w:highlight w:val="none"/>
        </w:rPr>
      </w:pPr>
      <w:r>
        <w:rPr>
          <w:rFonts w:hint="eastAsia" w:ascii="宋体" w:hAnsi="宋体" w:cs="宋体"/>
          <w:color w:val="auto"/>
          <w:szCs w:val="21"/>
          <w:highlight w:val="none"/>
        </w:rPr>
        <w:t>附表四：计划开、竣工日期和施工进度计划（网络图或横道图）</w:t>
      </w:r>
    </w:p>
    <w:p w14:paraId="64935031">
      <w:pPr>
        <w:pStyle w:val="75"/>
        <w:spacing w:line="460" w:lineRule="exact"/>
        <w:ind w:left="-6" w:firstLine="420"/>
        <w:rPr>
          <w:rFonts w:hint="eastAsia" w:ascii="宋体" w:hAnsi="宋体" w:cs="宋体"/>
          <w:color w:val="auto"/>
          <w:szCs w:val="21"/>
          <w:highlight w:val="none"/>
        </w:rPr>
      </w:pPr>
      <w:r>
        <w:rPr>
          <w:rFonts w:hint="eastAsia" w:ascii="宋体" w:hAnsi="宋体" w:cs="宋体"/>
          <w:color w:val="auto"/>
          <w:szCs w:val="21"/>
          <w:highlight w:val="none"/>
        </w:rPr>
        <w:t>1. 供应商应提交施工进度计划，说明按竞争性磋商文件要求的工期进行施工的各个关键日期。中标的供应商还应按合同条件有关条款的要求提交详细的施工进度计划。</w:t>
      </w:r>
    </w:p>
    <w:p w14:paraId="52B442EE">
      <w:pPr>
        <w:pStyle w:val="75"/>
        <w:spacing w:line="460" w:lineRule="exact"/>
        <w:ind w:left="-6" w:firstLine="420"/>
        <w:rPr>
          <w:rFonts w:hint="eastAsia" w:ascii="宋体" w:hAnsi="宋体" w:cs="宋体"/>
          <w:color w:val="auto"/>
          <w:szCs w:val="21"/>
          <w:highlight w:val="none"/>
        </w:rPr>
      </w:pPr>
      <w:r>
        <w:rPr>
          <w:rFonts w:hint="eastAsia" w:ascii="宋体" w:hAnsi="宋体" w:cs="宋体"/>
          <w:color w:val="auto"/>
          <w:szCs w:val="21"/>
          <w:highlight w:val="none"/>
        </w:rPr>
        <w:t>2. 施工进度计划可采用网络图（或横道图）表示，说明计划开工日期和各分项工程各阶段的完工日期和分包合同签订的日期。</w:t>
      </w:r>
    </w:p>
    <w:p w14:paraId="078A6540">
      <w:pPr>
        <w:pStyle w:val="75"/>
        <w:spacing w:line="460" w:lineRule="exact"/>
        <w:ind w:left="-6" w:firstLine="420"/>
        <w:rPr>
          <w:rFonts w:hint="eastAsia" w:ascii="宋体" w:hAnsi="宋体" w:cs="宋体"/>
          <w:color w:val="auto"/>
          <w:szCs w:val="21"/>
          <w:highlight w:val="none"/>
        </w:rPr>
      </w:pPr>
      <w:r>
        <w:rPr>
          <w:rFonts w:hint="eastAsia" w:ascii="宋体" w:hAnsi="宋体" w:cs="宋体"/>
          <w:color w:val="auto"/>
          <w:szCs w:val="21"/>
          <w:highlight w:val="none"/>
        </w:rPr>
        <w:t>3. 施工进度计划应与施工组织设计相适应。</w:t>
      </w:r>
    </w:p>
    <w:p w14:paraId="0905E1DD">
      <w:pPr>
        <w:pStyle w:val="75"/>
        <w:spacing w:line="360" w:lineRule="auto"/>
        <w:ind w:left="-6" w:firstLine="420"/>
        <w:rPr>
          <w:rFonts w:hint="eastAsia" w:ascii="宋体" w:hAnsi="宋体" w:cs="宋体"/>
          <w:color w:val="auto"/>
          <w:szCs w:val="21"/>
          <w:highlight w:val="none"/>
        </w:rPr>
      </w:pPr>
    </w:p>
    <w:p w14:paraId="1C6A327D">
      <w:pPr>
        <w:pStyle w:val="75"/>
        <w:rPr>
          <w:rFonts w:hint="eastAsia" w:ascii="宋体" w:hAnsi="宋体" w:cs="宋体"/>
          <w:color w:val="auto"/>
          <w:szCs w:val="21"/>
          <w:highlight w:val="none"/>
        </w:rPr>
      </w:pPr>
    </w:p>
    <w:p w14:paraId="585C3A33">
      <w:pPr>
        <w:pStyle w:val="75"/>
        <w:rPr>
          <w:rFonts w:hint="eastAsia" w:ascii="宋体" w:hAnsi="宋体" w:cs="宋体"/>
          <w:color w:val="auto"/>
          <w:szCs w:val="21"/>
          <w:highlight w:val="none"/>
        </w:rPr>
      </w:pPr>
      <w:r>
        <w:rPr>
          <w:rFonts w:hint="eastAsia" w:ascii="宋体" w:hAnsi="宋体" w:cs="宋体"/>
          <w:color w:val="auto"/>
          <w:szCs w:val="21"/>
          <w:highlight w:val="none"/>
        </w:rPr>
        <w:t>附表五：施工总平面图</w:t>
      </w:r>
    </w:p>
    <w:p w14:paraId="38551DDA">
      <w:pPr>
        <w:pStyle w:val="75"/>
        <w:spacing w:line="46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供应商应递交一份施工总平面图，绘出现场临时设施布置图表并附文字说明，说明临时设施、加工车间、现场办公、设备及仓储、供电、供水、卫生、生活、道路、消防等设施的情况和布置。</w:t>
      </w:r>
    </w:p>
    <w:p w14:paraId="6149F89E">
      <w:pPr>
        <w:pStyle w:val="75"/>
        <w:rPr>
          <w:rFonts w:hint="eastAsia" w:ascii="宋体" w:hAnsi="宋体" w:cs="宋体"/>
          <w:color w:val="auto"/>
          <w:szCs w:val="21"/>
          <w:highlight w:val="none"/>
        </w:rPr>
      </w:pPr>
    </w:p>
    <w:p w14:paraId="2ED76F7B">
      <w:pPr>
        <w:pStyle w:val="75"/>
        <w:rPr>
          <w:rFonts w:hint="eastAsia" w:ascii="宋体" w:hAnsi="宋体" w:cs="宋体"/>
          <w:color w:val="auto"/>
          <w:szCs w:val="21"/>
          <w:highlight w:val="none"/>
        </w:rPr>
      </w:pPr>
    </w:p>
    <w:p w14:paraId="535A999B">
      <w:pPr>
        <w:pStyle w:val="75"/>
        <w:rPr>
          <w:rFonts w:hint="eastAsia" w:ascii="宋体" w:hAnsi="宋体" w:cs="宋体"/>
          <w:color w:val="auto"/>
          <w:szCs w:val="21"/>
          <w:highlight w:val="none"/>
        </w:rPr>
      </w:pPr>
      <w:r>
        <w:rPr>
          <w:rFonts w:hint="eastAsia" w:ascii="宋体" w:hAnsi="宋体" w:cs="宋体"/>
          <w:color w:val="auto"/>
          <w:szCs w:val="21"/>
          <w:highlight w:val="none"/>
        </w:rPr>
        <w:t>附表六：临时用地表</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3B553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noWrap w:val="0"/>
            <w:vAlign w:val="center"/>
          </w:tcPr>
          <w:p w14:paraId="3FEAB7D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用途</w:t>
            </w:r>
          </w:p>
        </w:tc>
        <w:tc>
          <w:tcPr>
            <w:tcW w:w="2357" w:type="dxa"/>
            <w:noWrap w:val="0"/>
            <w:vAlign w:val="center"/>
          </w:tcPr>
          <w:p w14:paraId="0543A590">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面积（平方米）</w:t>
            </w:r>
          </w:p>
        </w:tc>
        <w:tc>
          <w:tcPr>
            <w:tcW w:w="2356" w:type="dxa"/>
            <w:noWrap w:val="0"/>
            <w:vAlign w:val="center"/>
          </w:tcPr>
          <w:p w14:paraId="0B71FEA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位置</w:t>
            </w:r>
          </w:p>
        </w:tc>
        <w:tc>
          <w:tcPr>
            <w:tcW w:w="2357" w:type="dxa"/>
            <w:noWrap w:val="0"/>
            <w:vAlign w:val="center"/>
          </w:tcPr>
          <w:p w14:paraId="5CCF532A">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需用时间</w:t>
            </w:r>
          </w:p>
        </w:tc>
      </w:tr>
      <w:tr w14:paraId="60FC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noWrap w:val="0"/>
            <w:vAlign w:val="top"/>
          </w:tcPr>
          <w:p w14:paraId="5F3CDD80">
            <w:pPr>
              <w:pStyle w:val="75"/>
              <w:rPr>
                <w:rFonts w:hint="eastAsia" w:ascii="宋体" w:hAnsi="宋体" w:cs="宋体"/>
                <w:color w:val="auto"/>
                <w:szCs w:val="21"/>
                <w:highlight w:val="none"/>
              </w:rPr>
            </w:pPr>
          </w:p>
        </w:tc>
        <w:tc>
          <w:tcPr>
            <w:tcW w:w="2357" w:type="dxa"/>
            <w:noWrap w:val="0"/>
            <w:vAlign w:val="top"/>
          </w:tcPr>
          <w:p w14:paraId="4474F3CB">
            <w:pPr>
              <w:pStyle w:val="75"/>
              <w:rPr>
                <w:rFonts w:hint="eastAsia" w:ascii="宋体" w:hAnsi="宋体" w:cs="宋体"/>
                <w:color w:val="auto"/>
                <w:szCs w:val="21"/>
                <w:highlight w:val="none"/>
              </w:rPr>
            </w:pPr>
          </w:p>
        </w:tc>
        <w:tc>
          <w:tcPr>
            <w:tcW w:w="2356" w:type="dxa"/>
            <w:noWrap w:val="0"/>
            <w:vAlign w:val="top"/>
          </w:tcPr>
          <w:p w14:paraId="28263D06">
            <w:pPr>
              <w:pStyle w:val="75"/>
              <w:rPr>
                <w:rFonts w:hint="eastAsia" w:ascii="宋体" w:hAnsi="宋体" w:cs="宋体"/>
                <w:color w:val="auto"/>
                <w:szCs w:val="21"/>
                <w:highlight w:val="none"/>
              </w:rPr>
            </w:pPr>
          </w:p>
        </w:tc>
        <w:tc>
          <w:tcPr>
            <w:tcW w:w="2357" w:type="dxa"/>
            <w:noWrap w:val="0"/>
            <w:vAlign w:val="top"/>
          </w:tcPr>
          <w:p w14:paraId="5EE021E7">
            <w:pPr>
              <w:pStyle w:val="75"/>
              <w:rPr>
                <w:rFonts w:hint="eastAsia" w:ascii="宋体" w:hAnsi="宋体" w:cs="宋体"/>
                <w:color w:val="auto"/>
                <w:szCs w:val="21"/>
                <w:highlight w:val="none"/>
              </w:rPr>
            </w:pPr>
          </w:p>
        </w:tc>
      </w:tr>
      <w:tr w14:paraId="34FC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noWrap w:val="0"/>
            <w:vAlign w:val="top"/>
          </w:tcPr>
          <w:p w14:paraId="1AE069E9">
            <w:pPr>
              <w:pStyle w:val="75"/>
              <w:rPr>
                <w:rFonts w:hint="eastAsia" w:ascii="宋体" w:hAnsi="宋体" w:cs="宋体"/>
                <w:color w:val="auto"/>
                <w:szCs w:val="21"/>
                <w:highlight w:val="none"/>
              </w:rPr>
            </w:pPr>
          </w:p>
        </w:tc>
        <w:tc>
          <w:tcPr>
            <w:tcW w:w="2357" w:type="dxa"/>
            <w:noWrap w:val="0"/>
            <w:vAlign w:val="top"/>
          </w:tcPr>
          <w:p w14:paraId="77224673">
            <w:pPr>
              <w:pStyle w:val="75"/>
              <w:rPr>
                <w:rFonts w:hint="eastAsia" w:ascii="宋体" w:hAnsi="宋体" w:cs="宋体"/>
                <w:color w:val="auto"/>
                <w:szCs w:val="21"/>
                <w:highlight w:val="none"/>
              </w:rPr>
            </w:pPr>
          </w:p>
        </w:tc>
        <w:tc>
          <w:tcPr>
            <w:tcW w:w="2356" w:type="dxa"/>
            <w:noWrap w:val="0"/>
            <w:vAlign w:val="top"/>
          </w:tcPr>
          <w:p w14:paraId="64DEE900">
            <w:pPr>
              <w:pStyle w:val="75"/>
              <w:rPr>
                <w:rFonts w:hint="eastAsia" w:ascii="宋体" w:hAnsi="宋体" w:cs="宋体"/>
                <w:color w:val="auto"/>
                <w:szCs w:val="21"/>
                <w:highlight w:val="none"/>
              </w:rPr>
            </w:pPr>
          </w:p>
        </w:tc>
        <w:tc>
          <w:tcPr>
            <w:tcW w:w="2357" w:type="dxa"/>
            <w:noWrap w:val="0"/>
            <w:vAlign w:val="top"/>
          </w:tcPr>
          <w:p w14:paraId="16FE1E71">
            <w:pPr>
              <w:pStyle w:val="75"/>
              <w:rPr>
                <w:rFonts w:hint="eastAsia" w:ascii="宋体" w:hAnsi="宋体" w:cs="宋体"/>
                <w:color w:val="auto"/>
                <w:szCs w:val="21"/>
                <w:highlight w:val="none"/>
              </w:rPr>
            </w:pPr>
          </w:p>
        </w:tc>
      </w:tr>
      <w:tr w14:paraId="2EE6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noWrap w:val="0"/>
            <w:vAlign w:val="top"/>
          </w:tcPr>
          <w:p w14:paraId="55B083B0">
            <w:pPr>
              <w:pStyle w:val="75"/>
              <w:rPr>
                <w:rFonts w:hint="eastAsia" w:ascii="宋体" w:hAnsi="宋体" w:cs="宋体"/>
                <w:color w:val="auto"/>
                <w:szCs w:val="21"/>
                <w:highlight w:val="none"/>
              </w:rPr>
            </w:pPr>
          </w:p>
        </w:tc>
        <w:tc>
          <w:tcPr>
            <w:tcW w:w="2357" w:type="dxa"/>
            <w:noWrap w:val="0"/>
            <w:vAlign w:val="top"/>
          </w:tcPr>
          <w:p w14:paraId="7692F3D3">
            <w:pPr>
              <w:pStyle w:val="75"/>
              <w:rPr>
                <w:rFonts w:hint="eastAsia" w:ascii="宋体" w:hAnsi="宋体" w:cs="宋体"/>
                <w:color w:val="auto"/>
                <w:szCs w:val="21"/>
                <w:highlight w:val="none"/>
              </w:rPr>
            </w:pPr>
          </w:p>
        </w:tc>
        <w:tc>
          <w:tcPr>
            <w:tcW w:w="2356" w:type="dxa"/>
            <w:noWrap w:val="0"/>
            <w:vAlign w:val="top"/>
          </w:tcPr>
          <w:p w14:paraId="6C1B52F7">
            <w:pPr>
              <w:pStyle w:val="75"/>
              <w:rPr>
                <w:rFonts w:hint="eastAsia" w:ascii="宋体" w:hAnsi="宋体" w:cs="宋体"/>
                <w:color w:val="auto"/>
                <w:szCs w:val="21"/>
                <w:highlight w:val="none"/>
              </w:rPr>
            </w:pPr>
          </w:p>
        </w:tc>
        <w:tc>
          <w:tcPr>
            <w:tcW w:w="2357" w:type="dxa"/>
            <w:noWrap w:val="0"/>
            <w:vAlign w:val="top"/>
          </w:tcPr>
          <w:p w14:paraId="4CBCE2EC">
            <w:pPr>
              <w:pStyle w:val="75"/>
              <w:rPr>
                <w:rFonts w:hint="eastAsia" w:ascii="宋体" w:hAnsi="宋体" w:cs="宋体"/>
                <w:color w:val="auto"/>
                <w:szCs w:val="21"/>
                <w:highlight w:val="none"/>
              </w:rPr>
            </w:pPr>
          </w:p>
        </w:tc>
      </w:tr>
      <w:tr w14:paraId="1251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noWrap w:val="0"/>
            <w:vAlign w:val="top"/>
          </w:tcPr>
          <w:p w14:paraId="4BD1A776">
            <w:pPr>
              <w:pStyle w:val="75"/>
              <w:rPr>
                <w:rFonts w:hint="eastAsia" w:ascii="宋体" w:hAnsi="宋体" w:cs="宋体"/>
                <w:color w:val="auto"/>
                <w:szCs w:val="21"/>
                <w:highlight w:val="none"/>
              </w:rPr>
            </w:pPr>
          </w:p>
        </w:tc>
        <w:tc>
          <w:tcPr>
            <w:tcW w:w="2357" w:type="dxa"/>
            <w:noWrap w:val="0"/>
            <w:vAlign w:val="top"/>
          </w:tcPr>
          <w:p w14:paraId="20A4CFB3">
            <w:pPr>
              <w:pStyle w:val="75"/>
              <w:rPr>
                <w:rFonts w:hint="eastAsia" w:ascii="宋体" w:hAnsi="宋体" w:cs="宋体"/>
                <w:color w:val="auto"/>
                <w:szCs w:val="21"/>
                <w:highlight w:val="none"/>
              </w:rPr>
            </w:pPr>
          </w:p>
        </w:tc>
        <w:tc>
          <w:tcPr>
            <w:tcW w:w="2356" w:type="dxa"/>
            <w:noWrap w:val="0"/>
            <w:vAlign w:val="top"/>
          </w:tcPr>
          <w:p w14:paraId="036B7C00">
            <w:pPr>
              <w:pStyle w:val="75"/>
              <w:rPr>
                <w:rFonts w:hint="eastAsia" w:ascii="宋体" w:hAnsi="宋体" w:cs="宋体"/>
                <w:color w:val="auto"/>
                <w:szCs w:val="21"/>
                <w:highlight w:val="none"/>
              </w:rPr>
            </w:pPr>
          </w:p>
        </w:tc>
        <w:tc>
          <w:tcPr>
            <w:tcW w:w="2357" w:type="dxa"/>
            <w:noWrap w:val="0"/>
            <w:vAlign w:val="top"/>
          </w:tcPr>
          <w:p w14:paraId="5E752E03">
            <w:pPr>
              <w:pStyle w:val="75"/>
              <w:rPr>
                <w:rFonts w:hint="eastAsia" w:ascii="宋体" w:hAnsi="宋体" w:cs="宋体"/>
                <w:color w:val="auto"/>
                <w:szCs w:val="21"/>
                <w:highlight w:val="none"/>
              </w:rPr>
            </w:pPr>
          </w:p>
        </w:tc>
      </w:tr>
    </w:tbl>
    <w:p w14:paraId="4834D01A">
      <w:pPr>
        <w:pStyle w:val="75"/>
        <w:rPr>
          <w:rFonts w:hint="eastAsia" w:ascii="宋体" w:hAnsi="宋体" w:cs="宋体"/>
          <w:color w:val="auto"/>
          <w:szCs w:val="21"/>
          <w:highlight w:val="none"/>
        </w:rPr>
      </w:pPr>
    </w:p>
    <w:p w14:paraId="6A40ECD4">
      <w:pPr>
        <w:pStyle w:val="75"/>
        <w:jc w:val="center"/>
        <w:outlineLvl w:val="0"/>
        <w:rPr>
          <w:rFonts w:hint="eastAsia" w:ascii="宋体" w:hAnsi="宋体" w:cs="宋体"/>
          <w:b/>
          <w:bCs/>
          <w:color w:val="auto"/>
          <w:sz w:val="24"/>
          <w:szCs w:val="24"/>
          <w:highlight w:val="none"/>
        </w:rPr>
      </w:pPr>
      <w:bookmarkStart w:id="926" w:name="_Toc389065361"/>
    </w:p>
    <w:p w14:paraId="37F45006">
      <w:pPr>
        <w:pStyle w:val="75"/>
        <w:jc w:val="center"/>
        <w:outlineLvl w:val="0"/>
        <w:rPr>
          <w:rFonts w:hint="eastAsia" w:ascii="宋体" w:hAnsi="宋体" w:cs="宋体"/>
          <w:b/>
          <w:bCs/>
          <w:color w:val="auto"/>
          <w:sz w:val="24"/>
          <w:szCs w:val="24"/>
          <w:highlight w:val="none"/>
        </w:rPr>
      </w:pPr>
    </w:p>
    <w:p w14:paraId="4ABAE2A3">
      <w:pPr>
        <w:pStyle w:val="75"/>
        <w:jc w:val="center"/>
        <w:outlineLvl w:val="0"/>
        <w:rPr>
          <w:rFonts w:hint="eastAsia" w:ascii="宋体" w:hAnsi="宋体" w:cs="宋体"/>
          <w:b/>
          <w:bCs/>
          <w:color w:val="auto"/>
          <w:sz w:val="24"/>
          <w:szCs w:val="24"/>
          <w:highlight w:val="none"/>
        </w:rPr>
      </w:pPr>
    </w:p>
    <w:p w14:paraId="64A02DEB">
      <w:pPr>
        <w:pStyle w:val="75"/>
        <w:jc w:val="center"/>
        <w:outlineLvl w:val="0"/>
        <w:rPr>
          <w:rFonts w:hint="eastAsia" w:ascii="宋体" w:hAnsi="宋体" w:cs="宋体"/>
          <w:b/>
          <w:bCs/>
          <w:color w:val="auto"/>
          <w:sz w:val="24"/>
          <w:szCs w:val="24"/>
          <w:highlight w:val="none"/>
        </w:rPr>
      </w:pPr>
    </w:p>
    <w:p w14:paraId="08FC176B">
      <w:pPr>
        <w:pStyle w:val="75"/>
        <w:jc w:val="center"/>
        <w:outlineLvl w:val="0"/>
        <w:rPr>
          <w:rFonts w:hint="eastAsia" w:ascii="宋体" w:hAnsi="宋体" w:cs="宋体"/>
          <w:b/>
          <w:bCs/>
          <w:color w:val="auto"/>
          <w:sz w:val="24"/>
          <w:szCs w:val="24"/>
          <w:highlight w:val="none"/>
        </w:rPr>
      </w:pPr>
      <w:bookmarkStart w:id="927" w:name="_Toc513455302"/>
      <w:r>
        <w:rPr>
          <w:rFonts w:hint="eastAsia" w:ascii="宋体" w:hAnsi="宋体" w:cs="宋体"/>
          <w:b/>
          <w:bCs/>
          <w:color w:val="auto"/>
          <w:sz w:val="24"/>
          <w:szCs w:val="24"/>
          <w:highlight w:val="none"/>
        </w:rPr>
        <w:t>二、拟分包计划表</w:t>
      </w:r>
      <w:bookmarkEnd w:id="926"/>
      <w:bookmarkEnd w:id="927"/>
    </w:p>
    <w:p w14:paraId="38386B45">
      <w:pPr>
        <w:pStyle w:val="75"/>
        <w:jc w:val="center"/>
        <w:rPr>
          <w:rFonts w:hint="eastAsia" w:ascii="宋体" w:hAnsi="宋体" w:cs="宋体"/>
          <w:b/>
          <w:bCs/>
          <w:color w:val="auto"/>
          <w:sz w:val="28"/>
          <w:szCs w:val="28"/>
          <w:highlight w:val="none"/>
        </w:rPr>
      </w:pP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843"/>
        <w:gridCol w:w="751"/>
        <w:gridCol w:w="950"/>
        <w:gridCol w:w="1123"/>
        <w:gridCol w:w="1090"/>
        <w:gridCol w:w="1197"/>
        <w:gridCol w:w="1268"/>
      </w:tblGrid>
      <w:tr w14:paraId="2108E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noWrap w:val="0"/>
            <w:tcMar>
              <w:left w:w="108" w:type="dxa"/>
              <w:right w:w="108" w:type="dxa"/>
            </w:tcMar>
            <w:vAlign w:val="center"/>
          </w:tcPr>
          <w:p w14:paraId="49CBBA9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序</w:t>
            </w:r>
          </w:p>
          <w:p w14:paraId="016E41F5">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号</w:t>
            </w:r>
          </w:p>
        </w:tc>
        <w:tc>
          <w:tcPr>
            <w:tcW w:w="1843" w:type="dxa"/>
            <w:vMerge w:val="restart"/>
            <w:noWrap w:val="0"/>
            <w:tcMar>
              <w:left w:w="108" w:type="dxa"/>
              <w:right w:w="108" w:type="dxa"/>
            </w:tcMar>
            <w:vAlign w:val="center"/>
          </w:tcPr>
          <w:p w14:paraId="4F7D7DA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拟分包项目名称、范围及理由</w:t>
            </w:r>
          </w:p>
        </w:tc>
        <w:tc>
          <w:tcPr>
            <w:tcW w:w="5111" w:type="dxa"/>
            <w:gridSpan w:val="5"/>
            <w:noWrap w:val="0"/>
            <w:tcMar>
              <w:left w:w="108" w:type="dxa"/>
              <w:right w:w="108" w:type="dxa"/>
            </w:tcMar>
            <w:vAlign w:val="center"/>
          </w:tcPr>
          <w:p w14:paraId="006BE23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拟选分包人</w:t>
            </w:r>
          </w:p>
        </w:tc>
        <w:tc>
          <w:tcPr>
            <w:tcW w:w="1268" w:type="dxa"/>
            <w:vMerge w:val="restart"/>
            <w:noWrap w:val="0"/>
            <w:tcMar>
              <w:left w:w="108" w:type="dxa"/>
              <w:right w:w="108" w:type="dxa"/>
            </w:tcMar>
            <w:vAlign w:val="center"/>
          </w:tcPr>
          <w:p w14:paraId="767BBA34">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709B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noWrap w:val="0"/>
            <w:tcMar>
              <w:left w:w="108" w:type="dxa"/>
              <w:right w:w="108" w:type="dxa"/>
            </w:tcMar>
            <w:vAlign w:val="center"/>
          </w:tcPr>
          <w:p w14:paraId="51A5428B">
            <w:pPr>
              <w:pStyle w:val="75"/>
              <w:jc w:val="center"/>
              <w:rPr>
                <w:rFonts w:hint="eastAsia" w:ascii="宋体" w:hAnsi="宋体" w:cs="宋体"/>
                <w:color w:val="auto"/>
                <w:szCs w:val="21"/>
                <w:highlight w:val="none"/>
              </w:rPr>
            </w:pPr>
          </w:p>
        </w:tc>
        <w:tc>
          <w:tcPr>
            <w:tcW w:w="1843" w:type="dxa"/>
            <w:vMerge w:val="continue"/>
            <w:noWrap w:val="0"/>
            <w:tcMar>
              <w:left w:w="108" w:type="dxa"/>
              <w:right w:w="108" w:type="dxa"/>
            </w:tcMar>
            <w:vAlign w:val="center"/>
          </w:tcPr>
          <w:p w14:paraId="00A8C4C7">
            <w:pPr>
              <w:pStyle w:val="75"/>
              <w:jc w:val="center"/>
              <w:rPr>
                <w:rFonts w:hint="eastAsia" w:ascii="宋体" w:hAnsi="宋体" w:cs="宋体"/>
                <w:color w:val="auto"/>
                <w:szCs w:val="21"/>
                <w:highlight w:val="none"/>
              </w:rPr>
            </w:pPr>
          </w:p>
        </w:tc>
        <w:tc>
          <w:tcPr>
            <w:tcW w:w="1701" w:type="dxa"/>
            <w:gridSpan w:val="2"/>
            <w:noWrap w:val="0"/>
            <w:tcMar>
              <w:left w:w="108" w:type="dxa"/>
              <w:right w:w="108" w:type="dxa"/>
            </w:tcMar>
            <w:vAlign w:val="center"/>
          </w:tcPr>
          <w:p w14:paraId="4BBD475F">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拟选分包人名称</w:t>
            </w:r>
          </w:p>
        </w:tc>
        <w:tc>
          <w:tcPr>
            <w:tcW w:w="1123" w:type="dxa"/>
            <w:noWrap w:val="0"/>
            <w:tcMar>
              <w:left w:w="108" w:type="dxa"/>
              <w:right w:w="108" w:type="dxa"/>
            </w:tcMar>
            <w:vAlign w:val="center"/>
          </w:tcPr>
          <w:p w14:paraId="438B9095">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注册地点</w:t>
            </w:r>
          </w:p>
        </w:tc>
        <w:tc>
          <w:tcPr>
            <w:tcW w:w="1090" w:type="dxa"/>
            <w:noWrap w:val="0"/>
            <w:tcMar>
              <w:left w:w="108" w:type="dxa"/>
              <w:right w:w="108" w:type="dxa"/>
            </w:tcMar>
            <w:vAlign w:val="center"/>
          </w:tcPr>
          <w:p w14:paraId="64E2C437">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企业资质</w:t>
            </w:r>
          </w:p>
        </w:tc>
        <w:tc>
          <w:tcPr>
            <w:tcW w:w="1197" w:type="dxa"/>
            <w:noWrap w:val="0"/>
            <w:tcMar>
              <w:left w:w="108" w:type="dxa"/>
              <w:right w:w="108" w:type="dxa"/>
            </w:tcMar>
            <w:vAlign w:val="center"/>
          </w:tcPr>
          <w:p w14:paraId="6B67EDC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有关业绩</w:t>
            </w:r>
          </w:p>
        </w:tc>
        <w:tc>
          <w:tcPr>
            <w:tcW w:w="1268" w:type="dxa"/>
            <w:vMerge w:val="continue"/>
            <w:noWrap w:val="0"/>
            <w:tcMar>
              <w:left w:w="108" w:type="dxa"/>
              <w:right w:w="108" w:type="dxa"/>
            </w:tcMar>
            <w:vAlign w:val="center"/>
          </w:tcPr>
          <w:p w14:paraId="411C7422">
            <w:pPr>
              <w:pStyle w:val="75"/>
              <w:jc w:val="center"/>
              <w:rPr>
                <w:rFonts w:hint="eastAsia" w:ascii="宋体" w:hAnsi="宋体" w:cs="宋体"/>
                <w:color w:val="auto"/>
                <w:szCs w:val="21"/>
                <w:highlight w:val="none"/>
              </w:rPr>
            </w:pPr>
          </w:p>
        </w:tc>
      </w:tr>
      <w:tr w14:paraId="2B7D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noWrap w:val="0"/>
            <w:tcMar>
              <w:left w:w="108" w:type="dxa"/>
              <w:right w:w="108" w:type="dxa"/>
            </w:tcMar>
            <w:vAlign w:val="center"/>
          </w:tcPr>
          <w:p w14:paraId="2DD0375D">
            <w:pPr>
              <w:pStyle w:val="75"/>
              <w:jc w:val="center"/>
              <w:rPr>
                <w:rFonts w:hint="eastAsia" w:ascii="宋体" w:hAnsi="宋体" w:cs="宋体"/>
                <w:color w:val="auto"/>
                <w:szCs w:val="21"/>
                <w:highlight w:val="none"/>
              </w:rPr>
            </w:pPr>
          </w:p>
        </w:tc>
        <w:tc>
          <w:tcPr>
            <w:tcW w:w="1843" w:type="dxa"/>
            <w:vMerge w:val="restart"/>
            <w:noWrap w:val="0"/>
            <w:tcMar>
              <w:left w:w="108" w:type="dxa"/>
              <w:right w:w="108" w:type="dxa"/>
            </w:tcMar>
            <w:vAlign w:val="center"/>
          </w:tcPr>
          <w:p w14:paraId="03BBA1CC">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3F38C0E1">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50" w:type="dxa"/>
            <w:noWrap w:val="0"/>
            <w:tcMar>
              <w:left w:w="108" w:type="dxa"/>
              <w:right w:w="108" w:type="dxa"/>
            </w:tcMar>
            <w:vAlign w:val="center"/>
          </w:tcPr>
          <w:p w14:paraId="3A8BE5AE">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3573D152">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1E06FB5B">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46C6FAD1">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66D2BBA8">
            <w:pPr>
              <w:pStyle w:val="75"/>
              <w:jc w:val="center"/>
              <w:rPr>
                <w:rFonts w:hint="eastAsia" w:ascii="宋体" w:hAnsi="宋体" w:cs="宋体"/>
                <w:color w:val="auto"/>
                <w:szCs w:val="21"/>
                <w:highlight w:val="none"/>
              </w:rPr>
            </w:pPr>
          </w:p>
        </w:tc>
      </w:tr>
      <w:tr w14:paraId="7DFB4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noWrap w:val="0"/>
            <w:tcMar>
              <w:left w:w="108" w:type="dxa"/>
              <w:right w:w="108" w:type="dxa"/>
            </w:tcMar>
            <w:vAlign w:val="center"/>
          </w:tcPr>
          <w:p w14:paraId="2C0053F2">
            <w:pPr>
              <w:pStyle w:val="75"/>
              <w:jc w:val="center"/>
              <w:rPr>
                <w:rFonts w:hint="eastAsia" w:ascii="宋体" w:hAnsi="宋体" w:cs="宋体"/>
                <w:color w:val="auto"/>
                <w:szCs w:val="21"/>
                <w:highlight w:val="none"/>
              </w:rPr>
            </w:pPr>
          </w:p>
        </w:tc>
        <w:tc>
          <w:tcPr>
            <w:tcW w:w="1843" w:type="dxa"/>
            <w:vMerge w:val="continue"/>
            <w:noWrap w:val="0"/>
            <w:tcMar>
              <w:left w:w="108" w:type="dxa"/>
              <w:right w:w="108" w:type="dxa"/>
            </w:tcMar>
            <w:vAlign w:val="center"/>
          </w:tcPr>
          <w:p w14:paraId="78C7F61E">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60FA96D7">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950" w:type="dxa"/>
            <w:noWrap w:val="0"/>
            <w:tcMar>
              <w:left w:w="108" w:type="dxa"/>
              <w:right w:w="108" w:type="dxa"/>
            </w:tcMar>
            <w:vAlign w:val="center"/>
          </w:tcPr>
          <w:p w14:paraId="28AF4E3E">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215708BB">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26AB2EC9">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1FCE9A1E">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2FCA4198">
            <w:pPr>
              <w:pStyle w:val="75"/>
              <w:jc w:val="center"/>
              <w:rPr>
                <w:rFonts w:hint="eastAsia" w:ascii="宋体" w:hAnsi="宋体" w:cs="宋体"/>
                <w:color w:val="auto"/>
                <w:szCs w:val="21"/>
                <w:highlight w:val="none"/>
              </w:rPr>
            </w:pPr>
          </w:p>
        </w:tc>
      </w:tr>
      <w:tr w14:paraId="63F6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noWrap w:val="0"/>
            <w:tcMar>
              <w:left w:w="108" w:type="dxa"/>
              <w:right w:w="108" w:type="dxa"/>
            </w:tcMar>
            <w:vAlign w:val="center"/>
          </w:tcPr>
          <w:p w14:paraId="08E7CE53">
            <w:pPr>
              <w:pStyle w:val="75"/>
              <w:jc w:val="center"/>
              <w:rPr>
                <w:rFonts w:hint="eastAsia" w:ascii="宋体" w:hAnsi="宋体" w:cs="宋体"/>
                <w:color w:val="auto"/>
                <w:szCs w:val="21"/>
                <w:highlight w:val="none"/>
              </w:rPr>
            </w:pPr>
          </w:p>
        </w:tc>
        <w:tc>
          <w:tcPr>
            <w:tcW w:w="1843" w:type="dxa"/>
            <w:vMerge w:val="continue"/>
            <w:noWrap w:val="0"/>
            <w:tcMar>
              <w:left w:w="108" w:type="dxa"/>
              <w:right w:w="108" w:type="dxa"/>
            </w:tcMar>
            <w:vAlign w:val="center"/>
          </w:tcPr>
          <w:p w14:paraId="6AC9E773">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11580602">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950" w:type="dxa"/>
            <w:noWrap w:val="0"/>
            <w:tcMar>
              <w:left w:w="108" w:type="dxa"/>
              <w:right w:w="108" w:type="dxa"/>
            </w:tcMar>
            <w:vAlign w:val="center"/>
          </w:tcPr>
          <w:p w14:paraId="445D5DEC">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29DAB740">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6CBE4139">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447AA512">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363B56D3">
            <w:pPr>
              <w:pStyle w:val="75"/>
              <w:jc w:val="center"/>
              <w:rPr>
                <w:rFonts w:hint="eastAsia" w:ascii="宋体" w:hAnsi="宋体" w:cs="宋体"/>
                <w:color w:val="auto"/>
                <w:szCs w:val="21"/>
                <w:highlight w:val="none"/>
              </w:rPr>
            </w:pPr>
          </w:p>
        </w:tc>
      </w:tr>
      <w:tr w14:paraId="735A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noWrap w:val="0"/>
            <w:tcMar>
              <w:left w:w="108" w:type="dxa"/>
              <w:right w:w="108" w:type="dxa"/>
            </w:tcMar>
            <w:vAlign w:val="center"/>
          </w:tcPr>
          <w:p w14:paraId="06C037DC">
            <w:pPr>
              <w:pStyle w:val="75"/>
              <w:jc w:val="center"/>
              <w:rPr>
                <w:rFonts w:hint="eastAsia" w:ascii="宋体" w:hAnsi="宋体" w:cs="宋体"/>
                <w:color w:val="auto"/>
                <w:szCs w:val="21"/>
                <w:highlight w:val="none"/>
              </w:rPr>
            </w:pPr>
          </w:p>
        </w:tc>
        <w:tc>
          <w:tcPr>
            <w:tcW w:w="1843" w:type="dxa"/>
            <w:vMerge w:val="restart"/>
            <w:noWrap w:val="0"/>
            <w:tcMar>
              <w:left w:w="108" w:type="dxa"/>
              <w:right w:w="108" w:type="dxa"/>
            </w:tcMar>
            <w:vAlign w:val="center"/>
          </w:tcPr>
          <w:p w14:paraId="73070AD4">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339A3BEB">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950" w:type="dxa"/>
            <w:noWrap w:val="0"/>
            <w:tcMar>
              <w:left w:w="108" w:type="dxa"/>
              <w:right w:w="108" w:type="dxa"/>
            </w:tcMar>
            <w:vAlign w:val="center"/>
          </w:tcPr>
          <w:p w14:paraId="36820329">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42FE964E">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3AB169C5">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209E60B5">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3F5E352B">
            <w:pPr>
              <w:pStyle w:val="75"/>
              <w:jc w:val="center"/>
              <w:rPr>
                <w:rFonts w:hint="eastAsia" w:ascii="宋体" w:hAnsi="宋体" w:cs="宋体"/>
                <w:color w:val="auto"/>
                <w:szCs w:val="21"/>
                <w:highlight w:val="none"/>
              </w:rPr>
            </w:pPr>
          </w:p>
        </w:tc>
      </w:tr>
      <w:tr w14:paraId="3470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noWrap w:val="0"/>
            <w:tcMar>
              <w:left w:w="108" w:type="dxa"/>
              <w:right w:w="108" w:type="dxa"/>
            </w:tcMar>
            <w:vAlign w:val="center"/>
          </w:tcPr>
          <w:p w14:paraId="07FE17A7">
            <w:pPr>
              <w:pStyle w:val="75"/>
              <w:jc w:val="center"/>
              <w:rPr>
                <w:rFonts w:hint="eastAsia" w:ascii="宋体" w:hAnsi="宋体" w:cs="宋体"/>
                <w:color w:val="auto"/>
                <w:szCs w:val="21"/>
                <w:highlight w:val="none"/>
              </w:rPr>
            </w:pPr>
          </w:p>
        </w:tc>
        <w:tc>
          <w:tcPr>
            <w:tcW w:w="1843" w:type="dxa"/>
            <w:vMerge w:val="continue"/>
            <w:noWrap w:val="0"/>
            <w:tcMar>
              <w:left w:w="108" w:type="dxa"/>
              <w:right w:w="108" w:type="dxa"/>
            </w:tcMar>
            <w:vAlign w:val="center"/>
          </w:tcPr>
          <w:p w14:paraId="5A3D9314">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198BAFEC">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950" w:type="dxa"/>
            <w:noWrap w:val="0"/>
            <w:tcMar>
              <w:left w:w="108" w:type="dxa"/>
              <w:right w:w="108" w:type="dxa"/>
            </w:tcMar>
            <w:vAlign w:val="center"/>
          </w:tcPr>
          <w:p w14:paraId="7D067C48">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3F14A68E">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382A6369">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7F30C743">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70C5D098">
            <w:pPr>
              <w:pStyle w:val="75"/>
              <w:jc w:val="center"/>
              <w:rPr>
                <w:rFonts w:hint="eastAsia" w:ascii="宋体" w:hAnsi="宋体" w:cs="宋体"/>
                <w:color w:val="auto"/>
                <w:szCs w:val="21"/>
                <w:highlight w:val="none"/>
              </w:rPr>
            </w:pPr>
          </w:p>
        </w:tc>
      </w:tr>
      <w:tr w14:paraId="1E34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noWrap w:val="0"/>
            <w:tcMar>
              <w:left w:w="108" w:type="dxa"/>
              <w:right w:w="108" w:type="dxa"/>
            </w:tcMar>
            <w:vAlign w:val="center"/>
          </w:tcPr>
          <w:p w14:paraId="33AF9501">
            <w:pPr>
              <w:pStyle w:val="75"/>
              <w:jc w:val="center"/>
              <w:rPr>
                <w:rFonts w:hint="eastAsia" w:ascii="宋体" w:hAnsi="宋体" w:cs="宋体"/>
                <w:color w:val="auto"/>
                <w:szCs w:val="21"/>
                <w:highlight w:val="none"/>
              </w:rPr>
            </w:pPr>
          </w:p>
        </w:tc>
        <w:tc>
          <w:tcPr>
            <w:tcW w:w="1843" w:type="dxa"/>
            <w:vMerge w:val="continue"/>
            <w:noWrap w:val="0"/>
            <w:tcMar>
              <w:left w:w="108" w:type="dxa"/>
              <w:right w:w="108" w:type="dxa"/>
            </w:tcMar>
            <w:vAlign w:val="center"/>
          </w:tcPr>
          <w:p w14:paraId="603F0531">
            <w:pPr>
              <w:pStyle w:val="75"/>
              <w:jc w:val="center"/>
              <w:rPr>
                <w:rFonts w:hint="eastAsia" w:ascii="宋体" w:hAnsi="宋体" w:cs="宋体"/>
                <w:color w:val="auto"/>
                <w:szCs w:val="21"/>
                <w:highlight w:val="none"/>
              </w:rPr>
            </w:pPr>
          </w:p>
        </w:tc>
        <w:tc>
          <w:tcPr>
            <w:tcW w:w="751" w:type="dxa"/>
            <w:noWrap w:val="0"/>
            <w:tcMar>
              <w:left w:w="108" w:type="dxa"/>
              <w:right w:w="108" w:type="dxa"/>
            </w:tcMar>
            <w:vAlign w:val="center"/>
          </w:tcPr>
          <w:p w14:paraId="3D9E9329">
            <w:pPr>
              <w:pStyle w:val="75"/>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950" w:type="dxa"/>
            <w:noWrap w:val="0"/>
            <w:tcMar>
              <w:left w:w="108" w:type="dxa"/>
              <w:right w:w="108" w:type="dxa"/>
            </w:tcMar>
            <w:vAlign w:val="center"/>
          </w:tcPr>
          <w:p w14:paraId="2DAF4E22">
            <w:pPr>
              <w:pStyle w:val="75"/>
              <w:jc w:val="center"/>
              <w:rPr>
                <w:rFonts w:hint="eastAsia" w:ascii="宋体" w:hAnsi="宋体" w:cs="宋体"/>
                <w:color w:val="auto"/>
                <w:szCs w:val="21"/>
                <w:highlight w:val="none"/>
              </w:rPr>
            </w:pPr>
          </w:p>
        </w:tc>
        <w:tc>
          <w:tcPr>
            <w:tcW w:w="1123" w:type="dxa"/>
            <w:noWrap w:val="0"/>
            <w:tcMar>
              <w:left w:w="108" w:type="dxa"/>
              <w:right w:w="108" w:type="dxa"/>
            </w:tcMar>
            <w:vAlign w:val="center"/>
          </w:tcPr>
          <w:p w14:paraId="5327E524">
            <w:pPr>
              <w:pStyle w:val="75"/>
              <w:jc w:val="center"/>
              <w:rPr>
                <w:rFonts w:hint="eastAsia" w:ascii="宋体" w:hAnsi="宋体" w:cs="宋体"/>
                <w:color w:val="auto"/>
                <w:szCs w:val="21"/>
                <w:highlight w:val="none"/>
              </w:rPr>
            </w:pPr>
          </w:p>
        </w:tc>
        <w:tc>
          <w:tcPr>
            <w:tcW w:w="1090" w:type="dxa"/>
            <w:noWrap w:val="0"/>
            <w:tcMar>
              <w:left w:w="108" w:type="dxa"/>
              <w:right w:w="108" w:type="dxa"/>
            </w:tcMar>
            <w:vAlign w:val="center"/>
          </w:tcPr>
          <w:p w14:paraId="064857B7">
            <w:pPr>
              <w:pStyle w:val="75"/>
              <w:jc w:val="center"/>
              <w:rPr>
                <w:rFonts w:hint="eastAsia" w:ascii="宋体" w:hAnsi="宋体" w:cs="宋体"/>
                <w:color w:val="auto"/>
                <w:szCs w:val="21"/>
                <w:highlight w:val="none"/>
              </w:rPr>
            </w:pPr>
          </w:p>
        </w:tc>
        <w:tc>
          <w:tcPr>
            <w:tcW w:w="1197" w:type="dxa"/>
            <w:noWrap w:val="0"/>
            <w:tcMar>
              <w:left w:w="108" w:type="dxa"/>
              <w:right w:w="108" w:type="dxa"/>
            </w:tcMar>
            <w:vAlign w:val="center"/>
          </w:tcPr>
          <w:p w14:paraId="7042977D">
            <w:pPr>
              <w:pStyle w:val="75"/>
              <w:jc w:val="center"/>
              <w:rPr>
                <w:rFonts w:hint="eastAsia" w:ascii="宋体" w:hAnsi="宋体" w:cs="宋体"/>
                <w:color w:val="auto"/>
                <w:szCs w:val="21"/>
                <w:highlight w:val="none"/>
              </w:rPr>
            </w:pPr>
          </w:p>
        </w:tc>
        <w:tc>
          <w:tcPr>
            <w:tcW w:w="1268" w:type="dxa"/>
            <w:noWrap w:val="0"/>
            <w:tcMar>
              <w:left w:w="108" w:type="dxa"/>
              <w:right w:w="108" w:type="dxa"/>
            </w:tcMar>
            <w:vAlign w:val="center"/>
          </w:tcPr>
          <w:p w14:paraId="7B5501BB">
            <w:pPr>
              <w:pStyle w:val="75"/>
              <w:jc w:val="center"/>
              <w:rPr>
                <w:rFonts w:hint="eastAsia" w:ascii="宋体" w:hAnsi="宋体" w:cs="宋体"/>
                <w:color w:val="auto"/>
                <w:szCs w:val="21"/>
                <w:highlight w:val="none"/>
              </w:rPr>
            </w:pPr>
          </w:p>
        </w:tc>
      </w:tr>
    </w:tbl>
    <w:p w14:paraId="2301A4F7">
      <w:pPr>
        <w:pStyle w:val="75"/>
        <w:spacing w:line="440" w:lineRule="exact"/>
        <w:ind w:right="420" w:firstLine="420" w:firstLineChars="200"/>
        <w:rPr>
          <w:rFonts w:hint="eastAsia" w:ascii="宋体" w:hAnsi="宋体" w:cs="宋体"/>
          <w:color w:val="auto"/>
          <w:szCs w:val="21"/>
          <w:highlight w:val="none"/>
        </w:rPr>
      </w:pPr>
      <w:r>
        <w:rPr>
          <w:rFonts w:hint="eastAsia" w:ascii="宋体" w:hAnsi="宋体" w:cs="宋体"/>
          <w:color w:val="auto"/>
          <w:szCs w:val="21"/>
          <w:highlight w:val="none"/>
        </w:rPr>
        <w:t>备注：本表所列分包仅限于承包人自行施工范围内的非主体、非关键工程。</w:t>
      </w:r>
    </w:p>
    <w:p w14:paraId="45E9D801">
      <w:pPr>
        <w:pStyle w:val="75"/>
        <w:ind w:firstLine="630" w:firstLineChars="300"/>
        <w:jc w:val="left"/>
        <w:rPr>
          <w:rFonts w:hint="eastAsia" w:ascii="宋体" w:hAnsi="宋体" w:cs="宋体"/>
          <w:color w:val="auto"/>
          <w:szCs w:val="21"/>
          <w:highlight w:val="none"/>
        </w:rPr>
      </w:pPr>
    </w:p>
    <w:p w14:paraId="7D2B304C">
      <w:pPr>
        <w:pStyle w:val="75"/>
        <w:ind w:firstLine="630" w:firstLineChars="300"/>
        <w:jc w:val="left"/>
        <w:rPr>
          <w:rFonts w:hint="eastAsia" w:ascii="宋体" w:hAnsi="宋体" w:cs="宋体"/>
          <w:color w:val="auto"/>
          <w:szCs w:val="21"/>
          <w:highlight w:val="none"/>
        </w:rPr>
        <w:sectPr>
          <w:headerReference r:id="rId8" w:type="default"/>
          <w:pgSz w:w="11900" w:h="16838"/>
          <w:pgMar w:top="1423" w:right="1459" w:bottom="1304" w:left="1621" w:header="720" w:footer="720" w:gutter="0"/>
          <w:cols w:space="720" w:num="1"/>
          <w:docGrid w:type="lines" w:linePitch="362" w:charSpace="0"/>
        </w:sectPr>
      </w:pPr>
      <w:r>
        <w:rPr>
          <w:rFonts w:hint="eastAsia" w:ascii="宋体" w:hAnsi="宋体" w:cs="宋体"/>
          <w:color w:val="auto"/>
          <w:szCs w:val="21"/>
          <w:highlight w:val="none"/>
        </w:rPr>
        <w:t>日期：       年     月     日</w:t>
      </w:r>
    </w:p>
    <w:p w14:paraId="733E6752">
      <w:pPr>
        <w:spacing w:line="360" w:lineRule="exact"/>
        <w:jc w:val="center"/>
        <w:rPr>
          <w:rFonts w:hint="eastAsia" w:ascii="宋体" w:hAnsi="宋体" w:cs="宋体"/>
          <w:color w:val="auto"/>
          <w:sz w:val="28"/>
          <w:highlight w:val="none"/>
        </w:rPr>
      </w:pPr>
    </w:p>
    <w:p w14:paraId="34CFEC36">
      <w:pPr>
        <w:pStyle w:val="4"/>
        <w:spacing w:before="0" w:beforeLines="0" w:after="0" w:afterLines="0" w:line="440" w:lineRule="exact"/>
        <w:jc w:val="center"/>
        <w:rPr>
          <w:rFonts w:hint="eastAsia" w:ascii="宋体" w:hAnsi="宋体" w:cs="宋体"/>
          <w:color w:val="auto"/>
          <w:kern w:val="0"/>
          <w:highlight w:val="none"/>
        </w:rPr>
      </w:pPr>
      <w:bookmarkStart w:id="928" w:name="_Toc277016893"/>
      <w:bookmarkStart w:id="929" w:name="_Toc75182803"/>
      <w:bookmarkStart w:id="930" w:name="_Toc47088401"/>
      <w:bookmarkStart w:id="931" w:name="_Toc482785110"/>
      <w:bookmarkStart w:id="932" w:name="_Toc336079866"/>
      <w:bookmarkStart w:id="933" w:name="_Toc277059037"/>
      <w:r>
        <w:rPr>
          <w:rFonts w:hint="eastAsia" w:ascii="宋体" w:hAnsi="宋体" w:cs="宋体"/>
          <w:color w:val="auto"/>
          <w:kern w:val="0"/>
          <w:highlight w:val="none"/>
          <w:lang w:val="en-US" w:eastAsia="zh-CN"/>
        </w:rPr>
        <w:t>11</w:t>
      </w:r>
      <w:r>
        <w:rPr>
          <w:rFonts w:hint="eastAsia" w:ascii="宋体" w:hAnsi="宋体" w:cs="宋体"/>
          <w:color w:val="auto"/>
          <w:kern w:val="0"/>
          <w:highlight w:val="none"/>
        </w:rPr>
        <w:t>、项目管理机构配备情况</w:t>
      </w:r>
      <w:bookmarkEnd w:id="922"/>
      <w:bookmarkEnd w:id="923"/>
      <w:bookmarkEnd w:id="924"/>
      <w:bookmarkEnd w:id="925"/>
      <w:bookmarkEnd w:id="928"/>
      <w:bookmarkEnd w:id="929"/>
      <w:bookmarkEnd w:id="930"/>
      <w:bookmarkEnd w:id="931"/>
      <w:bookmarkEnd w:id="932"/>
      <w:bookmarkEnd w:id="933"/>
    </w:p>
    <w:p w14:paraId="168098B1">
      <w:pPr>
        <w:spacing w:line="360" w:lineRule="auto"/>
        <w:ind w:right="-288" w:rightChars="-137"/>
        <w:rPr>
          <w:rFonts w:hint="eastAsia" w:ascii="宋体" w:hAnsi="宋体" w:cs="宋体"/>
          <w:b/>
          <w:color w:val="auto"/>
          <w:sz w:val="24"/>
          <w:szCs w:val="24"/>
          <w:highlight w:val="none"/>
        </w:rPr>
      </w:pPr>
    </w:p>
    <w:p w14:paraId="3B70C98F">
      <w:pPr>
        <w:spacing w:line="480" w:lineRule="exact"/>
        <w:ind w:right="-288" w:rightChars="-137"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（1）项目管理机构配备情况表   表1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.1</w:t>
      </w:r>
    </w:p>
    <w:p w14:paraId="13D1E588">
      <w:pPr>
        <w:spacing w:line="480" w:lineRule="exact"/>
        <w:ind w:right="-288" w:rightChars="-137"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（2）项目经理简历表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表</w:t>
      </w:r>
      <w:r>
        <w:rPr>
          <w:rFonts w:hint="eastAsia" w:ascii="宋体" w:hAnsi="宋体" w:cs="宋体"/>
          <w:color w:val="auto"/>
          <w:sz w:val="24"/>
          <w:szCs w:val="24"/>
          <w:highlight w:val="none"/>
          <w:lang w:val="en-US" w:eastAsia="zh-CN"/>
        </w:rPr>
        <w:t>11</w:t>
      </w:r>
      <w:r>
        <w:rPr>
          <w:rFonts w:hint="eastAsia" w:ascii="宋体" w:hAnsi="宋体" w:cs="宋体"/>
          <w:color w:val="auto"/>
          <w:sz w:val="24"/>
          <w:szCs w:val="24"/>
          <w:highlight w:val="none"/>
        </w:rPr>
        <w:t>.2</w:t>
      </w:r>
    </w:p>
    <w:p w14:paraId="26B35F28">
      <w:pPr>
        <w:spacing w:line="480" w:lineRule="exact"/>
        <w:ind w:right="-288" w:rightChars="-137"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（3）技术负责人简历表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表1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w:t>
      </w:r>
    </w:p>
    <w:p w14:paraId="11A0CC79">
      <w:pPr>
        <w:spacing w:line="480" w:lineRule="exact"/>
        <w:ind w:right="-137" w:firstLine="480" w:firstLineChars="200"/>
        <w:jc w:val="center"/>
        <w:rPr>
          <w:rFonts w:hint="eastAsia" w:ascii="宋体" w:hAnsi="宋体" w:cs="宋体"/>
          <w:b/>
          <w:color w:val="auto"/>
          <w:sz w:val="28"/>
          <w:highlight w:val="none"/>
        </w:rPr>
      </w:pPr>
      <w:bookmarkStart w:id="934" w:name="_Toc78022613"/>
      <w:r>
        <w:rPr>
          <w:rFonts w:hint="eastAsia" w:ascii="宋体" w:hAnsi="宋体" w:cs="宋体"/>
          <w:color w:val="auto"/>
          <w:sz w:val="24"/>
          <w:highlight w:val="none"/>
        </w:rPr>
        <w:br w:type="page"/>
      </w:r>
      <w:bookmarkEnd w:id="934"/>
      <w:r>
        <w:rPr>
          <w:rFonts w:hint="eastAsia" w:ascii="宋体" w:hAnsi="宋体" w:eastAsia="宋体" w:cs="宋体"/>
          <w:b/>
          <w:color w:val="auto"/>
          <w:kern w:val="0"/>
          <w:sz w:val="28"/>
          <w:highlight w:val="none"/>
          <w:lang w:eastAsia="zh-CN"/>
        </w:rPr>
        <w:t>（</w:t>
      </w:r>
      <w:r>
        <w:rPr>
          <w:rFonts w:hint="eastAsia" w:ascii="宋体" w:hAnsi="宋体" w:eastAsia="宋体" w:cs="宋体"/>
          <w:b/>
          <w:color w:val="auto"/>
          <w:kern w:val="0"/>
          <w:sz w:val="28"/>
          <w:highlight w:val="none"/>
          <w:lang w:val="en-US" w:eastAsia="zh-CN"/>
        </w:rPr>
        <w:t>1</w:t>
      </w:r>
      <w:r>
        <w:rPr>
          <w:rFonts w:hint="eastAsia" w:ascii="宋体" w:hAnsi="宋体" w:eastAsia="宋体" w:cs="宋体"/>
          <w:b/>
          <w:color w:val="auto"/>
          <w:kern w:val="0"/>
          <w:sz w:val="28"/>
          <w:highlight w:val="none"/>
          <w:lang w:eastAsia="zh-CN"/>
        </w:rPr>
        <w:t>）</w:t>
      </w:r>
      <w:r>
        <w:rPr>
          <w:rFonts w:hint="eastAsia" w:ascii="宋体" w:hAnsi="宋体" w:cs="宋体"/>
          <w:b/>
          <w:color w:val="auto"/>
          <w:sz w:val="28"/>
          <w:highlight w:val="none"/>
        </w:rPr>
        <w:t>项目管理机构配备情况表</w:t>
      </w:r>
      <w:r>
        <w:rPr>
          <w:rFonts w:hint="eastAsia" w:ascii="宋体" w:hAnsi="宋体" w:cs="宋体"/>
          <w:color w:val="auto"/>
          <w:highlight w:val="none"/>
        </w:rPr>
        <w:t xml:space="preserve"> </w:t>
      </w:r>
      <w:r>
        <w:rPr>
          <w:rFonts w:hint="eastAsia" w:ascii="宋体" w:hAnsi="宋体" w:cs="宋体"/>
          <w:b/>
          <w:color w:val="auto"/>
          <w:sz w:val="28"/>
          <w:highlight w:val="none"/>
        </w:rPr>
        <w:t>（格式）</w:t>
      </w:r>
    </w:p>
    <w:p w14:paraId="6F6028D6">
      <w:pPr>
        <w:spacing w:line="600" w:lineRule="exact"/>
        <w:rPr>
          <w:rFonts w:hint="eastAsia" w:ascii="宋体" w:hAnsi="宋体" w:cs="宋体"/>
          <w:b/>
          <w:color w:val="auto"/>
          <w:szCs w:val="21"/>
          <w:highlight w:val="none"/>
        </w:rPr>
      </w:pPr>
      <w:r>
        <w:rPr>
          <w:rFonts w:hint="eastAsia" w:ascii="宋体" w:hAnsi="宋体" w:cs="宋体"/>
          <w:color w:val="auto"/>
          <w:szCs w:val="21"/>
          <w:highlight w:val="none"/>
          <w:u w:val="single"/>
        </w:rPr>
        <w:t xml:space="preserve">项目名称       </w:t>
      </w:r>
      <w:r>
        <w:rPr>
          <w:rFonts w:hint="eastAsia" w:ascii="宋体" w:hAnsi="宋体" w:cs="宋体"/>
          <w:color w:val="auto"/>
          <w:szCs w:val="21"/>
          <w:highlight w:val="none"/>
        </w:rPr>
        <w:t xml:space="preserve">工程                                 </w:t>
      </w:r>
      <w:r>
        <w:rPr>
          <w:rFonts w:hint="eastAsia" w:ascii="宋体" w:hAnsi="宋体" w:cs="宋体"/>
          <w:b/>
          <w:color w:val="auto"/>
          <w:szCs w:val="21"/>
          <w:highlight w:val="none"/>
        </w:rPr>
        <w:t>表1</w:t>
      </w:r>
      <w:r>
        <w:rPr>
          <w:rFonts w:hint="eastAsia" w:ascii="宋体" w:hAnsi="宋体" w:cs="宋体"/>
          <w:b/>
          <w:color w:val="auto"/>
          <w:szCs w:val="21"/>
          <w:highlight w:val="none"/>
          <w:lang w:val="en-US" w:eastAsia="zh-CN"/>
        </w:rPr>
        <w:t>1</w:t>
      </w:r>
      <w:r>
        <w:rPr>
          <w:rFonts w:hint="eastAsia" w:ascii="宋体" w:hAnsi="宋体" w:cs="宋体"/>
          <w:b/>
          <w:color w:val="auto"/>
          <w:szCs w:val="21"/>
          <w:highlight w:val="none"/>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928"/>
        <w:gridCol w:w="928"/>
        <w:gridCol w:w="1041"/>
        <w:gridCol w:w="1041"/>
        <w:gridCol w:w="1041"/>
        <w:gridCol w:w="1041"/>
        <w:gridCol w:w="1125"/>
        <w:gridCol w:w="1485"/>
      </w:tblGrid>
      <w:tr w14:paraId="7C2F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8" w:type="dxa"/>
            <w:vMerge w:val="restart"/>
            <w:noWrap w:val="0"/>
            <w:vAlign w:val="center"/>
          </w:tcPr>
          <w:p w14:paraId="3AC84E32">
            <w:pPr>
              <w:jc w:val="center"/>
              <w:rPr>
                <w:rFonts w:hint="eastAsia" w:ascii="宋体" w:hAnsi="宋体" w:cs="宋体"/>
                <w:color w:val="auto"/>
                <w:szCs w:val="21"/>
                <w:highlight w:val="none"/>
              </w:rPr>
            </w:pPr>
            <w:r>
              <w:rPr>
                <w:rFonts w:hint="eastAsia" w:ascii="宋体" w:hAnsi="宋体" w:cs="宋体"/>
                <w:color w:val="auto"/>
                <w:szCs w:val="21"/>
                <w:highlight w:val="none"/>
              </w:rPr>
              <w:t>职务</w:t>
            </w:r>
          </w:p>
        </w:tc>
        <w:tc>
          <w:tcPr>
            <w:tcW w:w="928" w:type="dxa"/>
            <w:vMerge w:val="restart"/>
            <w:noWrap w:val="0"/>
            <w:vAlign w:val="center"/>
          </w:tcPr>
          <w:p w14:paraId="16AEAE8A">
            <w:pPr>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928" w:type="dxa"/>
            <w:vMerge w:val="restart"/>
            <w:noWrap w:val="0"/>
            <w:vAlign w:val="center"/>
          </w:tcPr>
          <w:p w14:paraId="680B5EB7">
            <w:pPr>
              <w:jc w:val="center"/>
              <w:rPr>
                <w:rFonts w:hint="eastAsia" w:ascii="宋体" w:hAnsi="宋体" w:cs="宋体"/>
                <w:color w:val="auto"/>
                <w:szCs w:val="21"/>
                <w:highlight w:val="none"/>
              </w:rPr>
            </w:pPr>
            <w:r>
              <w:rPr>
                <w:rFonts w:hint="eastAsia" w:ascii="宋体" w:hAnsi="宋体" w:cs="宋体"/>
                <w:color w:val="auto"/>
                <w:szCs w:val="21"/>
                <w:highlight w:val="none"/>
              </w:rPr>
              <w:t>职称</w:t>
            </w:r>
          </w:p>
        </w:tc>
        <w:tc>
          <w:tcPr>
            <w:tcW w:w="4164" w:type="dxa"/>
            <w:gridSpan w:val="4"/>
            <w:noWrap w:val="0"/>
            <w:vAlign w:val="center"/>
          </w:tcPr>
          <w:p w14:paraId="48055892">
            <w:pPr>
              <w:jc w:val="center"/>
              <w:rPr>
                <w:rFonts w:hint="eastAsia" w:ascii="宋体" w:hAnsi="宋体" w:cs="宋体"/>
                <w:color w:val="auto"/>
                <w:szCs w:val="21"/>
                <w:highlight w:val="none"/>
              </w:rPr>
            </w:pPr>
            <w:r>
              <w:rPr>
                <w:rFonts w:hint="eastAsia" w:ascii="宋体" w:hAnsi="宋体" w:cs="宋体"/>
                <w:color w:val="auto"/>
                <w:szCs w:val="21"/>
                <w:highlight w:val="none"/>
              </w:rPr>
              <w:t>执业或职业资格证明</w:t>
            </w:r>
          </w:p>
        </w:tc>
        <w:tc>
          <w:tcPr>
            <w:tcW w:w="2610" w:type="dxa"/>
            <w:gridSpan w:val="2"/>
            <w:noWrap w:val="0"/>
            <w:vAlign w:val="center"/>
          </w:tcPr>
          <w:p w14:paraId="371E9D91">
            <w:pPr>
              <w:jc w:val="center"/>
              <w:rPr>
                <w:rFonts w:hint="eastAsia" w:ascii="宋体" w:hAnsi="宋体" w:cs="宋体"/>
                <w:color w:val="auto"/>
                <w:szCs w:val="21"/>
                <w:highlight w:val="none"/>
              </w:rPr>
            </w:pPr>
            <w:r>
              <w:rPr>
                <w:rFonts w:hint="eastAsia" w:ascii="宋体" w:hAnsi="宋体" w:cs="宋体"/>
                <w:color w:val="auto"/>
                <w:szCs w:val="21"/>
                <w:highlight w:val="none"/>
              </w:rPr>
              <w:t>已完成建设</w:t>
            </w:r>
          </w:p>
          <w:p w14:paraId="53E36DAB">
            <w:pPr>
              <w:jc w:val="center"/>
              <w:rPr>
                <w:rFonts w:hint="eastAsia" w:ascii="宋体" w:hAnsi="宋体" w:cs="宋体"/>
                <w:color w:val="auto"/>
                <w:szCs w:val="21"/>
                <w:highlight w:val="none"/>
              </w:rPr>
            </w:pPr>
            <w:r>
              <w:rPr>
                <w:rFonts w:hint="eastAsia" w:ascii="宋体" w:hAnsi="宋体" w:cs="宋体"/>
                <w:color w:val="auto"/>
                <w:szCs w:val="21"/>
                <w:highlight w:val="none"/>
              </w:rPr>
              <w:t>工程情况</w:t>
            </w:r>
          </w:p>
        </w:tc>
      </w:tr>
      <w:tr w14:paraId="7039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28" w:type="dxa"/>
            <w:vMerge w:val="continue"/>
            <w:noWrap w:val="0"/>
            <w:vAlign w:val="center"/>
          </w:tcPr>
          <w:p w14:paraId="1CD58590">
            <w:pPr>
              <w:jc w:val="center"/>
              <w:rPr>
                <w:rFonts w:hint="eastAsia" w:ascii="宋体" w:hAnsi="宋体" w:cs="宋体"/>
                <w:color w:val="auto"/>
                <w:szCs w:val="21"/>
                <w:highlight w:val="none"/>
              </w:rPr>
            </w:pPr>
          </w:p>
        </w:tc>
        <w:tc>
          <w:tcPr>
            <w:tcW w:w="928" w:type="dxa"/>
            <w:vMerge w:val="continue"/>
            <w:noWrap w:val="0"/>
            <w:vAlign w:val="center"/>
          </w:tcPr>
          <w:p w14:paraId="35287663">
            <w:pPr>
              <w:jc w:val="center"/>
              <w:rPr>
                <w:rFonts w:hint="eastAsia" w:ascii="宋体" w:hAnsi="宋体" w:cs="宋体"/>
                <w:color w:val="auto"/>
                <w:szCs w:val="21"/>
                <w:highlight w:val="none"/>
              </w:rPr>
            </w:pPr>
          </w:p>
        </w:tc>
        <w:tc>
          <w:tcPr>
            <w:tcW w:w="928" w:type="dxa"/>
            <w:vMerge w:val="continue"/>
            <w:noWrap w:val="0"/>
            <w:vAlign w:val="center"/>
          </w:tcPr>
          <w:p w14:paraId="08135E4E">
            <w:pPr>
              <w:jc w:val="center"/>
              <w:rPr>
                <w:rFonts w:hint="eastAsia" w:ascii="宋体" w:hAnsi="宋体" w:cs="宋体"/>
                <w:color w:val="auto"/>
                <w:szCs w:val="21"/>
                <w:highlight w:val="none"/>
              </w:rPr>
            </w:pPr>
          </w:p>
        </w:tc>
        <w:tc>
          <w:tcPr>
            <w:tcW w:w="1041" w:type="dxa"/>
            <w:noWrap w:val="0"/>
            <w:vAlign w:val="center"/>
          </w:tcPr>
          <w:p w14:paraId="3F487D76">
            <w:pPr>
              <w:jc w:val="center"/>
              <w:rPr>
                <w:rFonts w:hint="eastAsia" w:ascii="宋体" w:hAnsi="宋体" w:cs="宋体"/>
                <w:color w:val="auto"/>
                <w:szCs w:val="21"/>
                <w:highlight w:val="none"/>
              </w:rPr>
            </w:pPr>
            <w:r>
              <w:rPr>
                <w:rFonts w:hint="eastAsia" w:ascii="宋体" w:hAnsi="宋体" w:cs="宋体"/>
                <w:color w:val="auto"/>
                <w:szCs w:val="21"/>
                <w:highlight w:val="none"/>
              </w:rPr>
              <w:t>证书</w:t>
            </w:r>
          </w:p>
          <w:p w14:paraId="4711B652">
            <w:pPr>
              <w:jc w:val="center"/>
              <w:rPr>
                <w:rFonts w:hint="eastAsia" w:ascii="宋体" w:hAnsi="宋体" w:cs="宋体"/>
                <w:color w:val="auto"/>
                <w:szCs w:val="21"/>
                <w:highlight w:val="none"/>
              </w:rPr>
            </w:pPr>
            <w:r>
              <w:rPr>
                <w:rFonts w:hint="eastAsia" w:ascii="宋体" w:hAnsi="宋体" w:cs="宋体"/>
                <w:color w:val="auto"/>
                <w:szCs w:val="21"/>
                <w:highlight w:val="none"/>
              </w:rPr>
              <w:t>名称</w:t>
            </w:r>
          </w:p>
        </w:tc>
        <w:tc>
          <w:tcPr>
            <w:tcW w:w="1041" w:type="dxa"/>
            <w:noWrap w:val="0"/>
            <w:vAlign w:val="center"/>
          </w:tcPr>
          <w:p w14:paraId="69757D1C">
            <w:pPr>
              <w:jc w:val="center"/>
              <w:rPr>
                <w:rFonts w:hint="eastAsia" w:ascii="宋体" w:hAnsi="宋体" w:cs="宋体"/>
                <w:color w:val="auto"/>
                <w:szCs w:val="21"/>
                <w:highlight w:val="none"/>
              </w:rPr>
            </w:pPr>
            <w:r>
              <w:rPr>
                <w:rFonts w:hint="eastAsia" w:ascii="宋体" w:hAnsi="宋体" w:cs="宋体"/>
                <w:color w:val="auto"/>
                <w:szCs w:val="21"/>
                <w:highlight w:val="none"/>
              </w:rPr>
              <w:t>级别</w:t>
            </w:r>
          </w:p>
        </w:tc>
        <w:tc>
          <w:tcPr>
            <w:tcW w:w="1041" w:type="dxa"/>
            <w:noWrap w:val="0"/>
            <w:vAlign w:val="center"/>
          </w:tcPr>
          <w:p w14:paraId="6C0D1051">
            <w:pPr>
              <w:jc w:val="center"/>
              <w:rPr>
                <w:rFonts w:hint="eastAsia" w:ascii="宋体" w:hAnsi="宋体" w:cs="宋体"/>
                <w:color w:val="auto"/>
                <w:szCs w:val="21"/>
                <w:highlight w:val="none"/>
              </w:rPr>
            </w:pPr>
            <w:r>
              <w:rPr>
                <w:rFonts w:hint="eastAsia" w:ascii="宋体" w:hAnsi="宋体" w:cs="宋体"/>
                <w:color w:val="auto"/>
                <w:szCs w:val="21"/>
                <w:highlight w:val="none"/>
              </w:rPr>
              <w:t>证号</w:t>
            </w:r>
          </w:p>
        </w:tc>
        <w:tc>
          <w:tcPr>
            <w:tcW w:w="1041" w:type="dxa"/>
            <w:noWrap w:val="0"/>
            <w:vAlign w:val="center"/>
          </w:tcPr>
          <w:p w14:paraId="3867BCD4">
            <w:pPr>
              <w:jc w:val="center"/>
              <w:rPr>
                <w:rFonts w:hint="eastAsia" w:ascii="宋体" w:hAnsi="宋体" w:cs="宋体"/>
                <w:color w:val="auto"/>
                <w:szCs w:val="21"/>
                <w:highlight w:val="none"/>
              </w:rPr>
            </w:pPr>
            <w:r>
              <w:rPr>
                <w:rFonts w:hint="eastAsia" w:ascii="宋体" w:hAnsi="宋体" w:cs="宋体"/>
                <w:color w:val="auto"/>
                <w:szCs w:val="21"/>
                <w:highlight w:val="none"/>
              </w:rPr>
              <w:t>专业</w:t>
            </w:r>
          </w:p>
        </w:tc>
        <w:tc>
          <w:tcPr>
            <w:tcW w:w="1125" w:type="dxa"/>
            <w:noWrap w:val="0"/>
            <w:vAlign w:val="center"/>
          </w:tcPr>
          <w:p w14:paraId="18ED3162">
            <w:pPr>
              <w:jc w:val="center"/>
              <w:rPr>
                <w:rFonts w:hint="eastAsia" w:ascii="宋体" w:hAnsi="宋体" w:cs="宋体"/>
                <w:color w:val="auto"/>
                <w:szCs w:val="21"/>
                <w:highlight w:val="none"/>
              </w:rPr>
            </w:pPr>
            <w:r>
              <w:rPr>
                <w:rFonts w:hint="eastAsia" w:ascii="宋体" w:hAnsi="宋体" w:cs="宋体"/>
                <w:color w:val="auto"/>
                <w:szCs w:val="21"/>
                <w:highlight w:val="none"/>
              </w:rPr>
              <w:t>项目数</w:t>
            </w:r>
          </w:p>
        </w:tc>
        <w:tc>
          <w:tcPr>
            <w:tcW w:w="1485" w:type="dxa"/>
            <w:noWrap w:val="0"/>
            <w:vAlign w:val="center"/>
          </w:tcPr>
          <w:p w14:paraId="5E072A99">
            <w:pPr>
              <w:jc w:val="center"/>
              <w:rPr>
                <w:rFonts w:hint="eastAsia" w:ascii="宋体" w:hAnsi="宋体" w:cs="宋体"/>
                <w:color w:val="auto"/>
                <w:szCs w:val="21"/>
                <w:highlight w:val="none"/>
              </w:rPr>
            </w:pPr>
            <w:r>
              <w:rPr>
                <w:rFonts w:hint="eastAsia" w:ascii="宋体" w:hAnsi="宋体" w:cs="宋体"/>
                <w:color w:val="auto"/>
                <w:szCs w:val="21"/>
                <w:highlight w:val="none"/>
              </w:rPr>
              <w:t>主要项目名称</w:t>
            </w:r>
          </w:p>
        </w:tc>
      </w:tr>
      <w:tr w14:paraId="685A8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598A2ADD">
            <w:pPr>
              <w:jc w:val="center"/>
              <w:rPr>
                <w:rFonts w:hint="eastAsia" w:ascii="宋体" w:hAnsi="宋体" w:cs="宋体"/>
                <w:color w:val="auto"/>
                <w:szCs w:val="21"/>
                <w:highlight w:val="none"/>
              </w:rPr>
            </w:pPr>
          </w:p>
        </w:tc>
        <w:tc>
          <w:tcPr>
            <w:tcW w:w="928" w:type="dxa"/>
            <w:noWrap w:val="0"/>
            <w:vAlign w:val="center"/>
          </w:tcPr>
          <w:p w14:paraId="700FF14B">
            <w:pPr>
              <w:jc w:val="center"/>
              <w:rPr>
                <w:rFonts w:hint="eastAsia" w:ascii="宋体" w:hAnsi="宋体" w:cs="宋体"/>
                <w:color w:val="auto"/>
                <w:szCs w:val="21"/>
                <w:highlight w:val="none"/>
              </w:rPr>
            </w:pPr>
          </w:p>
        </w:tc>
        <w:tc>
          <w:tcPr>
            <w:tcW w:w="928" w:type="dxa"/>
            <w:noWrap w:val="0"/>
            <w:vAlign w:val="center"/>
          </w:tcPr>
          <w:p w14:paraId="52FB7A23">
            <w:pPr>
              <w:jc w:val="center"/>
              <w:rPr>
                <w:rFonts w:hint="eastAsia" w:ascii="宋体" w:hAnsi="宋体" w:cs="宋体"/>
                <w:color w:val="auto"/>
                <w:szCs w:val="21"/>
                <w:highlight w:val="none"/>
              </w:rPr>
            </w:pPr>
          </w:p>
        </w:tc>
        <w:tc>
          <w:tcPr>
            <w:tcW w:w="1041" w:type="dxa"/>
            <w:noWrap w:val="0"/>
            <w:vAlign w:val="center"/>
          </w:tcPr>
          <w:p w14:paraId="1A522A49">
            <w:pPr>
              <w:jc w:val="center"/>
              <w:rPr>
                <w:rFonts w:hint="eastAsia" w:ascii="宋体" w:hAnsi="宋体" w:cs="宋体"/>
                <w:color w:val="auto"/>
                <w:szCs w:val="21"/>
                <w:highlight w:val="none"/>
              </w:rPr>
            </w:pPr>
          </w:p>
        </w:tc>
        <w:tc>
          <w:tcPr>
            <w:tcW w:w="1041" w:type="dxa"/>
            <w:noWrap w:val="0"/>
            <w:vAlign w:val="center"/>
          </w:tcPr>
          <w:p w14:paraId="6259FA33">
            <w:pPr>
              <w:jc w:val="center"/>
              <w:rPr>
                <w:rFonts w:hint="eastAsia" w:ascii="宋体" w:hAnsi="宋体" w:cs="宋体"/>
                <w:color w:val="auto"/>
                <w:szCs w:val="21"/>
                <w:highlight w:val="none"/>
              </w:rPr>
            </w:pPr>
          </w:p>
        </w:tc>
        <w:tc>
          <w:tcPr>
            <w:tcW w:w="1041" w:type="dxa"/>
            <w:noWrap w:val="0"/>
            <w:vAlign w:val="center"/>
          </w:tcPr>
          <w:p w14:paraId="4DD317B1">
            <w:pPr>
              <w:jc w:val="center"/>
              <w:rPr>
                <w:rFonts w:hint="eastAsia" w:ascii="宋体" w:hAnsi="宋体" w:cs="宋体"/>
                <w:color w:val="auto"/>
                <w:szCs w:val="21"/>
                <w:highlight w:val="none"/>
              </w:rPr>
            </w:pPr>
          </w:p>
        </w:tc>
        <w:tc>
          <w:tcPr>
            <w:tcW w:w="1041" w:type="dxa"/>
            <w:noWrap w:val="0"/>
            <w:vAlign w:val="center"/>
          </w:tcPr>
          <w:p w14:paraId="1D274174">
            <w:pPr>
              <w:jc w:val="center"/>
              <w:rPr>
                <w:rFonts w:hint="eastAsia" w:ascii="宋体" w:hAnsi="宋体" w:cs="宋体"/>
                <w:color w:val="auto"/>
                <w:szCs w:val="21"/>
                <w:highlight w:val="none"/>
              </w:rPr>
            </w:pPr>
          </w:p>
        </w:tc>
        <w:tc>
          <w:tcPr>
            <w:tcW w:w="1125" w:type="dxa"/>
            <w:noWrap w:val="0"/>
            <w:vAlign w:val="center"/>
          </w:tcPr>
          <w:p w14:paraId="16056324">
            <w:pPr>
              <w:jc w:val="center"/>
              <w:rPr>
                <w:rFonts w:hint="eastAsia" w:ascii="宋体" w:hAnsi="宋体" w:cs="宋体"/>
                <w:color w:val="auto"/>
                <w:szCs w:val="21"/>
                <w:highlight w:val="none"/>
              </w:rPr>
            </w:pPr>
          </w:p>
        </w:tc>
        <w:tc>
          <w:tcPr>
            <w:tcW w:w="1485" w:type="dxa"/>
            <w:noWrap w:val="0"/>
            <w:vAlign w:val="center"/>
          </w:tcPr>
          <w:p w14:paraId="1A78F1BD">
            <w:pPr>
              <w:jc w:val="center"/>
              <w:rPr>
                <w:rFonts w:hint="eastAsia" w:ascii="宋体" w:hAnsi="宋体" w:cs="宋体"/>
                <w:color w:val="auto"/>
                <w:szCs w:val="21"/>
                <w:highlight w:val="none"/>
              </w:rPr>
            </w:pPr>
          </w:p>
        </w:tc>
      </w:tr>
      <w:tr w14:paraId="21AE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7F8F83AB">
            <w:pPr>
              <w:jc w:val="center"/>
              <w:rPr>
                <w:rFonts w:hint="eastAsia" w:ascii="宋体" w:hAnsi="宋体" w:cs="宋体"/>
                <w:color w:val="auto"/>
                <w:szCs w:val="21"/>
                <w:highlight w:val="none"/>
              </w:rPr>
            </w:pPr>
          </w:p>
        </w:tc>
        <w:tc>
          <w:tcPr>
            <w:tcW w:w="928" w:type="dxa"/>
            <w:noWrap w:val="0"/>
            <w:vAlign w:val="center"/>
          </w:tcPr>
          <w:p w14:paraId="36B232A6">
            <w:pPr>
              <w:jc w:val="center"/>
              <w:rPr>
                <w:rFonts w:hint="eastAsia" w:ascii="宋体" w:hAnsi="宋体" w:cs="宋体"/>
                <w:color w:val="auto"/>
                <w:szCs w:val="21"/>
                <w:highlight w:val="none"/>
              </w:rPr>
            </w:pPr>
          </w:p>
        </w:tc>
        <w:tc>
          <w:tcPr>
            <w:tcW w:w="928" w:type="dxa"/>
            <w:noWrap w:val="0"/>
            <w:vAlign w:val="center"/>
          </w:tcPr>
          <w:p w14:paraId="2FECAB50">
            <w:pPr>
              <w:jc w:val="center"/>
              <w:rPr>
                <w:rFonts w:hint="eastAsia" w:ascii="宋体" w:hAnsi="宋体" w:cs="宋体"/>
                <w:color w:val="auto"/>
                <w:szCs w:val="21"/>
                <w:highlight w:val="none"/>
              </w:rPr>
            </w:pPr>
          </w:p>
        </w:tc>
        <w:tc>
          <w:tcPr>
            <w:tcW w:w="1041" w:type="dxa"/>
            <w:noWrap w:val="0"/>
            <w:vAlign w:val="center"/>
          </w:tcPr>
          <w:p w14:paraId="5E2865BA">
            <w:pPr>
              <w:jc w:val="center"/>
              <w:rPr>
                <w:rFonts w:hint="eastAsia" w:ascii="宋体" w:hAnsi="宋体" w:cs="宋体"/>
                <w:color w:val="auto"/>
                <w:szCs w:val="21"/>
                <w:highlight w:val="none"/>
              </w:rPr>
            </w:pPr>
          </w:p>
        </w:tc>
        <w:tc>
          <w:tcPr>
            <w:tcW w:w="1041" w:type="dxa"/>
            <w:noWrap w:val="0"/>
            <w:vAlign w:val="center"/>
          </w:tcPr>
          <w:p w14:paraId="6A3D2543">
            <w:pPr>
              <w:jc w:val="center"/>
              <w:rPr>
                <w:rFonts w:hint="eastAsia" w:ascii="宋体" w:hAnsi="宋体" w:cs="宋体"/>
                <w:color w:val="auto"/>
                <w:szCs w:val="21"/>
                <w:highlight w:val="none"/>
              </w:rPr>
            </w:pPr>
          </w:p>
        </w:tc>
        <w:tc>
          <w:tcPr>
            <w:tcW w:w="1041" w:type="dxa"/>
            <w:noWrap w:val="0"/>
            <w:vAlign w:val="center"/>
          </w:tcPr>
          <w:p w14:paraId="707F4011">
            <w:pPr>
              <w:jc w:val="center"/>
              <w:rPr>
                <w:rFonts w:hint="eastAsia" w:ascii="宋体" w:hAnsi="宋体" w:cs="宋体"/>
                <w:color w:val="auto"/>
                <w:szCs w:val="21"/>
                <w:highlight w:val="none"/>
              </w:rPr>
            </w:pPr>
          </w:p>
        </w:tc>
        <w:tc>
          <w:tcPr>
            <w:tcW w:w="1041" w:type="dxa"/>
            <w:noWrap w:val="0"/>
            <w:vAlign w:val="center"/>
          </w:tcPr>
          <w:p w14:paraId="5702318D">
            <w:pPr>
              <w:jc w:val="center"/>
              <w:rPr>
                <w:rFonts w:hint="eastAsia" w:ascii="宋体" w:hAnsi="宋体" w:cs="宋体"/>
                <w:color w:val="auto"/>
                <w:szCs w:val="21"/>
                <w:highlight w:val="none"/>
              </w:rPr>
            </w:pPr>
          </w:p>
        </w:tc>
        <w:tc>
          <w:tcPr>
            <w:tcW w:w="1125" w:type="dxa"/>
            <w:noWrap w:val="0"/>
            <w:vAlign w:val="center"/>
          </w:tcPr>
          <w:p w14:paraId="76672F1A">
            <w:pPr>
              <w:jc w:val="center"/>
              <w:rPr>
                <w:rFonts w:hint="eastAsia" w:ascii="宋体" w:hAnsi="宋体" w:cs="宋体"/>
                <w:color w:val="auto"/>
                <w:szCs w:val="21"/>
                <w:highlight w:val="none"/>
              </w:rPr>
            </w:pPr>
          </w:p>
        </w:tc>
        <w:tc>
          <w:tcPr>
            <w:tcW w:w="1485" w:type="dxa"/>
            <w:noWrap w:val="0"/>
            <w:vAlign w:val="center"/>
          </w:tcPr>
          <w:p w14:paraId="05C97434">
            <w:pPr>
              <w:jc w:val="center"/>
              <w:rPr>
                <w:rFonts w:hint="eastAsia" w:ascii="宋体" w:hAnsi="宋体" w:cs="宋体"/>
                <w:color w:val="auto"/>
                <w:szCs w:val="21"/>
                <w:highlight w:val="none"/>
              </w:rPr>
            </w:pPr>
          </w:p>
        </w:tc>
      </w:tr>
      <w:tr w14:paraId="53B43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75C80FAA">
            <w:pPr>
              <w:jc w:val="center"/>
              <w:rPr>
                <w:rFonts w:hint="eastAsia" w:ascii="宋体" w:hAnsi="宋体" w:cs="宋体"/>
                <w:color w:val="auto"/>
                <w:szCs w:val="21"/>
                <w:highlight w:val="none"/>
              </w:rPr>
            </w:pPr>
          </w:p>
        </w:tc>
        <w:tc>
          <w:tcPr>
            <w:tcW w:w="928" w:type="dxa"/>
            <w:noWrap w:val="0"/>
            <w:vAlign w:val="center"/>
          </w:tcPr>
          <w:p w14:paraId="06C6DF4C">
            <w:pPr>
              <w:jc w:val="center"/>
              <w:rPr>
                <w:rFonts w:hint="eastAsia" w:ascii="宋体" w:hAnsi="宋体" w:cs="宋体"/>
                <w:color w:val="auto"/>
                <w:szCs w:val="21"/>
                <w:highlight w:val="none"/>
              </w:rPr>
            </w:pPr>
          </w:p>
        </w:tc>
        <w:tc>
          <w:tcPr>
            <w:tcW w:w="928" w:type="dxa"/>
            <w:noWrap w:val="0"/>
            <w:vAlign w:val="center"/>
          </w:tcPr>
          <w:p w14:paraId="50C0BA61">
            <w:pPr>
              <w:jc w:val="center"/>
              <w:rPr>
                <w:rFonts w:hint="eastAsia" w:ascii="宋体" w:hAnsi="宋体" w:cs="宋体"/>
                <w:color w:val="auto"/>
                <w:szCs w:val="21"/>
                <w:highlight w:val="none"/>
              </w:rPr>
            </w:pPr>
          </w:p>
        </w:tc>
        <w:tc>
          <w:tcPr>
            <w:tcW w:w="1041" w:type="dxa"/>
            <w:noWrap w:val="0"/>
            <w:vAlign w:val="center"/>
          </w:tcPr>
          <w:p w14:paraId="70740526">
            <w:pPr>
              <w:jc w:val="center"/>
              <w:rPr>
                <w:rFonts w:hint="eastAsia" w:ascii="宋体" w:hAnsi="宋体" w:cs="宋体"/>
                <w:color w:val="auto"/>
                <w:szCs w:val="21"/>
                <w:highlight w:val="none"/>
              </w:rPr>
            </w:pPr>
          </w:p>
        </w:tc>
        <w:tc>
          <w:tcPr>
            <w:tcW w:w="1041" w:type="dxa"/>
            <w:noWrap w:val="0"/>
            <w:vAlign w:val="center"/>
          </w:tcPr>
          <w:p w14:paraId="4631837E">
            <w:pPr>
              <w:jc w:val="center"/>
              <w:rPr>
                <w:rFonts w:hint="eastAsia" w:ascii="宋体" w:hAnsi="宋体" w:cs="宋体"/>
                <w:color w:val="auto"/>
                <w:szCs w:val="21"/>
                <w:highlight w:val="none"/>
              </w:rPr>
            </w:pPr>
          </w:p>
        </w:tc>
        <w:tc>
          <w:tcPr>
            <w:tcW w:w="1041" w:type="dxa"/>
            <w:noWrap w:val="0"/>
            <w:vAlign w:val="center"/>
          </w:tcPr>
          <w:p w14:paraId="42075252">
            <w:pPr>
              <w:jc w:val="center"/>
              <w:rPr>
                <w:rFonts w:hint="eastAsia" w:ascii="宋体" w:hAnsi="宋体" w:cs="宋体"/>
                <w:color w:val="auto"/>
                <w:szCs w:val="21"/>
                <w:highlight w:val="none"/>
              </w:rPr>
            </w:pPr>
          </w:p>
        </w:tc>
        <w:tc>
          <w:tcPr>
            <w:tcW w:w="1041" w:type="dxa"/>
            <w:noWrap w:val="0"/>
            <w:vAlign w:val="center"/>
          </w:tcPr>
          <w:p w14:paraId="2C8DDAFD">
            <w:pPr>
              <w:jc w:val="center"/>
              <w:rPr>
                <w:rFonts w:hint="eastAsia" w:ascii="宋体" w:hAnsi="宋体" w:cs="宋体"/>
                <w:color w:val="auto"/>
                <w:szCs w:val="21"/>
                <w:highlight w:val="none"/>
              </w:rPr>
            </w:pPr>
          </w:p>
        </w:tc>
        <w:tc>
          <w:tcPr>
            <w:tcW w:w="1125" w:type="dxa"/>
            <w:noWrap w:val="0"/>
            <w:vAlign w:val="center"/>
          </w:tcPr>
          <w:p w14:paraId="05A0D967">
            <w:pPr>
              <w:jc w:val="center"/>
              <w:rPr>
                <w:rFonts w:hint="eastAsia" w:ascii="宋体" w:hAnsi="宋体" w:cs="宋体"/>
                <w:color w:val="auto"/>
                <w:szCs w:val="21"/>
                <w:highlight w:val="none"/>
              </w:rPr>
            </w:pPr>
          </w:p>
        </w:tc>
        <w:tc>
          <w:tcPr>
            <w:tcW w:w="1485" w:type="dxa"/>
            <w:noWrap w:val="0"/>
            <w:vAlign w:val="center"/>
          </w:tcPr>
          <w:p w14:paraId="7DE66D4E">
            <w:pPr>
              <w:jc w:val="center"/>
              <w:rPr>
                <w:rFonts w:hint="eastAsia" w:ascii="宋体" w:hAnsi="宋体" w:cs="宋体"/>
                <w:color w:val="auto"/>
                <w:szCs w:val="21"/>
                <w:highlight w:val="none"/>
              </w:rPr>
            </w:pPr>
          </w:p>
        </w:tc>
      </w:tr>
      <w:tr w14:paraId="7D84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3EAC74B1">
            <w:pPr>
              <w:jc w:val="center"/>
              <w:rPr>
                <w:rFonts w:hint="eastAsia" w:ascii="宋体" w:hAnsi="宋体" w:cs="宋体"/>
                <w:color w:val="auto"/>
                <w:szCs w:val="21"/>
                <w:highlight w:val="none"/>
              </w:rPr>
            </w:pPr>
          </w:p>
        </w:tc>
        <w:tc>
          <w:tcPr>
            <w:tcW w:w="928" w:type="dxa"/>
            <w:noWrap w:val="0"/>
            <w:vAlign w:val="center"/>
          </w:tcPr>
          <w:p w14:paraId="5687DD4F">
            <w:pPr>
              <w:jc w:val="center"/>
              <w:rPr>
                <w:rFonts w:hint="eastAsia" w:ascii="宋体" w:hAnsi="宋体" w:cs="宋体"/>
                <w:color w:val="auto"/>
                <w:szCs w:val="21"/>
                <w:highlight w:val="none"/>
              </w:rPr>
            </w:pPr>
          </w:p>
        </w:tc>
        <w:tc>
          <w:tcPr>
            <w:tcW w:w="928" w:type="dxa"/>
            <w:noWrap w:val="0"/>
            <w:vAlign w:val="center"/>
          </w:tcPr>
          <w:p w14:paraId="180E96F8">
            <w:pPr>
              <w:jc w:val="center"/>
              <w:rPr>
                <w:rFonts w:hint="eastAsia" w:ascii="宋体" w:hAnsi="宋体" w:cs="宋体"/>
                <w:color w:val="auto"/>
                <w:szCs w:val="21"/>
                <w:highlight w:val="none"/>
              </w:rPr>
            </w:pPr>
          </w:p>
        </w:tc>
        <w:tc>
          <w:tcPr>
            <w:tcW w:w="1041" w:type="dxa"/>
            <w:noWrap w:val="0"/>
            <w:vAlign w:val="center"/>
          </w:tcPr>
          <w:p w14:paraId="79617AD2">
            <w:pPr>
              <w:jc w:val="center"/>
              <w:rPr>
                <w:rFonts w:hint="eastAsia" w:ascii="宋体" w:hAnsi="宋体" w:cs="宋体"/>
                <w:color w:val="auto"/>
                <w:szCs w:val="21"/>
                <w:highlight w:val="none"/>
              </w:rPr>
            </w:pPr>
          </w:p>
        </w:tc>
        <w:tc>
          <w:tcPr>
            <w:tcW w:w="1041" w:type="dxa"/>
            <w:noWrap w:val="0"/>
            <w:vAlign w:val="center"/>
          </w:tcPr>
          <w:p w14:paraId="10911C45">
            <w:pPr>
              <w:jc w:val="center"/>
              <w:rPr>
                <w:rFonts w:hint="eastAsia" w:ascii="宋体" w:hAnsi="宋体" w:cs="宋体"/>
                <w:color w:val="auto"/>
                <w:szCs w:val="21"/>
                <w:highlight w:val="none"/>
              </w:rPr>
            </w:pPr>
          </w:p>
        </w:tc>
        <w:tc>
          <w:tcPr>
            <w:tcW w:w="1041" w:type="dxa"/>
            <w:noWrap w:val="0"/>
            <w:vAlign w:val="center"/>
          </w:tcPr>
          <w:p w14:paraId="3C992B66">
            <w:pPr>
              <w:jc w:val="center"/>
              <w:rPr>
                <w:rFonts w:hint="eastAsia" w:ascii="宋体" w:hAnsi="宋体" w:cs="宋体"/>
                <w:color w:val="auto"/>
                <w:szCs w:val="21"/>
                <w:highlight w:val="none"/>
              </w:rPr>
            </w:pPr>
          </w:p>
        </w:tc>
        <w:tc>
          <w:tcPr>
            <w:tcW w:w="1041" w:type="dxa"/>
            <w:noWrap w:val="0"/>
            <w:vAlign w:val="center"/>
          </w:tcPr>
          <w:p w14:paraId="089FA589">
            <w:pPr>
              <w:jc w:val="center"/>
              <w:rPr>
                <w:rFonts w:hint="eastAsia" w:ascii="宋体" w:hAnsi="宋体" w:cs="宋体"/>
                <w:color w:val="auto"/>
                <w:szCs w:val="21"/>
                <w:highlight w:val="none"/>
              </w:rPr>
            </w:pPr>
          </w:p>
        </w:tc>
        <w:tc>
          <w:tcPr>
            <w:tcW w:w="1125" w:type="dxa"/>
            <w:noWrap w:val="0"/>
            <w:vAlign w:val="center"/>
          </w:tcPr>
          <w:p w14:paraId="79A77C7D">
            <w:pPr>
              <w:jc w:val="center"/>
              <w:rPr>
                <w:rFonts w:hint="eastAsia" w:ascii="宋体" w:hAnsi="宋体" w:cs="宋体"/>
                <w:color w:val="auto"/>
                <w:szCs w:val="21"/>
                <w:highlight w:val="none"/>
              </w:rPr>
            </w:pPr>
          </w:p>
        </w:tc>
        <w:tc>
          <w:tcPr>
            <w:tcW w:w="1485" w:type="dxa"/>
            <w:noWrap w:val="0"/>
            <w:vAlign w:val="center"/>
          </w:tcPr>
          <w:p w14:paraId="6012BDFF">
            <w:pPr>
              <w:jc w:val="center"/>
              <w:rPr>
                <w:rFonts w:hint="eastAsia" w:ascii="宋体" w:hAnsi="宋体" w:cs="宋体"/>
                <w:color w:val="auto"/>
                <w:szCs w:val="21"/>
                <w:highlight w:val="none"/>
              </w:rPr>
            </w:pPr>
          </w:p>
        </w:tc>
      </w:tr>
      <w:tr w14:paraId="729FF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5579A192">
            <w:pPr>
              <w:jc w:val="center"/>
              <w:rPr>
                <w:rFonts w:hint="eastAsia" w:ascii="宋体" w:hAnsi="宋体" w:cs="宋体"/>
                <w:color w:val="auto"/>
                <w:szCs w:val="21"/>
                <w:highlight w:val="none"/>
              </w:rPr>
            </w:pPr>
          </w:p>
        </w:tc>
        <w:tc>
          <w:tcPr>
            <w:tcW w:w="928" w:type="dxa"/>
            <w:noWrap w:val="0"/>
            <w:vAlign w:val="center"/>
          </w:tcPr>
          <w:p w14:paraId="50BCD5E5">
            <w:pPr>
              <w:jc w:val="center"/>
              <w:rPr>
                <w:rFonts w:hint="eastAsia" w:ascii="宋体" w:hAnsi="宋体" w:cs="宋体"/>
                <w:color w:val="auto"/>
                <w:szCs w:val="21"/>
                <w:highlight w:val="none"/>
              </w:rPr>
            </w:pPr>
          </w:p>
        </w:tc>
        <w:tc>
          <w:tcPr>
            <w:tcW w:w="928" w:type="dxa"/>
            <w:noWrap w:val="0"/>
            <w:vAlign w:val="center"/>
          </w:tcPr>
          <w:p w14:paraId="316E4E2E">
            <w:pPr>
              <w:jc w:val="center"/>
              <w:rPr>
                <w:rFonts w:hint="eastAsia" w:ascii="宋体" w:hAnsi="宋体" w:cs="宋体"/>
                <w:color w:val="auto"/>
                <w:szCs w:val="21"/>
                <w:highlight w:val="none"/>
              </w:rPr>
            </w:pPr>
          </w:p>
        </w:tc>
        <w:tc>
          <w:tcPr>
            <w:tcW w:w="1041" w:type="dxa"/>
            <w:noWrap w:val="0"/>
            <w:vAlign w:val="center"/>
          </w:tcPr>
          <w:p w14:paraId="0634D1DC">
            <w:pPr>
              <w:jc w:val="center"/>
              <w:rPr>
                <w:rFonts w:hint="eastAsia" w:ascii="宋体" w:hAnsi="宋体" w:cs="宋体"/>
                <w:color w:val="auto"/>
                <w:szCs w:val="21"/>
                <w:highlight w:val="none"/>
              </w:rPr>
            </w:pPr>
          </w:p>
        </w:tc>
        <w:tc>
          <w:tcPr>
            <w:tcW w:w="1041" w:type="dxa"/>
            <w:noWrap w:val="0"/>
            <w:vAlign w:val="center"/>
          </w:tcPr>
          <w:p w14:paraId="77AF9290">
            <w:pPr>
              <w:jc w:val="center"/>
              <w:rPr>
                <w:rFonts w:hint="eastAsia" w:ascii="宋体" w:hAnsi="宋体" w:cs="宋体"/>
                <w:color w:val="auto"/>
                <w:szCs w:val="21"/>
                <w:highlight w:val="none"/>
              </w:rPr>
            </w:pPr>
          </w:p>
        </w:tc>
        <w:tc>
          <w:tcPr>
            <w:tcW w:w="1041" w:type="dxa"/>
            <w:noWrap w:val="0"/>
            <w:vAlign w:val="center"/>
          </w:tcPr>
          <w:p w14:paraId="652ACA73">
            <w:pPr>
              <w:jc w:val="center"/>
              <w:rPr>
                <w:rFonts w:hint="eastAsia" w:ascii="宋体" w:hAnsi="宋体" w:cs="宋体"/>
                <w:color w:val="auto"/>
                <w:szCs w:val="21"/>
                <w:highlight w:val="none"/>
              </w:rPr>
            </w:pPr>
          </w:p>
        </w:tc>
        <w:tc>
          <w:tcPr>
            <w:tcW w:w="1041" w:type="dxa"/>
            <w:noWrap w:val="0"/>
            <w:vAlign w:val="center"/>
          </w:tcPr>
          <w:p w14:paraId="74247B5C">
            <w:pPr>
              <w:jc w:val="center"/>
              <w:rPr>
                <w:rFonts w:hint="eastAsia" w:ascii="宋体" w:hAnsi="宋体" w:cs="宋体"/>
                <w:color w:val="auto"/>
                <w:szCs w:val="21"/>
                <w:highlight w:val="none"/>
              </w:rPr>
            </w:pPr>
          </w:p>
        </w:tc>
        <w:tc>
          <w:tcPr>
            <w:tcW w:w="1125" w:type="dxa"/>
            <w:noWrap w:val="0"/>
            <w:vAlign w:val="center"/>
          </w:tcPr>
          <w:p w14:paraId="42654BA0">
            <w:pPr>
              <w:jc w:val="center"/>
              <w:rPr>
                <w:rFonts w:hint="eastAsia" w:ascii="宋体" w:hAnsi="宋体" w:cs="宋体"/>
                <w:color w:val="auto"/>
                <w:szCs w:val="21"/>
                <w:highlight w:val="none"/>
              </w:rPr>
            </w:pPr>
          </w:p>
        </w:tc>
        <w:tc>
          <w:tcPr>
            <w:tcW w:w="1485" w:type="dxa"/>
            <w:noWrap w:val="0"/>
            <w:vAlign w:val="center"/>
          </w:tcPr>
          <w:p w14:paraId="13698BB9">
            <w:pPr>
              <w:jc w:val="center"/>
              <w:rPr>
                <w:rFonts w:hint="eastAsia" w:ascii="宋体" w:hAnsi="宋体" w:cs="宋体"/>
                <w:color w:val="auto"/>
                <w:szCs w:val="21"/>
                <w:highlight w:val="none"/>
              </w:rPr>
            </w:pPr>
          </w:p>
        </w:tc>
      </w:tr>
      <w:tr w14:paraId="235D1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53637834">
            <w:pPr>
              <w:jc w:val="center"/>
              <w:rPr>
                <w:rFonts w:hint="eastAsia" w:ascii="宋体" w:hAnsi="宋体" w:cs="宋体"/>
                <w:color w:val="auto"/>
                <w:szCs w:val="21"/>
                <w:highlight w:val="none"/>
              </w:rPr>
            </w:pPr>
          </w:p>
        </w:tc>
        <w:tc>
          <w:tcPr>
            <w:tcW w:w="928" w:type="dxa"/>
            <w:noWrap w:val="0"/>
            <w:vAlign w:val="center"/>
          </w:tcPr>
          <w:p w14:paraId="63FF1A5F">
            <w:pPr>
              <w:jc w:val="center"/>
              <w:rPr>
                <w:rFonts w:hint="eastAsia" w:ascii="宋体" w:hAnsi="宋体" w:cs="宋体"/>
                <w:color w:val="auto"/>
                <w:szCs w:val="21"/>
                <w:highlight w:val="none"/>
              </w:rPr>
            </w:pPr>
          </w:p>
        </w:tc>
        <w:tc>
          <w:tcPr>
            <w:tcW w:w="928" w:type="dxa"/>
            <w:noWrap w:val="0"/>
            <w:vAlign w:val="center"/>
          </w:tcPr>
          <w:p w14:paraId="1C2BEB3B">
            <w:pPr>
              <w:jc w:val="center"/>
              <w:rPr>
                <w:rFonts w:hint="eastAsia" w:ascii="宋体" w:hAnsi="宋体" w:cs="宋体"/>
                <w:color w:val="auto"/>
                <w:szCs w:val="21"/>
                <w:highlight w:val="none"/>
              </w:rPr>
            </w:pPr>
          </w:p>
        </w:tc>
        <w:tc>
          <w:tcPr>
            <w:tcW w:w="1041" w:type="dxa"/>
            <w:noWrap w:val="0"/>
            <w:vAlign w:val="center"/>
          </w:tcPr>
          <w:p w14:paraId="063C9EB3">
            <w:pPr>
              <w:jc w:val="center"/>
              <w:rPr>
                <w:rFonts w:hint="eastAsia" w:ascii="宋体" w:hAnsi="宋体" w:cs="宋体"/>
                <w:color w:val="auto"/>
                <w:szCs w:val="21"/>
                <w:highlight w:val="none"/>
              </w:rPr>
            </w:pPr>
          </w:p>
        </w:tc>
        <w:tc>
          <w:tcPr>
            <w:tcW w:w="1041" w:type="dxa"/>
            <w:noWrap w:val="0"/>
            <w:vAlign w:val="center"/>
          </w:tcPr>
          <w:p w14:paraId="15F74399">
            <w:pPr>
              <w:jc w:val="center"/>
              <w:rPr>
                <w:rFonts w:hint="eastAsia" w:ascii="宋体" w:hAnsi="宋体" w:cs="宋体"/>
                <w:color w:val="auto"/>
                <w:szCs w:val="21"/>
                <w:highlight w:val="none"/>
              </w:rPr>
            </w:pPr>
          </w:p>
        </w:tc>
        <w:tc>
          <w:tcPr>
            <w:tcW w:w="1041" w:type="dxa"/>
            <w:noWrap w:val="0"/>
            <w:vAlign w:val="center"/>
          </w:tcPr>
          <w:p w14:paraId="5A846FEB">
            <w:pPr>
              <w:jc w:val="center"/>
              <w:rPr>
                <w:rFonts w:hint="eastAsia" w:ascii="宋体" w:hAnsi="宋体" w:cs="宋体"/>
                <w:color w:val="auto"/>
                <w:szCs w:val="21"/>
                <w:highlight w:val="none"/>
              </w:rPr>
            </w:pPr>
          </w:p>
        </w:tc>
        <w:tc>
          <w:tcPr>
            <w:tcW w:w="1041" w:type="dxa"/>
            <w:noWrap w:val="0"/>
            <w:vAlign w:val="center"/>
          </w:tcPr>
          <w:p w14:paraId="740FB2B4">
            <w:pPr>
              <w:jc w:val="center"/>
              <w:rPr>
                <w:rFonts w:hint="eastAsia" w:ascii="宋体" w:hAnsi="宋体" w:cs="宋体"/>
                <w:color w:val="auto"/>
                <w:szCs w:val="21"/>
                <w:highlight w:val="none"/>
              </w:rPr>
            </w:pPr>
          </w:p>
        </w:tc>
        <w:tc>
          <w:tcPr>
            <w:tcW w:w="1125" w:type="dxa"/>
            <w:noWrap w:val="0"/>
            <w:vAlign w:val="center"/>
          </w:tcPr>
          <w:p w14:paraId="5E0004A0">
            <w:pPr>
              <w:jc w:val="center"/>
              <w:rPr>
                <w:rFonts w:hint="eastAsia" w:ascii="宋体" w:hAnsi="宋体" w:cs="宋体"/>
                <w:color w:val="auto"/>
                <w:szCs w:val="21"/>
                <w:highlight w:val="none"/>
              </w:rPr>
            </w:pPr>
          </w:p>
        </w:tc>
        <w:tc>
          <w:tcPr>
            <w:tcW w:w="1485" w:type="dxa"/>
            <w:noWrap w:val="0"/>
            <w:vAlign w:val="center"/>
          </w:tcPr>
          <w:p w14:paraId="211ABBC6">
            <w:pPr>
              <w:jc w:val="center"/>
              <w:rPr>
                <w:rFonts w:hint="eastAsia" w:ascii="宋体" w:hAnsi="宋体" w:cs="宋体"/>
                <w:color w:val="auto"/>
                <w:szCs w:val="21"/>
                <w:highlight w:val="none"/>
              </w:rPr>
            </w:pPr>
          </w:p>
        </w:tc>
      </w:tr>
      <w:tr w14:paraId="763A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5F6FD437">
            <w:pPr>
              <w:jc w:val="center"/>
              <w:rPr>
                <w:rFonts w:hint="eastAsia" w:ascii="宋体" w:hAnsi="宋体" w:cs="宋体"/>
                <w:color w:val="auto"/>
                <w:szCs w:val="21"/>
                <w:highlight w:val="none"/>
              </w:rPr>
            </w:pPr>
          </w:p>
        </w:tc>
        <w:tc>
          <w:tcPr>
            <w:tcW w:w="928" w:type="dxa"/>
            <w:noWrap w:val="0"/>
            <w:vAlign w:val="center"/>
          </w:tcPr>
          <w:p w14:paraId="056E50CD">
            <w:pPr>
              <w:jc w:val="center"/>
              <w:rPr>
                <w:rFonts w:hint="eastAsia" w:ascii="宋体" w:hAnsi="宋体" w:cs="宋体"/>
                <w:color w:val="auto"/>
                <w:szCs w:val="21"/>
                <w:highlight w:val="none"/>
              </w:rPr>
            </w:pPr>
          </w:p>
        </w:tc>
        <w:tc>
          <w:tcPr>
            <w:tcW w:w="928" w:type="dxa"/>
            <w:noWrap w:val="0"/>
            <w:vAlign w:val="center"/>
          </w:tcPr>
          <w:p w14:paraId="48A7AF40">
            <w:pPr>
              <w:jc w:val="center"/>
              <w:rPr>
                <w:rFonts w:hint="eastAsia" w:ascii="宋体" w:hAnsi="宋体" w:cs="宋体"/>
                <w:color w:val="auto"/>
                <w:szCs w:val="21"/>
                <w:highlight w:val="none"/>
              </w:rPr>
            </w:pPr>
          </w:p>
        </w:tc>
        <w:tc>
          <w:tcPr>
            <w:tcW w:w="1041" w:type="dxa"/>
            <w:noWrap w:val="0"/>
            <w:vAlign w:val="center"/>
          </w:tcPr>
          <w:p w14:paraId="50C469DB">
            <w:pPr>
              <w:jc w:val="center"/>
              <w:rPr>
                <w:rFonts w:hint="eastAsia" w:ascii="宋体" w:hAnsi="宋体" w:cs="宋体"/>
                <w:color w:val="auto"/>
                <w:szCs w:val="21"/>
                <w:highlight w:val="none"/>
              </w:rPr>
            </w:pPr>
          </w:p>
        </w:tc>
        <w:tc>
          <w:tcPr>
            <w:tcW w:w="1041" w:type="dxa"/>
            <w:noWrap w:val="0"/>
            <w:vAlign w:val="center"/>
          </w:tcPr>
          <w:p w14:paraId="7398D380">
            <w:pPr>
              <w:jc w:val="center"/>
              <w:rPr>
                <w:rFonts w:hint="eastAsia" w:ascii="宋体" w:hAnsi="宋体" w:cs="宋体"/>
                <w:color w:val="auto"/>
                <w:szCs w:val="21"/>
                <w:highlight w:val="none"/>
              </w:rPr>
            </w:pPr>
          </w:p>
        </w:tc>
        <w:tc>
          <w:tcPr>
            <w:tcW w:w="1041" w:type="dxa"/>
            <w:noWrap w:val="0"/>
            <w:vAlign w:val="center"/>
          </w:tcPr>
          <w:p w14:paraId="786B976F">
            <w:pPr>
              <w:jc w:val="center"/>
              <w:rPr>
                <w:rFonts w:hint="eastAsia" w:ascii="宋体" w:hAnsi="宋体" w:cs="宋体"/>
                <w:color w:val="auto"/>
                <w:szCs w:val="21"/>
                <w:highlight w:val="none"/>
              </w:rPr>
            </w:pPr>
          </w:p>
        </w:tc>
        <w:tc>
          <w:tcPr>
            <w:tcW w:w="1041" w:type="dxa"/>
            <w:noWrap w:val="0"/>
            <w:vAlign w:val="center"/>
          </w:tcPr>
          <w:p w14:paraId="2E156F3E">
            <w:pPr>
              <w:jc w:val="center"/>
              <w:rPr>
                <w:rFonts w:hint="eastAsia" w:ascii="宋体" w:hAnsi="宋体" w:cs="宋体"/>
                <w:color w:val="auto"/>
                <w:szCs w:val="21"/>
                <w:highlight w:val="none"/>
              </w:rPr>
            </w:pPr>
          </w:p>
        </w:tc>
        <w:tc>
          <w:tcPr>
            <w:tcW w:w="1125" w:type="dxa"/>
            <w:noWrap w:val="0"/>
            <w:vAlign w:val="center"/>
          </w:tcPr>
          <w:p w14:paraId="6C02A35F">
            <w:pPr>
              <w:jc w:val="center"/>
              <w:rPr>
                <w:rFonts w:hint="eastAsia" w:ascii="宋体" w:hAnsi="宋体" w:cs="宋体"/>
                <w:color w:val="auto"/>
                <w:szCs w:val="21"/>
                <w:highlight w:val="none"/>
              </w:rPr>
            </w:pPr>
          </w:p>
        </w:tc>
        <w:tc>
          <w:tcPr>
            <w:tcW w:w="1485" w:type="dxa"/>
            <w:noWrap w:val="0"/>
            <w:vAlign w:val="center"/>
          </w:tcPr>
          <w:p w14:paraId="34184A91">
            <w:pPr>
              <w:jc w:val="center"/>
              <w:rPr>
                <w:rFonts w:hint="eastAsia" w:ascii="宋体" w:hAnsi="宋体" w:cs="宋体"/>
                <w:color w:val="auto"/>
                <w:szCs w:val="21"/>
                <w:highlight w:val="none"/>
              </w:rPr>
            </w:pPr>
          </w:p>
        </w:tc>
      </w:tr>
      <w:tr w14:paraId="12AC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6C3B68FC">
            <w:pPr>
              <w:jc w:val="center"/>
              <w:rPr>
                <w:rFonts w:hint="eastAsia" w:ascii="宋体" w:hAnsi="宋体" w:cs="宋体"/>
                <w:color w:val="auto"/>
                <w:szCs w:val="21"/>
                <w:highlight w:val="none"/>
              </w:rPr>
            </w:pPr>
          </w:p>
        </w:tc>
        <w:tc>
          <w:tcPr>
            <w:tcW w:w="928" w:type="dxa"/>
            <w:noWrap w:val="0"/>
            <w:vAlign w:val="center"/>
          </w:tcPr>
          <w:p w14:paraId="41C76DBD">
            <w:pPr>
              <w:jc w:val="center"/>
              <w:rPr>
                <w:rFonts w:hint="eastAsia" w:ascii="宋体" w:hAnsi="宋体" w:cs="宋体"/>
                <w:color w:val="auto"/>
                <w:szCs w:val="21"/>
                <w:highlight w:val="none"/>
              </w:rPr>
            </w:pPr>
          </w:p>
        </w:tc>
        <w:tc>
          <w:tcPr>
            <w:tcW w:w="928" w:type="dxa"/>
            <w:noWrap w:val="0"/>
            <w:vAlign w:val="center"/>
          </w:tcPr>
          <w:p w14:paraId="487150B0">
            <w:pPr>
              <w:jc w:val="center"/>
              <w:rPr>
                <w:rFonts w:hint="eastAsia" w:ascii="宋体" w:hAnsi="宋体" w:cs="宋体"/>
                <w:color w:val="auto"/>
                <w:szCs w:val="21"/>
                <w:highlight w:val="none"/>
              </w:rPr>
            </w:pPr>
          </w:p>
        </w:tc>
        <w:tc>
          <w:tcPr>
            <w:tcW w:w="1041" w:type="dxa"/>
            <w:noWrap w:val="0"/>
            <w:vAlign w:val="center"/>
          </w:tcPr>
          <w:p w14:paraId="33C8B3C9">
            <w:pPr>
              <w:jc w:val="center"/>
              <w:rPr>
                <w:rFonts w:hint="eastAsia" w:ascii="宋体" w:hAnsi="宋体" w:cs="宋体"/>
                <w:color w:val="auto"/>
                <w:szCs w:val="21"/>
                <w:highlight w:val="none"/>
              </w:rPr>
            </w:pPr>
          </w:p>
        </w:tc>
        <w:tc>
          <w:tcPr>
            <w:tcW w:w="1041" w:type="dxa"/>
            <w:noWrap w:val="0"/>
            <w:vAlign w:val="center"/>
          </w:tcPr>
          <w:p w14:paraId="2E85CE2F">
            <w:pPr>
              <w:jc w:val="center"/>
              <w:rPr>
                <w:rFonts w:hint="eastAsia" w:ascii="宋体" w:hAnsi="宋体" w:cs="宋体"/>
                <w:color w:val="auto"/>
                <w:szCs w:val="21"/>
                <w:highlight w:val="none"/>
              </w:rPr>
            </w:pPr>
          </w:p>
        </w:tc>
        <w:tc>
          <w:tcPr>
            <w:tcW w:w="1041" w:type="dxa"/>
            <w:noWrap w:val="0"/>
            <w:vAlign w:val="center"/>
          </w:tcPr>
          <w:p w14:paraId="62AD8565">
            <w:pPr>
              <w:jc w:val="center"/>
              <w:rPr>
                <w:rFonts w:hint="eastAsia" w:ascii="宋体" w:hAnsi="宋体" w:cs="宋体"/>
                <w:color w:val="auto"/>
                <w:szCs w:val="21"/>
                <w:highlight w:val="none"/>
              </w:rPr>
            </w:pPr>
          </w:p>
        </w:tc>
        <w:tc>
          <w:tcPr>
            <w:tcW w:w="1041" w:type="dxa"/>
            <w:noWrap w:val="0"/>
            <w:vAlign w:val="center"/>
          </w:tcPr>
          <w:p w14:paraId="31004C64">
            <w:pPr>
              <w:jc w:val="center"/>
              <w:rPr>
                <w:rFonts w:hint="eastAsia" w:ascii="宋体" w:hAnsi="宋体" w:cs="宋体"/>
                <w:color w:val="auto"/>
                <w:szCs w:val="21"/>
                <w:highlight w:val="none"/>
              </w:rPr>
            </w:pPr>
          </w:p>
        </w:tc>
        <w:tc>
          <w:tcPr>
            <w:tcW w:w="1125" w:type="dxa"/>
            <w:noWrap w:val="0"/>
            <w:vAlign w:val="center"/>
          </w:tcPr>
          <w:p w14:paraId="05A95C19">
            <w:pPr>
              <w:jc w:val="center"/>
              <w:rPr>
                <w:rFonts w:hint="eastAsia" w:ascii="宋体" w:hAnsi="宋体" w:cs="宋体"/>
                <w:color w:val="auto"/>
                <w:szCs w:val="21"/>
                <w:highlight w:val="none"/>
              </w:rPr>
            </w:pPr>
          </w:p>
        </w:tc>
        <w:tc>
          <w:tcPr>
            <w:tcW w:w="1485" w:type="dxa"/>
            <w:noWrap w:val="0"/>
            <w:vAlign w:val="center"/>
          </w:tcPr>
          <w:p w14:paraId="3E2ADAB8">
            <w:pPr>
              <w:jc w:val="center"/>
              <w:rPr>
                <w:rFonts w:hint="eastAsia" w:ascii="宋体" w:hAnsi="宋体" w:cs="宋体"/>
                <w:color w:val="auto"/>
                <w:szCs w:val="21"/>
                <w:highlight w:val="none"/>
              </w:rPr>
            </w:pPr>
          </w:p>
        </w:tc>
      </w:tr>
      <w:tr w14:paraId="34F5B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36414099">
            <w:pPr>
              <w:jc w:val="center"/>
              <w:rPr>
                <w:rFonts w:hint="eastAsia" w:ascii="宋体" w:hAnsi="宋体" w:cs="宋体"/>
                <w:color w:val="auto"/>
                <w:szCs w:val="21"/>
                <w:highlight w:val="none"/>
              </w:rPr>
            </w:pPr>
          </w:p>
        </w:tc>
        <w:tc>
          <w:tcPr>
            <w:tcW w:w="928" w:type="dxa"/>
            <w:noWrap w:val="0"/>
            <w:vAlign w:val="center"/>
          </w:tcPr>
          <w:p w14:paraId="5DEDFECF">
            <w:pPr>
              <w:jc w:val="center"/>
              <w:rPr>
                <w:rFonts w:hint="eastAsia" w:ascii="宋体" w:hAnsi="宋体" w:cs="宋体"/>
                <w:color w:val="auto"/>
                <w:szCs w:val="21"/>
                <w:highlight w:val="none"/>
              </w:rPr>
            </w:pPr>
          </w:p>
        </w:tc>
        <w:tc>
          <w:tcPr>
            <w:tcW w:w="928" w:type="dxa"/>
            <w:noWrap w:val="0"/>
            <w:vAlign w:val="center"/>
          </w:tcPr>
          <w:p w14:paraId="5898E8AA">
            <w:pPr>
              <w:jc w:val="center"/>
              <w:rPr>
                <w:rFonts w:hint="eastAsia" w:ascii="宋体" w:hAnsi="宋体" w:cs="宋体"/>
                <w:color w:val="auto"/>
                <w:szCs w:val="21"/>
                <w:highlight w:val="none"/>
              </w:rPr>
            </w:pPr>
          </w:p>
        </w:tc>
        <w:tc>
          <w:tcPr>
            <w:tcW w:w="1041" w:type="dxa"/>
            <w:noWrap w:val="0"/>
            <w:vAlign w:val="center"/>
          </w:tcPr>
          <w:p w14:paraId="47D8ADA9">
            <w:pPr>
              <w:jc w:val="center"/>
              <w:rPr>
                <w:rFonts w:hint="eastAsia" w:ascii="宋体" w:hAnsi="宋体" w:cs="宋体"/>
                <w:color w:val="auto"/>
                <w:szCs w:val="21"/>
                <w:highlight w:val="none"/>
              </w:rPr>
            </w:pPr>
          </w:p>
        </w:tc>
        <w:tc>
          <w:tcPr>
            <w:tcW w:w="1041" w:type="dxa"/>
            <w:noWrap w:val="0"/>
            <w:vAlign w:val="center"/>
          </w:tcPr>
          <w:p w14:paraId="449E9B0C">
            <w:pPr>
              <w:jc w:val="center"/>
              <w:rPr>
                <w:rFonts w:hint="eastAsia" w:ascii="宋体" w:hAnsi="宋体" w:cs="宋体"/>
                <w:color w:val="auto"/>
                <w:szCs w:val="21"/>
                <w:highlight w:val="none"/>
              </w:rPr>
            </w:pPr>
          </w:p>
        </w:tc>
        <w:tc>
          <w:tcPr>
            <w:tcW w:w="1041" w:type="dxa"/>
            <w:noWrap w:val="0"/>
            <w:vAlign w:val="center"/>
          </w:tcPr>
          <w:p w14:paraId="2CB73699">
            <w:pPr>
              <w:jc w:val="center"/>
              <w:rPr>
                <w:rFonts w:hint="eastAsia" w:ascii="宋体" w:hAnsi="宋体" w:cs="宋体"/>
                <w:color w:val="auto"/>
                <w:szCs w:val="21"/>
                <w:highlight w:val="none"/>
              </w:rPr>
            </w:pPr>
          </w:p>
        </w:tc>
        <w:tc>
          <w:tcPr>
            <w:tcW w:w="1041" w:type="dxa"/>
            <w:noWrap w:val="0"/>
            <w:vAlign w:val="center"/>
          </w:tcPr>
          <w:p w14:paraId="1B847A2A">
            <w:pPr>
              <w:jc w:val="center"/>
              <w:rPr>
                <w:rFonts w:hint="eastAsia" w:ascii="宋体" w:hAnsi="宋体" w:cs="宋体"/>
                <w:color w:val="auto"/>
                <w:szCs w:val="21"/>
                <w:highlight w:val="none"/>
              </w:rPr>
            </w:pPr>
          </w:p>
        </w:tc>
        <w:tc>
          <w:tcPr>
            <w:tcW w:w="1125" w:type="dxa"/>
            <w:noWrap w:val="0"/>
            <w:vAlign w:val="center"/>
          </w:tcPr>
          <w:p w14:paraId="0B703E93">
            <w:pPr>
              <w:jc w:val="center"/>
              <w:rPr>
                <w:rFonts w:hint="eastAsia" w:ascii="宋体" w:hAnsi="宋体" w:cs="宋体"/>
                <w:color w:val="auto"/>
                <w:szCs w:val="21"/>
                <w:highlight w:val="none"/>
              </w:rPr>
            </w:pPr>
          </w:p>
        </w:tc>
        <w:tc>
          <w:tcPr>
            <w:tcW w:w="1485" w:type="dxa"/>
            <w:noWrap w:val="0"/>
            <w:vAlign w:val="center"/>
          </w:tcPr>
          <w:p w14:paraId="64AE1803">
            <w:pPr>
              <w:jc w:val="center"/>
              <w:rPr>
                <w:rFonts w:hint="eastAsia" w:ascii="宋体" w:hAnsi="宋体" w:cs="宋体"/>
                <w:color w:val="auto"/>
                <w:szCs w:val="21"/>
                <w:highlight w:val="none"/>
              </w:rPr>
            </w:pPr>
          </w:p>
        </w:tc>
      </w:tr>
      <w:tr w14:paraId="38C9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1138BB04">
            <w:pPr>
              <w:jc w:val="center"/>
              <w:rPr>
                <w:rFonts w:hint="eastAsia" w:ascii="宋体" w:hAnsi="宋体" w:cs="宋体"/>
                <w:color w:val="auto"/>
                <w:szCs w:val="21"/>
                <w:highlight w:val="none"/>
              </w:rPr>
            </w:pPr>
          </w:p>
        </w:tc>
        <w:tc>
          <w:tcPr>
            <w:tcW w:w="928" w:type="dxa"/>
            <w:noWrap w:val="0"/>
            <w:vAlign w:val="center"/>
          </w:tcPr>
          <w:p w14:paraId="1BE2F6AD">
            <w:pPr>
              <w:jc w:val="center"/>
              <w:rPr>
                <w:rFonts w:hint="eastAsia" w:ascii="宋体" w:hAnsi="宋体" w:cs="宋体"/>
                <w:color w:val="auto"/>
                <w:szCs w:val="21"/>
                <w:highlight w:val="none"/>
              </w:rPr>
            </w:pPr>
          </w:p>
        </w:tc>
        <w:tc>
          <w:tcPr>
            <w:tcW w:w="928" w:type="dxa"/>
            <w:noWrap w:val="0"/>
            <w:vAlign w:val="center"/>
          </w:tcPr>
          <w:p w14:paraId="144AA5AB">
            <w:pPr>
              <w:jc w:val="center"/>
              <w:rPr>
                <w:rFonts w:hint="eastAsia" w:ascii="宋体" w:hAnsi="宋体" w:cs="宋体"/>
                <w:color w:val="auto"/>
                <w:szCs w:val="21"/>
                <w:highlight w:val="none"/>
              </w:rPr>
            </w:pPr>
          </w:p>
        </w:tc>
        <w:tc>
          <w:tcPr>
            <w:tcW w:w="1041" w:type="dxa"/>
            <w:noWrap w:val="0"/>
            <w:vAlign w:val="center"/>
          </w:tcPr>
          <w:p w14:paraId="42354923">
            <w:pPr>
              <w:jc w:val="center"/>
              <w:rPr>
                <w:rFonts w:hint="eastAsia" w:ascii="宋体" w:hAnsi="宋体" w:cs="宋体"/>
                <w:color w:val="auto"/>
                <w:szCs w:val="21"/>
                <w:highlight w:val="none"/>
              </w:rPr>
            </w:pPr>
          </w:p>
        </w:tc>
        <w:tc>
          <w:tcPr>
            <w:tcW w:w="1041" w:type="dxa"/>
            <w:noWrap w:val="0"/>
            <w:vAlign w:val="center"/>
          </w:tcPr>
          <w:p w14:paraId="4026D863">
            <w:pPr>
              <w:jc w:val="center"/>
              <w:rPr>
                <w:rFonts w:hint="eastAsia" w:ascii="宋体" w:hAnsi="宋体" w:cs="宋体"/>
                <w:color w:val="auto"/>
                <w:szCs w:val="21"/>
                <w:highlight w:val="none"/>
              </w:rPr>
            </w:pPr>
          </w:p>
        </w:tc>
        <w:tc>
          <w:tcPr>
            <w:tcW w:w="1041" w:type="dxa"/>
            <w:noWrap w:val="0"/>
            <w:vAlign w:val="center"/>
          </w:tcPr>
          <w:p w14:paraId="19EE96E3">
            <w:pPr>
              <w:jc w:val="center"/>
              <w:rPr>
                <w:rFonts w:hint="eastAsia" w:ascii="宋体" w:hAnsi="宋体" w:cs="宋体"/>
                <w:color w:val="auto"/>
                <w:szCs w:val="21"/>
                <w:highlight w:val="none"/>
              </w:rPr>
            </w:pPr>
          </w:p>
        </w:tc>
        <w:tc>
          <w:tcPr>
            <w:tcW w:w="1041" w:type="dxa"/>
            <w:noWrap w:val="0"/>
            <w:vAlign w:val="center"/>
          </w:tcPr>
          <w:p w14:paraId="330AD709">
            <w:pPr>
              <w:jc w:val="center"/>
              <w:rPr>
                <w:rFonts w:hint="eastAsia" w:ascii="宋体" w:hAnsi="宋体" w:cs="宋体"/>
                <w:color w:val="auto"/>
                <w:szCs w:val="21"/>
                <w:highlight w:val="none"/>
              </w:rPr>
            </w:pPr>
          </w:p>
        </w:tc>
        <w:tc>
          <w:tcPr>
            <w:tcW w:w="1125" w:type="dxa"/>
            <w:noWrap w:val="0"/>
            <w:vAlign w:val="center"/>
          </w:tcPr>
          <w:p w14:paraId="4BB558AD">
            <w:pPr>
              <w:jc w:val="center"/>
              <w:rPr>
                <w:rFonts w:hint="eastAsia" w:ascii="宋体" w:hAnsi="宋体" w:cs="宋体"/>
                <w:color w:val="auto"/>
                <w:szCs w:val="21"/>
                <w:highlight w:val="none"/>
              </w:rPr>
            </w:pPr>
          </w:p>
        </w:tc>
        <w:tc>
          <w:tcPr>
            <w:tcW w:w="1485" w:type="dxa"/>
            <w:noWrap w:val="0"/>
            <w:vAlign w:val="center"/>
          </w:tcPr>
          <w:p w14:paraId="760D9604">
            <w:pPr>
              <w:jc w:val="center"/>
              <w:rPr>
                <w:rFonts w:hint="eastAsia" w:ascii="宋体" w:hAnsi="宋体" w:cs="宋体"/>
                <w:color w:val="auto"/>
                <w:szCs w:val="21"/>
                <w:highlight w:val="none"/>
              </w:rPr>
            </w:pPr>
          </w:p>
        </w:tc>
      </w:tr>
      <w:tr w14:paraId="3276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7ADABAC8">
            <w:pPr>
              <w:jc w:val="center"/>
              <w:rPr>
                <w:rFonts w:hint="eastAsia" w:ascii="宋体" w:hAnsi="宋体" w:cs="宋体"/>
                <w:color w:val="auto"/>
                <w:szCs w:val="21"/>
                <w:highlight w:val="none"/>
              </w:rPr>
            </w:pPr>
          </w:p>
        </w:tc>
        <w:tc>
          <w:tcPr>
            <w:tcW w:w="928" w:type="dxa"/>
            <w:noWrap w:val="0"/>
            <w:vAlign w:val="center"/>
          </w:tcPr>
          <w:p w14:paraId="28085BCC">
            <w:pPr>
              <w:jc w:val="center"/>
              <w:rPr>
                <w:rFonts w:hint="eastAsia" w:ascii="宋体" w:hAnsi="宋体" w:cs="宋体"/>
                <w:color w:val="auto"/>
                <w:szCs w:val="21"/>
                <w:highlight w:val="none"/>
              </w:rPr>
            </w:pPr>
          </w:p>
        </w:tc>
        <w:tc>
          <w:tcPr>
            <w:tcW w:w="928" w:type="dxa"/>
            <w:noWrap w:val="0"/>
            <w:vAlign w:val="center"/>
          </w:tcPr>
          <w:p w14:paraId="34319A73">
            <w:pPr>
              <w:jc w:val="center"/>
              <w:rPr>
                <w:rFonts w:hint="eastAsia" w:ascii="宋体" w:hAnsi="宋体" w:cs="宋体"/>
                <w:color w:val="auto"/>
                <w:szCs w:val="21"/>
                <w:highlight w:val="none"/>
              </w:rPr>
            </w:pPr>
          </w:p>
        </w:tc>
        <w:tc>
          <w:tcPr>
            <w:tcW w:w="1041" w:type="dxa"/>
            <w:noWrap w:val="0"/>
            <w:vAlign w:val="center"/>
          </w:tcPr>
          <w:p w14:paraId="171389B6">
            <w:pPr>
              <w:jc w:val="center"/>
              <w:rPr>
                <w:rFonts w:hint="eastAsia" w:ascii="宋体" w:hAnsi="宋体" w:cs="宋体"/>
                <w:color w:val="auto"/>
                <w:szCs w:val="21"/>
                <w:highlight w:val="none"/>
              </w:rPr>
            </w:pPr>
          </w:p>
        </w:tc>
        <w:tc>
          <w:tcPr>
            <w:tcW w:w="1041" w:type="dxa"/>
            <w:noWrap w:val="0"/>
            <w:vAlign w:val="center"/>
          </w:tcPr>
          <w:p w14:paraId="2858A35C">
            <w:pPr>
              <w:jc w:val="center"/>
              <w:rPr>
                <w:rFonts w:hint="eastAsia" w:ascii="宋体" w:hAnsi="宋体" w:cs="宋体"/>
                <w:color w:val="auto"/>
                <w:szCs w:val="21"/>
                <w:highlight w:val="none"/>
              </w:rPr>
            </w:pPr>
          </w:p>
        </w:tc>
        <w:tc>
          <w:tcPr>
            <w:tcW w:w="1041" w:type="dxa"/>
            <w:noWrap w:val="0"/>
            <w:vAlign w:val="center"/>
          </w:tcPr>
          <w:p w14:paraId="5DA2997A">
            <w:pPr>
              <w:jc w:val="center"/>
              <w:rPr>
                <w:rFonts w:hint="eastAsia" w:ascii="宋体" w:hAnsi="宋体" w:cs="宋体"/>
                <w:color w:val="auto"/>
                <w:szCs w:val="21"/>
                <w:highlight w:val="none"/>
              </w:rPr>
            </w:pPr>
          </w:p>
        </w:tc>
        <w:tc>
          <w:tcPr>
            <w:tcW w:w="1041" w:type="dxa"/>
            <w:noWrap w:val="0"/>
            <w:vAlign w:val="center"/>
          </w:tcPr>
          <w:p w14:paraId="111D4E3A">
            <w:pPr>
              <w:jc w:val="center"/>
              <w:rPr>
                <w:rFonts w:hint="eastAsia" w:ascii="宋体" w:hAnsi="宋体" w:cs="宋体"/>
                <w:color w:val="auto"/>
                <w:szCs w:val="21"/>
                <w:highlight w:val="none"/>
              </w:rPr>
            </w:pPr>
          </w:p>
        </w:tc>
        <w:tc>
          <w:tcPr>
            <w:tcW w:w="1125" w:type="dxa"/>
            <w:noWrap w:val="0"/>
            <w:vAlign w:val="center"/>
          </w:tcPr>
          <w:p w14:paraId="35CD79FB">
            <w:pPr>
              <w:jc w:val="center"/>
              <w:rPr>
                <w:rFonts w:hint="eastAsia" w:ascii="宋体" w:hAnsi="宋体" w:cs="宋体"/>
                <w:color w:val="auto"/>
                <w:szCs w:val="21"/>
                <w:highlight w:val="none"/>
              </w:rPr>
            </w:pPr>
          </w:p>
        </w:tc>
        <w:tc>
          <w:tcPr>
            <w:tcW w:w="1485" w:type="dxa"/>
            <w:noWrap w:val="0"/>
            <w:vAlign w:val="center"/>
          </w:tcPr>
          <w:p w14:paraId="73F683F5">
            <w:pPr>
              <w:jc w:val="center"/>
              <w:rPr>
                <w:rFonts w:hint="eastAsia" w:ascii="宋体" w:hAnsi="宋体" w:cs="宋体"/>
                <w:color w:val="auto"/>
                <w:szCs w:val="21"/>
                <w:highlight w:val="none"/>
              </w:rPr>
            </w:pPr>
          </w:p>
        </w:tc>
      </w:tr>
      <w:tr w14:paraId="4F48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768D1407">
            <w:pPr>
              <w:jc w:val="center"/>
              <w:rPr>
                <w:rFonts w:hint="eastAsia" w:ascii="宋体" w:hAnsi="宋体" w:cs="宋体"/>
                <w:color w:val="auto"/>
                <w:szCs w:val="21"/>
                <w:highlight w:val="none"/>
              </w:rPr>
            </w:pPr>
          </w:p>
        </w:tc>
        <w:tc>
          <w:tcPr>
            <w:tcW w:w="928" w:type="dxa"/>
            <w:noWrap w:val="0"/>
            <w:vAlign w:val="center"/>
          </w:tcPr>
          <w:p w14:paraId="15BC6A42">
            <w:pPr>
              <w:jc w:val="center"/>
              <w:rPr>
                <w:rFonts w:hint="eastAsia" w:ascii="宋体" w:hAnsi="宋体" w:cs="宋体"/>
                <w:color w:val="auto"/>
                <w:szCs w:val="21"/>
                <w:highlight w:val="none"/>
              </w:rPr>
            </w:pPr>
          </w:p>
        </w:tc>
        <w:tc>
          <w:tcPr>
            <w:tcW w:w="928" w:type="dxa"/>
            <w:noWrap w:val="0"/>
            <w:vAlign w:val="center"/>
          </w:tcPr>
          <w:p w14:paraId="59040B1F">
            <w:pPr>
              <w:jc w:val="center"/>
              <w:rPr>
                <w:rFonts w:hint="eastAsia" w:ascii="宋体" w:hAnsi="宋体" w:cs="宋体"/>
                <w:color w:val="auto"/>
                <w:szCs w:val="21"/>
                <w:highlight w:val="none"/>
              </w:rPr>
            </w:pPr>
          </w:p>
        </w:tc>
        <w:tc>
          <w:tcPr>
            <w:tcW w:w="1041" w:type="dxa"/>
            <w:noWrap w:val="0"/>
            <w:vAlign w:val="center"/>
          </w:tcPr>
          <w:p w14:paraId="4EF702DC">
            <w:pPr>
              <w:jc w:val="center"/>
              <w:rPr>
                <w:rFonts w:hint="eastAsia" w:ascii="宋体" w:hAnsi="宋体" w:cs="宋体"/>
                <w:color w:val="auto"/>
                <w:szCs w:val="21"/>
                <w:highlight w:val="none"/>
              </w:rPr>
            </w:pPr>
          </w:p>
        </w:tc>
        <w:tc>
          <w:tcPr>
            <w:tcW w:w="1041" w:type="dxa"/>
            <w:noWrap w:val="0"/>
            <w:vAlign w:val="center"/>
          </w:tcPr>
          <w:p w14:paraId="3508A069">
            <w:pPr>
              <w:jc w:val="center"/>
              <w:rPr>
                <w:rFonts w:hint="eastAsia" w:ascii="宋体" w:hAnsi="宋体" w:cs="宋体"/>
                <w:color w:val="auto"/>
                <w:szCs w:val="21"/>
                <w:highlight w:val="none"/>
              </w:rPr>
            </w:pPr>
          </w:p>
        </w:tc>
        <w:tc>
          <w:tcPr>
            <w:tcW w:w="1041" w:type="dxa"/>
            <w:noWrap w:val="0"/>
            <w:vAlign w:val="center"/>
          </w:tcPr>
          <w:p w14:paraId="28F994F5">
            <w:pPr>
              <w:jc w:val="center"/>
              <w:rPr>
                <w:rFonts w:hint="eastAsia" w:ascii="宋体" w:hAnsi="宋体" w:cs="宋体"/>
                <w:color w:val="auto"/>
                <w:szCs w:val="21"/>
                <w:highlight w:val="none"/>
              </w:rPr>
            </w:pPr>
          </w:p>
        </w:tc>
        <w:tc>
          <w:tcPr>
            <w:tcW w:w="1041" w:type="dxa"/>
            <w:noWrap w:val="0"/>
            <w:vAlign w:val="center"/>
          </w:tcPr>
          <w:p w14:paraId="5324D6B1">
            <w:pPr>
              <w:jc w:val="center"/>
              <w:rPr>
                <w:rFonts w:hint="eastAsia" w:ascii="宋体" w:hAnsi="宋体" w:cs="宋体"/>
                <w:color w:val="auto"/>
                <w:szCs w:val="21"/>
                <w:highlight w:val="none"/>
              </w:rPr>
            </w:pPr>
          </w:p>
        </w:tc>
        <w:tc>
          <w:tcPr>
            <w:tcW w:w="1125" w:type="dxa"/>
            <w:noWrap w:val="0"/>
            <w:vAlign w:val="center"/>
          </w:tcPr>
          <w:p w14:paraId="4A9D6EC7">
            <w:pPr>
              <w:jc w:val="center"/>
              <w:rPr>
                <w:rFonts w:hint="eastAsia" w:ascii="宋体" w:hAnsi="宋体" w:cs="宋体"/>
                <w:color w:val="auto"/>
                <w:szCs w:val="21"/>
                <w:highlight w:val="none"/>
              </w:rPr>
            </w:pPr>
          </w:p>
        </w:tc>
        <w:tc>
          <w:tcPr>
            <w:tcW w:w="1485" w:type="dxa"/>
            <w:noWrap w:val="0"/>
            <w:vAlign w:val="center"/>
          </w:tcPr>
          <w:p w14:paraId="5F7D3EDB">
            <w:pPr>
              <w:jc w:val="center"/>
              <w:rPr>
                <w:rFonts w:hint="eastAsia" w:ascii="宋体" w:hAnsi="宋体" w:cs="宋体"/>
                <w:color w:val="auto"/>
                <w:szCs w:val="21"/>
                <w:highlight w:val="none"/>
              </w:rPr>
            </w:pPr>
          </w:p>
        </w:tc>
      </w:tr>
      <w:tr w14:paraId="4C1C1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64877AB9">
            <w:pPr>
              <w:jc w:val="center"/>
              <w:rPr>
                <w:rFonts w:hint="eastAsia" w:ascii="宋体" w:hAnsi="宋体" w:cs="宋体"/>
                <w:color w:val="auto"/>
                <w:szCs w:val="21"/>
                <w:highlight w:val="none"/>
              </w:rPr>
            </w:pPr>
          </w:p>
        </w:tc>
        <w:tc>
          <w:tcPr>
            <w:tcW w:w="928" w:type="dxa"/>
            <w:noWrap w:val="0"/>
            <w:vAlign w:val="center"/>
          </w:tcPr>
          <w:p w14:paraId="10FAB2B0">
            <w:pPr>
              <w:jc w:val="center"/>
              <w:rPr>
                <w:rFonts w:hint="eastAsia" w:ascii="宋体" w:hAnsi="宋体" w:cs="宋体"/>
                <w:color w:val="auto"/>
                <w:szCs w:val="21"/>
                <w:highlight w:val="none"/>
              </w:rPr>
            </w:pPr>
          </w:p>
        </w:tc>
        <w:tc>
          <w:tcPr>
            <w:tcW w:w="928" w:type="dxa"/>
            <w:noWrap w:val="0"/>
            <w:vAlign w:val="center"/>
          </w:tcPr>
          <w:p w14:paraId="1D344DA1">
            <w:pPr>
              <w:jc w:val="center"/>
              <w:rPr>
                <w:rFonts w:hint="eastAsia" w:ascii="宋体" w:hAnsi="宋体" w:cs="宋体"/>
                <w:color w:val="auto"/>
                <w:szCs w:val="21"/>
                <w:highlight w:val="none"/>
              </w:rPr>
            </w:pPr>
          </w:p>
        </w:tc>
        <w:tc>
          <w:tcPr>
            <w:tcW w:w="1041" w:type="dxa"/>
            <w:noWrap w:val="0"/>
            <w:vAlign w:val="center"/>
          </w:tcPr>
          <w:p w14:paraId="229DB1D4">
            <w:pPr>
              <w:jc w:val="center"/>
              <w:rPr>
                <w:rFonts w:hint="eastAsia" w:ascii="宋体" w:hAnsi="宋体" w:cs="宋体"/>
                <w:color w:val="auto"/>
                <w:szCs w:val="21"/>
                <w:highlight w:val="none"/>
              </w:rPr>
            </w:pPr>
          </w:p>
        </w:tc>
        <w:tc>
          <w:tcPr>
            <w:tcW w:w="1041" w:type="dxa"/>
            <w:noWrap w:val="0"/>
            <w:vAlign w:val="center"/>
          </w:tcPr>
          <w:p w14:paraId="3EB55BE4">
            <w:pPr>
              <w:jc w:val="center"/>
              <w:rPr>
                <w:rFonts w:hint="eastAsia" w:ascii="宋体" w:hAnsi="宋体" w:cs="宋体"/>
                <w:color w:val="auto"/>
                <w:szCs w:val="21"/>
                <w:highlight w:val="none"/>
              </w:rPr>
            </w:pPr>
          </w:p>
        </w:tc>
        <w:tc>
          <w:tcPr>
            <w:tcW w:w="1041" w:type="dxa"/>
            <w:noWrap w:val="0"/>
            <w:vAlign w:val="center"/>
          </w:tcPr>
          <w:p w14:paraId="7567525D">
            <w:pPr>
              <w:jc w:val="center"/>
              <w:rPr>
                <w:rFonts w:hint="eastAsia" w:ascii="宋体" w:hAnsi="宋体" w:cs="宋体"/>
                <w:color w:val="auto"/>
                <w:szCs w:val="21"/>
                <w:highlight w:val="none"/>
              </w:rPr>
            </w:pPr>
          </w:p>
        </w:tc>
        <w:tc>
          <w:tcPr>
            <w:tcW w:w="1041" w:type="dxa"/>
            <w:noWrap w:val="0"/>
            <w:vAlign w:val="center"/>
          </w:tcPr>
          <w:p w14:paraId="76F11F52">
            <w:pPr>
              <w:jc w:val="center"/>
              <w:rPr>
                <w:rFonts w:hint="eastAsia" w:ascii="宋体" w:hAnsi="宋体" w:cs="宋体"/>
                <w:color w:val="auto"/>
                <w:szCs w:val="21"/>
                <w:highlight w:val="none"/>
              </w:rPr>
            </w:pPr>
          </w:p>
        </w:tc>
        <w:tc>
          <w:tcPr>
            <w:tcW w:w="1125" w:type="dxa"/>
            <w:noWrap w:val="0"/>
            <w:vAlign w:val="center"/>
          </w:tcPr>
          <w:p w14:paraId="130AAB25">
            <w:pPr>
              <w:jc w:val="center"/>
              <w:rPr>
                <w:rFonts w:hint="eastAsia" w:ascii="宋体" w:hAnsi="宋体" w:cs="宋体"/>
                <w:color w:val="auto"/>
                <w:szCs w:val="21"/>
                <w:highlight w:val="none"/>
              </w:rPr>
            </w:pPr>
          </w:p>
        </w:tc>
        <w:tc>
          <w:tcPr>
            <w:tcW w:w="1485" w:type="dxa"/>
            <w:noWrap w:val="0"/>
            <w:vAlign w:val="center"/>
          </w:tcPr>
          <w:p w14:paraId="001436AA">
            <w:pPr>
              <w:jc w:val="center"/>
              <w:rPr>
                <w:rFonts w:hint="eastAsia" w:ascii="宋体" w:hAnsi="宋体" w:cs="宋体"/>
                <w:color w:val="auto"/>
                <w:szCs w:val="21"/>
                <w:highlight w:val="none"/>
              </w:rPr>
            </w:pPr>
          </w:p>
        </w:tc>
      </w:tr>
      <w:tr w14:paraId="2A961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29C2935A">
            <w:pPr>
              <w:jc w:val="center"/>
              <w:rPr>
                <w:rFonts w:hint="eastAsia" w:ascii="宋体" w:hAnsi="宋体" w:cs="宋体"/>
                <w:color w:val="auto"/>
                <w:szCs w:val="21"/>
                <w:highlight w:val="none"/>
              </w:rPr>
            </w:pPr>
          </w:p>
        </w:tc>
        <w:tc>
          <w:tcPr>
            <w:tcW w:w="928" w:type="dxa"/>
            <w:noWrap w:val="0"/>
            <w:vAlign w:val="center"/>
          </w:tcPr>
          <w:p w14:paraId="08F3EFB5">
            <w:pPr>
              <w:jc w:val="center"/>
              <w:rPr>
                <w:rFonts w:hint="eastAsia" w:ascii="宋体" w:hAnsi="宋体" w:cs="宋体"/>
                <w:color w:val="auto"/>
                <w:szCs w:val="21"/>
                <w:highlight w:val="none"/>
              </w:rPr>
            </w:pPr>
          </w:p>
        </w:tc>
        <w:tc>
          <w:tcPr>
            <w:tcW w:w="928" w:type="dxa"/>
            <w:noWrap w:val="0"/>
            <w:vAlign w:val="center"/>
          </w:tcPr>
          <w:p w14:paraId="2E8986A0">
            <w:pPr>
              <w:jc w:val="center"/>
              <w:rPr>
                <w:rFonts w:hint="eastAsia" w:ascii="宋体" w:hAnsi="宋体" w:cs="宋体"/>
                <w:color w:val="auto"/>
                <w:szCs w:val="21"/>
                <w:highlight w:val="none"/>
              </w:rPr>
            </w:pPr>
          </w:p>
        </w:tc>
        <w:tc>
          <w:tcPr>
            <w:tcW w:w="1041" w:type="dxa"/>
            <w:noWrap w:val="0"/>
            <w:vAlign w:val="center"/>
          </w:tcPr>
          <w:p w14:paraId="29A04BD3">
            <w:pPr>
              <w:jc w:val="center"/>
              <w:rPr>
                <w:rFonts w:hint="eastAsia" w:ascii="宋体" w:hAnsi="宋体" w:cs="宋体"/>
                <w:color w:val="auto"/>
                <w:szCs w:val="21"/>
                <w:highlight w:val="none"/>
              </w:rPr>
            </w:pPr>
          </w:p>
        </w:tc>
        <w:tc>
          <w:tcPr>
            <w:tcW w:w="1041" w:type="dxa"/>
            <w:noWrap w:val="0"/>
            <w:vAlign w:val="center"/>
          </w:tcPr>
          <w:p w14:paraId="3AAA8F6F">
            <w:pPr>
              <w:jc w:val="center"/>
              <w:rPr>
                <w:rFonts w:hint="eastAsia" w:ascii="宋体" w:hAnsi="宋体" w:cs="宋体"/>
                <w:color w:val="auto"/>
                <w:szCs w:val="21"/>
                <w:highlight w:val="none"/>
              </w:rPr>
            </w:pPr>
          </w:p>
        </w:tc>
        <w:tc>
          <w:tcPr>
            <w:tcW w:w="1041" w:type="dxa"/>
            <w:noWrap w:val="0"/>
            <w:vAlign w:val="center"/>
          </w:tcPr>
          <w:p w14:paraId="3E16680F">
            <w:pPr>
              <w:jc w:val="center"/>
              <w:rPr>
                <w:rFonts w:hint="eastAsia" w:ascii="宋体" w:hAnsi="宋体" w:cs="宋体"/>
                <w:color w:val="auto"/>
                <w:szCs w:val="21"/>
                <w:highlight w:val="none"/>
              </w:rPr>
            </w:pPr>
          </w:p>
        </w:tc>
        <w:tc>
          <w:tcPr>
            <w:tcW w:w="1041" w:type="dxa"/>
            <w:noWrap w:val="0"/>
            <w:vAlign w:val="center"/>
          </w:tcPr>
          <w:p w14:paraId="71738AAD">
            <w:pPr>
              <w:jc w:val="center"/>
              <w:rPr>
                <w:rFonts w:hint="eastAsia" w:ascii="宋体" w:hAnsi="宋体" w:cs="宋体"/>
                <w:color w:val="auto"/>
                <w:szCs w:val="21"/>
                <w:highlight w:val="none"/>
              </w:rPr>
            </w:pPr>
          </w:p>
        </w:tc>
        <w:tc>
          <w:tcPr>
            <w:tcW w:w="1125" w:type="dxa"/>
            <w:noWrap w:val="0"/>
            <w:vAlign w:val="center"/>
          </w:tcPr>
          <w:p w14:paraId="7AC7105E">
            <w:pPr>
              <w:jc w:val="center"/>
              <w:rPr>
                <w:rFonts w:hint="eastAsia" w:ascii="宋体" w:hAnsi="宋体" w:cs="宋体"/>
                <w:color w:val="auto"/>
                <w:szCs w:val="21"/>
                <w:highlight w:val="none"/>
              </w:rPr>
            </w:pPr>
          </w:p>
        </w:tc>
        <w:tc>
          <w:tcPr>
            <w:tcW w:w="1485" w:type="dxa"/>
            <w:noWrap w:val="0"/>
            <w:vAlign w:val="center"/>
          </w:tcPr>
          <w:p w14:paraId="777DBBE4">
            <w:pPr>
              <w:jc w:val="center"/>
              <w:rPr>
                <w:rFonts w:hint="eastAsia" w:ascii="宋体" w:hAnsi="宋体" w:cs="宋体"/>
                <w:color w:val="auto"/>
                <w:szCs w:val="21"/>
                <w:highlight w:val="none"/>
              </w:rPr>
            </w:pPr>
          </w:p>
        </w:tc>
      </w:tr>
      <w:tr w14:paraId="0BBEF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 w:type="dxa"/>
            <w:noWrap w:val="0"/>
            <w:vAlign w:val="center"/>
          </w:tcPr>
          <w:p w14:paraId="48863741">
            <w:pPr>
              <w:jc w:val="center"/>
              <w:rPr>
                <w:rFonts w:hint="eastAsia" w:ascii="宋体" w:hAnsi="宋体" w:cs="宋体"/>
                <w:color w:val="auto"/>
                <w:szCs w:val="21"/>
                <w:highlight w:val="none"/>
              </w:rPr>
            </w:pPr>
          </w:p>
        </w:tc>
        <w:tc>
          <w:tcPr>
            <w:tcW w:w="928" w:type="dxa"/>
            <w:noWrap w:val="0"/>
            <w:vAlign w:val="center"/>
          </w:tcPr>
          <w:p w14:paraId="7D6A7F66">
            <w:pPr>
              <w:jc w:val="center"/>
              <w:rPr>
                <w:rFonts w:hint="eastAsia" w:ascii="宋体" w:hAnsi="宋体" w:cs="宋体"/>
                <w:color w:val="auto"/>
                <w:szCs w:val="21"/>
                <w:highlight w:val="none"/>
              </w:rPr>
            </w:pPr>
          </w:p>
        </w:tc>
        <w:tc>
          <w:tcPr>
            <w:tcW w:w="928" w:type="dxa"/>
            <w:noWrap w:val="0"/>
            <w:vAlign w:val="center"/>
          </w:tcPr>
          <w:p w14:paraId="4843F570">
            <w:pPr>
              <w:jc w:val="center"/>
              <w:rPr>
                <w:rFonts w:hint="eastAsia" w:ascii="宋体" w:hAnsi="宋体" w:cs="宋体"/>
                <w:color w:val="auto"/>
                <w:szCs w:val="21"/>
                <w:highlight w:val="none"/>
              </w:rPr>
            </w:pPr>
          </w:p>
        </w:tc>
        <w:tc>
          <w:tcPr>
            <w:tcW w:w="1041" w:type="dxa"/>
            <w:noWrap w:val="0"/>
            <w:vAlign w:val="center"/>
          </w:tcPr>
          <w:p w14:paraId="47737F49">
            <w:pPr>
              <w:jc w:val="center"/>
              <w:rPr>
                <w:rFonts w:hint="eastAsia" w:ascii="宋体" w:hAnsi="宋体" w:cs="宋体"/>
                <w:color w:val="auto"/>
                <w:szCs w:val="21"/>
                <w:highlight w:val="none"/>
              </w:rPr>
            </w:pPr>
          </w:p>
        </w:tc>
        <w:tc>
          <w:tcPr>
            <w:tcW w:w="1041" w:type="dxa"/>
            <w:noWrap w:val="0"/>
            <w:vAlign w:val="center"/>
          </w:tcPr>
          <w:p w14:paraId="7E694528">
            <w:pPr>
              <w:jc w:val="center"/>
              <w:rPr>
                <w:rFonts w:hint="eastAsia" w:ascii="宋体" w:hAnsi="宋体" w:cs="宋体"/>
                <w:color w:val="auto"/>
                <w:szCs w:val="21"/>
                <w:highlight w:val="none"/>
              </w:rPr>
            </w:pPr>
          </w:p>
        </w:tc>
        <w:tc>
          <w:tcPr>
            <w:tcW w:w="1041" w:type="dxa"/>
            <w:noWrap w:val="0"/>
            <w:vAlign w:val="center"/>
          </w:tcPr>
          <w:p w14:paraId="73FBB0F7">
            <w:pPr>
              <w:jc w:val="center"/>
              <w:rPr>
                <w:rFonts w:hint="eastAsia" w:ascii="宋体" w:hAnsi="宋体" w:cs="宋体"/>
                <w:color w:val="auto"/>
                <w:szCs w:val="21"/>
                <w:highlight w:val="none"/>
              </w:rPr>
            </w:pPr>
          </w:p>
        </w:tc>
        <w:tc>
          <w:tcPr>
            <w:tcW w:w="1041" w:type="dxa"/>
            <w:noWrap w:val="0"/>
            <w:vAlign w:val="center"/>
          </w:tcPr>
          <w:p w14:paraId="0C1C871D">
            <w:pPr>
              <w:jc w:val="center"/>
              <w:rPr>
                <w:rFonts w:hint="eastAsia" w:ascii="宋体" w:hAnsi="宋体" w:cs="宋体"/>
                <w:color w:val="auto"/>
                <w:szCs w:val="21"/>
                <w:highlight w:val="none"/>
              </w:rPr>
            </w:pPr>
          </w:p>
        </w:tc>
        <w:tc>
          <w:tcPr>
            <w:tcW w:w="1125" w:type="dxa"/>
            <w:noWrap w:val="0"/>
            <w:vAlign w:val="center"/>
          </w:tcPr>
          <w:p w14:paraId="19C2E0D4">
            <w:pPr>
              <w:jc w:val="center"/>
              <w:rPr>
                <w:rFonts w:hint="eastAsia" w:ascii="宋体" w:hAnsi="宋体" w:cs="宋体"/>
                <w:color w:val="auto"/>
                <w:szCs w:val="21"/>
                <w:highlight w:val="none"/>
              </w:rPr>
            </w:pPr>
          </w:p>
        </w:tc>
        <w:tc>
          <w:tcPr>
            <w:tcW w:w="1485" w:type="dxa"/>
            <w:noWrap w:val="0"/>
            <w:vAlign w:val="center"/>
          </w:tcPr>
          <w:p w14:paraId="70D38C1C">
            <w:pPr>
              <w:jc w:val="center"/>
              <w:rPr>
                <w:rFonts w:hint="eastAsia" w:ascii="宋体" w:hAnsi="宋体" w:cs="宋体"/>
                <w:color w:val="auto"/>
                <w:szCs w:val="21"/>
                <w:highlight w:val="none"/>
              </w:rPr>
            </w:pPr>
          </w:p>
        </w:tc>
      </w:tr>
      <w:tr w14:paraId="5460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558" w:type="dxa"/>
            <w:gridSpan w:val="9"/>
            <w:noWrap w:val="0"/>
            <w:vAlign w:val="center"/>
          </w:tcPr>
          <w:p w14:paraId="63EBB195">
            <w:pPr>
              <w:spacing w:line="4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一旦我方成交，将实行项目经理负责制，并配备上述项目管理机构。我方保证上述填报内容真实，若不真实，愿按有关规定接受处理。项目管理班子机构设置、职责分工等情况另附资料说明。</w:t>
            </w:r>
          </w:p>
        </w:tc>
      </w:tr>
    </w:tbl>
    <w:p w14:paraId="679B9F60">
      <w:pPr>
        <w:autoSpaceDE w:val="0"/>
        <w:autoSpaceDN w:val="0"/>
        <w:adjustRightInd w:val="0"/>
        <w:snapToGrid w:val="0"/>
        <w:spacing w:line="440" w:lineRule="exact"/>
        <w:jc w:val="left"/>
        <w:outlineLvl w:val="0"/>
        <w:rPr>
          <w:rFonts w:hint="eastAsia" w:ascii="宋体" w:hAnsi="宋体" w:cs="宋体"/>
          <w:color w:val="auto"/>
          <w:kern w:val="0"/>
          <w:szCs w:val="21"/>
          <w:highlight w:val="none"/>
        </w:rPr>
      </w:pPr>
      <w:bookmarkStart w:id="935" w:name="_Toc277059038"/>
      <w:bookmarkStart w:id="936" w:name="_Toc277017264"/>
      <w:bookmarkStart w:id="937" w:name="_Toc336079867"/>
      <w:bookmarkStart w:id="938" w:name="_Toc514238703"/>
      <w:bookmarkStart w:id="939" w:name="_Toc23046766"/>
      <w:bookmarkStart w:id="940" w:name="_Toc23152658"/>
      <w:r>
        <w:rPr>
          <w:rFonts w:hint="eastAsia" w:ascii="宋体" w:hAnsi="宋体" w:cs="宋体"/>
          <w:color w:val="auto"/>
          <w:kern w:val="0"/>
          <w:szCs w:val="21"/>
          <w:highlight w:val="none"/>
        </w:rPr>
        <w:t>注：1、附岗位人员上岗证、职称证（如有）、安全员则须提供安全生产考核合格证、身份证</w:t>
      </w:r>
      <w:r>
        <w:rPr>
          <w:rFonts w:hint="eastAsia" w:ascii="宋体" w:hAnsi="宋体" w:cs="宋体"/>
          <w:color w:val="auto"/>
          <w:szCs w:val="21"/>
          <w:highlight w:val="none"/>
        </w:rPr>
        <w:t>复印件</w:t>
      </w:r>
      <w:r>
        <w:rPr>
          <w:rFonts w:hint="eastAsia" w:ascii="宋体" w:hAnsi="宋体" w:cs="宋体"/>
          <w:color w:val="auto"/>
          <w:kern w:val="0"/>
          <w:szCs w:val="21"/>
          <w:highlight w:val="none"/>
        </w:rPr>
        <w:t>；</w:t>
      </w:r>
      <w:bookmarkEnd w:id="935"/>
      <w:bookmarkEnd w:id="936"/>
      <w:bookmarkEnd w:id="937"/>
    </w:p>
    <w:p w14:paraId="05F321DA">
      <w:pPr>
        <w:autoSpaceDE w:val="0"/>
        <w:autoSpaceDN w:val="0"/>
        <w:adjustRightInd w:val="0"/>
        <w:snapToGrid w:val="0"/>
        <w:spacing w:line="440" w:lineRule="exact"/>
        <w:jc w:val="left"/>
        <w:outlineLvl w:val="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2、上述人员在本企业缴纳的</w:t>
      </w:r>
      <w:r>
        <w:rPr>
          <w:rFonts w:hint="eastAsia" w:ascii="宋体" w:hAnsi="宋体" w:cs="宋体"/>
          <w:color w:val="auto"/>
          <w:szCs w:val="21"/>
          <w:highlight w:val="none"/>
        </w:rPr>
        <w:t>近</w:t>
      </w:r>
      <w:r>
        <w:rPr>
          <w:rFonts w:hint="eastAsia" w:ascii="宋体" w:hAnsi="宋体" w:cs="宋体"/>
          <w:color w:val="auto"/>
          <w:szCs w:val="21"/>
          <w:highlight w:val="none"/>
          <w:lang w:val="en-US" w:eastAsia="zh-CN"/>
        </w:rPr>
        <w:t>三个月</w:t>
      </w:r>
      <w:r>
        <w:rPr>
          <w:rFonts w:hint="eastAsia" w:ascii="宋体" w:hAnsi="宋体" w:cs="宋体"/>
          <w:color w:val="auto"/>
          <w:szCs w:val="21"/>
          <w:highlight w:val="none"/>
        </w:rPr>
        <w:t>以来</w:t>
      </w:r>
      <w:r>
        <w:rPr>
          <w:rFonts w:hint="eastAsia" w:ascii="宋体" w:hAnsi="宋体" w:cs="宋体"/>
          <w:color w:val="auto"/>
          <w:szCs w:val="21"/>
          <w:highlight w:val="none"/>
          <w:lang w:eastAsia="zh-CN"/>
        </w:rPr>
        <w:t>任意一</w:t>
      </w:r>
      <w:r>
        <w:rPr>
          <w:rFonts w:hint="eastAsia" w:ascii="宋体" w:hAnsi="宋体" w:cs="宋体"/>
          <w:color w:val="auto"/>
          <w:szCs w:val="21"/>
          <w:highlight w:val="none"/>
        </w:rPr>
        <w:t>个月</w:t>
      </w:r>
      <w:r>
        <w:rPr>
          <w:rFonts w:hint="eastAsia" w:ascii="宋体" w:hAnsi="宋体" w:cs="宋体"/>
          <w:color w:val="auto"/>
          <w:kern w:val="0"/>
          <w:szCs w:val="21"/>
          <w:highlight w:val="none"/>
        </w:rPr>
        <w:t>的</w:t>
      </w:r>
      <w:r>
        <w:rPr>
          <w:rFonts w:hint="eastAsia" w:ascii="宋体" w:hAnsi="宋体" w:cs="宋体"/>
          <w:color w:val="auto"/>
          <w:highlight w:val="none"/>
        </w:rPr>
        <w:t>养老保险社保的相关证明。</w:t>
      </w:r>
    </w:p>
    <w:p w14:paraId="54EFBFFD">
      <w:pPr>
        <w:ind w:firstLine="281" w:firstLineChars="100"/>
        <w:jc w:val="center"/>
        <w:rPr>
          <w:rFonts w:hint="eastAsia" w:ascii="宋体" w:hAnsi="宋体" w:cs="宋体"/>
          <w:b/>
          <w:color w:val="auto"/>
          <w:kern w:val="0"/>
          <w:sz w:val="28"/>
          <w:highlight w:val="none"/>
        </w:rPr>
      </w:pPr>
      <w:r>
        <w:rPr>
          <w:rFonts w:hint="eastAsia" w:ascii="宋体" w:hAnsi="宋体" w:cs="宋体"/>
          <w:b/>
          <w:color w:val="auto"/>
          <w:kern w:val="0"/>
          <w:sz w:val="28"/>
          <w:highlight w:val="none"/>
        </w:rPr>
        <w:br w:type="page"/>
      </w:r>
      <w:r>
        <w:rPr>
          <w:rFonts w:hint="eastAsia" w:ascii="宋体" w:hAnsi="宋体" w:cs="宋体"/>
          <w:b/>
          <w:color w:val="auto"/>
          <w:kern w:val="0"/>
          <w:sz w:val="28"/>
          <w:highlight w:val="none"/>
        </w:rPr>
        <w:t>（2）项目经理简历表</w:t>
      </w:r>
      <w:bookmarkEnd w:id="938"/>
      <w:bookmarkEnd w:id="939"/>
      <w:bookmarkEnd w:id="940"/>
      <w:r>
        <w:rPr>
          <w:rFonts w:hint="eastAsia" w:ascii="宋体" w:hAnsi="宋体" w:cs="宋体"/>
          <w:color w:val="auto"/>
          <w:highlight w:val="none"/>
        </w:rPr>
        <w:t xml:space="preserve"> </w:t>
      </w:r>
      <w:r>
        <w:rPr>
          <w:rFonts w:hint="eastAsia" w:ascii="宋体" w:hAnsi="宋体" w:cs="宋体"/>
          <w:b/>
          <w:color w:val="auto"/>
          <w:sz w:val="28"/>
          <w:highlight w:val="none"/>
        </w:rPr>
        <w:t>（格式）</w:t>
      </w:r>
    </w:p>
    <w:p w14:paraId="3E3BD85A">
      <w:pPr>
        <w:jc w:val="left"/>
        <w:rPr>
          <w:rFonts w:hint="eastAsia" w:ascii="宋体" w:hAnsi="宋体" w:cs="宋体"/>
          <w:color w:val="auto"/>
          <w:szCs w:val="21"/>
          <w:highlight w:val="none"/>
          <w:u w:val="single"/>
        </w:rPr>
      </w:pPr>
    </w:p>
    <w:p w14:paraId="12AD2EBC">
      <w:pPr>
        <w:jc w:val="left"/>
        <w:rPr>
          <w:rFonts w:hint="eastAsia" w:ascii="宋体" w:hAnsi="宋体" w:cs="宋体"/>
          <w:b/>
          <w:color w:val="auto"/>
          <w:kern w:val="0"/>
          <w:szCs w:val="21"/>
          <w:highlight w:val="none"/>
        </w:rPr>
      </w:pPr>
      <w:r>
        <w:rPr>
          <w:rFonts w:hint="eastAsia" w:ascii="宋体" w:hAnsi="宋体" w:cs="宋体"/>
          <w:color w:val="auto"/>
          <w:szCs w:val="21"/>
          <w:highlight w:val="none"/>
          <w:u w:val="single"/>
        </w:rPr>
        <w:t xml:space="preserve">         项目名称</w:t>
      </w:r>
      <w:r>
        <w:rPr>
          <w:rFonts w:hint="eastAsia" w:ascii="宋体" w:hAnsi="宋体" w:cs="宋体"/>
          <w:b/>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工程                          </w:t>
      </w:r>
      <w:r>
        <w:rPr>
          <w:rFonts w:hint="eastAsia" w:ascii="宋体" w:hAnsi="宋体" w:cs="宋体"/>
          <w:b/>
          <w:color w:val="auto"/>
          <w:kern w:val="0"/>
          <w:szCs w:val="21"/>
          <w:highlight w:val="none"/>
        </w:rPr>
        <w:t xml:space="preserve"> 表1</w:t>
      </w:r>
      <w:r>
        <w:rPr>
          <w:rFonts w:hint="eastAsia" w:ascii="宋体" w:hAnsi="宋体" w:cs="宋体"/>
          <w:b/>
          <w:color w:val="auto"/>
          <w:kern w:val="0"/>
          <w:szCs w:val="21"/>
          <w:highlight w:val="none"/>
          <w:lang w:val="en-US" w:eastAsia="zh-CN"/>
        </w:rPr>
        <w:t>1</w:t>
      </w:r>
      <w:r>
        <w:rPr>
          <w:rFonts w:hint="eastAsia" w:ascii="宋体" w:hAnsi="宋体" w:cs="宋体"/>
          <w:b/>
          <w:color w:val="auto"/>
          <w:kern w:val="0"/>
          <w:szCs w:val="21"/>
          <w:highlight w:val="none"/>
        </w:rPr>
        <w:t xml:space="preserve">.2                                                               </w:t>
      </w:r>
    </w:p>
    <w:tbl>
      <w:tblPr>
        <w:tblStyle w:val="40"/>
        <w:tblW w:w="0" w:type="auto"/>
        <w:tblInd w:w="108"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80"/>
        <w:gridCol w:w="180"/>
        <w:gridCol w:w="1440"/>
        <w:gridCol w:w="360"/>
        <w:gridCol w:w="1080"/>
        <w:gridCol w:w="450"/>
        <w:gridCol w:w="630"/>
        <w:gridCol w:w="900"/>
        <w:gridCol w:w="1080"/>
        <w:gridCol w:w="360"/>
        <w:gridCol w:w="90"/>
        <w:gridCol w:w="1800"/>
      </w:tblGrid>
      <w:tr w14:paraId="42917EC7">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080" w:type="dxa"/>
            <w:tcBorders>
              <w:bottom w:val="single" w:color="000000" w:sz="4" w:space="0"/>
              <w:right w:val="single" w:color="000000" w:sz="4" w:space="0"/>
            </w:tcBorders>
            <w:noWrap w:val="0"/>
            <w:vAlign w:val="center"/>
          </w:tcPr>
          <w:p w14:paraId="12A91F1B">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p>
        </w:tc>
        <w:tc>
          <w:tcPr>
            <w:tcW w:w="1980" w:type="dxa"/>
            <w:gridSpan w:val="3"/>
            <w:tcBorders>
              <w:bottom w:val="single" w:color="000000" w:sz="4" w:space="0"/>
              <w:right w:val="single" w:color="000000" w:sz="4" w:space="0"/>
            </w:tcBorders>
            <w:noWrap w:val="0"/>
            <w:vAlign w:val="top"/>
          </w:tcPr>
          <w:p w14:paraId="1B668FAD">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000000" w:sz="4" w:space="0"/>
            </w:tcBorders>
            <w:noWrap w:val="0"/>
            <w:vAlign w:val="center"/>
          </w:tcPr>
          <w:p w14:paraId="6784A8D3">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性别</w:t>
            </w:r>
          </w:p>
        </w:tc>
        <w:tc>
          <w:tcPr>
            <w:tcW w:w="1980" w:type="dxa"/>
            <w:gridSpan w:val="3"/>
            <w:tcBorders>
              <w:bottom w:val="single" w:color="000000" w:sz="4" w:space="0"/>
              <w:right w:val="single" w:color="000000" w:sz="4" w:space="0"/>
            </w:tcBorders>
            <w:noWrap w:val="0"/>
            <w:vAlign w:val="top"/>
          </w:tcPr>
          <w:p w14:paraId="2D7A7D26">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auto" w:sz="4" w:space="0"/>
            </w:tcBorders>
            <w:noWrap w:val="0"/>
            <w:vAlign w:val="center"/>
          </w:tcPr>
          <w:p w14:paraId="1CA9BD00">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年龄</w:t>
            </w:r>
          </w:p>
        </w:tc>
        <w:tc>
          <w:tcPr>
            <w:tcW w:w="2250" w:type="dxa"/>
            <w:gridSpan w:val="3"/>
            <w:tcBorders>
              <w:left w:val="single" w:color="auto" w:sz="4" w:space="0"/>
              <w:bottom w:val="single" w:color="000000" w:sz="4" w:space="0"/>
              <w:right w:val="single" w:color="000000" w:sz="4" w:space="0"/>
            </w:tcBorders>
            <w:noWrap w:val="0"/>
            <w:vAlign w:val="top"/>
          </w:tcPr>
          <w:p w14:paraId="509B303D">
            <w:pPr>
              <w:autoSpaceDE w:val="0"/>
              <w:autoSpaceDN w:val="0"/>
              <w:jc w:val="left"/>
              <w:rPr>
                <w:rFonts w:hint="eastAsia" w:ascii="宋体" w:hAnsi="宋体" w:cs="宋体"/>
                <w:color w:val="auto"/>
                <w:kern w:val="0"/>
                <w:szCs w:val="21"/>
                <w:highlight w:val="none"/>
              </w:rPr>
            </w:pPr>
          </w:p>
        </w:tc>
      </w:tr>
      <w:tr w14:paraId="278ADC88">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080" w:type="dxa"/>
            <w:tcBorders>
              <w:bottom w:val="single" w:color="000000" w:sz="4" w:space="0"/>
              <w:right w:val="single" w:color="000000" w:sz="4" w:space="0"/>
            </w:tcBorders>
            <w:noWrap w:val="0"/>
            <w:vAlign w:val="center"/>
          </w:tcPr>
          <w:p w14:paraId="5BD5CE00">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职务</w:t>
            </w:r>
          </w:p>
        </w:tc>
        <w:tc>
          <w:tcPr>
            <w:tcW w:w="1980" w:type="dxa"/>
            <w:gridSpan w:val="3"/>
            <w:tcBorders>
              <w:bottom w:val="single" w:color="000000" w:sz="4" w:space="0"/>
              <w:right w:val="single" w:color="000000" w:sz="4" w:space="0"/>
            </w:tcBorders>
            <w:noWrap w:val="0"/>
            <w:vAlign w:val="top"/>
          </w:tcPr>
          <w:p w14:paraId="2444B726">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000000" w:sz="4" w:space="0"/>
            </w:tcBorders>
            <w:noWrap w:val="0"/>
            <w:vAlign w:val="center"/>
          </w:tcPr>
          <w:p w14:paraId="25E3E761">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职称</w:t>
            </w:r>
          </w:p>
        </w:tc>
        <w:tc>
          <w:tcPr>
            <w:tcW w:w="1980" w:type="dxa"/>
            <w:gridSpan w:val="3"/>
            <w:tcBorders>
              <w:bottom w:val="single" w:color="000000" w:sz="4" w:space="0"/>
              <w:right w:val="single" w:color="000000" w:sz="4" w:space="0"/>
            </w:tcBorders>
            <w:noWrap w:val="0"/>
            <w:vAlign w:val="top"/>
          </w:tcPr>
          <w:p w14:paraId="3267FB19">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auto" w:sz="4" w:space="0"/>
            </w:tcBorders>
            <w:noWrap w:val="0"/>
            <w:vAlign w:val="center"/>
          </w:tcPr>
          <w:p w14:paraId="753B1F91">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学历</w:t>
            </w:r>
          </w:p>
        </w:tc>
        <w:tc>
          <w:tcPr>
            <w:tcW w:w="2250" w:type="dxa"/>
            <w:gridSpan w:val="3"/>
            <w:tcBorders>
              <w:left w:val="single" w:color="auto" w:sz="4" w:space="0"/>
              <w:bottom w:val="single" w:color="000000" w:sz="4" w:space="0"/>
              <w:right w:val="single" w:color="000000" w:sz="4" w:space="0"/>
            </w:tcBorders>
            <w:noWrap w:val="0"/>
            <w:vAlign w:val="top"/>
          </w:tcPr>
          <w:p w14:paraId="64E9CDB8">
            <w:pPr>
              <w:autoSpaceDE w:val="0"/>
              <w:autoSpaceDN w:val="0"/>
              <w:jc w:val="left"/>
              <w:rPr>
                <w:rFonts w:hint="eastAsia" w:ascii="宋体" w:hAnsi="宋体" w:cs="宋体"/>
                <w:color w:val="auto"/>
                <w:kern w:val="0"/>
                <w:szCs w:val="21"/>
                <w:highlight w:val="none"/>
              </w:rPr>
            </w:pPr>
          </w:p>
        </w:tc>
      </w:tr>
      <w:tr w14:paraId="68BA4F56">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2700" w:type="dxa"/>
            <w:gridSpan w:val="3"/>
            <w:tcBorders>
              <w:bottom w:val="single" w:color="000000" w:sz="4" w:space="0"/>
              <w:right w:val="single" w:color="auto" w:sz="4" w:space="0"/>
            </w:tcBorders>
            <w:noWrap w:val="0"/>
            <w:vAlign w:val="center"/>
          </w:tcPr>
          <w:p w14:paraId="02D65EB6">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参加工作时间</w:t>
            </w:r>
          </w:p>
        </w:tc>
        <w:tc>
          <w:tcPr>
            <w:tcW w:w="2520" w:type="dxa"/>
            <w:gridSpan w:val="4"/>
            <w:tcBorders>
              <w:left w:val="single" w:color="auto" w:sz="4" w:space="0"/>
              <w:bottom w:val="single" w:color="000000" w:sz="4" w:space="0"/>
              <w:right w:val="single" w:color="000000" w:sz="4" w:space="0"/>
            </w:tcBorders>
            <w:noWrap w:val="0"/>
            <w:vAlign w:val="top"/>
          </w:tcPr>
          <w:p w14:paraId="29CB2721">
            <w:pPr>
              <w:autoSpaceDE w:val="0"/>
              <w:autoSpaceDN w:val="0"/>
              <w:jc w:val="left"/>
              <w:rPr>
                <w:rFonts w:hint="eastAsia" w:ascii="宋体" w:hAnsi="宋体" w:cs="宋体"/>
                <w:color w:val="auto"/>
                <w:kern w:val="0"/>
                <w:szCs w:val="21"/>
                <w:highlight w:val="none"/>
              </w:rPr>
            </w:pPr>
          </w:p>
        </w:tc>
        <w:tc>
          <w:tcPr>
            <w:tcW w:w="2340" w:type="dxa"/>
            <w:gridSpan w:val="3"/>
            <w:tcBorders>
              <w:left w:val="single" w:color="auto" w:sz="4" w:space="0"/>
              <w:bottom w:val="single" w:color="000000" w:sz="4" w:space="0"/>
              <w:right w:val="single" w:color="000000" w:sz="4" w:space="0"/>
            </w:tcBorders>
            <w:noWrap w:val="0"/>
            <w:vAlign w:val="center"/>
          </w:tcPr>
          <w:p w14:paraId="2E3B2376">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担任项目经理年限</w:t>
            </w:r>
          </w:p>
        </w:tc>
        <w:tc>
          <w:tcPr>
            <w:tcW w:w="1890" w:type="dxa"/>
            <w:gridSpan w:val="2"/>
            <w:tcBorders>
              <w:left w:val="single" w:color="auto" w:sz="4" w:space="0"/>
              <w:bottom w:val="single" w:color="auto" w:sz="4" w:space="0"/>
              <w:right w:val="single" w:color="000000" w:sz="4" w:space="0"/>
            </w:tcBorders>
            <w:noWrap w:val="0"/>
            <w:vAlign w:val="top"/>
          </w:tcPr>
          <w:p w14:paraId="16B4EF17">
            <w:pPr>
              <w:autoSpaceDE w:val="0"/>
              <w:autoSpaceDN w:val="0"/>
              <w:jc w:val="left"/>
              <w:rPr>
                <w:rFonts w:hint="eastAsia" w:ascii="宋体" w:hAnsi="宋体" w:cs="宋体"/>
                <w:color w:val="auto"/>
                <w:kern w:val="0"/>
                <w:szCs w:val="21"/>
                <w:highlight w:val="none"/>
              </w:rPr>
            </w:pPr>
          </w:p>
        </w:tc>
      </w:tr>
      <w:tr w14:paraId="78B6A2E5">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2700" w:type="dxa"/>
            <w:gridSpan w:val="3"/>
            <w:tcBorders>
              <w:bottom w:val="single" w:color="000000" w:sz="4" w:space="0"/>
              <w:right w:val="single" w:color="auto" w:sz="4" w:space="0"/>
            </w:tcBorders>
            <w:noWrap w:val="0"/>
            <w:vAlign w:val="center"/>
          </w:tcPr>
          <w:p w14:paraId="5FDC726F">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项目经理资格证书编号</w:t>
            </w:r>
          </w:p>
        </w:tc>
        <w:tc>
          <w:tcPr>
            <w:tcW w:w="6750" w:type="dxa"/>
            <w:gridSpan w:val="9"/>
            <w:tcBorders>
              <w:left w:val="single" w:color="auto" w:sz="4" w:space="0"/>
              <w:bottom w:val="single" w:color="000000" w:sz="4" w:space="0"/>
              <w:right w:val="single" w:color="000000" w:sz="4" w:space="0"/>
            </w:tcBorders>
            <w:noWrap w:val="0"/>
            <w:vAlign w:val="top"/>
          </w:tcPr>
          <w:p w14:paraId="01273DD4">
            <w:pPr>
              <w:autoSpaceDE w:val="0"/>
              <w:autoSpaceDN w:val="0"/>
              <w:jc w:val="left"/>
              <w:rPr>
                <w:rFonts w:hint="eastAsia" w:ascii="宋体" w:hAnsi="宋体" w:cs="宋体"/>
                <w:color w:val="auto"/>
                <w:kern w:val="0"/>
                <w:szCs w:val="21"/>
                <w:highlight w:val="none"/>
              </w:rPr>
            </w:pPr>
          </w:p>
        </w:tc>
      </w:tr>
      <w:tr w14:paraId="0412F6FF">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9450" w:type="dxa"/>
            <w:gridSpan w:val="12"/>
            <w:tcBorders>
              <w:bottom w:val="single" w:color="000000" w:sz="4" w:space="0"/>
              <w:right w:val="single" w:color="000000" w:sz="4" w:space="0"/>
            </w:tcBorders>
            <w:noWrap w:val="0"/>
            <w:vAlign w:val="center"/>
          </w:tcPr>
          <w:p w14:paraId="1622F5B8">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在建和已完工程项目情况</w:t>
            </w:r>
          </w:p>
        </w:tc>
      </w:tr>
      <w:tr w14:paraId="642977A4">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center"/>
          </w:tcPr>
          <w:p w14:paraId="74482050">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建设单位</w:t>
            </w:r>
          </w:p>
        </w:tc>
        <w:tc>
          <w:tcPr>
            <w:tcW w:w="1800" w:type="dxa"/>
            <w:gridSpan w:val="2"/>
            <w:tcBorders>
              <w:bottom w:val="single" w:color="000000" w:sz="4" w:space="0"/>
              <w:right w:val="single" w:color="000000" w:sz="4" w:space="0"/>
            </w:tcBorders>
            <w:noWrap w:val="0"/>
            <w:vAlign w:val="center"/>
          </w:tcPr>
          <w:p w14:paraId="06538FE4">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1530" w:type="dxa"/>
            <w:gridSpan w:val="2"/>
            <w:tcBorders>
              <w:bottom w:val="single" w:color="000000" w:sz="4" w:space="0"/>
              <w:right w:val="single" w:color="000000" w:sz="4" w:space="0"/>
            </w:tcBorders>
            <w:noWrap w:val="0"/>
            <w:vAlign w:val="center"/>
          </w:tcPr>
          <w:p w14:paraId="6656C70C">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建设规模</w:t>
            </w:r>
          </w:p>
        </w:tc>
        <w:tc>
          <w:tcPr>
            <w:tcW w:w="1530" w:type="dxa"/>
            <w:gridSpan w:val="2"/>
            <w:tcBorders>
              <w:bottom w:val="single" w:color="000000" w:sz="4" w:space="0"/>
              <w:right w:val="single" w:color="auto" w:sz="4" w:space="0"/>
            </w:tcBorders>
            <w:noWrap w:val="0"/>
            <w:vAlign w:val="center"/>
          </w:tcPr>
          <w:p w14:paraId="4908F43E">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开、竣工日期</w:t>
            </w:r>
          </w:p>
        </w:tc>
        <w:tc>
          <w:tcPr>
            <w:tcW w:w="1530" w:type="dxa"/>
            <w:gridSpan w:val="3"/>
            <w:tcBorders>
              <w:left w:val="single" w:color="auto" w:sz="4" w:space="0"/>
              <w:bottom w:val="single" w:color="000000" w:sz="4" w:space="0"/>
              <w:right w:val="single" w:color="000000" w:sz="4" w:space="0"/>
            </w:tcBorders>
            <w:noWrap w:val="0"/>
            <w:vAlign w:val="center"/>
          </w:tcPr>
          <w:p w14:paraId="4058DBB7">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在建或已完</w:t>
            </w:r>
          </w:p>
        </w:tc>
        <w:tc>
          <w:tcPr>
            <w:tcW w:w="1800" w:type="dxa"/>
            <w:tcBorders>
              <w:bottom w:val="single" w:color="000000" w:sz="4" w:space="0"/>
              <w:right w:val="single" w:color="000000" w:sz="4" w:space="0"/>
            </w:tcBorders>
            <w:noWrap w:val="0"/>
            <w:vAlign w:val="center"/>
          </w:tcPr>
          <w:p w14:paraId="024A5068">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工程质量</w:t>
            </w:r>
          </w:p>
        </w:tc>
      </w:tr>
      <w:tr w14:paraId="115786B6">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6BA552E0">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5F7CABBA">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08B04076">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3BD1E61D">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419236CD">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5AD41ECC">
            <w:pPr>
              <w:autoSpaceDE w:val="0"/>
              <w:autoSpaceDN w:val="0"/>
              <w:jc w:val="left"/>
              <w:rPr>
                <w:rFonts w:hint="eastAsia" w:ascii="宋体" w:hAnsi="宋体" w:cs="宋体"/>
                <w:color w:val="auto"/>
                <w:kern w:val="0"/>
                <w:szCs w:val="21"/>
                <w:highlight w:val="none"/>
              </w:rPr>
            </w:pPr>
          </w:p>
        </w:tc>
      </w:tr>
      <w:tr w14:paraId="3A19DB48">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4FAA081A">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46895F0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3AB84B11">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4A37C253">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0815F037">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13802DD6">
            <w:pPr>
              <w:autoSpaceDE w:val="0"/>
              <w:autoSpaceDN w:val="0"/>
              <w:jc w:val="left"/>
              <w:rPr>
                <w:rFonts w:hint="eastAsia" w:ascii="宋体" w:hAnsi="宋体" w:cs="宋体"/>
                <w:color w:val="auto"/>
                <w:kern w:val="0"/>
                <w:szCs w:val="21"/>
                <w:highlight w:val="none"/>
              </w:rPr>
            </w:pPr>
          </w:p>
        </w:tc>
      </w:tr>
      <w:tr w14:paraId="0BE42178">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413C5EFB">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7AABD50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780C390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559C19F7">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438525D6">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461FCC25">
            <w:pPr>
              <w:autoSpaceDE w:val="0"/>
              <w:autoSpaceDN w:val="0"/>
              <w:jc w:val="left"/>
              <w:rPr>
                <w:rFonts w:hint="eastAsia" w:ascii="宋体" w:hAnsi="宋体" w:cs="宋体"/>
                <w:color w:val="auto"/>
                <w:kern w:val="0"/>
                <w:szCs w:val="21"/>
                <w:highlight w:val="none"/>
              </w:rPr>
            </w:pPr>
          </w:p>
        </w:tc>
      </w:tr>
      <w:tr w14:paraId="4310253B">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27F57C2A">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7030F65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12BE4B1B">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3C1C62D8">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01FBEE12">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043B7F93">
            <w:pPr>
              <w:autoSpaceDE w:val="0"/>
              <w:autoSpaceDN w:val="0"/>
              <w:jc w:val="left"/>
              <w:rPr>
                <w:rFonts w:hint="eastAsia" w:ascii="宋体" w:hAnsi="宋体" w:cs="宋体"/>
                <w:color w:val="auto"/>
                <w:kern w:val="0"/>
                <w:szCs w:val="21"/>
                <w:highlight w:val="none"/>
              </w:rPr>
            </w:pPr>
          </w:p>
        </w:tc>
      </w:tr>
      <w:tr w14:paraId="7BF8B0E6">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741C4037">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1A31E97C">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4C73F45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0D8DB7D2">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0D9185D2">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5AEFC6A0">
            <w:pPr>
              <w:autoSpaceDE w:val="0"/>
              <w:autoSpaceDN w:val="0"/>
              <w:jc w:val="left"/>
              <w:rPr>
                <w:rFonts w:hint="eastAsia" w:ascii="宋体" w:hAnsi="宋体" w:cs="宋体"/>
                <w:color w:val="auto"/>
                <w:kern w:val="0"/>
                <w:szCs w:val="21"/>
                <w:highlight w:val="none"/>
              </w:rPr>
            </w:pPr>
          </w:p>
        </w:tc>
      </w:tr>
      <w:tr w14:paraId="61E0AE47">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1F6A9E38">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0E57D7E6">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224754E1">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4CEE08B9">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05A46C9A">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241F5FE3">
            <w:pPr>
              <w:autoSpaceDE w:val="0"/>
              <w:autoSpaceDN w:val="0"/>
              <w:jc w:val="left"/>
              <w:rPr>
                <w:rFonts w:hint="eastAsia" w:ascii="宋体" w:hAnsi="宋体" w:cs="宋体"/>
                <w:color w:val="auto"/>
                <w:kern w:val="0"/>
                <w:szCs w:val="21"/>
                <w:highlight w:val="none"/>
              </w:rPr>
            </w:pPr>
          </w:p>
        </w:tc>
      </w:tr>
      <w:tr w14:paraId="1B1F7757">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73E0030F">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4094E6C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2EC1473E">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2DAA7A31">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6CFF646A">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362E81C3">
            <w:pPr>
              <w:pStyle w:val="15"/>
              <w:autoSpaceDE w:val="0"/>
              <w:autoSpaceDN w:val="0"/>
              <w:rPr>
                <w:rFonts w:hint="eastAsia" w:ascii="宋体" w:hAnsi="宋体" w:cs="宋体"/>
                <w:color w:val="auto"/>
                <w:szCs w:val="21"/>
                <w:highlight w:val="none"/>
                <w:lang w:val="en-US" w:eastAsia="zh-CN"/>
              </w:rPr>
            </w:pPr>
          </w:p>
        </w:tc>
      </w:tr>
      <w:tr w14:paraId="36E5D8E9">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1C92ABB1">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5EB8ADBA">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000000" w:sz="4" w:space="0"/>
            </w:tcBorders>
            <w:noWrap w:val="0"/>
            <w:vAlign w:val="top"/>
          </w:tcPr>
          <w:p w14:paraId="3A938017">
            <w:pPr>
              <w:autoSpaceDE w:val="0"/>
              <w:autoSpaceDN w:val="0"/>
              <w:jc w:val="left"/>
              <w:rPr>
                <w:rFonts w:hint="eastAsia" w:ascii="宋体" w:hAnsi="宋体" w:cs="宋体"/>
                <w:color w:val="auto"/>
                <w:kern w:val="0"/>
                <w:szCs w:val="21"/>
                <w:highlight w:val="none"/>
              </w:rPr>
            </w:pPr>
          </w:p>
        </w:tc>
        <w:tc>
          <w:tcPr>
            <w:tcW w:w="1530" w:type="dxa"/>
            <w:gridSpan w:val="2"/>
            <w:tcBorders>
              <w:bottom w:val="single" w:color="000000" w:sz="4" w:space="0"/>
              <w:right w:val="single" w:color="auto" w:sz="4" w:space="0"/>
            </w:tcBorders>
            <w:noWrap w:val="0"/>
            <w:vAlign w:val="top"/>
          </w:tcPr>
          <w:p w14:paraId="3E18E997">
            <w:pPr>
              <w:autoSpaceDE w:val="0"/>
              <w:autoSpaceDN w:val="0"/>
              <w:jc w:val="left"/>
              <w:rPr>
                <w:rFonts w:hint="eastAsia" w:ascii="宋体" w:hAnsi="宋体" w:cs="宋体"/>
                <w:color w:val="auto"/>
                <w:kern w:val="0"/>
                <w:szCs w:val="21"/>
                <w:highlight w:val="none"/>
              </w:rPr>
            </w:pPr>
          </w:p>
        </w:tc>
        <w:tc>
          <w:tcPr>
            <w:tcW w:w="1530" w:type="dxa"/>
            <w:gridSpan w:val="3"/>
            <w:tcBorders>
              <w:left w:val="single" w:color="auto" w:sz="4" w:space="0"/>
              <w:bottom w:val="single" w:color="000000" w:sz="4" w:space="0"/>
              <w:right w:val="single" w:color="000000" w:sz="4" w:space="0"/>
            </w:tcBorders>
            <w:noWrap w:val="0"/>
            <w:vAlign w:val="top"/>
          </w:tcPr>
          <w:p w14:paraId="33718AD0">
            <w:pPr>
              <w:autoSpaceDE w:val="0"/>
              <w:autoSpaceDN w:val="0"/>
              <w:jc w:val="left"/>
              <w:rPr>
                <w:rFonts w:hint="eastAsia" w:ascii="宋体" w:hAnsi="宋体" w:cs="宋体"/>
                <w:color w:val="auto"/>
                <w:kern w:val="0"/>
                <w:szCs w:val="21"/>
                <w:highlight w:val="none"/>
              </w:rPr>
            </w:pPr>
          </w:p>
        </w:tc>
        <w:tc>
          <w:tcPr>
            <w:tcW w:w="1800" w:type="dxa"/>
            <w:tcBorders>
              <w:bottom w:val="single" w:color="000000" w:sz="4" w:space="0"/>
              <w:right w:val="single" w:color="000000" w:sz="4" w:space="0"/>
            </w:tcBorders>
            <w:noWrap w:val="0"/>
            <w:vAlign w:val="top"/>
          </w:tcPr>
          <w:p w14:paraId="333AB454">
            <w:pPr>
              <w:autoSpaceDE w:val="0"/>
              <w:autoSpaceDN w:val="0"/>
              <w:jc w:val="left"/>
              <w:rPr>
                <w:rFonts w:hint="eastAsia" w:ascii="宋体" w:hAnsi="宋体" w:cs="宋体"/>
                <w:color w:val="auto"/>
                <w:kern w:val="0"/>
                <w:szCs w:val="21"/>
                <w:highlight w:val="none"/>
              </w:rPr>
            </w:pPr>
          </w:p>
        </w:tc>
      </w:tr>
    </w:tbl>
    <w:p w14:paraId="49136BC4">
      <w:pPr>
        <w:autoSpaceDE w:val="0"/>
        <w:autoSpaceDN w:val="0"/>
        <w:jc w:val="left"/>
        <w:rPr>
          <w:rFonts w:hint="eastAsia" w:ascii="宋体" w:hAnsi="宋体" w:cs="宋体"/>
          <w:color w:val="auto"/>
          <w:kern w:val="0"/>
          <w:szCs w:val="21"/>
          <w:highlight w:val="none"/>
        </w:rPr>
      </w:pPr>
    </w:p>
    <w:p w14:paraId="2E39BE6E">
      <w:pPr>
        <w:autoSpaceDE w:val="0"/>
        <w:autoSpaceDN w:val="0"/>
        <w:adjustRightInd w:val="0"/>
        <w:snapToGrid w:val="0"/>
        <w:spacing w:line="440" w:lineRule="exact"/>
        <w:jc w:val="left"/>
        <w:outlineLvl w:val="0"/>
        <w:rPr>
          <w:rFonts w:hint="eastAsia" w:ascii="宋体" w:hAnsi="宋体" w:cs="宋体"/>
          <w:color w:val="auto"/>
          <w:kern w:val="0"/>
          <w:szCs w:val="21"/>
          <w:highlight w:val="none"/>
        </w:rPr>
      </w:pPr>
      <w:bookmarkStart w:id="941" w:name="_Toc277059039"/>
      <w:bookmarkStart w:id="942" w:name="_Toc277017265"/>
      <w:bookmarkStart w:id="943" w:name="_Toc336079868"/>
      <w:r>
        <w:rPr>
          <w:rFonts w:hint="eastAsia" w:ascii="宋体" w:hAnsi="宋体" w:cs="宋体"/>
          <w:color w:val="auto"/>
          <w:kern w:val="0"/>
          <w:szCs w:val="21"/>
          <w:highlight w:val="none"/>
        </w:rPr>
        <w:t>注：1、附项目经理注册建造师资格证、安全生产考核合格证、身份证等复印件；</w:t>
      </w:r>
      <w:bookmarkEnd w:id="941"/>
      <w:bookmarkEnd w:id="942"/>
      <w:bookmarkEnd w:id="943"/>
    </w:p>
    <w:p w14:paraId="6AFB445B">
      <w:pPr>
        <w:autoSpaceDE w:val="0"/>
        <w:autoSpaceDN w:val="0"/>
        <w:adjustRightInd w:val="0"/>
        <w:snapToGrid w:val="0"/>
        <w:spacing w:line="440" w:lineRule="exact"/>
        <w:ind w:firstLine="420" w:firstLineChars="200"/>
        <w:jc w:val="left"/>
        <w:outlineLvl w:val="0"/>
        <w:rPr>
          <w:rFonts w:hint="eastAsia" w:ascii="宋体" w:hAnsi="宋体" w:cs="宋体"/>
          <w:color w:val="auto"/>
          <w:kern w:val="0"/>
          <w:szCs w:val="21"/>
          <w:highlight w:val="none"/>
        </w:rPr>
      </w:pPr>
      <w:r>
        <w:rPr>
          <w:rFonts w:hint="eastAsia" w:ascii="宋体" w:hAnsi="宋体" w:cs="宋体"/>
          <w:color w:val="auto"/>
          <w:kern w:val="0"/>
          <w:szCs w:val="21"/>
          <w:highlight w:val="none"/>
        </w:rPr>
        <w:t>2、本企业为人员</w:t>
      </w:r>
      <w:r>
        <w:rPr>
          <w:rFonts w:hint="eastAsia"/>
          <w:color w:val="auto"/>
          <w:highlight w:val="none"/>
        </w:rPr>
        <w:t>缴纳</w:t>
      </w:r>
      <w:r>
        <w:rPr>
          <w:rFonts w:hint="eastAsia" w:ascii="宋体" w:hAnsi="宋体" w:cs="宋体"/>
          <w:color w:val="auto"/>
          <w:szCs w:val="21"/>
          <w:highlight w:val="none"/>
        </w:rPr>
        <w:t>近</w:t>
      </w:r>
      <w:r>
        <w:rPr>
          <w:rFonts w:hint="eastAsia" w:ascii="宋体" w:hAnsi="宋体" w:cs="宋体"/>
          <w:color w:val="auto"/>
          <w:szCs w:val="21"/>
          <w:highlight w:val="none"/>
          <w:lang w:val="en-US" w:eastAsia="zh-CN"/>
        </w:rPr>
        <w:t>三个月</w:t>
      </w:r>
      <w:r>
        <w:rPr>
          <w:rFonts w:hint="eastAsia" w:ascii="宋体" w:hAnsi="宋体" w:cs="宋体"/>
          <w:color w:val="auto"/>
          <w:szCs w:val="21"/>
          <w:highlight w:val="none"/>
        </w:rPr>
        <w:t>以来</w:t>
      </w:r>
      <w:r>
        <w:rPr>
          <w:rFonts w:hint="eastAsia" w:ascii="宋体" w:hAnsi="宋体" w:cs="宋体"/>
          <w:color w:val="auto"/>
          <w:szCs w:val="21"/>
          <w:highlight w:val="none"/>
          <w:lang w:eastAsia="zh-CN"/>
        </w:rPr>
        <w:t>任意一</w:t>
      </w:r>
      <w:r>
        <w:rPr>
          <w:rFonts w:hint="eastAsia" w:ascii="宋体" w:hAnsi="宋体" w:cs="宋体"/>
          <w:color w:val="auto"/>
          <w:szCs w:val="21"/>
          <w:highlight w:val="none"/>
        </w:rPr>
        <w:t>个月</w:t>
      </w:r>
      <w:r>
        <w:rPr>
          <w:rFonts w:hint="eastAsia" w:ascii="宋体" w:hAnsi="宋体" w:cs="宋体"/>
          <w:color w:val="auto"/>
          <w:kern w:val="0"/>
          <w:szCs w:val="21"/>
          <w:highlight w:val="none"/>
        </w:rPr>
        <w:t>的养老保险社保的相关证明；</w:t>
      </w:r>
    </w:p>
    <w:p w14:paraId="4CA65CF6">
      <w:pPr>
        <w:autoSpaceDE w:val="0"/>
        <w:autoSpaceDN w:val="0"/>
        <w:adjustRightInd w:val="0"/>
        <w:spacing w:line="360" w:lineRule="auto"/>
        <w:rPr>
          <w:rFonts w:hint="eastAsia" w:ascii="宋体" w:hAnsi="宋体" w:cs="宋体"/>
          <w:color w:val="auto"/>
          <w:kern w:val="0"/>
          <w:szCs w:val="21"/>
          <w:highlight w:val="none"/>
        </w:rPr>
      </w:pPr>
    </w:p>
    <w:p w14:paraId="4174746E">
      <w:pPr>
        <w:autoSpaceDE w:val="0"/>
        <w:autoSpaceDN w:val="0"/>
        <w:adjustRightInd w:val="0"/>
        <w:spacing w:line="360" w:lineRule="auto"/>
        <w:rPr>
          <w:rFonts w:hint="eastAsia" w:ascii="宋体" w:hAnsi="宋体" w:cs="宋体"/>
          <w:b/>
          <w:color w:val="auto"/>
          <w:kern w:val="0"/>
          <w:sz w:val="28"/>
          <w:highlight w:val="none"/>
        </w:rPr>
      </w:pPr>
      <w:r>
        <w:rPr>
          <w:rFonts w:hint="eastAsia" w:ascii="宋体" w:hAnsi="宋体" w:cs="宋体"/>
          <w:color w:val="auto"/>
          <w:kern w:val="0"/>
          <w:sz w:val="24"/>
          <w:highlight w:val="none"/>
        </w:rPr>
        <w:br w:type="page"/>
      </w:r>
      <w:r>
        <w:rPr>
          <w:rFonts w:hint="eastAsia" w:ascii="宋体" w:hAnsi="宋体" w:cs="宋体"/>
          <w:b/>
          <w:color w:val="auto"/>
          <w:kern w:val="0"/>
          <w:sz w:val="28"/>
          <w:highlight w:val="none"/>
        </w:rPr>
        <w:t>（3）项目技术负责人简历表</w:t>
      </w:r>
      <w:r>
        <w:rPr>
          <w:rFonts w:hint="eastAsia" w:ascii="宋体" w:hAnsi="宋体" w:cs="宋体"/>
          <w:b/>
          <w:color w:val="auto"/>
          <w:sz w:val="28"/>
          <w:highlight w:val="none"/>
        </w:rPr>
        <w:t xml:space="preserve"> （格式）</w:t>
      </w:r>
    </w:p>
    <w:p w14:paraId="1EC65B47">
      <w:pPr>
        <w:jc w:val="left"/>
        <w:rPr>
          <w:rFonts w:hint="eastAsia" w:ascii="宋体" w:hAnsi="宋体" w:cs="宋体"/>
          <w:b/>
          <w:color w:val="auto"/>
          <w:kern w:val="0"/>
          <w:szCs w:val="21"/>
          <w:highlight w:val="none"/>
        </w:rPr>
      </w:pPr>
      <w:r>
        <w:rPr>
          <w:rFonts w:hint="eastAsia" w:ascii="宋体" w:hAnsi="宋体" w:cs="宋体"/>
          <w:b/>
          <w:color w:val="auto"/>
          <w:kern w:val="0"/>
          <w:sz w:val="24"/>
          <w:highlight w:val="none"/>
        </w:rPr>
        <w:t xml:space="preserve"> </w:t>
      </w:r>
    </w:p>
    <w:p w14:paraId="52F123D3">
      <w:pPr>
        <w:jc w:val="left"/>
        <w:rPr>
          <w:rFonts w:hint="eastAsia" w:ascii="宋体" w:hAnsi="宋体" w:cs="宋体"/>
          <w:b/>
          <w:color w:val="auto"/>
          <w:kern w:val="0"/>
          <w:szCs w:val="21"/>
          <w:highlight w:val="none"/>
        </w:rPr>
      </w:pPr>
      <w:r>
        <w:rPr>
          <w:rFonts w:hint="eastAsia" w:ascii="宋体" w:hAnsi="宋体" w:cs="宋体"/>
          <w:color w:val="auto"/>
          <w:szCs w:val="21"/>
          <w:highlight w:val="none"/>
          <w:u w:val="single"/>
        </w:rPr>
        <w:t xml:space="preserve">        项目名称</w:t>
      </w:r>
      <w:r>
        <w:rPr>
          <w:rFonts w:hint="eastAsia" w:ascii="宋体" w:hAnsi="宋体" w:cs="宋体"/>
          <w:b/>
          <w:color w:val="auto"/>
          <w:kern w:val="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工程                         </w:t>
      </w:r>
      <w:r>
        <w:rPr>
          <w:rFonts w:hint="eastAsia" w:ascii="宋体" w:hAnsi="宋体" w:cs="宋体"/>
          <w:b/>
          <w:color w:val="auto"/>
          <w:kern w:val="0"/>
          <w:szCs w:val="21"/>
          <w:highlight w:val="none"/>
        </w:rPr>
        <w:t>表1</w:t>
      </w:r>
      <w:r>
        <w:rPr>
          <w:rFonts w:hint="eastAsia" w:ascii="宋体" w:hAnsi="宋体" w:cs="宋体"/>
          <w:b/>
          <w:color w:val="auto"/>
          <w:kern w:val="0"/>
          <w:szCs w:val="21"/>
          <w:highlight w:val="none"/>
          <w:lang w:val="en-US" w:eastAsia="zh-CN"/>
        </w:rPr>
        <w:t>1</w:t>
      </w:r>
      <w:r>
        <w:rPr>
          <w:rFonts w:hint="eastAsia" w:ascii="宋体" w:hAnsi="宋体" w:cs="宋体"/>
          <w:b/>
          <w:color w:val="auto"/>
          <w:kern w:val="0"/>
          <w:szCs w:val="21"/>
          <w:highlight w:val="none"/>
        </w:rPr>
        <w:t xml:space="preserve">.3  </w:t>
      </w:r>
    </w:p>
    <w:tbl>
      <w:tblPr>
        <w:tblStyle w:val="40"/>
        <w:tblW w:w="0" w:type="auto"/>
        <w:tblInd w:w="108" w:type="dxa"/>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1080"/>
        <w:gridCol w:w="180"/>
        <w:gridCol w:w="720"/>
        <w:gridCol w:w="1080"/>
        <w:gridCol w:w="1080"/>
        <w:gridCol w:w="360"/>
        <w:gridCol w:w="90"/>
        <w:gridCol w:w="1530"/>
        <w:gridCol w:w="1080"/>
        <w:gridCol w:w="450"/>
        <w:gridCol w:w="1564"/>
      </w:tblGrid>
      <w:tr w14:paraId="4F85A306">
        <w:tblPrEx>
          <w:tblBorders>
            <w:top w:val="single" w:color="000000" w:sz="8"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080" w:type="dxa"/>
            <w:tcBorders>
              <w:bottom w:val="single" w:color="000000" w:sz="4" w:space="0"/>
              <w:right w:val="single" w:color="000000" w:sz="4" w:space="0"/>
            </w:tcBorders>
            <w:noWrap w:val="0"/>
            <w:vAlign w:val="center"/>
          </w:tcPr>
          <w:p w14:paraId="1B377BC9">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姓名</w:t>
            </w:r>
          </w:p>
        </w:tc>
        <w:tc>
          <w:tcPr>
            <w:tcW w:w="1980" w:type="dxa"/>
            <w:gridSpan w:val="3"/>
            <w:tcBorders>
              <w:bottom w:val="single" w:color="000000" w:sz="4" w:space="0"/>
              <w:right w:val="single" w:color="000000" w:sz="4" w:space="0"/>
            </w:tcBorders>
            <w:noWrap w:val="0"/>
            <w:vAlign w:val="top"/>
          </w:tcPr>
          <w:p w14:paraId="37EF3D77">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000000" w:sz="4" w:space="0"/>
            </w:tcBorders>
            <w:noWrap w:val="0"/>
            <w:vAlign w:val="center"/>
          </w:tcPr>
          <w:p w14:paraId="2BCE4778">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性别</w:t>
            </w:r>
          </w:p>
        </w:tc>
        <w:tc>
          <w:tcPr>
            <w:tcW w:w="1980" w:type="dxa"/>
            <w:gridSpan w:val="3"/>
            <w:tcBorders>
              <w:bottom w:val="single" w:color="000000" w:sz="4" w:space="0"/>
              <w:right w:val="single" w:color="000000" w:sz="4" w:space="0"/>
            </w:tcBorders>
            <w:noWrap w:val="0"/>
            <w:vAlign w:val="top"/>
          </w:tcPr>
          <w:p w14:paraId="5BAC7954">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auto" w:sz="4" w:space="0"/>
            </w:tcBorders>
            <w:noWrap w:val="0"/>
            <w:vAlign w:val="center"/>
          </w:tcPr>
          <w:p w14:paraId="58D70676">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年龄</w:t>
            </w:r>
          </w:p>
        </w:tc>
        <w:tc>
          <w:tcPr>
            <w:tcW w:w="2014" w:type="dxa"/>
            <w:gridSpan w:val="2"/>
            <w:tcBorders>
              <w:left w:val="single" w:color="auto" w:sz="4" w:space="0"/>
              <w:bottom w:val="single" w:color="000000" w:sz="4" w:space="0"/>
              <w:right w:val="single" w:color="000000" w:sz="4" w:space="0"/>
            </w:tcBorders>
            <w:noWrap w:val="0"/>
            <w:vAlign w:val="top"/>
          </w:tcPr>
          <w:p w14:paraId="1509C6D1">
            <w:pPr>
              <w:autoSpaceDE w:val="0"/>
              <w:autoSpaceDN w:val="0"/>
              <w:jc w:val="left"/>
              <w:rPr>
                <w:rFonts w:hint="eastAsia" w:ascii="宋体" w:hAnsi="宋体" w:cs="宋体"/>
                <w:color w:val="auto"/>
                <w:kern w:val="0"/>
                <w:szCs w:val="21"/>
                <w:highlight w:val="none"/>
              </w:rPr>
            </w:pPr>
          </w:p>
        </w:tc>
      </w:tr>
      <w:tr w14:paraId="665BF8D0">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080" w:type="dxa"/>
            <w:tcBorders>
              <w:bottom w:val="single" w:color="000000" w:sz="4" w:space="0"/>
              <w:right w:val="single" w:color="000000" w:sz="4" w:space="0"/>
            </w:tcBorders>
            <w:noWrap w:val="0"/>
            <w:vAlign w:val="center"/>
          </w:tcPr>
          <w:p w14:paraId="3975EC62">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职务</w:t>
            </w:r>
          </w:p>
        </w:tc>
        <w:tc>
          <w:tcPr>
            <w:tcW w:w="1980" w:type="dxa"/>
            <w:gridSpan w:val="3"/>
            <w:tcBorders>
              <w:bottom w:val="single" w:color="000000" w:sz="4" w:space="0"/>
              <w:right w:val="single" w:color="000000" w:sz="4" w:space="0"/>
            </w:tcBorders>
            <w:noWrap w:val="0"/>
            <w:vAlign w:val="top"/>
          </w:tcPr>
          <w:p w14:paraId="57C9C9FB">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000000" w:sz="4" w:space="0"/>
            </w:tcBorders>
            <w:noWrap w:val="0"/>
            <w:vAlign w:val="center"/>
          </w:tcPr>
          <w:p w14:paraId="0A475E82">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职称</w:t>
            </w:r>
          </w:p>
        </w:tc>
        <w:tc>
          <w:tcPr>
            <w:tcW w:w="1980" w:type="dxa"/>
            <w:gridSpan w:val="3"/>
            <w:tcBorders>
              <w:bottom w:val="single" w:color="000000" w:sz="4" w:space="0"/>
              <w:right w:val="single" w:color="000000" w:sz="4" w:space="0"/>
            </w:tcBorders>
            <w:noWrap w:val="0"/>
            <w:vAlign w:val="top"/>
          </w:tcPr>
          <w:p w14:paraId="0F029AA4">
            <w:pPr>
              <w:autoSpaceDE w:val="0"/>
              <w:autoSpaceDN w:val="0"/>
              <w:jc w:val="left"/>
              <w:rPr>
                <w:rFonts w:hint="eastAsia" w:ascii="宋体" w:hAnsi="宋体" w:cs="宋体"/>
                <w:color w:val="auto"/>
                <w:kern w:val="0"/>
                <w:szCs w:val="21"/>
                <w:highlight w:val="none"/>
              </w:rPr>
            </w:pPr>
          </w:p>
        </w:tc>
        <w:tc>
          <w:tcPr>
            <w:tcW w:w="1080" w:type="dxa"/>
            <w:tcBorders>
              <w:bottom w:val="single" w:color="000000" w:sz="4" w:space="0"/>
              <w:right w:val="single" w:color="auto" w:sz="4" w:space="0"/>
            </w:tcBorders>
            <w:noWrap w:val="0"/>
            <w:vAlign w:val="center"/>
          </w:tcPr>
          <w:p w14:paraId="184CF62A">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学历</w:t>
            </w:r>
          </w:p>
        </w:tc>
        <w:tc>
          <w:tcPr>
            <w:tcW w:w="2014" w:type="dxa"/>
            <w:gridSpan w:val="2"/>
            <w:tcBorders>
              <w:left w:val="single" w:color="auto" w:sz="4" w:space="0"/>
              <w:bottom w:val="single" w:color="000000" w:sz="4" w:space="0"/>
              <w:right w:val="single" w:color="000000" w:sz="4" w:space="0"/>
            </w:tcBorders>
            <w:noWrap w:val="0"/>
            <w:vAlign w:val="top"/>
          </w:tcPr>
          <w:p w14:paraId="1231520B">
            <w:pPr>
              <w:autoSpaceDE w:val="0"/>
              <w:autoSpaceDN w:val="0"/>
              <w:jc w:val="left"/>
              <w:rPr>
                <w:rFonts w:hint="eastAsia" w:ascii="宋体" w:hAnsi="宋体" w:cs="宋体"/>
                <w:color w:val="auto"/>
                <w:kern w:val="0"/>
                <w:szCs w:val="21"/>
                <w:highlight w:val="none"/>
              </w:rPr>
            </w:pPr>
          </w:p>
        </w:tc>
      </w:tr>
      <w:tr w14:paraId="6C395AA3">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980" w:type="dxa"/>
            <w:gridSpan w:val="3"/>
            <w:tcBorders>
              <w:bottom w:val="single" w:color="000000" w:sz="4" w:space="0"/>
              <w:right w:val="single" w:color="auto" w:sz="4" w:space="0"/>
            </w:tcBorders>
            <w:noWrap w:val="0"/>
            <w:vAlign w:val="center"/>
          </w:tcPr>
          <w:p w14:paraId="4BB8EFB9">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参加工作时间</w:t>
            </w:r>
          </w:p>
        </w:tc>
        <w:tc>
          <w:tcPr>
            <w:tcW w:w="2520" w:type="dxa"/>
            <w:gridSpan w:val="3"/>
            <w:tcBorders>
              <w:left w:val="single" w:color="auto" w:sz="4" w:space="0"/>
              <w:bottom w:val="single" w:color="000000" w:sz="4" w:space="0"/>
              <w:right w:val="single" w:color="000000" w:sz="4" w:space="0"/>
            </w:tcBorders>
            <w:noWrap w:val="0"/>
            <w:vAlign w:val="top"/>
          </w:tcPr>
          <w:p w14:paraId="502AAB2F">
            <w:pPr>
              <w:autoSpaceDE w:val="0"/>
              <w:autoSpaceDN w:val="0"/>
              <w:jc w:val="left"/>
              <w:rPr>
                <w:rFonts w:hint="eastAsia" w:ascii="宋体" w:hAnsi="宋体" w:cs="宋体"/>
                <w:color w:val="auto"/>
                <w:kern w:val="0"/>
                <w:szCs w:val="21"/>
                <w:highlight w:val="none"/>
              </w:rPr>
            </w:pPr>
          </w:p>
        </w:tc>
        <w:tc>
          <w:tcPr>
            <w:tcW w:w="2700" w:type="dxa"/>
            <w:gridSpan w:val="3"/>
            <w:tcBorders>
              <w:left w:val="single" w:color="auto" w:sz="4" w:space="0"/>
              <w:bottom w:val="single" w:color="000000" w:sz="4" w:space="0"/>
              <w:right w:val="single" w:color="000000" w:sz="4" w:space="0"/>
            </w:tcBorders>
            <w:noWrap w:val="0"/>
            <w:vAlign w:val="center"/>
          </w:tcPr>
          <w:p w14:paraId="2D6BD79E">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担任技术负责人年限</w:t>
            </w:r>
          </w:p>
        </w:tc>
        <w:tc>
          <w:tcPr>
            <w:tcW w:w="2014" w:type="dxa"/>
            <w:gridSpan w:val="2"/>
            <w:tcBorders>
              <w:left w:val="single" w:color="auto" w:sz="4" w:space="0"/>
              <w:bottom w:val="single" w:color="auto" w:sz="4" w:space="0"/>
              <w:right w:val="single" w:color="000000" w:sz="4" w:space="0"/>
            </w:tcBorders>
            <w:noWrap w:val="0"/>
            <w:vAlign w:val="top"/>
          </w:tcPr>
          <w:p w14:paraId="50748640">
            <w:pPr>
              <w:autoSpaceDE w:val="0"/>
              <w:autoSpaceDN w:val="0"/>
              <w:jc w:val="left"/>
              <w:rPr>
                <w:rFonts w:hint="eastAsia" w:ascii="宋体" w:hAnsi="宋体" w:cs="宋体"/>
                <w:color w:val="auto"/>
                <w:kern w:val="0"/>
                <w:szCs w:val="21"/>
                <w:highlight w:val="none"/>
              </w:rPr>
            </w:pPr>
          </w:p>
        </w:tc>
      </w:tr>
      <w:tr w14:paraId="335CE36A">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9214" w:type="dxa"/>
            <w:gridSpan w:val="11"/>
            <w:tcBorders>
              <w:bottom w:val="single" w:color="000000" w:sz="4" w:space="0"/>
              <w:right w:val="single" w:color="000000" w:sz="4" w:space="0"/>
            </w:tcBorders>
            <w:noWrap w:val="0"/>
            <w:vAlign w:val="center"/>
          </w:tcPr>
          <w:p w14:paraId="68129BB3">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在建和已完工程项目情况</w:t>
            </w:r>
          </w:p>
        </w:tc>
      </w:tr>
      <w:tr w14:paraId="11C0B3CC">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center"/>
          </w:tcPr>
          <w:p w14:paraId="3D9B965F">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建设单位</w:t>
            </w:r>
          </w:p>
        </w:tc>
        <w:tc>
          <w:tcPr>
            <w:tcW w:w="1800" w:type="dxa"/>
            <w:gridSpan w:val="2"/>
            <w:tcBorders>
              <w:bottom w:val="single" w:color="000000" w:sz="4" w:space="0"/>
              <w:right w:val="single" w:color="000000" w:sz="4" w:space="0"/>
            </w:tcBorders>
            <w:noWrap w:val="0"/>
            <w:vAlign w:val="center"/>
          </w:tcPr>
          <w:p w14:paraId="60DBD12A">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1530" w:type="dxa"/>
            <w:gridSpan w:val="3"/>
            <w:tcBorders>
              <w:bottom w:val="single" w:color="000000" w:sz="4" w:space="0"/>
              <w:right w:val="single" w:color="000000" w:sz="4" w:space="0"/>
            </w:tcBorders>
            <w:noWrap w:val="0"/>
            <w:vAlign w:val="center"/>
          </w:tcPr>
          <w:p w14:paraId="3471A98D">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建设规模</w:t>
            </w:r>
          </w:p>
        </w:tc>
        <w:tc>
          <w:tcPr>
            <w:tcW w:w="1530" w:type="dxa"/>
            <w:tcBorders>
              <w:bottom w:val="single" w:color="000000" w:sz="4" w:space="0"/>
              <w:right w:val="single" w:color="auto" w:sz="4" w:space="0"/>
            </w:tcBorders>
            <w:noWrap w:val="0"/>
            <w:vAlign w:val="center"/>
          </w:tcPr>
          <w:p w14:paraId="0C23701C">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开、竣工日期</w:t>
            </w:r>
          </w:p>
        </w:tc>
        <w:tc>
          <w:tcPr>
            <w:tcW w:w="1530" w:type="dxa"/>
            <w:gridSpan w:val="2"/>
            <w:tcBorders>
              <w:left w:val="single" w:color="auto" w:sz="4" w:space="0"/>
              <w:bottom w:val="single" w:color="000000" w:sz="4" w:space="0"/>
              <w:right w:val="single" w:color="000000" w:sz="4" w:space="0"/>
            </w:tcBorders>
            <w:noWrap w:val="0"/>
            <w:vAlign w:val="center"/>
          </w:tcPr>
          <w:p w14:paraId="7283123E">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在建或已完</w:t>
            </w:r>
          </w:p>
        </w:tc>
        <w:tc>
          <w:tcPr>
            <w:tcW w:w="1564" w:type="dxa"/>
            <w:tcBorders>
              <w:bottom w:val="single" w:color="000000" w:sz="4" w:space="0"/>
              <w:right w:val="single" w:color="000000" w:sz="4" w:space="0"/>
            </w:tcBorders>
            <w:noWrap w:val="0"/>
            <w:vAlign w:val="center"/>
          </w:tcPr>
          <w:p w14:paraId="3B690205">
            <w:pPr>
              <w:autoSpaceDE w:val="0"/>
              <w:autoSpaceDN w:val="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工程质量</w:t>
            </w:r>
          </w:p>
        </w:tc>
      </w:tr>
      <w:tr w14:paraId="673DC3CE">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6E574AA8">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0A52742D">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22128C57">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07527745">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61702373">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39930911">
            <w:pPr>
              <w:autoSpaceDE w:val="0"/>
              <w:autoSpaceDN w:val="0"/>
              <w:jc w:val="left"/>
              <w:rPr>
                <w:rFonts w:hint="eastAsia" w:ascii="宋体" w:hAnsi="宋体" w:cs="宋体"/>
                <w:color w:val="auto"/>
                <w:kern w:val="0"/>
                <w:szCs w:val="21"/>
                <w:highlight w:val="none"/>
              </w:rPr>
            </w:pPr>
          </w:p>
        </w:tc>
      </w:tr>
      <w:tr w14:paraId="094C30CD">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5230C6F7">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11C1DB7A">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1876174C">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54C6F688">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3BA642DC">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5B4C79C0">
            <w:pPr>
              <w:autoSpaceDE w:val="0"/>
              <w:autoSpaceDN w:val="0"/>
              <w:jc w:val="left"/>
              <w:rPr>
                <w:rFonts w:hint="eastAsia" w:ascii="宋体" w:hAnsi="宋体" w:cs="宋体"/>
                <w:color w:val="auto"/>
                <w:kern w:val="0"/>
                <w:szCs w:val="21"/>
                <w:highlight w:val="none"/>
              </w:rPr>
            </w:pPr>
          </w:p>
        </w:tc>
      </w:tr>
      <w:tr w14:paraId="14C242D9">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518EE588">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0AF05D9D">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195723B7">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3DDC2AC8">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4246D5B1">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134F36FF">
            <w:pPr>
              <w:autoSpaceDE w:val="0"/>
              <w:autoSpaceDN w:val="0"/>
              <w:jc w:val="left"/>
              <w:rPr>
                <w:rFonts w:hint="eastAsia" w:ascii="宋体" w:hAnsi="宋体" w:cs="宋体"/>
                <w:color w:val="auto"/>
                <w:kern w:val="0"/>
                <w:szCs w:val="21"/>
                <w:highlight w:val="none"/>
              </w:rPr>
            </w:pPr>
          </w:p>
        </w:tc>
      </w:tr>
      <w:tr w14:paraId="4070CDD2">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2EC0CC4B">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0EE20C5E">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26184AEF">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19E8AB49">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53D603AB">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13B882E6">
            <w:pPr>
              <w:autoSpaceDE w:val="0"/>
              <w:autoSpaceDN w:val="0"/>
              <w:jc w:val="left"/>
              <w:rPr>
                <w:rFonts w:hint="eastAsia" w:ascii="宋体" w:hAnsi="宋体" w:cs="宋体"/>
                <w:color w:val="auto"/>
                <w:kern w:val="0"/>
                <w:szCs w:val="21"/>
                <w:highlight w:val="none"/>
              </w:rPr>
            </w:pPr>
          </w:p>
        </w:tc>
      </w:tr>
      <w:tr w14:paraId="0D298BCF">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74DC6326">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627028CC">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3B33B5B8">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46B8678D">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617D5317">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392BB38C">
            <w:pPr>
              <w:autoSpaceDE w:val="0"/>
              <w:autoSpaceDN w:val="0"/>
              <w:jc w:val="left"/>
              <w:rPr>
                <w:rFonts w:hint="eastAsia" w:ascii="宋体" w:hAnsi="宋体" w:cs="宋体"/>
                <w:color w:val="auto"/>
                <w:kern w:val="0"/>
                <w:szCs w:val="21"/>
                <w:highlight w:val="none"/>
              </w:rPr>
            </w:pPr>
          </w:p>
        </w:tc>
      </w:tr>
      <w:tr w14:paraId="4D990FBB">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72E2F3DE">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1B8EE714">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56440ECD">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718AD126">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673E1C76">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1309046D">
            <w:pPr>
              <w:autoSpaceDE w:val="0"/>
              <w:autoSpaceDN w:val="0"/>
              <w:jc w:val="left"/>
              <w:rPr>
                <w:rFonts w:hint="eastAsia" w:ascii="宋体" w:hAnsi="宋体" w:cs="宋体"/>
                <w:color w:val="auto"/>
                <w:kern w:val="0"/>
                <w:szCs w:val="21"/>
                <w:highlight w:val="none"/>
              </w:rPr>
            </w:pPr>
          </w:p>
        </w:tc>
      </w:tr>
      <w:tr w14:paraId="1D4C5940">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0FF2B2CD">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2F8EB4B4">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7477A2D4">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384D8144">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189C7270">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50522FB4">
            <w:pPr>
              <w:autoSpaceDE w:val="0"/>
              <w:autoSpaceDN w:val="0"/>
              <w:jc w:val="left"/>
              <w:rPr>
                <w:rFonts w:hint="eastAsia" w:ascii="宋体" w:hAnsi="宋体" w:cs="宋体"/>
                <w:color w:val="auto"/>
                <w:kern w:val="0"/>
                <w:szCs w:val="21"/>
                <w:highlight w:val="none"/>
              </w:rPr>
            </w:pPr>
          </w:p>
        </w:tc>
      </w:tr>
      <w:tr w14:paraId="08537651">
        <w:tblPrEx>
          <w:tblBorders>
            <w:top w:val="none" w:color="auto" w:sz="0" w:space="0"/>
            <w:left w:val="single" w:color="000000" w:sz="8" w:space="0"/>
            <w:bottom w:val="none" w:color="auto" w:sz="0" w:space="0"/>
            <w:right w:val="single" w:color="000000" w:sz="8" w:space="0"/>
            <w:insideH w:val="none" w:color="auto" w:sz="0" w:space="0"/>
            <w:insideV w:val="none" w:color="auto" w:sz="0" w:space="0"/>
          </w:tblBorders>
          <w:tblCellMar>
            <w:top w:w="0" w:type="dxa"/>
            <w:left w:w="108" w:type="dxa"/>
            <w:bottom w:w="0" w:type="dxa"/>
            <w:right w:w="108" w:type="dxa"/>
          </w:tblCellMar>
        </w:tblPrEx>
        <w:trPr>
          <w:cantSplit/>
          <w:trHeight w:val="567" w:hRule="atLeast"/>
        </w:trPr>
        <w:tc>
          <w:tcPr>
            <w:tcW w:w="1260" w:type="dxa"/>
            <w:gridSpan w:val="2"/>
            <w:tcBorders>
              <w:bottom w:val="single" w:color="000000" w:sz="4" w:space="0"/>
              <w:right w:val="single" w:color="000000" w:sz="4" w:space="0"/>
            </w:tcBorders>
            <w:noWrap w:val="0"/>
            <w:vAlign w:val="top"/>
          </w:tcPr>
          <w:p w14:paraId="7DF20696">
            <w:pPr>
              <w:autoSpaceDE w:val="0"/>
              <w:autoSpaceDN w:val="0"/>
              <w:jc w:val="left"/>
              <w:rPr>
                <w:rFonts w:hint="eastAsia" w:ascii="宋体" w:hAnsi="宋体" w:cs="宋体"/>
                <w:color w:val="auto"/>
                <w:kern w:val="0"/>
                <w:szCs w:val="21"/>
                <w:highlight w:val="none"/>
              </w:rPr>
            </w:pPr>
          </w:p>
        </w:tc>
        <w:tc>
          <w:tcPr>
            <w:tcW w:w="1800" w:type="dxa"/>
            <w:gridSpan w:val="2"/>
            <w:tcBorders>
              <w:bottom w:val="single" w:color="000000" w:sz="4" w:space="0"/>
              <w:right w:val="single" w:color="000000" w:sz="4" w:space="0"/>
            </w:tcBorders>
            <w:noWrap w:val="0"/>
            <w:vAlign w:val="top"/>
          </w:tcPr>
          <w:p w14:paraId="072E8ABA">
            <w:pPr>
              <w:autoSpaceDE w:val="0"/>
              <w:autoSpaceDN w:val="0"/>
              <w:jc w:val="left"/>
              <w:rPr>
                <w:rFonts w:hint="eastAsia" w:ascii="宋体" w:hAnsi="宋体" w:cs="宋体"/>
                <w:color w:val="auto"/>
                <w:kern w:val="0"/>
                <w:szCs w:val="21"/>
                <w:highlight w:val="none"/>
              </w:rPr>
            </w:pPr>
          </w:p>
        </w:tc>
        <w:tc>
          <w:tcPr>
            <w:tcW w:w="1530" w:type="dxa"/>
            <w:gridSpan w:val="3"/>
            <w:tcBorders>
              <w:bottom w:val="single" w:color="000000" w:sz="4" w:space="0"/>
              <w:right w:val="single" w:color="000000" w:sz="4" w:space="0"/>
            </w:tcBorders>
            <w:noWrap w:val="0"/>
            <w:vAlign w:val="top"/>
          </w:tcPr>
          <w:p w14:paraId="56AB98DE">
            <w:pPr>
              <w:autoSpaceDE w:val="0"/>
              <w:autoSpaceDN w:val="0"/>
              <w:jc w:val="left"/>
              <w:rPr>
                <w:rFonts w:hint="eastAsia" w:ascii="宋体" w:hAnsi="宋体" w:cs="宋体"/>
                <w:color w:val="auto"/>
                <w:kern w:val="0"/>
                <w:szCs w:val="21"/>
                <w:highlight w:val="none"/>
              </w:rPr>
            </w:pPr>
          </w:p>
        </w:tc>
        <w:tc>
          <w:tcPr>
            <w:tcW w:w="1530" w:type="dxa"/>
            <w:tcBorders>
              <w:bottom w:val="single" w:color="000000" w:sz="4" w:space="0"/>
              <w:right w:val="single" w:color="auto" w:sz="4" w:space="0"/>
            </w:tcBorders>
            <w:noWrap w:val="0"/>
            <w:vAlign w:val="top"/>
          </w:tcPr>
          <w:p w14:paraId="7C0AA641">
            <w:pPr>
              <w:autoSpaceDE w:val="0"/>
              <w:autoSpaceDN w:val="0"/>
              <w:jc w:val="left"/>
              <w:rPr>
                <w:rFonts w:hint="eastAsia" w:ascii="宋体" w:hAnsi="宋体" w:cs="宋体"/>
                <w:color w:val="auto"/>
                <w:kern w:val="0"/>
                <w:szCs w:val="21"/>
                <w:highlight w:val="none"/>
              </w:rPr>
            </w:pPr>
          </w:p>
        </w:tc>
        <w:tc>
          <w:tcPr>
            <w:tcW w:w="1530" w:type="dxa"/>
            <w:gridSpan w:val="2"/>
            <w:tcBorders>
              <w:left w:val="single" w:color="auto" w:sz="4" w:space="0"/>
              <w:bottom w:val="single" w:color="000000" w:sz="4" w:space="0"/>
              <w:right w:val="single" w:color="000000" w:sz="4" w:space="0"/>
            </w:tcBorders>
            <w:noWrap w:val="0"/>
            <w:vAlign w:val="top"/>
          </w:tcPr>
          <w:p w14:paraId="11949D8A">
            <w:pPr>
              <w:autoSpaceDE w:val="0"/>
              <w:autoSpaceDN w:val="0"/>
              <w:jc w:val="left"/>
              <w:rPr>
                <w:rFonts w:hint="eastAsia" w:ascii="宋体" w:hAnsi="宋体" w:cs="宋体"/>
                <w:color w:val="auto"/>
                <w:kern w:val="0"/>
                <w:szCs w:val="21"/>
                <w:highlight w:val="none"/>
              </w:rPr>
            </w:pPr>
          </w:p>
        </w:tc>
        <w:tc>
          <w:tcPr>
            <w:tcW w:w="1564" w:type="dxa"/>
            <w:tcBorders>
              <w:bottom w:val="single" w:color="000000" w:sz="4" w:space="0"/>
              <w:right w:val="single" w:color="000000" w:sz="4" w:space="0"/>
            </w:tcBorders>
            <w:noWrap w:val="0"/>
            <w:vAlign w:val="top"/>
          </w:tcPr>
          <w:p w14:paraId="5DADD1F1">
            <w:pPr>
              <w:autoSpaceDE w:val="0"/>
              <w:autoSpaceDN w:val="0"/>
              <w:jc w:val="left"/>
              <w:rPr>
                <w:rFonts w:hint="eastAsia" w:ascii="宋体" w:hAnsi="宋体" w:cs="宋体"/>
                <w:color w:val="auto"/>
                <w:kern w:val="0"/>
                <w:szCs w:val="21"/>
                <w:highlight w:val="none"/>
              </w:rPr>
            </w:pPr>
          </w:p>
        </w:tc>
      </w:tr>
    </w:tbl>
    <w:p w14:paraId="253100F6">
      <w:pPr>
        <w:spacing w:line="6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注：1、附职称证、身份证复印件。</w:t>
      </w:r>
    </w:p>
    <w:p w14:paraId="4DA5562B">
      <w:pPr>
        <w:spacing w:line="6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2、本企业为人员</w:t>
      </w:r>
      <w:r>
        <w:rPr>
          <w:rFonts w:hint="eastAsia" w:ascii="宋体" w:hAnsi="宋体" w:cs="宋体"/>
          <w:color w:val="auto"/>
          <w:kern w:val="0"/>
          <w:szCs w:val="21"/>
          <w:highlight w:val="none"/>
          <w:lang w:eastAsia="zh-CN"/>
        </w:rPr>
        <w:t>缴纳</w:t>
      </w:r>
      <w:r>
        <w:rPr>
          <w:rFonts w:hint="eastAsia" w:ascii="宋体" w:hAnsi="宋体" w:cs="宋体"/>
          <w:color w:val="auto"/>
          <w:szCs w:val="21"/>
          <w:highlight w:val="none"/>
        </w:rPr>
        <w:t>近</w:t>
      </w:r>
      <w:r>
        <w:rPr>
          <w:rFonts w:hint="eastAsia" w:ascii="宋体" w:hAnsi="宋体" w:cs="宋体"/>
          <w:color w:val="auto"/>
          <w:szCs w:val="21"/>
          <w:highlight w:val="none"/>
          <w:lang w:val="en-US" w:eastAsia="zh-CN"/>
        </w:rPr>
        <w:t>三个月</w:t>
      </w:r>
      <w:r>
        <w:rPr>
          <w:rFonts w:hint="eastAsia" w:ascii="宋体" w:hAnsi="宋体" w:cs="宋体"/>
          <w:color w:val="auto"/>
          <w:szCs w:val="21"/>
          <w:highlight w:val="none"/>
        </w:rPr>
        <w:t>以来</w:t>
      </w:r>
      <w:r>
        <w:rPr>
          <w:rFonts w:hint="eastAsia" w:ascii="宋体" w:hAnsi="宋体" w:cs="宋体"/>
          <w:color w:val="auto"/>
          <w:szCs w:val="21"/>
          <w:highlight w:val="none"/>
          <w:lang w:eastAsia="zh-CN"/>
        </w:rPr>
        <w:t>任意一</w:t>
      </w:r>
      <w:r>
        <w:rPr>
          <w:rFonts w:hint="eastAsia" w:ascii="宋体" w:hAnsi="宋体" w:cs="宋体"/>
          <w:color w:val="auto"/>
          <w:szCs w:val="21"/>
          <w:highlight w:val="none"/>
        </w:rPr>
        <w:t>个月</w:t>
      </w:r>
      <w:r>
        <w:rPr>
          <w:rFonts w:hint="eastAsia" w:ascii="宋体" w:hAnsi="宋体" w:cs="宋体"/>
          <w:color w:val="auto"/>
          <w:kern w:val="0"/>
          <w:szCs w:val="21"/>
          <w:highlight w:val="none"/>
        </w:rPr>
        <w:t>的养老保险社保的相关证明；</w:t>
      </w:r>
      <w:bookmarkStart w:id="944" w:name="_Toc23046767"/>
      <w:bookmarkStart w:id="945" w:name="_Toc514238704"/>
      <w:bookmarkStart w:id="946" w:name="_Toc23152659"/>
    </w:p>
    <w:bookmarkEnd w:id="944"/>
    <w:bookmarkEnd w:id="945"/>
    <w:bookmarkEnd w:id="946"/>
    <w:p w14:paraId="47D91D71">
      <w:pPr>
        <w:pStyle w:val="31"/>
        <w:snapToGrid w:val="0"/>
        <w:spacing w:line="440" w:lineRule="exact"/>
        <w:ind w:left="0" w:leftChars="0"/>
        <w:rPr>
          <w:rFonts w:hint="eastAsia" w:ascii="宋体" w:hAnsi="宋体" w:cs="宋体"/>
          <w:b/>
          <w:bCs/>
          <w:color w:val="auto"/>
          <w:sz w:val="28"/>
          <w:highlight w:val="none"/>
        </w:rPr>
      </w:pPr>
      <w:bookmarkStart w:id="947" w:name="_Toc184635141"/>
      <w:bookmarkEnd w:id="947"/>
    </w:p>
    <w:p w14:paraId="45B5533F">
      <w:pPr>
        <w:pStyle w:val="31"/>
        <w:snapToGrid w:val="0"/>
        <w:spacing w:line="440" w:lineRule="exact"/>
        <w:ind w:left="0" w:leftChars="0"/>
        <w:rPr>
          <w:rFonts w:hint="eastAsia" w:ascii="宋体" w:hAnsi="宋体" w:cs="宋体"/>
          <w:b/>
          <w:bCs/>
          <w:color w:val="auto"/>
          <w:sz w:val="28"/>
          <w:highlight w:val="none"/>
        </w:rPr>
      </w:pPr>
    </w:p>
    <w:p w14:paraId="3FD491EB">
      <w:pPr>
        <w:pStyle w:val="31"/>
        <w:snapToGrid w:val="0"/>
        <w:spacing w:line="440" w:lineRule="exact"/>
        <w:ind w:left="0" w:leftChars="0"/>
        <w:rPr>
          <w:rFonts w:hint="eastAsia" w:ascii="宋体" w:hAnsi="宋体" w:cs="宋体"/>
          <w:b/>
          <w:bCs/>
          <w:color w:val="auto"/>
          <w:sz w:val="28"/>
          <w:highlight w:val="none"/>
        </w:rPr>
      </w:pPr>
      <w:r>
        <w:rPr>
          <w:rFonts w:hint="eastAsia" w:ascii="宋体" w:hAnsi="宋体" w:cs="宋体"/>
          <w:b/>
          <w:bCs/>
          <w:color w:val="auto"/>
          <w:sz w:val="28"/>
          <w:highlight w:val="none"/>
        </w:rPr>
        <w:t xml:space="preserve">    </w:t>
      </w:r>
      <w:r>
        <w:rPr>
          <w:rFonts w:hint="eastAsia" w:ascii="宋体" w:hAnsi="宋体" w:cs="宋体"/>
          <w:b/>
          <w:bCs/>
          <w:color w:val="auto"/>
          <w:sz w:val="28"/>
          <w:highlight w:val="none"/>
          <w:lang w:val="en-US" w:eastAsia="zh-CN"/>
        </w:rPr>
        <w:t>12</w:t>
      </w:r>
      <w:r>
        <w:rPr>
          <w:rFonts w:hint="eastAsia" w:ascii="宋体" w:hAnsi="宋体" w:cs="宋体"/>
          <w:b/>
          <w:bCs/>
          <w:color w:val="auto"/>
          <w:sz w:val="28"/>
          <w:highlight w:val="none"/>
        </w:rPr>
        <w:t>、磋商供应商递交的其他材料。（如企业信誉、业绩证明等）</w:t>
      </w:r>
    </w:p>
    <w:p w14:paraId="7278F8E5">
      <w:pPr>
        <w:spacing w:line="30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w:t>
      </w:r>
    </w:p>
    <w:p w14:paraId="4AFCE519">
      <w:pPr>
        <w:spacing w:line="300" w:lineRule="auto"/>
        <w:rPr>
          <w:rFonts w:hint="eastAsia" w:ascii="宋体" w:hAnsi="宋体" w:cs="宋体"/>
          <w:color w:val="auto"/>
          <w:kern w:val="0"/>
          <w:szCs w:val="21"/>
          <w:highlight w:val="none"/>
        </w:rPr>
      </w:pPr>
    </w:p>
    <w:p w14:paraId="04F60A3E">
      <w:pPr>
        <w:spacing w:line="300" w:lineRule="auto"/>
        <w:rPr>
          <w:rFonts w:hint="eastAsia" w:ascii="宋体" w:hAnsi="宋体" w:cs="宋体"/>
          <w:color w:val="auto"/>
          <w:kern w:val="0"/>
          <w:szCs w:val="21"/>
          <w:highlight w:val="none"/>
        </w:rPr>
      </w:pPr>
    </w:p>
    <w:p w14:paraId="54670B24">
      <w:pPr>
        <w:spacing w:line="300" w:lineRule="auto"/>
        <w:rPr>
          <w:rFonts w:hint="eastAsia" w:ascii="宋体" w:hAnsi="宋体" w:cs="宋体"/>
          <w:color w:val="auto"/>
          <w:kern w:val="0"/>
          <w:szCs w:val="21"/>
          <w:highlight w:val="none"/>
        </w:rPr>
      </w:pPr>
    </w:p>
    <w:p w14:paraId="701C6C20">
      <w:pPr>
        <w:spacing w:line="300" w:lineRule="auto"/>
        <w:rPr>
          <w:rFonts w:hint="eastAsia" w:ascii="宋体" w:hAnsi="宋体" w:cs="宋体"/>
          <w:color w:val="auto"/>
          <w:kern w:val="0"/>
          <w:szCs w:val="21"/>
          <w:highlight w:val="none"/>
        </w:rPr>
      </w:pPr>
    </w:p>
    <w:bookmarkEnd w:id="248"/>
    <w:bookmarkEnd w:id="249"/>
    <w:bookmarkEnd w:id="250"/>
    <w:bookmarkEnd w:id="251"/>
    <w:bookmarkEnd w:id="252"/>
    <w:p w14:paraId="6BA964B5">
      <w:pPr>
        <w:pStyle w:val="2"/>
        <w:spacing w:before="0" w:beforeLines="0" w:after="0" w:afterLines="0" w:line="600" w:lineRule="exact"/>
        <w:ind w:firstLine="1751" w:firstLineChars="545"/>
        <w:rPr>
          <w:rFonts w:hint="eastAsia" w:ascii="宋体" w:hAnsi="宋体" w:eastAsia="宋体" w:cs="宋体"/>
          <w:b/>
          <w:color w:val="auto"/>
          <w:kern w:val="36"/>
          <w:highlight w:val="none"/>
        </w:rPr>
      </w:pPr>
      <w:bookmarkStart w:id="948" w:name="_Toc75182804"/>
      <w:bookmarkStart w:id="949" w:name="_Toc244592830"/>
      <w:bookmarkStart w:id="950" w:name="_Toc256259996"/>
      <w:bookmarkStart w:id="951" w:name="_Toc312957800"/>
      <w:r>
        <w:rPr>
          <w:rFonts w:hint="eastAsia" w:ascii="宋体" w:hAnsi="宋体" w:eastAsia="宋体" w:cs="宋体"/>
          <w:b/>
          <w:color w:val="auto"/>
          <w:kern w:val="36"/>
          <w:highlight w:val="none"/>
        </w:rPr>
        <w:t>第五章 磋商原则和定标办法（综合评分法）</w:t>
      </w:r>
      <w:bookmarkEnd w:id="948"/>
      <w:bookmarkEnd w:id="949"/>
      <w:bookmarkEnd w:id="950"/>
      <w:bookmarkEnd w:id="951"/>
    </w:p>
    <w:p w14:paraId="032174D6">
      <w:pPr>
        <w:pStyle w:val="21"/>
        <w:snapToGrid w:val="0"/>
        <w:spacing w:line="340" w:lineRule="exact"/>
        <w:ind w:firstLine="105" w:firstLineChars="50"/>
        <w:rPr>
          <w:rFonts w:hint="eastAsia" w:hAnsi="宋体" w:cs="宋体"/>
          <w:b/>
          <w:color w:val="auto"/>
          <w:kern w:val="0"/>
          <w:szCs w:val="21"/>
          <w:highlight w:val="none"/>
        </w:rPr>
      </w:pPr>
      <w:bookmarkStart w:id="952" w:name="_Toc238542379"/>
      <w:bookmarkStart w:id="953" w:name="_Toc244592831"/>
      <w:r>
        <w:rPr>
          <w:rFonts w:hint="eastAsia" w:hAnsi="宋体" w:cs="宋体"/>
          <w:b/>
          <w:color w:val="auto"/>
          <w:kern w:val="0"/>
          <w:szCs w:val="21"/>
          <w:highlight w:val="none"/>
        </w:rPr>
        <w:t>一、磋商原则</w:t>
      </w:r>
    </w:p>
    <w:bookmarkEnd w:id="952"/>
    <w:bookmarkEnd w:id="953"/>
    <w:p w14:paraId="742413AE">
      <w:pPr>
        <w:pStyle w:val="21"/>
        <w:spacing w:line="400" w:lineRule="exact"/>
        <w:ind w:firstLine="420" w:firstLineChars="200"/>
        <w:rPr>
          <w:rFonts w:hint="eastAsia" w:hAnsi="宋体" w:cs="宋体"/>
          <w:bCs/>
          <w:color w:val="auto"/>
          <w:highlight w:val="none"/>
        </w:rPr>
      </w:pPr>
      <w:r>
        <w:rPr>
          <w:rFonts w:hint="eastAsia" w:hAnsi="宋体" w:cs="宋体"/>
          <w:bCs/>
          <w:color w:val="auto"/>
          <w:highlight w:val="none"/>
        </w:rPr>
        <w:t>(一)磋商小组构成：本项目的磋商小组由有关技术、经济等方面的专家组成。成员人数应当为三人以上（含三人）单数。其中，技术、经济等方面的专家不得少于成员总数的三分之二。</w:t>
      </w:r>
    </w:p>
    <w:p w14:paraId="4AA31C07">
      <w:pPr>
        <w:pStyle w:val="21"/>
        <w:spacing w:line="400" w:lineRule="exact"/>
        <w:ind w:firstLine="420" w:firstLineChars="200"/>
        <w:rPr>
          <w:rFonts w:hint="eastAsia" w:hAnsi="宋体" w:cs="宋体"/>
          <w:bCs/>
          <w:color w:val="auto"/>
          <w:highlight w:val="none"/>
        </w:rPr>
      </w:pPr>
      <w:r>
        <w:rPr>
          <w:rFonts w:hint="eastAsia" w:hAnsi="宋体" w:cs="宋体"/>
          <w:bCs/>
          <w:color w:val="auto"/>
          <w:highlight w:val="none"/>
        </w:rPr>
        <w:t>(二)评标依据：磋商小组将以竞争性磋商文件和磋商响应文件为评定依据进行评审</w:t>
      </w:r>
      <w:r>
        <w:rPr>
          <w:rFonts w:hint="eastAsia" w:hAnsi="宋体" w:cs="宋体"/>
          <w:color w:val="auto"/>
          <w:highlight w:val="none"/>
        </w:rPr>
        <w:t>。</w:t>
      </w:r>
    </w:p>
    <w:p w14:paraId="41FA9D6F">
      <w:pPr>
        <w:pStyle w:val="21"/>
        <w:spacing w:line="400" w:lineRule="exact"/>
        <w:ind w:firstLine="420" w:firstLineChars="200"/>
        <w:rPr>
          <w:rFonts w:hint="eastAsia" w:hAnsi="宋体" w:cs="宋体"/>
          <w:bCs/>
          <w:color w:val="auto"/>
          <w:highlight w:val="none"/>
        </w:rPr>
      </w:pPr>
      <w:r>
        <w:rPr>
          <w:rFonts w:hint="eastAsia" w:hAnsi="宋体" w:cs="宋体"/>
          <w:bCs/>
          <w:color w:val="auto"/>
          <w:highlight w:val="none"/>
        </w:rPr>
        <w:t>(三)评标方法：</w:t>
      </w:r>
      <w:r>
        <w:rPr>
          <w:rFonts w:hint="eastAsia" w:hAnsi="宋体" w:cs="宋体"/>
          <w:color w:val="auto"/>
          <w:szCs w:val="21"/>
          <w:highlight w:val="none"/>
        </w:rPr>
        <w:t>采用综合评分法评标</w:t>
      </w:r>
      <w:r>
        <w:rPr>
          <w:rFonts w:hint="eastAsia" w:hAnsi="宋体" w:cs="宋体"/>
          <w:bCs/>
          <w:color w:val="auto"/>
          <w:highlight w:val="none"/>
        </w:rPr>
        <w:t>。</w:t>
      </w:r>
    </w:p>
    <w:p w14:paraId="4611B4C1">
      <w:pPr>
        <w:snapToGrid w:val="0"/>
        <w:spacing w:line="380" w:lineRule="exact"/>
        <w:ind w:left="-206" w:leftChars="-98" w:right="-168" w:rightChars="-80" w:firstLine="478" w:firstLineChars="228"/>
        <w:rPr>
          <w:rFonts w:hint="eastAsia" w:hAnsi="宋体" w:eastAsia="宋体" w:cs="宋体"/>
          <w:b/>
          <w:color w:val="auto"/>
          <w:spacing w:val="-4"/>
          <w:szCs w:val="21"/>
          <w:highlight w:val="none"/>
          <w:lang w:eastAsia="zh-CN"/>
        </w:rPr>
      </w:pPr>
      <w:r>
        <w:rPr>
          <w:rFonts w:hint="eastAsia" w:ascii="宋体" w:hAnsi="宋体" w:cs="宋体"/>
          <w:bCs/>
          <w:color w:val="auto"/>
          <w:highlight w:val="none"/>
        </w:rPr>
        <w:t>（四）</w:t>
      </w:r>
      <w:r>
        <w:rPr>
          <w:rFonts w:hint="eastAsia" w:hAnsi="宋体" w:cs="宋体"/>
          <w:b/>
          <w:color w:val="auto"/>
          <w:spacing w:val="-4"/>
          <w:szCs w:val="21"/>
          <w:highlight w:val="none"/>
        </w:rPr>
        <w:t>本项目的招标控制价为：</w:t>
      </w:r>
      <w:r>
        <w:rPr>
          <w:rFonts w:hint="eastAsia" w:hAnsi="宋体" w:cs="宋体"/>
          <w:b/>
          <w:color w:val="auto"/>
          <w:spacing w:val="-4"/>
          <w:szCs w:val="21"/>
          <w:highlight w:val="none"/>
          <w:lang w:eastAsia="zh-CN"/>
        </w:rPr>
        <w:t>贰佰叁拾贰万伍仟玖佰肆拾元壹角贰分</w:t>
      </w:r>
      <w:r>
        <w:rPr>
          <w:rFonts w:hint="eastAsia" w:hAnsi="宋体" w:cs="宋体"/>
          <w:b/>
          <w:color w:val="auto"/>
          <w:spacing w:val="-4"/>
          <w:szCs w:val="21"/>
          <w:highlight w:val="none"/>
        </w:rPr>
        <w:t>（</w:t>
      </w:r>
      <w:r>
        <w:rPr>
          <w:rFonts w:hint="eastAsia" w:hAnsi="宋体" w:cs="宋体"/>
          <w:b/>
          <w:color w:val="auto"/>
          <w:spacing w:val="-4"/>
          <w:szCs w:val="21"/>
          <w:highlight w:val="none"/>
          <w:lang w:eastAsia="zh-CN"/>
        </w:rPr>
        <w:t>2325940.12</w:t>
      </w:r>
      <w:r>
        <w:rPr>
          <w:rFonts w:hint="eastAsia" w:hAnsi="宋体" w:cs="宋体"/>
          <w:b/>
          <w:color w:val="auto"/>
          <w:spacing w:val="-4"/>
          <w:szCs w:val="21"/>
          <w:highlight w:val="none"/>
        </w:rPr>
        <w:t>元）。</w:t>
      </w:r>
    </w:p>
    <w:p w14:paraId="65EF2915">
      <w:pPr>
        <w:snapToGrid w:val="0"/>
        <w:spacing w:line="380" w:lineRule="exact"/>
        <w:ind w:left="-206" w:leftChars="-98" w:right="-168" w:rightChars="-80" w:firstLine="462" w:firstLineChars="228"/>
        <w:rPr>
          <w:rFonts w:hint="eastAsia" w:ascii="宋体" w:hAnsi="宋体" w:cs="宋体"/>
          <w:b/>
          <w:color w:val="auto"/>
          <w:szCs w:val="21"/>
          <w:highlight w:val="none"/>
        </w:rPr>
      </w:pPr>
      <w:r>
        <w:rPr>
          <w:rFonts w:hint="eastAsia" w:ascii="宋体" w:hAnsi="宋体" w:cs="宋体"/>
          <w:b/>
          <w:color w:val="auto"/>
          <w:spacing w:val="-4"/>
          <w:szCs w:val="21"/>
          <w:highlight w:val="none"/>
        </w:rPr>
        <w:t>采购总报价必须小于或等于本项目招标控制价，并经评标委员会评定为不低于成本价的，否则，做无效竞标处理。</w:t>
      </w:r>
    </w:p>
    <w:p w14:paraId="0EDEBDDA">
      <w:pPr>
        <w:snapToGrid w:val="0"/>
        <w:spacing w:line="380" w:lineRule="exact"/>
        <w:ind w:left="-206" w:leftChars="-98" w:right="-168" w:rightChars="-80" w:firstLine="481" w:firstLineChars="228"/>
        <w:rPr>
          <w:rFonts w:hint="eastAsia" w:hAnsi="宋体" w:cs="宋体"/>
          <w:b/>
          <w:bCs/>
          <w:color w:val="auto"/>
          <w:highlight w:val="none"/>
        </w:rPr>
      </w:pPr>
      <w:r>
        <w:rPr>
          <w:rFonts w:hint="eastAsia" w:hAnsi="宋体" w:cs="宋体"/>
          <w:b/>
          <w:bCs/>
          <w:color w:val="auto"/>
          <w:highlight w:val="none"/>
        </w:rPr>
        <w:t>二、详细评审评分标准</w:t>
      </w:r>
    </w:p>
    <w:p w14:paraId="1E9F8DE7">
      <w:pPr>
        <w:pStyle w:val="21"/>
        <w:spacing w:line="500" w:lineRule="exact"/>
        <w:ind w:firstLine="420" w:firstLineChars="200"/>
        <w:jc w:val="left"/>
        <w:rPr>
          <w:rFonts w:hint="eastAsia" w:hAnsi="宋体" w:cs="宋体"/>
          <w:bCs/>
          <w:color w:val="auto"/>
          <w:highlight w:val="none"/>
        </w:rPr>
      </w:pPr>
      <w:r>
        <w:rPr>
          <w:rFonts w:hint="eastAsia" w:hAnsi="宋体" w:cs="宋体"/>
          <w:bCs/>
          <w:color w:val="auto"/>
          <w:highlight w:val="none"/>
        </w:rPr>
        <w:t>首先进行资格及符合性审查评审,其次对资格及符合性审查合格的供应商进行详细评审,最后按照评审得分由高到低顺序推荐3名以上成交候选供应商，并编写评审报告。</w:t>
      </w:r>
    </w:p>
    <w:p w14:paraId="4980EA69">
      <w:pPr>
        <w:pStyle w:val="21"/>
        <w:spacing w:line="500" w:lineRule="exact"/>
        <w:ind w:firstLine="420" w:firstLineChars="200"/>
        <w:jc w:val="left"/>
        <w:rPr>
          <w:rFonts w:hint="eastAsia" w:hAnsi="宋体" w:cs="宋体"/>
          <w:color w:val="auto"/>
          <w:highlight w:val="none"/>
        </w:rPr>
      </w:pPr>
      <w:r>
        <w:rPr>
          <w:rFonts w:hint="eastAsia" w:hAnsi="宋体" w:cs="宋体"/>
          <w:color w:val="auto"/>
          <w:highlight w:val="none"/>
        </w:rPr>
        <w:t>对进入详细评审的，采用百分制对其磋商报价、施工组织设计方面进行综合评分。</w:t>
      </w:r>
    </w:p>
    <w:p w14:paraId="1DF959C4">
      <w:pPr>
        <w:pStyle w:val="21"/>
        <w:spacing w:line="500" w:lineRule="exact"/>
        <w:ind w:firstLine="420" w:firstLineChars="200"/>
        <w:jc w:val="left"/>
        <w:rPr>
          <w:rFonts w:hint="eastAsia" w:hAnsi="宋体" w:cs="宋体"/>
          <w:color w:val="auto"/>
          <w:highlight w:val="none"/>
        </w:rPr>
      </w:pPr>
      <w:r>
        <w:rPr>
          <w:rFonts w:hint="eastAsia" w:hAnsi="宋体" w:cs="宋体"/>
          <w:color w:val="auto"/>
          <w:highlight w:val="none"/>
        </w:rPr>
        <w:t>详细</w:t>
      </w:r>
      <w:r>
        <w:rPr>
          <w:rFonts w:hint="eastAsia" w:hAnsi="宋体" w:cs="宋体"/>
          <w:color w:val="auto"/>
          <w:highlight w:val="none"/>
          <w:lang w:eastAsia="zh-CN"/>
        </w:rPr>
        <w:t>评审</w:t>
      </w:r>
      <w:r>
        <w:rPr>
          <w:rFonts w:hint="eastAsia" w:hAnsi="宋体" w:cs="宋体"/>
          <w:color w:val="auto"/>
          <w:highlight w:val="none"/>
        </w:rPr>
        <w:t>标准(满分100分，按四舍五入取至百分位两位小数)</w:t>
      </w:r>
    </w:p>
    <w:tbl>
      <w:tblPr>
        <w:tblStyle w:val="40"/>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
        <w:gridCol w:w="1098"/>
        <w:gridCol w:w="709"/>
        <w:gridCol w:w="1300"/>
        <w:gridCol w:w="5345"/>
      </w:tblGrid>
      <w:tr w14:paraId="3B2C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686" w:type="dxa"/>
            <w:gridSpan w:val="2"/>
            <w:noWrap w:val="0"/>
            <w:vAlign w:val="top"/>
          </w:tcPr>
          <w:p w14:paraId="054A03F9">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审内容</w:t>
            </w:r>
          </w:p>
        </w:tc>
        <w:tc>
          <w:tcPr>
            <w:tcW w:w="709" w:type="dxa"/>
            <w:noWrap w:val="0"/>
            <w:vAlign w:val="top"/>
          </w:tcPr>
          <w:p w14:paraId="1ED62653">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分值</w:t>
            </w:r>
          </w:p>
        </w:tc>
        <w:tc>
          <w:tcPr>
            <w:tcW w:w="6645" w:type="dxa"/>
            <w:gridSpan w:val="2"/>
            <w:noWrap w:val="0"/>
            <w:vAlign w:val="top"/>
          </w:tcPr>
          <w:p w14:paraId="0459BA1A">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评审标准</w:t>
            </w:r>
          </w:p>
        </w:tc>
      </w:tr>
      <w:tr w14:paraId="3BBC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1686" w:type="dxa"/>
            <w:gridSpan w:val="2"/>
            <w:noWrap w:val="0"/>
            <w:vAlign w:val="center"/>
          </w:tcPr>
          <w:p w14:paraId="446AC5B8">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磋商报价分</w:t>
            </w:r>
          </w:p>
        </w:tc>
        <w:tc>
          <w:tcPr>
            <w:tcW w:w="709" w:type="dxa"/>
            <w:noWrap w:val="0"/>
            <w:vAlign w:val="center"/>
          </w:tcPr>
          <w:p w14:paraId="03835B2E">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0分</w:t>
            </w:r>
          </w:p>
        </w:tc>
        <w:tc>
          <w:tcPr>
            <w:tcW w:w="6645" w:type="dxa"/>
            <w:gridSpan w:val="2"/>
            <w:noWrap w:val="0"/>
            <w:vAlign w:val="center"/>
          </w:tcPr>
          <w:p w14:paraId="7C89EFC2">
            <w:pPr>
              <w:spacing w:line="360" w:lineRule="exact"/>
              <w:jc w:val="left"/>
              <w:rPr>
                <w:rFonts w:hint="eastAsia" w:ascii="宋体" w:hAnsi="宋体" w:cs="宋体"/>
                <w:color w:val="auto"/>
                <w:szCs w:val="21"/>
                <w:highlight w:val="none"/>
              </w:rPr>
            </w:pPr>
            <w:r>
              <w:rPr>
                <w:rFonts w:hint="eastAsia" w:ascii="宋体" w:hAnsi="宋体" w:cs="宋体"/>
                <w:color w:val="auto"/>
                <w:szCs w:val="21"/>
                <w:highlight w:val="none"/>
              </w:rPr>
              <w:t>（1）在评审过程中，磋商小组发现供应商的报价明显低于市场价格或者低于成本的，有可能影响服务质量和不能诚信履约的，应要求该供应商在规定的期限内提供书面文件予以解释说明。否则，磋商小组可以认定该供应商以低于成本报价磋商或报价严重不平衡、不合理，其竞标视为无效磋商。</w:t>
            </w:r>
          </w:p>
          <w:p w14:paraId="4741F68B">
            <w:pPr>
              <w:spacing w:line="360" w:lineRule="exact"/>
              <w:jc w:val="left"/>
              <w:rPr>
                <w:rFonts w:hint="eastAsia" w:ascii="宋体" w:hAnsi="宋体" w:cs="宋体"/>
                <w:color w:val="auto"/>
                <w:szCs w:val="21"/>
                <w:highlight w:val="none"/>
              </w:rPr>
            </w:pPr>
            <w:r>
              <w:rPr>
                <w:rFonts w:hint="eastAsia" w:ascii="宋体" w:hAnsi="宋体" w:cs="宋体"/>
                <w:color w:val="auto"/>
                <w:szCs w:val="21"/>
                <w:highlight w:val="none"/>
              </w:rPr>
              <w:t>（2）满足磋商文件要求且最后报价最低的供应商报价作为磋商基准价，磋商报价等于磋商基准价的得满分，</w:t>
            </w:r>
            <w:r>
              <w:rPr>
                <w:rFonts w:hint="eastAsia" w:ascii="宋体" w:hAnsi="宋体" w:cs="宋体"/>
                <w:color w:val="auto"/>
                <w:highlight w:val="none"/>
              </w:rPr>
              <w:t>其他供应商的价格分统一按照下列公式计算：</w:t>
            </w:r>
          </w:p>
          <w:p w14:paraId="22D0EFC5">
            <w:pPr>
              <w:spacing w:line="360" w:lineRule="exact"/>
              <w:rPr>
                <w:rFonts w:hint="eastAsia" w:ascii="宋体" w:hAnsi="宋体" w:cs="宋体"/>
                <w:color w:val="auto"/>
                <w:szCs w:val="21"/>
                <w:highlight w:val="none"/>
              </w:rPr>
            </w:pPr>
            <w:r>
              <w:rPr>
                <w:rFonts w:hint="eastAsia" w:ascii="宋体" w:hAnsi="宋体" w:cs="宋体"/>
                <w:color w:val="auto"/>
                <w:highlight w:val="none"/>
              </w:rPr>
              <w:t>磋商</w:t>
            </w:r>
            <w:r>
              <w:rPr>
                <w:rFonts w:hint="eastAsia" w:ascii="宋体" w:hAnsi="宋体" w:cs="宋体"/>
                <w:color w:val="auto"/>
                <w:szCs w:val="21"/>
                <w:highlight w:val="none"/>
              </w:rPr>
              <w:t>报价得分=</w:t>
            </w:r>
            <w:r>
              <w:rPr>
                <w:rFonts w:hint="eastAsia" w:ascii="宋体" w:hAnsi="宋体" w:cs="宋体"/>
                <w:color w:val="auto"/>
                <w:highlight w:val="none"/>
              </w:rPr>
              <w:t>磋商基准价/最后评标报价</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0</w:t>
            </w:r>
          </w:p>
        </w:tc>
      </w:tr>
      <w:tr w14:paraId="3E85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restart"/>
            <w:noWrap w:val="0"/>
            <w:vAlign w:val="center"/>
          </w:tcPr>
          <w:p w14:paraId="2894E1E7">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施工组织设计分</w:t>
            </w:r>
          </w:p>
        </w:tc>
        <w:tc>
          <w:tcPr>
            <w:tcW w:w="1098" w:type="dxa"/>
            <w:vMerge w:val="restart"/>
            <w:noWrap w:val="0"/>
            <w:vAlign w:val="center"/>
          </w:tcPr>
          <w:p w14:paraId="26EB6CD5">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施工进度计划和各阶段进度的保证措施及违约责任承诺</w:t>
            </w:r>
          </w:p>
        </w:tc>
        <w:tc>
          <w:tcPr>
            <w:tcW w:w="709" w:type="dxa"/>
            <w:vMerge w:val="restart"/>
            <w:noWrap w:val="0"/>
            <w:vAlign w:val="center"/>
          </w:tcPr>
          <w:p w14:paraId="6396B813">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300" w:type="dxa"/>
            <w:noWrap w:val="0"/>
            <w:vAlign w:val="center"/>
          </w:tcPr>
          <w:p w14:paraId="7A04F31C">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top"/>
          </w:tcPr>
          <w:p w14:paraId="3C165DF7">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关键线路清晰、明确、完整，计划编制合理、可行，关键节点的控制措施有力、合理、可行，进度违约责任承诺具体。</w:t>
            </w:r>
          </w:p>
        </w:tc>
      </w:tr>
      <w:tr w14:paraId="2965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23F13813">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24D25474">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2D763E12">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334BF526">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top"/>
          </w:tcPr>
          <w:p w14:paraId="7546F657">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关键线路清晰、明确、完整，计划编制可行，关键节点的控制措施合理、可行、进度违约责任承诺具体。</w:t>
            </w:r>
          </w:p>
        </w:tc>
      </w:tr>
      <w:tr w14:paraId="1A0FC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1D13DB6E">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20CD3099">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13857010">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0947FB3C">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top"/>
          </w:tcPr>
          <w:p w14:paraId="15E782CB">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关键线路基本准确，计划编制基本合理，关键节点的控制措施基本可行，进度违约责任承诺具体。</w:t>
            </w:r>
          </w:p>
        </w:tc>
      </w:tr>
      <w:tr w14:paraId="44DFB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75AA1654">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1F8062EF">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主要施工方法</w:t>
            </w:r>
          </w:p>
        </w:tc>
        <w:tc>
          <w:tcPr>
            <w:tcW w:w="709" w:type="dxa"/>
            <w:vMerge w:val="restart"/>
            <w:noWrap w:val="0"/>
            <w:vAlign w:val="center"/>
          </w:tcPr>
          <w:p w14:paraId="399A8E12">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1300" w:type="dxa"/>
            <w:noWrap w:val="0"/>
            <w:vAlign w:val="center"/>
          </w:tcPr>
          <w:p w14:paraId="410742A2">
            <w:pPr>
              <w:adjustRightInd w:val="0"/>
              <w:snapToGrid w:val="0"/>
              <w:spacing w:line="360" w:lineRule="exact"/>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top"/>
          </w:tcPr>
          <w:p w14:paraId="08E8D1F3">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各主要分部施工方法完全符合项目实际，有详尽的施工技术方案，工艺先进、方法科学合理、可行；能知道具体施工并确保安全，措施先进、具体、有效、成熟；施工段划分呼应总体表述，划分清晰、合理，符合规范要求。</w:t>
            </w:r>
          </w:p>
        </w:tc>
      </w:tr>
      <w:tr w14:paraId="0D6EF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7D950FA4">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33ADA8F7">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1180CC22">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313F6179">
            <w:pPr>
              <w:adjustRightInd w:val="0"/>
              <w:snapToGrid w:val="0"/>
              <w:spacing w:line="360" w:lineRule="exact"/>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top"/>
          </w:tcPr>
          <w:p w14:paraId="17BE33A4">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对项目总体有一定认识，表述清晰、完整，措施具体有效；施工段划分呼应总体表述，划分清晰，符合规范要求，施工</w:t>
            </w:r>
            <w:r>
              <w:rPr>
                <w:rFonts w:hint="eastAsia" w:ascii="宋体" w:hAnsi="宋体" w:cs="宋体"/>
                <w:color w:val="auto"/>
                <w:szCs w:val="21"/>
                <w:highlight w:val="none"/>
                <w:lang w:eastAsia="zh-CN"/>
              </w:rPr>
              <w:t>技术</w:t>
            </w:r>
            <w:r>
              <w:rPr>
                <w:rFonts w:hint="eastAsia" w:ascii="宋体" w:hAnsi="宋体" w:cs="宋体"/>
                <w:color w:val="auto"/>
                <w:szCs w:val="21"/>
                <w:highlight w:val="none"/>
              </w:rPr>
              <w:t>方案可行。</w:t>
            </w:r>
          </w:p>
        </w:tc>
      </w:tr>
      <w:tr w14:paraId="631B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88" w:type="dxa"/>
            <w:vMerge w:val="continue"/>
            <w:noWrap w:val="0"/>
            <w:vAlign w:val="center"/>
          </w:tcPr>
          <w:p w14:paraId="44F0A411">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59F661E3">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70C0BF20">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33C5F2E2">
            <w:pPr>
              <w:adjustRightInd w:val="0"/>
              <w:snapToGrid w:val="0"/>
              <w:spacing w:line="360" w:lineRule="exact"/>
              <w:jc w:val="center"/>
              <w:rPr>
                <w:rFonts w:hint="eastAsia" w:ascii="宋体" w:hAnsi="宋体" w:cs="宋体"/>
                <w:color w:val="auto"/>
                <w:kern w:val="2"/>
                <w:sz w:val="21"/>
                <w:szCs w:val="21"/>
                <w:highlight w:val="none"/>
                <w:lang w:val="en-US" w:eastAsia="zh-CN" w:bidi="ar-SA"/>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top"/>
          </w:tcPr>
          <w:p w14:paraId="4CEBD2FD">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各主要分部施工方法基本符合项目实际，施工技术方案基本可行，工艺基本可行、方法基本可行，基本能指导具体施工并确保基本安全。</w:t>
            </w:r>
          </w:p>
        </w:tc>
      </w:tr>
      <w:tr w14:paraId="0359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1B35ECBB">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7D9C2BC2">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机械和材料投入计划及其保证措施</w:t>
            </w:r>
          </w:p>
        </w:tc>
        <w:tc>
          <w:tcPr>
            <w:tcW w:w="709" w:type="dxa"/>
            <w:vMerge w:val="restart"/>
            <w:noWrap w:val="0"/>
            <w:vAlign w:val="center"/>
          </w:tcPr>
          <w:p w14:paraId="524864F7">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300" w:type="dxa"/>
            <w:noWrap w:val="0"/>
            <w:vAlign w:val="center"/>
          </w:tcPr>
          <w:p w14:paraId="0BA07FF2">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top"/>
          </w:tcPr>
          <w:p w14:paraId="3E320722">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投入计划与进度计划呼应，较好满足施工需要，调配投入计划合理、准确。</w:t>
            </w:r>
          </w:p>
        </w:tc>
      </w:tr>
      <w:tr w14:paraId="1C1C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2398CE11">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3E6ED74C">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0AD37719">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3E780DD7">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top"/>
          </w:tcPr>
          <w:p w14:paraId="6D927B18">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投入计划与进度计划呼应，基本满足施工需要，调配投入计划基本合理、准确。</w:t>
            </w:r>
          </w:p>
        </w:tc>
      </w:tr>
      <w:tr w14:paraId="799D3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267101F1">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4F38258A">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6D805A18">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297A3AE3">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top"/>
          </w:tcPr>
          <w:p w14:paraId="2DAD1944">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投入计划与进度计划呼应，基本满足施工需要，调配投入计划基本合理。</w:t>
            </w:r>
          </w:p>
        </w:tc>
      </w:tr>
      <w:tr w14:paraId="0CBC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3A332619">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0A58D845">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安全文明施工措施</w:t>
            </w:r>
          </w:p>
        </w:tc>
        <w:tc>
          <w:tcPr>
            <w:tcW w:w="709" w:type="dxa"/>
            <w:vMerge w:val="restart"/>
            <w:noWrap w:val="0"/>
            <w:vAlign w:val="center"/>
          </w:tcPr>
          <w:p w14:paraId="419F3288">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300" w:type="dxa"/>
            <w:noWrap w:val="0"/>
            <w:vAlign w:val="center"/>
          </w:tcPr>
          <w:p w14:paraId="6EF315CD">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center"/>
          </w:tcPr>
          <w:p w14:paraId="6B314766">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针对项目实际情况，有先进、具体、完整、可行的实施措施，采用规范正确、清晰。</w:t>
            </w:r>
          </w:p>
        </w:tc>
      </w:tr>
      <w:tr w14:paraId="0101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495C9AD7">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613AAB43">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26573D4B">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61CF1A35">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center"/>
          </w:tcPr>
          <w:p w14:paraId="7D3144A8">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针对项目实际情况，有合理的措施且具体、完整，采用规范正确。</w:t>
            </w:r>
          </w:p>
        </w:tc>
      </w:tr>
      <w:tr w14:paraId="5D4D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4C07DCFE">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46DFD3AD">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5D782FDF">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0DA10FE6">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center"/>
          </w:tcPr>
          <w:p w14:paraId="24D8D403">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有基本合理的措施，采用规范正确。</w:t>
            </w:r>
          </w:p>
        </w:tc>
      </w:tr>
      <w:tr w14:paraId="4B19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588" w:type="dxa"/>
            <w:vMerge w:val="continue"/>
            <w:noWrap w:val="0"/>
            <w:vAlign w:val="center"/>
          </w:tcPr>
          <w:p w14:paraId="1DEFB58C">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31D9B163">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质量保证措施</w:t>
            </w:r>
          </w:p>
        </w:tc>
        <w:tc>
          <w:tcPr>
            <w:tcW w:w="709" w:type="dxa"/>
            <w:vMerge w:val="restart"/>
            <w:noWrap w:val="0"/>
            <w:vAlign w:val="center"/>
          </w:tcPr>
          <w:p w14:paraId="50024A9E">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300" w:type="dxa"/>
            <w:noWrap w:val="0"/>
            <w:vAlign w:val="center"/>
          </w:tcPr>
          <w:p w14:paraId="559AED60">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center"/>
          </w:tcPr>
          <w:p w14:paraId="5ADCFD2B">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针对项目实际提出先进、可行、具体的保证措施，超过竞争性磋商文件的质量要求及施工验收规范要求。</w:t>
            </w:r>
          </w:p>
        </w:tc>
      </w:tr>
      <w:tr w14:paraId="33DE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88" w:type="dxa"/>
            <w:vMerge w:val="continue"/>
            <w:noWrap w:val="0"/>
            <w:vAlign w:val="center"/>
          </w:tcPr>
          <w:p w14:paraId="580C9BDF">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49BB1F1A">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45232F31">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72A4EF6A">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center"/>
          </w:tcPr>
          <w:p w14:paraId="371B655B">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针对项目实际提出先进、可行、具体的保证措施，满足竞争性磋商文件的质量要求。</w:t>
            </w:r>
          </w:p>
        </w:tc>
      </w:tr>
      <w:tr w14:paraId="0C56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542C4F16">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68FDE84B">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6A54D2D9">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2D445A19">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center"/>
          </w:tcPr>
          <w:p w14:paraId="16C80595">
            <w:pPr>
              <w:spacing w:line="360" w:lineRule="exact"/>
              <w:rPr>
                <w:rFonts w:hint="eastAsia" w:ascii="宋体" w:hAnsi="宋体" w:cs="宋体"/>
                <w:color w:val="auto"/>
                <w:szCs w:val="21"/>
                <w:highlight w:val="none"/>
              </w:rPr>
            </w:pPr>
            <w:r>
              <w:rPr>
                <w:rFonts w:hint="eastAsia" w:ascii="宋体" w:hAnsi="宋体" w:cs="宋体"/>
                <w:color w:val="auto"/>
                <w:szCs w:val="21"/>
                <w:highlight w:val="none"/>
              </w:rPr>
              <w:t>具体措施可行，满足竞争性磋商文件的质量要求。</w:t>
            </w:r>
          </w:p>
        </w:tc>
      </w:tr>
      <w:tr w14:paraId="52A36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28CC9C04">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39670830">
            <w:pPr>
              <w:adjustRightInd w:val="0"/>
              <w:snapToGrid w:val="0"/>
              <w:spacing w:line="360" w:lineRule="exact"/>
              <w:jc w:val="center"/>
              <w:rPr>
                <w:rFonts w:hint="eastAsia" w:ascii="宋体" w:hAnsi="宋体" w:cs="宋体"/>
                <w:color w:val="auto"/>
                <w:szCs w:val="21"/>
                <w:highlight w:val="none"/>
              </w:rPr>
            </w:pPr>
            <w:r>
              <w:rPr>
                <w:rFonts w:hint="eastAsia" w:ascii="宋体" w:hAnsi="宋体" w:eastAsia="宋体" w:cs="宋体"/>
                <w:color w:val="auto"/>
                <w:szCs w:val="21"/>
                <w:highlight w:val="none"/>
              </w:rPr>
              <w:t>劳动力安排计划</w:t>
            </w:r>
          </w:p>
        </w:tc>
        <w:tc>
          <w:tcPr>
            <w:tcW w:w="709" w:type="dxa"/>
            <w:vMerge w:val="restart"/>
            <w:noWrap w:val="0"/>
            <w:vAlign w:val="center"/>
          </w:tcPr>
          <w:p w14:paraId="0D1152F0">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分</w:t>
            </w:r>
          </w:p>
        </w:tc>
        <w:tc>
          <w:tcPr>
            <w:tcW w:w="1300" w:type="dxa"/>
            <w:noWrap w:val="0"/>
            <w:vAlign w:val="center"/>
          </w:tcPr>
          <w:p w14:paraId="265A29B5">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7</w:t>
            </w:r>
            <w:r>
              <w:rPr>
                <w:rFonts w:hint="eastAsia" w:ascii="宋体" w:hAnsi="宋体" w:cs="宋体"/>
                <w:color w:val="auto"/>
                <w:kern w:val="0"/>
                <w:szCs w:val="21"/>
                <w:highlight w:val="none"/>
              </w:rPr>
              <w:t>分</w:t>
            </w:r>
          </w:p>
        </w:tc>
        <w:tc>
          <w:tcPr>
            <w:tcW w:w="5345" w:type="dxa"/>
            <w:noWrap w:val="0"/>
            <w:vAlign w:val="center"/>
          </w:tcPr>
          <w:p w14:paraId="35462588">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各主要施工工序应有详细周密的劳动力安排计划，有各工种劳动力安排计划，劳动力投入合理，满足施工需要。</w:t>
            </w:r>
          </w:p>
        </w:tc>
      </w:tr>
      <w:tr w14:paraId="3D09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138AE075">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3E1DA904">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13E9A06B">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209DED16">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4</w:t>
            </w:r>
            <w:r>
              <w:rPr>
                <w:rFonts w:hint="eastAsia" w:ascii="宋体" w:hAnsi="宋体" w:cs="宋体"/>
                <w:color w:val="auto"/>
                <w:kern w:val="0"/>
                <w:szCs w:val="21"/>
                <w:highlight w:val="none"/>
              </w:rPr>
              <w:t>分</w:t>
            </w:r>
          </w:p>
        </w:tc>
        <w:tc>
          <w:tcPr>
            <w:tcW w:w="5345" w:type="dxa"/>
            <w:noWrap w:val="0"/>
            <w:vAlign w:val="center"/>
          </w:tcPr>
          <w:p w14:paraId="3CEB7380">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各主要施工工序有劳动力安排计划，有各工种劳动力安排计划，劳动力投入合理，满足施工需要。</w:t>
            </w:r>
          </w:p>
        </w:tc>
      </w:tr>
      <w:tr w14:paraId="263E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1C890FCC">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6CDD37BD">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06E9FB8E">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5CC1E547">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w:t>
            </w:r>
            <w:r>
              <w:rPr>
                <w:rFonts w:hint="eastAsia" w:ascii="宋体" w:hAnsi="宋体" w:cs="宋体"/>
                <w:color w:val="auto"/>
                <w:kern w:val="0"/>
                <w:szCs w:val="21"/>
                <w:highlight w:val="none"/>
              </w:rPr>
              <w:t>分</w:t>
            </w:r>
          </w:p>
        </w:tc>
        <w:tc>
          <w:tcPr>
            <w:tcW w:w="5345" w:type="dxa"/>
            <w:noWrap w:val="0"/>
            <w:vAlign w:val="center"/>
          </w:tcPr>
          <w:p w14:paraId="78966E06">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各主要施工工序有劳动力安排计划，有各工种劳动力安排计划，劳动力投入基本合理，基本满足施工需要。</w:t>
            </w:r>
          </w:p>
        </w:tc>
      </w:tr>
      <w:tr w14:paraId="7F8F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00CF5BEA">
            <w:pPr>
              <w:adjustRightInd w:val="0"/>
              <w:snapToGrid w:val="0"/>
              <w:spacing w:line="360" w:lineRule="exact"/>
              <w:jc w:val="center"/>
              <w:rPr>
                <w:rFonts w:hint="eastAsia" w:ascii="宋体" w:hAnsi="宋体" w:cs="宋体"/>
                <w:color w:val="auto"/>
                <w:szCs w:val="21"/>
                <w:highlight w:val="none"/>
              </w:rPr>
            </w:pPr>
          </w:p>
        </w:tc>
        <w:tc>
          <w:tcPr>
            <w:tcW w:w="1098" w:type="dxa"/>
            <w:vMerge w:val="restart"/>
            <w:noWrap w:val="0"/>
            <w:vAlign w:val="center"/>
          </w:tcPr>
          <w:p w14:paraId="09D5A9A3">
            <w:pPr>
              <w:adjustRightInd w:val="0"/>
              <w:snapToGrid w:val="0"/>
              <w:spacing w:line="360" w:lineRule="exact"/>
              <w:jc w:val="center"/>
              <w:rPr>
                <w:rFonts w:hint="eastAsia" w:ascii="宋体" w:hAnsi="宋体" w:cs="宋体"/>
                <w:color w:val="auto"/>
                <w:szCs w:val="21"/>
                <w:highlight w:val="none"/>
              </w:rPr>
            </w:pPr>
            <w:r>
              <w:rPr>
                <w:rFonts w:hint="eastAsia" w:ascii="宋体" w:hAnsi="宋体" w:eastAsia="宋体" w:cs="宋体"/>
                <w:color w:val="auto"/>
                <w:szCs w:val="21"/>
                <w:highlight w:val="none"/>
              </w:rPr>
              <w:t>确保工期的技术组织措施</w:t>
            </w:r>
          </w:p>
        </w:tc>
        <w:tc>
          <w:tcPr>
            <w:tcW w:w="709" w:type="dxa"/>
            <w:vMerge w:val="restart"/>
            <w:noWrap w:val="0"/>
            <w:vAlign w:val="center"/>
          </w:tcPr>
          <w:p w14:paraId="788F8041">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分</w:t>
            </w:r>
          </w:p>
        </w:tc>
        <w:tc>
          <w:tcPr>
            <w:tcW w:w="1300" w:type="dxa"/>
            <w:noWrap w:val="0"/>
            <w:vAlign w:val="center"/>
          </w:tcPr>
          <w:p w14:paraId="19E770C5">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345" w:type="dxa"/>
            <w:noWrap w:val="0"/>
            <w:vAlign w:val="center"/>
          </w:tcPr>
          <w:p w14:paraId="450AE064">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 xml:space="preserve">关键线路清晰、准确、完整，计划编制合理、可行，关键节点的控制措施有力、合理、可行，进度违约责任承诺具体。 </w:t>
            </w:r>
          </w:p>
        </w:tc>
      </w:tr>
      <w:tr w14:paraId="25292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30A113F0">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0076E4F0">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19390940">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6D41A4EE">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6</w:t>
            </w:r>
            <w:r>
              <w:rPr>
                <w:rFonts w:hint="eastAsia" w:ascii="宋体" w:hAnsi="宋体" w:cs="宋体"/>
                <w:color w:val="auto"/>
                <w:kern w:val="0"/>
                <w:szCs w:val="21"/>
                <w:highlight w:val="none"/>
              </w:rPr>
              <w:t>分</w:t>
            </w:r>
          </w:p>
        </w:tc>
        <w:tc>
          <w:tcPr>
            <w:tcW w:w="5345" w:type="dxa"/>
            <w:noWrap w:val="0"/>
            <w:vAlign w:val="center"/>
          </w:tcPr>
          <w:p w14:paraId="1882A5BF">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 xml:space="preserve">关键线路准确，计划编制可行，关键节点的控制措施合理、可行，进度违约责任承诺具体。 </w:t>
            </w:r>
          </w:p>
        </w:tc>
      </w:tr>
      <w:tr w14:paraId="65A8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588" w:type="dxa"/>
            <w:vMerge w:val="continue"/>
            <w:noWrap w:val="0"/>
            <w:vAlign w:val="center"/>
          </w:tcPr>
          <w:p w14:paraId="377CB06E">
            <w:pPr>
              <w:adjustRightInd w:val="0"/>
              <w:snapToGrid w:val="0"/>
              <w:spacing w:line="360" w:lineRule="exact"/>
              <w:jc w:val="center"/>
              <w:rPr>
                <w:rFonts w:hint="eastAsia" w:ascii="宋体" w:hAnsi="宋体" w:cs="宋体"/>
                <w:color w:val="auto"/>
                <w:szCs w:val="21"/>
                <w:highlight w:val="none"/>
              </w:rPr>
            </w:pPr>
          </w:p>
        </w:tc>
        <w:tc>
          <w:tcPr>
            <w:tcW w:w="1098" w:type="dxa"/>
            <w:vMerge w:val="continue"/>
            <w:noWrap w:val="0"/>
            <w:vAlign w:val="center"/>
          </w:tcPr>
          <w:p w14:paraId="4B02C3DF">
            <w:pPr>
              <w:adjustRightInd w:val="0"/>
              <w:snapToGrid w:val="0"/>
              <w:spacing w:line="360" w:lineRule="exact"/>
              <w:jc w:val="center"/>
              <w:rPr>
                <w:rFonts w:hint="eastAsia" w:ascii="宋体" w:hAnsi="宋体" w:cs="宋体"/>
                <w:color w:val="auto"/>
                <w:szCs w:val="21"/>
                <w:highlight w:val="none"/>
              </w:rPr>
            </w:pPr>
          </w:p>
        </w:tc>
        <w:tc>
          <w:tcPr>
            <w:tcW w:w="709" w:type="dxa"/>
            <w:vMerge w:val="continue"/>
            <w:noWrap w:val="0"/>
            <w:vAlign w:val="center"/>
          </w:tcPr>
          <w:p w14:paraId="2CB1981B">
            <w:pPr>
              <w:adjustRightInd w:val="0"/>
              <w:snapToGrid w:val="0"/>
              <w:spacing w:line="360" w:lineRule="exact"/>
              <w:jc w:val="center"/>
              <w:rPr>
                <w:rFonts w:hint="eastAsia" w:ascii="宋体" w:hAnsi="宋体" w:cs="宋体"/>
                <w:color w:val="auto"/>
                <w:szCs w:val="21"/>
                <w:highlight w:val="none"/>
              </w:rPr>
            </w:pPr>
          </w:p>
        </w:tc>
        <w:tc>
          <w:tcPr>
            <w:tcW w:w="1300" w:type="dxa"/>
            <w:noWrap w:val="0"/>
            <w:vAlign w:val="center"/>
          </w:tcPr>
          <w:p w14:paraId="6766E382">
            <w:pPr>
              <w:adjustRightInd w:val="0"/>
              <w:snapToGrid w:val="0"/>
              <w:spacing w:line="36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2</w:t>
            </w:r>
            <w:r>
              <w:rPr>
                <w:rFonts w:hint="eastAsia" w:ascii="宋体" w:hAnsi="宋体" w:cs="宋体"/>
                <w:color w:val="auto"/>
                <w:kern w:val="0"/>
                <w:szCs w:val="21"/>
                <w:highlight w:val="none"/>
              </w:rPr>
              <w:t>分</w:t>
            </w:r>
          </w:p>
        </w:tc>
        <w:tc>
          <w:tcPr>
            <w:tcW w:w="5345" w:type="dxa"/>
            <w:noWrap w:val="0"/>
            <w:vAlign w:val="center"/>
          </w:tcPr>
          <w:p w14:paraId="020E36CB">
            <w:pPr>
              <w:spacing w:line="360" w:lineRule="exact"/>
              <w:rPr>
                <w:rFonts w:hint="eastAsia" w:ascii="宋体" w:hAnsi="宋体" w:cs="宋体"/>
                <w:color w:val="auto"/>
                <w:szCs w:val="21"/>
                <w:highlight w:val="none"/>
              </w:rPr>
            </w:pPr>
            <w:r>
              <w:rPr>
                <w:rFonts w:hint="eastAsia" w:ascii="宋体" w:hAnsi="宋体" w:eastAsia="宋体" w:cs="宋体"/>
                <w:color w:val="auto"/>
                <w:szCs w:val="21"/>
                <w:highlight w:val="none"/>
              </w:rPr>
              <w:t>关键线路基本准确，计划编制基本合理，关键节点的控制措施基本可行，进度违约责任承诺具体。</w:t>
            </w:r>
          </w:p>
        </w:tc>
      </w:tr>
      <w:tr w14:paraId="79FF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686" w:type="dxa"/>
            <w:gridSpan w:val="2"/>
            <w:noWrap w:val="0"/>
            <w:vAlign w:val="center"/>
          </w:tcPr>
          <w:p w14:paraId="5496AD96">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企业业绩</w:t>
            </w:r>
            <w:r>
              <w:rPr>
                <w:rFonts w:hint="eastAsia" w:ascii="宋体" w:hAnsi="宋体" w:cs="宋体"/>
                <w:color w:val="auto"/>
                <w:spacing w:val="-4"/>
                <w:szCs w:val="21"/>
                <w:highlight w:val="none"/>
              </w:rPr>
              <w:t>分</w:t>
            </w:r>
          </w:p>
        </w:tc>
        <w:tc>
          <w:tcPr>
            <w:tcW w:w="709" w:type="dxa"/>
            <w:noWrap w:val="0"/>
            <w:vAlign w:val="center"/>
          </w:tcPr>
          <w:p w14:paraId="451CF21A">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pacing w:val="-4"/>
                <w:szCs w:val="21"/>
                <w:highlight w:val="none"/>
                <w:lang w:val="en-US" w:eastAsia="zh-CN"/>
              </w:rPr>
              <w:t>3</w:t>
            </w:r>
            <w:r>
              <w:rPr>
                <w:rFonts w:hint="eastAsia" w:ascii="宋体" w:hAnsi="宋体" w:cs="宋体"/>
                <w:color w:val="auto"/>
                <w:spacing w:val="-4"/>
                <w:szCs w:val="21"/>
                <w:highlight w:val="none"/>
              </w:rPr>
              <w:t>分</w:t>
            </w:r>
          </w:p>
        </w:tc>
        <w:tc>
          <w:tcPr>
            <w:tcW w:w="6645" w:type="dxa"/>
            <w:gridSpan w:val="2"/>
            <w:noWrap w:val="0"/>
            <w:vAlign w:val="center"/>
          </w:tcPr>
          <w:p w14:paraId="03613D95">
            <w:pPr>
              <w:adjustRightInd w:val="0"/>
              <w:snapToGrid w:val="0"/>
              <w:spacing w:line="360" w:lineRule="exact"/>
              <w:jc w:val="left"/>
              <w:rPr>
                <w:rFonts w:hint="eastAsia" w:ascii="宋体" w:hAnsi="宋体" w:cs="宋体"/>
                <w:color w:val="auto"/>
                <w:szCs w:val="21"/>
                <w:highlight w:val="none"/>
              </w:rPr>
            </w:pPr>
            <w:r>
              <w:rPr>
                <w:rFonts w:hint="eastAsia" w:ascii="宋体" w:hAnsi="宋体" w:cs="宋体"/>
                <w:color w:val="auto"/>
                <w:szCs w:val="21"/>
                <w:highlight w:val="none"/>
              </w:rPr>
              <w:t>磋商人近三年完成过</w:t>
            </w:r>
            <w:r>
              <w:rPr>
                <w:rFonts w:hint="eastAsia" w:ascii="宋体" w:hAnsi="宋体" w:cs="宋体"/>
                <w:color w:val="auto"/>
                <w:szCs w:val="21"/>
                <w:highlight w:val="none"/>
                <w:lang w:val="en-US" w:eastAsia="zh-CN"/>
              </w:rPr>
              <w:t>建筑工程</w:t>
            </w:r>
            <w:r>
              <w:rPr>
                <w:rFonts w:hint="eastAsia" w:ascii="宋体" w:hAnsi="宋体" w:cs="宋体"/>
                <w:color w:val="auto"/>
                <w:szCs w:val="21"/>
                <w:highlight w:val="none"/>
              </w:rPr>
              <w:t>的每项得</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分，满分得</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分。（必须附中标通知书</w:t>
            </w:r>
            <w:r>
              <w:rPr>
                <w:rFonts w:hint="eastAsia" w:ascii="宋体" w:hAnsi="宋体" w:cs="宋体"/>
                <w:color w:val="auto"/>
                <w:szCs w:val="21"/>
                <w:highlight w:val="none"/>
                <w:lang w:eastAsia="zh-CN"/>
              </w:rPr>
              <w:t>或</w:t>
            </w:r>
            <w:r>
              <w:rPr>
                <w:rFonts w:hint="eastAsia" w:ascii="宋体" w:hAnsi="宋体" w:cs="宋体"/>
                <w:color w:val="auto"/>
                <w:szCs w:val="21"/>
                <w:highlight w:val="none"/>
              </w:rPr>
              <w:t>施工合同复印件，否则不予得分）</w:t>
            </w:r>
          </w:p>
        </w:tc>
      </w:tr>
      <w:tr w14:paraId="77C7D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1686" w:type="dxa"/>
            <w:gridSpan w:val="2"/>
            <w:noWrap w:val="0"/>
            <w:vAlign w:val="center"/>
          </w:tcPr>
          <w:p w14:paraId="23D1D448">
            <w:pPr>
              <w:adjustRightInd w:val="0"/>
              <w:snapToGrid w:val="0"/>
              <w:spacing w:line="360" w:lineRule="exact"/>
              <w:jc w:val="center"/>
              <w:rPr>
                <w:rFonts w:hint="eastAsia" w:ascii="宋体" w:hAnsi="宋体" w:cs="宋体"/>
                <w:color w:val="auto"/>
                <w:szCs w:val="21"/>
                <w:highlight w:val="none"/>
              </w:rPr>
            </w:pPr>
            <w:r>
              <w:rPr>
                <w:rFonts w:hint="eastAsia" w:ascii="宋体" w:hAnsi="宋体" w:cs="宋体"/>
                <w:color w:val="auto"/>
                <w:szCs w:val="21"/>
                <w:highlight w:val="none"/>
              </w:rPr>
              <w:t>磋商供应商综合得分</w:t>
            </w:r>
          </w:p>
        </w:tc>
        <w:tc>
          <w:tcPr>
            <w:tcW w:w="7354" w:type="dxa"/>
            <w:gridSpan w:val="3"/>
            <w:noWrap w:val="0"/>
            <w:vAlign w:val="center"/>
          </w:tcPr>
          <w:p w14:paraId="215C9BE3">
            <w:pPr>
              <w:adjustRightInd w:val="0"/>
              <w:snapToGrid w:val="0"/>
              <w:spacing w:line="360" w:lineRule="exact"/>
              <w:rPr>
                <w:rFonts w:hint="eastAsia" w:ascii="宋体" w:hAnsi="宋体" w:cs="宋体"/>
                <w:color w:val="auto"/>
                <w:szCs w:val="21"/>
                <w:highlight w:val="none"/>
              </w:rPr>
            </w:pPr>
            <w:r>
              <w:rPr>
                <w:rFonts w:hint="eastAsia" w:ascii="宋体" w:hAnsi="宋体" w:cs="宋体"/>
                <w:color w:val="auto"/>
                <w:szCs w:val="21"/>
                <w:highlight w:val="none"/>
              </w:rPr>
              <w:t>磋商供应商综合得分=磋商报价分+施工组织设计分+</w:t>
            </w:r>
            <w:r>
              <w:rPr>
                <w:rFonts w:hint="eastAsia" w:hAnsi="宋体" w:cs="宋体"/>
                <w:color w:val="auto"/>
                <w:highlight w:val="none"/>
              </w:rPr>
              <w:t>企业</w:t>
            </w:r>
            <w:r>
              <w:rPr>
                <w:rFonts w:hint="eastAsia" w:hAnsi="宋体" w:cs="宋体"/>
                <w:color w:val="auto"/>
                <w:szCs w:val="21"/>
                <w:highlight w:val="none"/>
              </w:rPr>
              <w:t>业绩</w:t>
            </w:r>
            <w:r>
              <w:rPr>
                <w:rFonts w:hint="eastAsia" w:ascii="宋体" w:hAnsi="宋体" w:cs="宋体"/>
                <w:color w:val="auto"/>
                <w:szCs w:val="21"/>
                <w:highlight w:val="none"/>
              </w:rPr>
              <w:t>分。</w:t>
            </w:r>
          </w:p>
        </w:tc>
      </w:tr>
    </w:tbl>
    <w:p w14:paraId="39FE0DE2">
      <w:pPr>
        <w:pStyle w:val="21"/>
        <w:spacing w:line="360" w:lineRule="exact"/>
        <w:rPr>
          <w:rFonts w:hint="eastAsia" w:hAnsi="宋体" w:cs="宋体"/>
          <w:color w:val="auto"/>
          <w:szCs w:val="21"/>
          <w:highlight w:val="none"/>
        </w:rPr>
      </w:pPr>
    </w:p>
    <w:p w14:paraId="332D9593">
      <w:pPr>
        <w:pStyle w:val="21"/>
        <w:spacing w:line="360" w:lineRule="exact"/>
        <w:rPr>
          <w:rFonts w:hint="eastAsia" w:hAnsi="宋体" w:cs="宋体"/>
          <w:b/>
          <w:color w:val="auto"/>
          <w:highlight w:val="none"/>
        </w:rPr>
      </w:pPr>
      <w:r>
        <w:rPr>
          <w:rFonts w:hint="eastAsia" w:hAnsi="宋体" w:cs="宋体"/>
          <w:b/>
          <w:color w:val="auto"/>
          <w:highlight w:val="none"/>
        </w:rPr>
        <w:t>四、成交候选人推荐和确定原则</w:t>
      </w:r>
    </w:p>
    <w:p w14:paraId="60D45A75">
      <w:pPr>
        <w:widowControl/>
        <w:spacing w:line="440" w:lineRule="exact"/>
        <w:ind w:right="-162" w:rightChars="-77" w:firstLine="4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次评标采用综合评估法。磋商小组对满足竞争性磋商文件实质性要求的磋商响应文件，按上述评标标准进行打分，在所有实质性条款、资质、工期、项目管理机构配备及施工组织设计均能满足要求的前提下，按综合得分由高到低顺序推荐成交候选人三名，但磋商报价低于其成本的除外。综合评分相等时，以磋商报价低的优先；磋商价也相等时，以企业信誉实力分高的优先；企业信誉实力分也相等的，以企业用于该项工程投标的资质高的优先；企业用于该项工程投标的资质也相等的，以技术得分高的优先；技术得分也相等的，由磋商小组采用记名投票方式确定。</w:t>
      </w:r>
    </w:p>
    <w:p w14:paraId="61C3AAF4">
      <w:pPr>
        <w:widowControl/>
        <w:spacing w:line="440" w:lineRule="exact"/>
        <w:ind w:right="-162" w:rightChars="-77" w:firstLine="42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采购人应当确定磋商小组推荐排名第一的成交候选供应商为成交供应商。排名第一的成交供应商放弃成交、因不可抗力提出不能履行合同，采购人可以确定排名第二的成交候选供应商为成交供应商。排名第二的成交供应商因前款规定的同样原因不能签订合同的，采购人可以确定排名第三的成交候选供应商为成交供应商，其余以此类推。</w:t>
      </w:r>
    </w:p>
    <w:p w14:paraId="23DD06C3">
      <w:pPr>
        <w:pStyle w:val="26"/>
        <w:rPr>
          <w:rFonts w:hint="eastAsia"/>
          <w:color w:val="auto"/>
          <w:highlight w:val="none"/>
        </w:rPr>
      </w:pPr>
    </w:p>
    <w:p w14:paraId="700749ED">
      <w:pPr>
        <w:pStyle w:val="26"/>
        <w:rPr>
          <w:rFonts w:hint="eastAsia"/>
          <w:color w:val="auto"/>
          <w:highlight w:val="none"/>
        </w:rPr>
      </w:pPr>
    </w:p>
    <w:p w14:paraId="48C6686C">
      <w:pPr>
        <w:pStyle w:val="26"/>
        <w:rPr>
          <w:rFonts w:hint="eastAsia"/>
          <w:color w:val="auto"/>
          <w:highlight w:val="none"/>
        </w:rPr>
      </w:pPr>
    </w:p>
    <w:p w14:paraId="407319B1">
      <w:pPr>
        <w:pStyle w:val="26"/>
        <w:rPr>
          <w:rFonts w:hint="eastAsia"/>
          <w:color w:val="auto"/>
          <w:highlight w:val="none"/>
        </w:rPr>
      </w:pPr>
    </w:p>
    <w:p w14:paraId="21CD4329">
      <w:pPr>
        <w:pStyle w:val="26"/>
        <w:rPr>
          <w:rFonts w:hint="eastAsia"/>
          <w:color w:val="auto"/>
          <w:highlight w:val="none"/>
        </w:rPr>
      </w:pPr>
    </w:p>
    <w:p w14:paraId="16CAF229">
      <w:pPr>
        <w:pStyle w:val="26"/>
        <w:rPr>
          <w:rFonts w:hint="eastAsia"/>
          <w:color w:val="auto"/>
          <w:highlight w:val="none"/>
        </w:rPr>
      </w:pPr>
    </w:p>
    <w:p w14:paraId="0BBA17D7">
      <w:pPr>
        <w:pStyle w:val="26"/>
        <w:rPr>
          <w:rFonts w:hint="eastAsia"/>
          <w:color w:val="auto"/>
          <w:highlight w:val="none"/>
        </w:rPr>
      </w:pPr>
    </w:p>
    <w:p w14:paraId="4E47C98A">
      <w:pPr>
        <w:pStyle w:val="26"/>
        <w:rPr>
          <w:rFonts w:hint="eastAsia"/>
          <w:color w:val="auto"/>
          <w:highlight w:val="none"/>
        </w:rPr>
      </w:pPr>
    </w:p>
    <w:p w14:paraId="21FF82FE">
      <w:pPr>
        <w:pStyle w:val="26"/>
        <w:rPr>
          <w:rFonts w:hint="eastAsia"/>
          <w:color w:val="auto"/>
          <w:highlight w:val="none"/>
        </w:rPr>
      </w:pPr>
    </w:p>
    <w:p w14:paraId="72B3177B">
      <w:pPr>
        <w:pStyle w:val="26"/>
        <w:rPr>
          <w:rFonts w:hint="eastAsia" w:eastAsia="宋体"/>
          <w:color w:val="auto"/>
          <w:highlight w:val="none"/>
          <w:lang w:eastAsia="zh-CN"/>
        </w:rPr>
      </w:pPr>
    </w:p>
    <w:p w14:paraId="47EAF10F">
      <w:pPr>
        <w:pStyle w:val="26"/>
        <w:rPr>
          <w:rFonts w:hint="eastAsia" w:eastAsia="宋体"/>
          <w:color w:val="auto"/>
          <w:highlight w:val="none"/>
          <w:lang w:eastAsia="zh-CN"/>
        </w:rPr>
      </w:pPr>
    </w:p>
    <w:p w14:paraId="333A1BAA">
      <w:pPr>
        <w:pStyle w:val="26"/>
        <w:rPr>
          <w:rFonts w:hint="eastAsia" w:eastAsia="宋体"/>
          <w:color w:val="auto"/>
          <w:highlight w:val="none"/>
          <w:lang w:eastAsia="zh-CN"/>
        </w:rPr>
      </w:pPr>
    </w:p>
    <w:p w14:paraId="7956FD51">
      <w:pPr>
        <w:pStyle w:val="26"/>
        <w:rPr>
          <w:rFonts w:hint="eastAsia" w:eastAsia="宋体"/>
          <w:color w:val="auto"/>
          <w:highlight w:val="none"/>
          <w:lang w:eastAsia="zh-CN"/>
        </w:rPr>
      </w:pPr>
    </w:p>
    <w:p w14:paraId="6BDB6D38">
      <w:pPr>
        <w:pStyle w:val="26"/>
        <w:rPr>
          <w:rFonts w:hint="eastAsia" w:eastAsia="宋体"/>
          <w:color w:val="auto"/>
          <w:highlight w:val="none"/>
          <w:lang w:eastAsia="zh-CN"/>
        </w:rPr>
      </w:pPr>
    </w:p>
    <w:p w14:paraId="2505BF98">
      <w:pPr>
        <w:pStyle w:val="26"/>
        <w:rPr>
          <w:rFonts w:hint="eastAsia" w:eastAsia="宋体"/>
          <w:color w:val="auto"/>
          <w:highlight w:val="none"/>
          <w:lang w:eastAsia="zh-CN"/>
        </w:rPr>
      </w:pPr>
    </w:p>
    <w:p w14:paraId="3720DD9F">
      <w:pPr>
        <w:pStyle w:val="26"/>
        <w:rPr>
          <w:rFonts w:hint="eastAsia" w:eastAsia="宋体"/>
          <w:color w:val="auto"/>
          <w:highlight w:val="none"/>
          <w:lang w:eastAsia="zh-CN"/>
        </w:rPr>
      </w:pPr>
    </w:p>
    <w:p w14:paraId="1A5452B9">
      <w:pPr>
        <w:pStyle w:val="26"/>
        <w:rPr>
          <w:rFonts w:hint="eastAsia" w:eastAsia="宋体"/>
          <w:color w:val="auto"/>
          <w:highlight w:val="none"/>
          <w:lang w:eastAsia="zh-CN"/>
        </w:rPr>
      </w:pPr>
    </w:p>
    <w:p w14:paraId="0E8FF67C">
      <w:pPr>
        <w:pStyle w:val="26"/>
        <w:rPr>
          <w:rFonts w:hint="eastAsia" w:eastAsia="宋体"/>
          <w:color w:val="auto"/>
          <w:highlight w:val="none"/>
          <w:lang w:eastAsia="zh-CN"/>
        </w:rPr>
      </w:pPr>
    </w:p>
    <w:p w14:paraId="05A956FF">
      <w:pPr>
        <w:pStyle w:val="26"/>
        <w:rPr>
          <w:rFonts w:hint="eastAsia" w:eastAsia="宋体"/>
          <w:color w:val="auto"/>
          <w:highlight w:val="none"/>
          <w:lang w:eastAsia="zh-CN"/>
        </w:rPr>
      </w:pPr>
    </w:p>
    <w:p w14:paraId="10AB6693">
      <w:pPr>
        <w:pStyle w:val="26"/>
        <w:rPr>
          <w:rFonts w:hint="eastAsia" w:eastAsia="宋体"/>
          <w:color w:val="auto"/>
          <w:highlight w:val="none"/>
          <w:lang w:eastAsia="zh-CN"/>
        </w:rPr>
      </w:pPr>
    </w:p>
    <w:p w14:paraId="3DB2548E">
      <w:pPr>
        <w:pStyle w:val="26"/>
        <w:rPr>
          <w:rFonts w:hint="eastAsia" w:eastAsia="宋体"/>
          <w:color w:val="auto"/>
          <w:highlight w:val="none"/>
          <w:lang w:eastAsia="zh-CN"/>
        </w:rPr>
      </w:pPr>
    </w:p>
    <w:p w14:paraId="0E6D9FB0">
      <w:pPr>
        <w:pStyle w:val="26"/>
        <w:rPr>
          <w:rFonts w:hint="eastAsia" w:eastAsia="宋体"/>
          <w:color w:val="auto"/>
          <w:highlight w:val="none"/>
          <w:lang w:eastAsia="zh-CN"/>
        </w:rPr>
      </w:pPr>
    </w:p>
    <w:p w14:paraId="6318CCDE">
      <w:pPr>
        <w:pStyle w:val="26"/>
        <w:rPr>
          <w:rFonts w:hint="eastAsia" w:eastAsia="宋体"/>
          <w:color w:val="auto"/>
          <w:highlight w:val="none"/>
          <w:lang w:eastAsia="zh-CN"/>
        </w:rPr>
      </w:pPr>
    </w:p>
    <w:p w14:paraId="7AA55FCD">
      <w:pPr>
        <w:pStyle w:val="26"/>
        <w:rPr>
          <w:rFonts w:hint="eastAsia" w:eastAsia="宋体"/>
          <w:color w:val="auto"/>
          <w:highlight w:val="none"/>
          <w:lang w:eastAsia="zh-CN"/>
        </w:rPr>
      </w:pPr>
    </w:p>
    <w:p w14:paraId="46D08837">
      <w:pPr>
        <w:pStyle w:val="26"/>
        <w:rPr>
          <w:rFonts w:hint="eastAsia" w:eastAsia="宋体"/>
          <w:color w:val="auto"/>
          <w:highlight w:val="none"/>
          <w:lang w:eastAsia="zh-CN"/>
        </w:rPr>
      </w:pPr>
    </w:p>
    <w:p w14:paraId="67BE5167">
      <w:pPr>
        <w:pStyle w:val="26"/>
        <w:rPr>
          <w:rFonts w:hint="eastAsia" w:eastAsia="宋体"/>
          <w:color w:val="auto"/>
          <w:highlight w:val="none"/>
          <w:lang w:eastAsia="zh-CN"/>
        </w:rPr>
      </w:pPr>
    </w:p>
    <w:p w14:paraId="0D435391">
      <w:pPr>
        <w:pStyle w:val="26"/>
        <w:rPr>
          <w:rFonts w:hint="eastAsia" w:eastAsia="宋体"/>
          <w:color w:val="auto"/>
          <w:highlight w:val="none"/>
          <w:lang w:eastAsia="zh-CN"/>
        </w:rPr>
      </w:pPr>
    </w:p>
    <w:p w14:paraId="3D885BB8">
      <w:pPr>
        <w:pStyle w:val="26"/>
        <w:rPr>
          <w:rFonts w:hint="eastAsia" w:eastAsia="宋体"/>
          <w:color w:val="auto"/>
          <w:highlight w:val="none"/>
          <w:lang w:eastAsia="zh-CN"/>
        </w:rPr>
      </w:pPr>
    </w:p>
    <w:p w14:paraId="5B19F514">
      <w:pPr>
        <w:pStyle w:val="26"/>
        <w:rPr>
          <w:rFonts w:hint="eastAsia" w:eastAsia="宋体"/>
          <w:color w:val="auto"/>
          <w:highlight w:val="none"/>
          <w:lang w:eastAsia="zh-CN"/>
        </w:rPr>
      </w:pPr>
    </w:p>
    <w:p w14:paraId="5E14C189">
      <w:pPr>
        <w:pStyle w:val="26"/>
        <w:rPr>
          <w:rFonts w:hint="eastAsia" w:eastAsia="宋体"/>
          <w:color w:val="auto"/>
          <w:highlight w:val="none"/>
          <w:lang w:eastAsia="zh-CN"/>
        </w:rPr>
      </w:pPr>
    </w:p>
    <w:p w14:paraId="75C8E5AC">
      <w:pPr>
        <w:pStyle w:val="26"/>
        <w:rPr>
          <w:rFonts w:hint="eastAsia" w:eastAsia="宋体"/>
          <w:color w:val="auto"/>
          <w:highlight w:val="none"/>
          <w:lang w:eastAsia="zh-CN"/>
        </w:rPr>
      </w:pPr>
    </w:p>
    <w:p w14:paraId="0B8A85A5">
      <w:pPr>
        <w:pStyle w:val="26"/>
        <w:rPr>
          <w:rFonts w:hint="eastAsia" w:eastAsia="宋体"/>
          <w:color w:val="auto"/>
          <w:highlight w:val="none"/>
          <w:lang w:eastAsia="zh-CN"/>
        </w:rPr>
      </w:pPr>
    </w:p>
    <w:p w14:paraId="4DA51BDE">
      <w:pPr>
        <w:pStyle w:val="26"/>
        <w:rPr>
          <w:rFonts w:hint="eastAsia" w:eastAsia="宋体"/>
          <w:color w:val="auto"/>
          <w:highlight w:val="none"/>
          <w:lang w:eastAsia="zh-CN"/>
        </w:rPr>
      </w:pPr>
    </w:p>
    <w:p w14:paraId="3CE1EAA2">
      <w:pPr>
        <w:pStyle w:val="26"/>
        <w:rPr>
          <w:rFonts w:hint="eastAsia" w:eastAsia="宋体"/>
          <w:color w:val="auto"/>
          <w:highlight w:val="none"/>
          <w:lang w:eastAsia="zh-CN"/>
        </w:rPr>
      </w:pPr>
    </w:p>
    <w:sectPr>
      <w:headerReference r:id="rId9" w:type="default"/>
      <w:footerReference r:id="rId10" w:type="default"/>
      <w:pgSz w:w="11900" w:h="16838"/>
      <w:pgMar w:top="1423" w:right="1621" w:bottom="1304" w:left="1621" w:header="720" w:footer="720" w:gutter="0"/>
      <w:cols w:space="720" w:num="1"/>
      <w:docGrid w:type="lines" w:linePitch="3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金山简黑体">
    <w:altName w:val="宋体"/>
    <w:panose1 w:val="02010609000001010101"/>
    <w:charset w:val="86"/>
    <w:family w:val="modern"/>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Light">
    <w:panose1 w:val="020B0502040204020203"/>
    <w:charset w:val="86"/>
    <w:family w:val="swiss"/>
    <w:pitch w:val="default"/>
    <w:sig w:usb0="80000287" w:usb1="2ACF0010" w:usb2="00000016" w:usb3="00000000" w:csb0="0004001F" w:csb1="00000000"/>
  </w:font>
  <w:font w:name="¿¬Ìå">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华文细黑">
    <w:panose1 w:val="02010600040101010101"/>
    <w:charset w:val="86"/>
    <w:family w:val="auto"/>
    <w:pitch w:val="default"/>
    <w:sig w:usb0="00000287" w:usb1="080F0000" w:usb2="00000000" w:usb3="00000000" w:csb0="0004009F" w:csb1="DFD70000"/>
  </w:font>
  <w:font w:name="Monospaced Number">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8B2A4">
    <w:pPr>
      <w:pStyle w:val="26"/>
      <w:framePr w:wrap="around" w:vAnchor="text" w:hAnchor="margin" w:xAlign="center" w:y="1"/>
      <w:rPr>
        <w:rStyle w:val="44"/>
      </w:rPr>
    </w:pPr>
    <w:r>
      <w:fldChar w:fldCharType="begin"/>
    </w:r>
    <w:r>
      <w:rPr>
        <w:rStyle w:val="44"/>
      </w:rPr>
      <w:instrText xml:space="preserve">PAGE  </w:instrText>
    </w:r>
    <w:r>
      <w:fldChar w:fldCharType="separate"/>
    </w:r>
    <w:r>
      <w:rPr>
        <w:rStyle w:val="44"/>
      </w:rPr>
      <w:t>13</w:t>
    </w:r>
    <w:r>
      <w:fldChar w:fldCharType="end"/>
    </w:r>
  </w:p>
  <w:p w14:paraId="71F3951E">
    <w:pPr>
      <w:pStyle w:val="26"/>
      <w:rPr>
        <w:rStyle w:val="44"/>
      </w:rPr>
    </w:pPr>
  </w:p>
  <w:p w14:paraId="2C84AD8C">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BDA7">
    <w:pPr>
      <w:pStyle w:val="26"/>
      <w:ind w:left="180" w:right="-4" w:rightChars="-2" w:hanging="180" w:hangingChars="10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2AB8">
    <w:pPr>
      <w:pStyle w:val="17"/>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FC6646">
                          <w:pPr>
                            <w:pStyle w:val="2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GNDkccBAACZAwAADgAAAGRycy9lMm9Eb2MueG1srVPNjtMwEL4j8Q6W&#10;79TZC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pISxy0O/PL92+XHr8vPr6TO&#10;8gwBGsy6D5iXxjd+xKVZ/IDOzHpU0eYv8iEYR3HPV3HlmIjIj+p1XVcYEhhbLojPHp6HCOmt9JZk&#10;o6URp1dE5af3kKbUJSVXc/5OG1MmaNxfDsTMHpZ7n3rMVhr340xo77sz8hlw8C11uOeUmHcOdc07&#10;shhxMfaLcQxRH/qyRLkehNfHhE2U3nKFCXYujBMr7Obtyivx571kPfxR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2GNDkccBAACZAwAADgAAAAAAAAABACAAAAAeAQAAZHJzL2Uyb0RvYy54&#10;bWxQSwUGAAAAAAYABgBZAQAAVwUAAAAA&#10;">
              <v:fill on="f" focussize="0,0"/>
              <v:stroke on="f"/>
              <v:imagedata o:title=""/>
              <o:lock v:ext="edit" aspectratio="f"/>
              <v:textbox inset="0mm,0mm,0mm,0mm" style="mso-fit-shape-to-text:t;">
                <w:txbxContent>
                  <w:p w14:paraId="4DFC6646">
                    <w:pPr>
                      <w:pStyle w:val="2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82B6B">
    <w:pPr>
      <w:pStyle w:val="17"/>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1018540</wp:posOffset>
              </wp:positionH>
              <wp:positionV relativeFrom="page">
                <wp:posOffset>10012680</wp:posOffset>
              </wp:positionV>
              <wp:extent cx="219710" cy="1524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219710" cy="152400"/>
                      </a:xfrm>
                      <a:prstGeom prst="rect">
                        <a:avLst/>
                      </a:prstGeom>
                      <a:noFill/>
                      <a:ln>
                        <a:noFill/>
                      </a:ln>
                    </wps:spPr>
                    <wps:txbx>
                      <w:txbxContent>
                        <w:p w14:paraId="0A593F2D">
                          <w:pPr>
                            <w:spacing w:before="12" w:beforeLines="0"/>
                            <w:ind w:left="40"/>
                            <w:rPr>
                              <w:sz w:val="18"/>
                            </w:rPr>
                          </w:pPr>
                          <w:r>
                            <w:fldChar w:fldCharType="begin"/>
                          </w:r>
                          <w:r>
                            <w:rPr>
                              <w:sz w:val="18"/>
                            </w:rPr>
                            <w:instrText xml:space="preserve"> PAGE </w:instrText>
                          </w:r>
                          <w:r>
                            <w:fldChar w:fldCharType="separate"/>
                          </w:r>
                          <w:r>
                            <w:rPr>
                              <w:sz w:val="18"/>
                            </w:rPr>
                            <w:t>0</w:t>
                          </w:r>
                          <w:r>
                            <w:fldChar w:fldCharType="end"/>
                          </w:r>
                        </w:p>
                      </w:txbxContent>
                    </wps:txbx>
                    <wps:bodyPr wrap="square" lIns="0" tIns="0" rIns="0" bIns="0" upright="1"/>
                  </wps:wsp>
                </a:graphicData>
              </a:graphic>
            </wp:anchor>
          </w:drawing>
        </mc:Choice>
        <mc:Fallback>
          <w:pict>
            <v:shape id="文本框 1026" o:spid="_x0000_s1026" o:spt="202" type="#_x0000_t202" style="position:absolute;left:0pt;margin-left:80.2pt;margin-top:788.4pt;height:12pt;width:17.3pt;mso-position-horizontal-relative:page;mso-position-vertical-relative:page;z-index:-251656192;mso-width-relative:page;mso-height-relative:page;" filled="f" stroked="f" coordsize="21600,21600" o:gfxdata="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FY5JfNgAAAANAQAADwAAAAAAAAABACAAAAAiAAAAZHJzL2Rvd25y&#10;ZXYueG1sUEsBAhQAFAAAAAgAh07iQCBiRVPFAQAAggMAAA4AAAAAAAAAAQAgAAAAJwEAAGRycy9l&#10;Mm9Eb2MueG1sUEsFBgAAAAAGAAYAWQEAAF4FAAAAAA==&#10;">
              <v:fill on="f" focussize="0,0"/>
              <v:stroke on="f"/>
              <v:imagedata o:title=""/>
              <o:lock v:ext="edit" aspectratio="f"/>
              <v:textbox inset="0mm,0mm,0mm,0mm">
                <w:txbxContent>
                  <w:p w14:paraId="0A593F2D">
                    <w:pPr>
                      <w:spacing w:before="12" w:beforeLines="0"/>
                      <w:ind w:left="40"/>
                      <w:rPr>
                        <w:sz w:val="18"/>
                      </w:rPr>
                    </w:pPr>
                    <w:r>
                      <w:fldChar w:fldCharType="begin"/>
                    </w:r>
                    <w:r>
                      <w:rPr>
                        <w:sz w:val="18"/>
                      </w:rPr>
                      <w:instrText xml:space="preserve"> PAGE </w:instrText>
                    </w:r>
                    <w:r>
                      <w:fldChar w:fldCharType="separate"/>
                    </w:r>
                    <w:r>
                      <w:rPr>
                        <w:sz w:val="18"/>
                      </w:rPr>
                      <w:t>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503A2">
    <w:pPr>
      <w:pStyle w:val="17"/>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7458AA">
                          <w:pPr>
                            <w:pStyle w:val="26"/>
                          </w:pPr>
                          <w:r>
                            <w:fldChar w:fldCharType="begin"/>
                          </w:r>
                          <w:r>
                            <w:instrText xml:space="preserve"> PAGE  \* MERGEFORMAT </w:instrText>
                          </w:r>
                          <w:r>
                            <w:fldChar w:fldCharType="separate"/>
                          </w:r>
                          <w:r>
                            <w:t>70</w:t>
                          </w:r>
                          <w:r>
                            <w:fldChar w:fldCharType="end"/>
                          </w:r>
                        </w:p>
                      </w:txbxContent>
                    </wps:txbx>
                    <wps:bodyPr wrap="none" lIns="0" tIns="0" rIns="0" bIns="0" upright="0">
                      <a:spAutoFit/>
                    </wps:bodyPr>
                  </wps:wsp>
                </a:graphicData>
              </a:graphic>
            </wp:anchor>
          </w:drawing>
        </mc:Choice>
        <mc:Fallback>
          <w:pict>
            <v:shape id="文本框 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AX0pskBAACZAwAADgAAAGRycy9lMm9Eb2MueG1srVPNjtMwEL4j8Q6W&#10;79TZSqAS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dv&#10;sz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oBfSmyQEAAJkDAAAOAAAAAAAAAAEAIAAAAB4BAABkcnMvZTJvRG9j&#10;LnhtbFBLBQYAAAAABgAGAFkBAABZBQAAAAA=&#10;">
              <v:fill on="f" focussize="0,0"/>
              <v:stroke on="f"/>
              <v:imagedata o:title=""/>
              <o:lock v:ext="edit" aspectratio="f"/>
              <v:textbox inset="0mm,0mm,0mm,0mm" style="mso-fit-shape-to-text:t;">
                <w:txbxContent>
                  <w:p w14:paraId="707458AA">
                    <w:pPr>
                      <w:pStyle w:val="26"/>
                    </w:pPr>
                    <w:r>
                      <w:fldChar w:fldCharType="begin"/>
                    </w:r>
                    <w:r>
                      <w:instrText xml:space="preserve"> PAGE  \* MERGEFORMAT </w:instrText>
                    </w:r>
                    <w:r>
                      <w:fldChar w:fldCharType="separate"/>
                    </w:r>
                    <w:r>
                      <w:t>70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1B720">
    <w:pPr>
      <w:pStyle w:val="27"/>
      <w:pBdr>
        <w:bottom w:val="none" w:color="auto" w:sz="0" w:space="1"/>
      </w:pBdr>
      <w:rPr>
        <w:rFonts w:hint="eastAsia"/>
        <w:bCs/>
        <w:sz w:val="24"/>
        <w:szCs w:val="24"/>
      </w:rPr>
    </w:pPr>
  </w:p>
  <w:p w14:paraId="178086E3">
    <w:pPr>
      <w:pStyle w:val="27"/>
      <w:pBdr>
        <w:bottom w:val="none" w:color="auto" w:sz="0" w:space="1"/>
      </w:pBdr>
      <w:rPr>
        <w:rFonts w:hint="eastAsia"/>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ADEBC">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1CA66">
    <w:pPr>
      <w:pStyle w:val="27"/>
      <w:rPr>
        <w:bCs/>
        <w:sz w:val="24"/>
        <w:szCs w:val="24"/>
      </w:rPr>
    </w:pPr>
    <w:r>
      <mc:AlternateContent>
        <mc:Choice Requires="wps">
          <w:drawing>
            <wp:anchor distT="0" distB="0" distL="114300" distR="114300" simplePos="0" relativeHeight="251661312" behindDoc="1" locked="0" layoutInCell="1" allowOverlap="1">
              <wp:simplePos x="0" y="0"/>
              <wp:positionH relativeFrom="page">
                <wp:posOffset>1026160</wp:posOffset>
              </wp:positionH>
              <wp:positionV relativeFrom="page">
                <wp:posOffset>548005</wp:posOffset>
              </wp:positionV>
              <wp:extent cx="5420995" cy="165735"/>
              <wp:effectExtent l="0" t="0" r="0" b="0"/>
              <wp:wrapNone/>
              <wp:docPr id="3" name="文本框 1051"/>
              <wp:cNvGraphicFramePr/>
              <a:graphic xmlns:a="http://schemas.openxmlformats.org/drawingml/2006/main">
                <a:graphicData uri="http://schemas.microsoft.com/office/word/2010/wordprocessingShape">
                  <wps:wsp>
                    <wps:cNvSpPr txBox="1"/>
                    <wps:spPr>
                      <a:xfrm>
                        <a:off x="0" y="0"/>
                        <a:ext cx="5420995" cy="165735"/>
                      </a:xfrm>
                      <a:prstGeom prst="rect">
                        <a:avLst/>
                      </a:prstGeom>
                      <a:noFill/>
                      <a:ln>
                        <a:noFill/>
                      </a:ln>
                    </wps:spPr>
                    <wps:txbx>
                      <w:txbxContent>
                        <w:p w14:paraId="788999BD"/>
                      </w:txbxContent>
                    </wps:txbx>
                    <wps:bodyPr wrap="square" lIns="0" tIns="0" rIns="0" bIns="0" upright="1"/>
                  </wps:wsp>
                </a:graphicData>
              </a:graphic>
            </wp:anchor>
          </w:drawing>
        </mc:Choice>
        <mc:Fallback>
          <w:pict>
            <v:shape id="文本框 1051" o:spid="_x0000_s1026" o:spt="202" type="#_x0000_t202" style="position:absolute;left:0pt;margin-left:80.8pt;margin-top:43.15pt;height:13.05pt;width:426.85pt;mso-position-horizontal-relative:page;mso-position-vertical-relative:page;z-index:-251655168;mso-width-relative:page;mso-height-relative:page;" filled="f" stroked="f" coordsize="21600,21600" o:gfxdata="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22u57YAAAACwEAAA8AAAAAAAAAAQAgAAAAIgAAAGRycy9k&#10;b3ducmV2LnhtbFBLAQIUABQAAAAIAIdO4kCbv4k8yQEAAIMDAAAOAAAAAAAAAAEAIAAAACcBAABk&#10;cnMvZTJvRG9jLnhtbFBLBQYAAAAABgAGAFkBAABiBQAAAAA=&#10;">
              <v:fill on="f" focussize="0,0"/>
              <v:stroke on="f"/>
              <v:imagedata o:title=""/>
              <o:lock v:ext="edit" aspectratio="f"/>
              <v:textbox inset="0mm,0mm,0mm,0mm">
                <w:txbxContent>
                  <w:p w14:paraId="788999BD"/>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4444808"/>
    <w:multiLevelType w:val="multilevel"/>
    <w:tmpl w:val="34444808"/>
    <w:lvl w:ilvl="0" w:tentative="0">
      <w:start w:val="1"/>
      <w:numFmt w:val="decimal"/>
      <w:lvlText w:val="%1、"/>
      <w:lvlJc w:val="left"/>
      <w:pPr>
        <w:ind w:left="660" w:hanging="36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2">
    <w:nsid w:val="74774989"/>
    <w:multiLevelType w:val="multilevel"/>
    <w:tmpl w:val="74774989"/>
    <w:lvl w:ilvl="0" w:tentative="0">
      <w:start w:val="7"/>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0" w:hash="9ORqNV17l4wlao5L8LWca/iVvW0=" w:salt="nF19+o3rQOzOgzW68jR+eg=="/>
  <w:defaultTabStop w:val="420"/>
  <w:hyphenationZone w:val="360"/>
  <w:drawingGridHorizontalSpacing w:val="210"/>
  <w:drawingGridVerticalSpacing w:val="181"/>
  <w:displayHorizontalDrawingGridEvery w:val="1"/>
  <w:displayVerticalDrawingGridEvery w:val="1"/>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ODZiMTU3MTdhYmI3YTgxODJhZTYzYmQxZmUzMGYifQ=="/>
  </w:docVars>
  <w:rsids>
    <w:rsidRoot w:val="00172A27"/>
    <w:rsid w:val="004E7E88"/>
    <w:rsid w:val="008239C3"/>
    <w:rsid w:val="01B068D4"/>
    <w:rsid w:val="02731368"/>
    <w:rsid w:val="02A05221"/>
    <w:rsid w:val="03801C88"/>
    <w:rsid w:val="04015976"/>
    <w:rsid w:val="04047DB8"/>
    <w:rsid w:val="05E207F0"/>
    <w:rsid w:val="07106253"/>
    <w:rsid w:val="076D6648"/>
    <w:rsid w:val="079254DA"/>
    <w:rsid w:val="07A174CB"/>
    <w:rsid w:val="08722D35"/>
    <w:rsid w:val="09047D11"/>
    <w:rsid w:val="09E40648"/>
    <w:rsid w:val="0C7E51DC"/>
    <w:rsid w:val="0CEF3FDA"/>
    <w:rsid w:val="0D9F3F19"/>
    <w:rsid w:val="0E557ECD"/>
    <w:rsid w:val="0F3E5EA5"/>
    <w:rsid w:val="0FD7456A"/>
    <w:rsid w:val="0FF54858"/>
    <w:rsid w:val="103E4B21"/>
    <w:rsid w:val="10AD12FA"/>
    <w:rsid w:val="12692307"/>
    <w:rsid w:val="12CD5F37"/>
    <w:rsid w:val="12EB4518"/>
    <w:rsid w:val="13D86081"/>
    <w:rsid w:val="14BB50C6"/>
    <w:rsid w:val="17262C6A"/>
    <w:rsid w:val="19214E0F"/>
    <w:rsid w:val="1A0825B4"/>
    <w:rsid w:val="1A535489"/>
    <w:rsid w:val="1B197569"/>
    <w:rsid w:val="1C145FF6"/>
    <w:rsid w:val="1C814F05"/>
    <w:rsid w:val="1EFA70AC"/>
    <w:rsid w:val="1FA34FC2"/>
    <w:rsid w:val="206155F1"/>
    <w:rsid w:val="21382E14"/>
    <w:rsid w:val="229C0575"/>
    <w:rsid w:val="231A4413"/>
    <w:rsid w:val="27771E57"/>
    <w:rsid w:val="28693FCB"/>
    <w:rsid w:val="28B701B7"/>
    <w:rsid w:val="2B824BE0"/>
    <w:rsid w:val="2B9F56E9"/>
    <w:rsid w:val="2C40160D"/>
    <w:rsid w:val="2DD64DFB"/>
    <w:rsid w:val="2EC209A3"/>
    <w:rsid w:val="2F224B6F"/>
    <w:rsid w:val="301413CB"/>
    <w:rsid w:val="30CB0032"/>
    <w:rsid w:val="30DC381D"/>
    <w:rsid w:val="313355AA"/>
    <w:rsid w:val="32AA1B48"/>
    <w:rsid w:val="33F20F2A"/>
    <w:rsid w:val="34D50630"/>
    <w:rsid w:val="355D421A"/>
    <w:rsid w:val="37874409"/>
    <w:rsid w:val="38376F0C"/>
    <w:rsid w:val="38EF7380"/>
    <w:rsid w:val="39162A52"/>
    <w:rsid w:val="392E7793"/>
    <w:rsid w:val="3A4F53F2"/>
    <w:rsid w:val="3B4150FA"/>
    <w:rsid w:val="3C51191A"/>
    <w:rsid w:val="3C9A081D"/>
    <w:rsid w:val="3CBB7525"/>
    <w:rsid w:val="410127AD"/>
    <w:rsid w:val="431C59DD"/>
    <w:rsid w:val="443133A9"/>
    <w:rsid w:val="46435C0B"/>
    <w:rsid w:val="4712426F"/>
    <w:rsid w:val="47660AB5"/>
    <w:rsid w:val="48217291"/>
    <w:rsid w:val="490624C7"/>
    <w:rsid w:val="4B7C371D"/>
    <w:rsid w:val="4B972F31"/>
    <w:rsid w:val="4CD02A48"/>
    <w:rsid w:val="4CE216E4"/>
    <w:rsid w:val="4D435F91"/>
    <w:rsid w:val="4D85066E"/>
    <w:rsid w:val="4DA2480A"/>
    <w:rsid w:val="4EAF54F5"/>
    <w:rsid w:val="4F257017"/>
    <w:rsid w:val="51962EB3"/>
    <w:rsid w:val="521B6208"/>
    <w:rsid w:val="53AC12B8"/>
    <w:rsid w:val="54077AB0"/>
    <w:rsid w:val="56C22144"/>
    <w:rsid w:val="57BC5C9E"/>
    <w:rsid w:val="589A51C4"/>
    <w:rsid w:val="5A115AA7"/>
    <w:rsid w:val="5A964C29"/>
    <w:rsid w:val="5AC76DE4"/>
    <w:rsid w:val="5AD3777C"/>
    <w:rsid w:val="5BD1430D"/>
    <w:rsid w:val="5BF26FE5"/>
    <w:rsid w:val="5CFF2E95"/>
    <w:rsid w:val="5D3C0542"/>
    <w:rsid w:val="5E24245C"/>
    <w:rsid w:val="5F077B52"/>
    <w:rsid w:val="5FBD01C9"/>
    <w:rsid w:val="60574A45"/>
    <w:rsid w:val="608C3148"/>
    <w:rsid w:val="61BF60E7"/>
    <w:rsid w:val="62FB6369"/>
    <w:rsid w:val="630C531F"/>
    <w:rsid w:val="631F5721"/>
    <w:rsid w:val="63EA6367"/>
    <w:rsid w:val="63FD3361"/>
    <w:rsid w:val="64A35A8B"/>
    <w:rsid w:val="65292444"/>
    <w:rsid w:val="65942098"/>
    <w:rsid w:val="65F21AB5"/>
    <w:rsid w:val="661C5BE6"/>
    <w:rsid w:val="6B950BE7"/>
    <w:rsid w:val="6BF95E33"/>
    <w:rsid w:val="6EF55984"/>
    <w:rsid w:val="709760D6"/>
    <w:rsid w:val="728F7B0F"/>
    <w:rsid w:val="729C3F60"/>
    <w:rsid w:val="72DF5BFA"/>
    <w:rsid w:val="73886B8B"/>
    <w:rsid w:val="738A7C7B"/>
    <w:rsid w:val="73C848E1"/>
    <w:rsid w:val="74955B4A"/>
    <w:rsid w:val="74E67714"/>
    <w:rsid w:val="77CE4E78"/>
    <w:rsid w:val="783E3FC8"/>
    <w:rsid w:val="79B25E17"/>
    <w:rsid w:val="79CB0C87"/>
    <w:rsid w:val="7CC30E86"/>
    <w:rsid w:val="7E923E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0"/>
    <w:qFormat/>
    <w:uiPriority w:val="0"/>
    <w:pPr>
      <w:keepNext/>
      <w:keepLines/>
      <w:adjustRightInd w:val="0"/>
      <w:snapToGrid w:val="0"/>
      <w:spacing w:before="340" w:beforeLines="0" w:beforeAutospacing="0" w:after="330" w:afterLines="0" w:afterAutospacing="0" w:line="350" w:lineRule="exact"/>
      <w:jc w:val="center"/>
      <w:outlineLvl w:val="0"/>
    </w:pPr>
    <w:rPr>
      <w:rFonts w:eastAsia="黑体"/>
      <w:kern w:val="44"/>
      <w:sz w:val="32"/>
    </w:rPr>
  </w:style>
  <w:style w:type="paragraph" w:styleId="3">
    <w:name w:val="heading 2"/>
    <w:basedOn w:val="1"/>
    <w:next w:val="1"/>
    <w:link w:val="5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52"/>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3"/>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beforeLines="0" w:after="290" w:afterLines="0" w:line="376" w:lineRule="auto"/>
      <w:outlineLvl w:val="4"/>
    </w:pPr>
    <w:rPr>
      <w:b/>
      <w:bCs/>
      <w:sz w:val="28"/>
      <w:szCs w:val="28"/>
    </w:rPr>
  </w:style>
  <w:style w:type="paragraph" w:styleId="7">
    <w:name w:val="heading 6"/>
    <w:basedOn w:val="1"/>
    <w:next w:val="1"/>
    <w:link w:val="54"/>
    <w:qFormat/>
    <w:uiPriority w:val="0"/>
    <w:pPr>
      <w:keepNext/>
      <w:keepLines/>
      <w:widowControl/>
      <w:tabs>
        <w:tab w:val="left" w:pos="1440"/>
      </w:tabs>
      <w:spacing w:before="240" w:beforeLines="0" w:after="64" w:afterLines="0" w:line="320" w:lineRule="auto"/>
      <w:ind w:left="1152" w:hanging="1152"/>
      <w:jc w:val="left"/>
      <w:outlineLvl w:val="5"/>
    </w:pPr>
    <w:rPr>
      <w:rFonts w:ascii="Arial" w:hAnsi="Arial" w:eastAsia="黑体"/>
      <w:b/>
      <w:bCs/>
      <w:kern w:val="0"/>
      <w:sz w:val="24"/>
      <w:szCs w:val="24"/>
    </w:rPr>
  </w:style>
  <w:style w:type="paragraph" w:styleId="8">
    <w:name w:val="heading 7"/>
    <w:basedOn w:val="1"/>
    <w:next w:val="1"/>
    <w:link w:val="55"/>
    <w:qFormat/>
    <w:uiPriority w:val="0"/>
    <w:pPr>
      <w:keepNext/>
      <w:keepLines/>
      <w:widowControl/>
      <w:tabs>
        <w:tab w:val="left" w:pos="2520"/>
      </w:tabs>
      <w:spacing w:before="240" w:beforeLines="0" w:after="64" w:afterLines="0" w:line="320" w:lineRule="auto"/>
      <w:ind w:left="1296" w:hanging="1296"/>
      <w:jc w:val="left"/>
      <w:outlineLvl w:val="6"/>
    </w:pPr>
    <w:rPr>
      <w:b/>
      <w:bCs/>
      <w:kern w:val="0"/>
      <w:sz w:val="24"/>
      <w:szCs w:val="24"/>
    </w:rPr>
  </w:style>
  <w:style w:type="paragraph" w:styleId="9">
    <w:name w:val="heading 8"/>
    <w:basedOn w:val="1"/>
    <w:next w:val="1"/>
    <w:link w:val="56"/>
    <w:qFormat/>
    <w:uiPriority w:val="0"/>
    <w:pPr>
      <w:keepNext/>
      <w:keepLines/>
      <w:widowControl/>
      <w:tabs>
        <w:tab w:val="left" w:pos="1440"/>
      </w:tabs>
      <w:spacing w:before="240" w:beforeLines="0" w:after="64" w:afterLines="0" w:line="320" w:lineRule="auto"/>
      <w:ind w:left="1440" w:hanging="1440"/>
      <w:jc w:val="left"/>
      <w:outlineLvl w:val="7"/>
    </w:pPr>
    <w:rPr>
      <w:rFonts w:ascii="Arial" w:hAnsi="Arial" w:eastAsia="黑体"/>
      <w:kern w:val="0"/>
      <w:sz w:val="24"/>
      <w:szCs w:val="24"/>
    </w:rPr>
  </w:style>
  <w:style w:type="paragraph" w:styleId="10">
    <w:name w:val="heading 9"/>
    <w:basedOn w:val="1"/>
    <w:next w:val="1"/>
    <w:link w:val="57"/>
    <w:qFormat/>
    <w:uiPriority w:val="0"/>
    <w:pPr>
      <w:keepNext/>
      <w:keepLines/>
      <w:widowControl/>
      <w:tabs>
        <w:tab w:val="left" w:pos="1584"/>
      </w:tabs>
      <w:spacing w:before="240" w:beforeLines="0" w:after="64" w:afterLines="0" w:line="320" w:lineRule="auto"/>
      <w:ind w:left="1584" w:hanging="1584"/>
      <w:jc w:val="left"/>
      <w:outlineLvl w:val="8"/>
    </w:pPr>
    <w:rPr>
      <w:rFonts w:ascii="Arial" w:hAnsi="Arial" w:eastAsia="黑体"/>
      <w:kern w:val="0"/>
      <w:szCs w:val="21"/>
    </w:rPr>
  </w:style>
  <w:style w:type="character" w:default="1" w:styleId="42">
    <w:name w:val="Default Paragraph Font"/>
    <w:qFormat/>
    <w:uiPriority w:val="0"/>
  </w:style>
  <w:style w:type="table" w:default="1" w:styleId="40">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2520" w:leftChars="1200"/>
    </w:pPr>
  </w:style>
  <w:style w:type="paragraph" w:styleId="12">
    <w:name w:val="index 8"/>
    <w:basedOn w:val="1"/>
    <w:next w:val="1"/>
    <w:qFormat/>
    <w:uiPriority w:val="0"/>
    <w:pPr>
      <w:ind w:left="2940"/>
    </w:pPr>
  </w:style>
  <w:style w:type="paragraph" w:styleId="13">
    <w:name w:val="Normal Indent"/>
    <w:basedOn w:val="1"/>
    <w:link w:val="58"/>
    <w:qFormat/>
    <w:uiPriority w:val="0"/>
    <w:pPr>
      <w:ind w:firstLine="420"/>
    </w:pPr>
  </w:style>
  <w:style w:type="paragraph" w:styleId="14">
    <w:name w:val="Document Map"/>
    <w:basedOn w:val="1"/>
    <w:link w:val="59"/>
    <w:semiHidden/>
    <w:qFormat/>
    <w:uiPriority w:val="0"/>
    <w:pPr>
      <w:shd w:val="clear" w:color="auto" w:fill="000080"/>
    </w:pPr>
  </w:style>
  <w:style w:type="paragraph" w:styleId="15">
    <w:name w:val="annotation text"/>
    <w:basedOn w:val="1"/>
    <w:link w:val="60"/>
    <w:semiHidden/>
    <w:qFormat/>
    <w:uiPriority w:val="0"/>
    <w:pPr>
      <w:jc w:val="left"/>
    </w:pPr>
  </w:style>
  <w:style w:type="paragraph" w:styleId="16">
    <w:name w:val="Body Text 3"/>
    <w:basedOn w:val="1"/>
    <w:link w:val="61"/>
    <w:qFormat/>
    <w:uiPriority w:val="0"/>
    <w:pPr>
      <w:spacing w:after="120" w:afterLines="0"/>
    </w:pPr>
    <w:rPr>
      <w:sz w:val="16"/>
      <w:szCs w:val="16"/>
    </w:rPr>
  </w:style>
  <w:style w:type="paragraph" w:styleId="17">
    <w:name w:val="Body Text"/>
    <w:basedOn w:val="1"/>
    <w:next w:val="1"/>
    <w:link w:val="62"/>
    <w:qFormat/>
    <w:uiPriority w:val="0"/>
    <w:rPr>
      <w:rFonts w:ascii="金山简黑体" w:hAnsi="Courier New" w:eastAsia="金山简黑体"/>
      <w:b/>
      <w:spacing w:val="-8"/>
      <w:sz w:val="44"/>
    </w:rPr>
  </w:style>
  <w:style w:type="paragraph" w:styleId="18">
    <w:name w:val="Body Text Indent"/>
    <w:basedOn w:val="1"/>
    <w:link w:val="63"/>
    <w:qFormat/>
    <w:uiPriority w:val="0"/>
    <w:pPr>
      <w:autoSpaceDE w:val="0"/>
      <w:autoSpaceDN w:val="0"/>
      <w:adjustRightInd w:val="0"/>
      <w:ind w:firstLine="645"/>
    </w:pPr>
    <w:rPr>
      <w:rFonts w:ascii="方正仿宋简体" w:eastAsia="方正仿宋简体"/>
      <w:color w:val="000000"/>
      <w:kern w:val="0"/>
      <w:sz w:val="30"/>
    </w:rPr>
  </w:style>
  <w:style w:type="paragraph" w:styleId="19">
    <w:name w:val="toc 5"/>
    <w:basedOn w:val="1"/>
    <w:next w:val="1"/>
    <w:qFormat/>
    <w:uiPriority w:val="39"/>
    <w:pPr>
      <w:ind w:left="1680" w:leftChars="800"/>
    </w:pPr>
  </w:style>
  <w:style w:type="paragraph" w:styleId="20">
    <w:name w:val="toc 3"/>
    <w:basedOn w:val="1"/>
    <w:next w:val="1"/>
    <w:qFormat/>
    <w:uiPriority w:val="39"/>
    <w:pPr>
      <w:tabs>
        <w:tab w:val="left" w:pos="630"/>
        <w:tab w:val="right" w:leader="dot" w:pos="9344"/>
      </w:tabs>
      <w:spacing w:line="400" w:lineRule="exact"/>
      <w:jc w:val="left"/>
    </w:pPr>
    <w:rPr>
      <w:kern w:val="0"/>
      <w:sz w:val="30"/>
    </w:rPr>
  </w:style>
  <w:style w:type="paragraph" w:styleId="21">
    <w:name w:val="Plain Text"/>
    <w:basedOn w:val="1"/>
    <w:next w:val="12"/>
    <w:link w:val="64"/>
    <w:qFormat/>
    <w:uiPriority w:val="0"/>
    <w:rPr>
      <w:rFonts w:ascii="宋体" w:hAnsi="Courier New"/>
    </w:rPr>
  </w:style>
  <w:style w:type="paragraph" w:styleId="22">
    <w:name w:val="toc 8"/>
    <w:basedOn w:val="1"/>
    <w:next w:val="1"/>
    <w:qFormat/>
    <w:uiPriority w:val="39"/>
    <w:pPr>
      <w:ind w:left="2940" w:leftChars="1400"/>
    </w:pPr>
  </w:style>
  <w:style w:type="paragraph" w:styleId="23">
    <w:name w:val="Date"/>
    <w:basedOn w:val="1"/>
    <w:next w:val="1"/>
    <w:link w:val="65"/>
    <w:qFormat/>
    <w:uiPriority w:val="0"/>
    <w:rPr>
      <w:rFonts w:ascii="宋体"/>
      <w:color w:val="000000"/>
      <w:kern w:val="0"/>
      <w:sz w:val="30"/>
    </w:rPr>
  </w:style>
  <w:style w:type="paragraph" w:styleId="24">
    <w:name w:val="Body Text Indent 2"/>
    <w:basedOn w:val="1"/>
    <w:link w:val="66"/>
    <w:qFormat/>
    <w:uiPriority w:val="0"/>
    <w:pPr>
      <w:spacing w:line="360" w:lineRule="exact"/>
      <w:ind w:firstLine="562" w:firstLineChars="200"/>
    </w:pPr>
    <w:rPr>
      <w:b/>
      <w:sz w:val="28"/>
    </w:rPr>
  </w:style>
  <w:style w:type="paragraph" w:styleId="25">
    <w:name w:val="Balloon Text"/>
    <w:basedOn w:val="1"/>
    <w:link w:val="67"/>
    <w:qFormat/>
    <w:uiPriority w:val="0"/>
    <w:rPr>
      <w:sz w:val="18"/>
    </w:rPr>
  </w:style>
  <w:style w:type="paragraph" w:styleId="26">
    <w:name w:val="footer"/>
    <w:basedOn w:val="1"/>
    <w:link w:val="68"/>
    <w:qFormat/>
    <w:uiPriority w:val="0"/>
    <w:pPr>
      <w:tabs>
        <w:tab w:val="center" w:pos="4153"/>
        <w:tab w:val="right" w:pos="8306"/>
      </w:tabs>
      <w:snapToGrid w:val="0"/>
      <w:jc w:val="left"/>
    </w:pPr>
    <w:rPr>
      <w:rFonts w:ascii="宋体" w:hAnsi="Courier New"/>
      <w:sz w:val="18"/>
      <w:u w:val="single"/>
    </w:rPr>
  </w:style>
  <w:style w:type="paragraph" w:styleId="27">
    <w:name w:val="header"/>
    <w:basedOn w:val="1"/>
    <w:link w:val="69"/>
    <w:qFormat/>
    <w:uiPriority w:val="0"/>
    <w:pPr>
      <w:pBdr>
        <w:bottom w:val="single" w:color="auto" w:sz="6" w:space="1"/>
      </w:pBdr>
      <w:tabs>
        <w:tab w:val="center" w:pos="4153"/>
        <w:tab w:val="right" w:pos="8306"/>
      </w:tabs>
      <w:snapToGrid w:val="0"/>
      <w:jc w:val="center"/>
    </w:pPr>
    <w:rPr>
      <w:sz w:val="18"/>
    </w:rPr>
  </w:style>
  <w:style w:type="paragraph" w:styleId="28">
    <w:name w:val="toc 1"/>
    <w:basedOn w:val="4"/>
    <w:next w:val="1"/>
    <w:qFormat/>
    <w:uiPriority w:val="39"/>
    <w:pPr>
      <w:keepNext w:val="0"/>
      <w:keepLines w:val="0"/>
      <w:tabs>
        <w:tab w:val="right" w:leader="dot" w:pos="9344"/>
      </w:tabs>
      <w:spacing w:before="120" w:beforeLines="0" w:beforeAutospacing="0" w:after="120" w:afterLines="0" w:afterAutospacing="0" w:line="300" w:lineRule="exact"/>
      <w:jc w:val="left"/>
      <w:outlineLvl w:val="9"/>
    </w:pPr>
    <w:rPr>
      <w:rFonts w:ascii="宋体" w:hAnsi="宋体"/>
      <w:caps/>
      <w:kern w:val="0"/>
      <w:sz w:val="24"/>
    </w:rPr>
  </w:style>
  <w:style w:type="paragraph" w:styleId="29">
    <w:name w:val="toc 4"/>
    <w:basedOn w:val="1"/>
    <w:next w:val="1"/>
    <w:qFormat/>
    <w:uiPriority w:val="39"/>
    <w:pPr>
      <w:ind w:left="1260" w:leftChars="600"/>
    </w:pPr>
  </w:style>
  <w:style w:type="paragraph" w:styleId="30">
    <w:name w:val="toc 6"/>
    <w:basedOn w:val="1"/>
    <w:next w:val="1"/>
    <w:qFormat/>
    <w:uiPriority w:val="39"/>
    <w:pPr>
      <w:ind w:left="2100" w:leftChars="1000"/>
    </w:pPr>
  </w:style>
  <w:style w:type="paragraph" w:styleId="31">
    <w:name w:val="Body Text Indent 3"/>
    <w:basedOn w:val="1"/>
    <w:link w:val="70"/>
    <w:qFormat/>
    <w:uiPriority w:val="0"/>
    <w:pPr>
      <w:spacing w:after="120" w:afterLines="0" w:afterAutospacing="0"/>
      <w:ind w:left="420" w:leftChars="200"/>
    </w:pPr>
    <w:rPr>
      <w:sz w:val="16"/>
    </w:rPr>
  </w:style>
  <w:style w:type="paragraph" w:styleId="32">
    <w:name w:val="toc 2"/>
    <w:basedOn w:val="1"/>
    <w:next w:val="1"/>
    <w:qFormat/>
    <w:uiPriority w:val="39"/>
    <w:pPr>
      <w:tabs>
        <w:tab w:val="right" w:leader="dot" w:pos="9344"/>
      </w:tabs>
      <w:spacing w:line="260" w:lineRule="exact"/>
      <w:ind w:left="-2" w:leftChars="-1" w:firstLine="1"/>
      <w:jc w:val="left"/>
    </w:pPr>
    <w:rPr>
      <w:b/>
      <w:smallCaps/>
      <w:kern w:val="0"/>
      <w:sz w:val="24"/>
    </w:rPr>
  </w:style>
  <w:style w:type="paragraph" w:styleId="33">
    <w:name w:val="toc 9"/>
    <w:basedOn w:val="1"/>
    <w:next w:val="1"/>
    <w:qFormat/>
    <w:uiPriority w:val="39"/>
    <w:pPr>
      <w:ind w:left="3360" w:leftChars="1600"/>
    </w:pPr>
  </w:style>
  <w:style w:type="paragraph" w:styleId="34">
    <w:name w:val="Body Text 2"/>
    <w:basedOn w:val="1"/>
    <w:link w:val="71"/>
    <w:qFormat/>
    <w:uiPriority w:val="0"/>
    <w:pPr>
      <w:spacing w:after="120" w:afterLines="0" w:line="480" w:lineRule="auto"/>
    </w:pPr>
    <w:rPr>
      <w:szCs w:val="24"/>
    </w:rPr>
  </w:style>
  <w:style w:type="paragraph" w:styleId="35">
    <w:name w:val="HTML Preformatted"/>
    <w:basedOn w:val="1"/>
    <w:link w:val="7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paragraph" w:styleId="36">
    <w:name w:val="Normal (Web)"/>
    <w:basedOn w:val="1"/>
    <w:qFormat/>
    <w:uiPriority w:val="0"/>
    <w:pPr>
      <w:widowControl/>
      <w:spacing w:before="100" w:beforeLines="0" w:beforeAutospacing="1" w:after="100" w:afterLines="0" w:afterAutospacing="1" w:line="283" w:lineRule="atLeast"/>
      <w:jc w:val="left"/>
    </w:pPr>
    <w:rPr>
      <w:rFonts w:hint="eastAsia" w:ascii="宋体" w:hAnsi="宋体"/>
      <w:color w:val="000000"/>
      <w:kern w:val="0"/>
      <w:sz w:val="19"/>
      <w:szCs w:val="19"/>
    </w:rPr>
  </w:style>
  <w:style w:type="paragraph" w:styleId="37">
    <w:name w:val="index 1"/>
    <w:basedOn w:val="1"/>
    <w:next w:val="1"/>
    <w:qFormat/>
    <w:uiPriority w:val="0"/>
    <w:pPr>
      <w:spacing w:line="220" w:lineRule="exact"/>
      <w:jc w:val="center"/>
    </w:pPr>
    <w:rPr>
      <w:rFonts w:ascii="仿宋_GB2312" w:eastAsia="仿宋_GB2312"/>
      <w:szCs w:val="21"/>
    </w:rPr>
  </w:style>
  <w:style w:type="paragraph" w:styleId="38">
    <w:name w:val="Title"/>
    <w:basedOn w:val="1"/>
    <w:next w:val="1"/>
    <w:link w:val="73"/>
    <w:qFormat/>
    <w:uiPriority w:val="0"/>
    <w:pPr>
      <w:spacing w:before="240" w:beforeLines="0" w:after="60" w:afterLines="0"/>
      <w:jc w:val="center"/>
      <w:outlineLvl w:val="0"/>
    </w:pPr>
    <w:rPr>
      <w:rFonts w:ascii="Cambria" w:hAnsi="Cambria"/>
      <w:b/>
      <w:bCs/>
      <w:sz w:val="32"/>
      <w:szCs w:val="32"/>
    </w:rPr>
  </w:style>
  <w:style w:type="paragraph" w:styleId="39">
    <w:name w:val="annotation subject"/>
    <w:basedOn w:val="15"/>
    <w:next w:val="15"/>
    <w:link w:val="74"/>
    <w:semiHidden/>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3">
    <w:name w:val="Strong"/>
    <w:basedOn w:val="42"/>
    <w:qFormat/>
    <w:uiPriority w:val="0"/>
    <w:rPr>
      <w:b/>
    </w:rPr>
  </w:style>
  <w:style w:type="character" w:styleId="44">
    <w:name w:val="page number"/>
    <w:qFormat/>
    <w:uiPriority w:val="0"/>
  </w:style>
  <w:style w:type="character" w:styleId="45">
    <w:name w:val="FollowedHyperlink"/>
    <w:qFormat/>
    <w:uiPriority w:val="0"/>
    <w:rPr>
      <w:color w:val="333333"/>
      <w:u w:val="none"/>
    </w:rPr>
  </w:style>
  <w:style w:type="character" w:styleId="46">
    <w:name w:val="Emphasis"/>
    <w:qFormat/>
    <w:uiPriority w:val="0"/>
    <w:rPr>
      <w:color w:val="CC0000"/>
    </w:rPr>
  </w:style>
  <w:style w:type="character" w:styleId="47">
    <w:name w:val="Hyperlink"/>
    <w:qFormat/>
    <w:uiPriority w:val="99"/>
    <w:rPr>
      <w:color w:val="333333"/>
      <w:u w:val="none"/>
    </w:rPr>
  </w:style>
  <w:style w:type="character" w:styleId="48">
    <w:name w:val="annotation reference"/>
    <w:semiHidden/>
    <w:qFormat/>
    <w:uiPriority w:val="0"/>
    <w:rPr>
      <w:sz w:val="21"/>
      <w:szCs w:val="21"/>
    </w:rPr>
  </w:style>
  <w:style w:type="character" w:styleId="49">
    <w:name w:val="HTML Cite"/>
    <w:qFormat/>
    <w:uiPriority w:val="0"/>
    <w:rPr>
      <w:color w:val="008000"/>
    </w:rPr>
  </w:style>
  <w:style w:type="character" w:customStyle="1" w:styleId="50">
    <w:name w:val="标题 1 Char"/>
    <w:link w:val="2"/>
    <w:qFormat/>
    <w:uiPriority w:val="0"/>
    <w:rPr>
      <w:rFonts w:eastAsia="黑体"/>
      <w:kern w:val="44"/>
      <w:sz w:val="32"/>
    </w:rPr>
  </w:style>
  <w:style w:type="character" w:customStyle="1" w:styleId="51">
    <w:name w:val="标题 2 Char1"/>
    <w:link w:val="3"/>
    <w:qFormat/>
    <w:uiPriority w:val="0"/>
    <w:rPr>
      <w:rFonts w:ascii="Arial" w:hAnsi="Arial" w:eastAsia="黑体"/>
      <w:b/>
      <w:kern w:val="2"/>
      <w:sz w:val="32"/>
    </w:rPr>
  </w:style>
  <w:style w:type="character" w:customStyle="1" w:styleId="52">
    <w:name w:val="标题 3 Char"/>
    <w:link w:val="4"/>
    <w:qFormat/>
    <w:uiPriority w:val="0"/>
    <w:rPr>
      <w:rFonts w:eastAsia="宋体"/>
      <w:b/>
      <w:kern w:val="2"/>
      <w:sz w:val="32"/>
      <w:lang w:val="en-US" w:eastAsia="zh-CN" w:bidi="ar-SA"/>
    </w:rPr>
  </w:style>
  <w:style w:type="character" w:customStyle="1" w:styleId="53">
    <w:name w:val="标题 4 Char"/>
    <w:link w:val="5"/>
    <w:qFormat/>
    <w:uiPriority w:val="0"/>
    <w:rPr>
      <w:rFonts w:ascii="Arial" w:hAnsi="Arial" w:eastAsia="黑体"/>
      <w:b/>
      <w:bCs/>
      <w:kern w:val="2"/>
      <w:sz w:val="28"/>
      <w:szCs w:val="28"/>
    </w:rPr>
  </w:style>
  <w:style w:type="character" w:customStyle="1" w:styleId="54">
    <w:name w:val="标题 6 Char"/>
    <w:link w:val="7"/>
    <w:qFormat/>
    <w:uiPriority w:val="0"/>
    <w:rPr>
      <w:rFonts w:ascii="Arial" w:hAnsi="Arial" w:eastAsia="黑体"/>
      <w:b/>
      <w:bCs/>
      <w:sz w:val="24"/>
      <w:szCs w:val="24"/>
    </w:rPr>
  </w:style>
  <w:style w:type="character" w:customStyle="1" w:styleId="55">
    <w:name w:val="标题 7 Char"/>
    <w:link w:val="8"/>
    <w:qFormat/>
    <w:uiPriority w:val="0"/>
    <w:rPr>
      <w:b/>
      <w:bCs/>
      <w:sz w:val="24"/>
      <w:szCs w:val="24"/>
    </w:rPr>
  </w:style>
  <w:style w:type="character" w:customStyle="1" w:styleId="56">
    <w:name w:val="标题 8 Char"/>
    <w:link w:val="9"/>
    <w:qFormat/>
    <w:uiPriority w:val="0"/>
    <w:rPr>
      <w:rFonts w:ascii="Arial" w:hAnsi="Arial" w:eastAsia="黑体"/>
      <w:sz w:val="24"/>
      <w:szCs w:val="24"/>
    </w:rPr>
  </w:style>
  <w:style w:type="character" w:customStyle="1" w:styleId="57">
    <w:name w:val="标题 9 Char"/>
    <w:link w:val="10"/>
    <w:qFormat/>
    <w:uiPriority w:val="0"/>
    <w:rPr>
      <w:rFonts w:ascii="Arial" w:hAnsi="Arial" w:eastAsia="黑体"/>
      <w:sz w:val="21"/>
      <w:szCs w:val="21"/>
    </w:rPr>
  </w:style>
  <w:style w:type="character" w:customStyle="1" w:styleId="58">
    <w:name w:val="正文缩进 Char"/>
    <w:link w:val="13"/>
    <w:qFormat/>
    <w:locked/>
    <w:uiPriority w:val="0"/>
    <w:rPr>
      <w:kern w:val="2"/>
      <w:sz w:val="21"/>
    </w:rPr>
  </w:style>
  <w:style w:type="character" w:customStyle="1" w:styleId="59">
    <w:name w:val="文档结构图 Char"/>
    <w:link w:val="14"/>
    <w:semiHidden/>
    <w:qFormat/>
    <w:uiPriority w:val="0"/>
    <w:rPr>
      <w:kern w:val="2"/>
      <w:sz w:val="21"/>
      <w:shd w:val="clear" w:color="auto" w:fill="000080"/>
    </w:rPr>
  </w:style>
  <w:style w:type="character" w:customStyle="1" w:styleId="60">
    <w:name w:val="批注文字 Char"/>
    <w:link w:val="15"/>
    <w:semiHidden/>
    <w:qFormat/>
    <w:uiPriority w:val="0"/>
    <w:rPr>
      <w:kern w:val="2"/>
      <w:sz w:val="21"/>
    </w:rPr>
  </w:style>
  <w:style w:type="character" w:customStyle="1" w:styleId="61">
    <w:name w:val="正文文本 3 Char"/>
    <w:link w:val="16"/>
    <w:qFormat/>
    <w:uiPriority w:val="0"/>
    <w:rPr>
      <w:kern w:val="2"/>
      <w:sz w:val="16"/>
      <w:szCs w:val="16"/>
    </w:rPr>
  </w:style>
  <w:style w:type="character" w:customStyle="1" w:styleId="62">
    <w:name w:val="正文文本 Char"/>
    <w:link w:val="17"/>
    <w:qFormat/>
    <w:uiPriority w:val="0"/>
    <w:rPr>
      <w:rFonts w:ascii="金山简黑体" w:hAnsi="Courier New" w:eastAsia="金山简黑体"/>
      <w:b/>
      <w:spacing w:val="-8"/>
      <w:kern w:val="2"/>
      <w:sz w:val="44"/>
    </w:rPr>
  </w:style>
  <w:style w:type="character" w:customStyle="1" w:styleId="63">
    <w:name w:val="正文文本缩进 Char"/>
    <w:link w:val="18"/>
    <w:qFormat/>
    <w:uiPriority w:val="0"/>
    <w:rPr>
      <w:rFonts w:ascii="方正仿宋简体" w:eastAsia="方正仿宋简体"/>
      <w:color w:val="000000"/>
      <w:sz w:val="30"/>
    </w:rPr>
  </w:style>
  <w:style w:type="character" w:customStyle="1" w:styleId="64">
    <w:name w:val="纯文本 Char"/>
    <w:link w:val="21"/>
    <w:qFormat/>
    <w:uiPriority w:val="0"/>
    <w:rPr>
      <w:rFonts w:ascii="宋体" w:hAnsi="Courier New" w:eastAsia="宋体"/>
      <w:kern w:val="2"/>
      <w:sz w:val="21"/>
      <w:lang w:val="en-US" w:eastAsia="zh-CN"/>
    </w:rPr>
  </w:style>
  <w:style w:type="character" w:customStyle="1" w:styleId="65">
    <w:name w:val="日期 Char"/>
    <w:link w:val="23"/>
    <w:qFormat/>
    <w:uiPriority w:val="0"/>
    <w:rPr>
      <w:rFonts w:ascii="宋体"/>
      <w:color w:val="000000"/>
      <w:sz w:val="30"/>
    </w:rPr>
  </w:style>
  <w:style w:type="character" w:customStyle="1" w:styleId="66">
    <w:name w:val="正文文本缩进 2 Char"/>
    <w:link w:val="24"/>
    <w:qFormat/>
    <w:uiPriority w:val="0"/>
    <w:rPr>
      <w:b/>
      <w:kern w:val="2"/>
      <w:sz w:val="28"/>
    </w:rPr>
  </w:style>
  <w:style w:type="character" w:customStyle="1" w:styleId="67">
    <w:name w:val="批注框文本 Char"/>
    <w:link w:val="25"/>
    <w:qFormat/>
    <w:uiPriority w:val="0"/>
    <w:rPr>
      <w:kern w:val="2"/>
      <w:sz w:val="18"/>
    </w:rPr>
  </w:style>
  <w:style w:type="character" w:customStyle="1" w:styleId="68">
    <w:name w:val="页脚 Char"/>
    <w:link w:val="26"/>
    <w:qFormat/>
    <w:uiPriority w:val="0"/>
    <w:rPr>
      <w:rFonts w:ascii="宋体" w:hAnsi="Courier New"/>
      <w:kern w:val="2"/>
      <w:sz w:val="18"/>
      <w:u w:val="single"/>
    </w:rPr>
  </w:style>
  <w:style w:type="character" w:customStyle="1" w:styleId="69">
    <w:name w:val="页眉 Char"/>
    <w:link w:val="27"/>
    <w:qFormat/>
    <w:uiPriority w:val="0"/>
    <w:rPr>
      <w:kern w:val="2"/>
      <w:sz w:val="18"/>
    </w:rPr>
  </w:style>
  <w:style w:type="character" w:customStyle="1" w:styleId="70">
    <w:name w:val="正文文本缩进 3 Char"/>
    <w:link w:val="31"/>
    <w:qFormat/>
    <w:uiPriority w:val="0"/>
    <w:rPr>
      <w:kern w:val="2"/>
      <w:sz w:val="16"/>
    </w:rPr>
  </w:style>
  <w:style w:type="character" w:customStyle="1" w:styleId="71">
    <w:name w:val="正文文本 2 Char"/>
    <w:link w:val="34"/>
    <w:qFormat/>
    <w:uiPriority w:val="0"/>
    <w:rPr>
      <w:kern w:val="2"/>
      <w:sz w:val="21"/>
      <w:szCs w:val="24"/>
    </w:rPr>
  </w:style>
  <w:style w:type="character" w:customStyle="1" w:styleId="72">
    <w:name w:val="HTML 预设格式 Char"/>
    <w:link w:val="35"/>
    <w:qFormat/>
    <w:uiPriority w:val="0"/>
    <w:rPr>
      <w:rFonts w:ascii="Arial" w:hAnsi="Arial" w:cs="Arial"/>
      <w:sz w:val="24"/>
      <w:szCs w:val="24"/>
    </w:rPr>
  </w:style>
  <w:style w:type="character" w:customStyle="1" w:styleId="73">
    <w:name w:val="标题 Char"/>
    <w:link w:val="38"/>
    <w:qFormat/>
    <w:uiPriority w:val="0"/>
    <w:rPr>
      <w:rFonts w:ascii="Cambria" w:hAnsi="Cambria" w:cs="Times New Roman"/>
      <w:b/>
      <w:bCs/>
      <w:kern w:val="2"/>
      <w:sz w:val="32"/>
      <w:szCs w:val="32"/>
    </w:rPr>
  </w:style>
  <w:style w:type="character" w:customStyle="1" w:styleId="74">
    <w:name w:val="批注主题 Char"/>
    <w:link w:val="39"/>
    <w:semiHidden/>
    <w:qFormat/>
    <w:uiPriority w:val="0"/>
    <w:rPr>
      <w:b/>
      <w:bCs/>
      <w:kern w:val="2"/>
      <w:sz w:val="21"/>
    </w:rPr>
  </w:style>
  <w:style w:type="paragraph" w:customStyle="1" w:styleId="75">
    <w:name w:val="正文_2"/>
    <w:basedOn w:val="76"/>
    <w:next w:val="78"/>
    <w:qFormat/>
    <w:uiPriority w:val="0"/>
    <w:pPr>
      <w:widowControl w:val="0"/>
      <w:jc w:val="both"/>
    </w:pPr>
    <w:rPr>
      <w:rFonts w:ascii="Calibri" w:hAnsi="Calibri"/>
      <w:kern w:val="2"/>
      <w:sz w:val="21"/>
      <w:szCs w:val="22"/>
      <w:lang w:val="en-US" w:eastAsia="zh-CN" w:bidi="ar-SA"/>
    </w:rPr>
  </w:style>
  <w:style w:type="paragraph" w:customStyle="1" w:styleId="76">
    <w:name w:val="正文_3"/>
    <w:next w:val="77"/>
    <w:qFormat/>
    <w:uiPriority w:val="0"/>
    <w:pPr>
      <w:widowControl w:val="0"/>
      <w:jc w:val="both"/>
    </w:pPr>
    <w:rPr>
      <w:rFonts w:ascii="Calibri" w:hAnsi="Calibri" w:eastAsia="宋体" w:cs="Times New Roman"/>
      <w:kern w:val="2"/>
      <w:sz w:val="21"/>
      <w:szCs w:val="22"/>
      <w:lang w:val="en-US" w:eastAsia="zh-CN" w:bidi="ar-SA"/>
    </w:rPr>
  </w:style>
  <w:style w:type="paragraph" w:customStyle="1" w:styleId="77">
    <w:name w:val="页脚_0"/>
    <w:basedOn w:val="76"/>
    <w:unhideWhenUsed/>
    <w:qFormat/>
    <w:uiPriority w:val="99"/>
    <w:pPr>
      <w:tabs>
        <w:tab w:val="center" w:pos="4153"/>
        <w:tab w:val="right" w:pos="8306"/>
      </w:tabs>
      <w:snapToGrid w:val="0"/>
      <w:jc w:val="left"/>
    </w:pPr>
    <w:rPr>
      <w:sz w:val="18"/>
      <w:szCs w:val="18"/>
    </w:rPr>
  </w:style>
  <w:style w:type="paragraph" w:customStyle="1" w:styleId="78">
    <w:name w:val="正文文本_1"/>
    <w:basedOn w:val="79"/>
    <w:next w:val="80"/>
    <w:qFormat/>
    <w:uiPriority w:val="0"/>
    <w:pPr>
      <w:spacing w:after="120"/>
    </w:pPr>
    <w:rPr>
      <w:rFonts w:ascii="Times New Roman" w:hAnsi="Times New Roman"/>
      <w:szCs w:val="24"/>
    </w:rPr>
  </w:style>
  <w:style w:type="paragraph" w:customStyle="1" w:styleId="79">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首行缩进 2_0"/>
    <w:basedOn w:val="81"/>
    <w:next w:val="78"/>
    <w:qFormat/>
    <w:uiPriority w:val="0"/>
    <w:pPr>
      <w:ind w:firstLine="200"/>
    </w:pPr>
    <w:rPr>
      <w:rFonts w:ascii="Times New Roman" w:hAnsi="Times New Roman"/>
      <w:szCs w:val="20"/>
    </w:rPr>
  </w:style>
  <w:style w:type="paragraph" w:customStyle="1" w:styleId="81">
    <w:name w:val="正文文本缩进_1"/>
    <w:basedOn w:val="75"/>
    <w:next w:val="75"/>
    <w:unhideWhenUsed/>
    <w:qFormat/>
    <w:uiPriority w:val="99"/>
    <w:pPr>
      <w:spacing w:after="120"/>
      <w:ind w:left="420" w:leftChars="200"/>
    </w:pPr>
  </w:style>
  <w:style w:type="character" w:customStyle="1" w:styleId="82">
    <w:name w:val="23"/>
    <w:qFormat/>
    <w:uiPriority w:val="0"/>
    <w:rPr>
      <w:rFonts w:hint="default" w:ascii="微软雅黑 Light" w:hAnsi="微软雅黑 Light"/>
      <w:color w:val="000000"/>
      <w:spacing w:val="0"/>
      <w:sz w:val="28"/>
      <w:szCs w:val="28"/>
    </w:rPr>
  </w:style>
  <w:style w:type="character" w:customStyle="1" w:styleId="83">
    <w:name w:val=" Char Char"/>
    <w:qFormat/>
    <w:uiPriority w:val="0"/>
    <w:rPr>
      <w:rFonts w:ascii="Arial" w:hAnsi="Arial" w:eastAsia="黑体"/>
      <w:b/>
      <w:bCs/>
      <w:kern w:val="2"/>
      <w:sz w:val="32"/>
      <w:szCs w:val="32"/>
      <w:lang w:val="en-US" w:eastAsia="zh-CN" w:bidi="ar-SA"/>
    </w:rPr>
  </w:style>
  <w:style w:type="character" w:customStyle="1" w:styleId="84">
    <w:name w:val="未处理的提及"/>
    <w:unhideWhenUsed/>
    <w:qFormat/>
    <w:uiPriority w:val="99"/>
    <w:rPr>
      <w:color w:val="605E5C"/>
      <w:shd w:val="clear" w:color="auto" w:fill="E1DFDD"/>
    </w:rPr>
  </w:style>
  <w:style w:type="character" w:customStyle="1" w:styleId="85">
    <w:name w:val="font5 Char"/>
    <w:qFormat/>
    <w:uiPriority w:val="0"/>
    <w:rPr>
      <w:rFonts w:ascii="宋体" w:hAnsi="宋体" w:eastAsia="宋体"/>
      <w:sz w:val="24"/>
      <w:szCs w:val="24"/>
      <w:lang w:val="en-US" w:eastAsia="zh-CN" w:bidi="ar-SA"/>
    </w:rPr>
  </w:style>
  <w:style w:type="character" w:customStyle="1" w:styleId="86">
    <w:name w:val="21"/>
    <w:qFormat/>
    <w:uiPriority w:val="0"/>
    <w:rPr>
      <w:rFonts w:hint="default" w:ascii="微软雅黑 Light" w:hAnsi="微软雅黑 Light"/>
      <w:color w:val="000000"/>
      <w:spacing w:val="0"/>
      <w:sz w:val="22"/>
      <w:szCs w:val="22"/>
    </w:rPr>
  </w:style>
  <w:style w:type="character" w:customStyle="1" w:styleId="87">
    <w:name w:val="标题 Char1"/>
    <w:qFormat/>
    <w:uiPriority w:val="0"/>
    <w:rPr>
      <w:rFonts w:ascii="Cambria" w:hAnsi="Cambria" w:eastAsia="宋体" w:cs="Times New Roman"/>
      <w:b/>
      <w:bCs/>
      <w:sz w:val="32"/>
      <w:szCs w:val="32"/>
    </w:rPr>
  </w:style>
  <w:style w:type="character" w:customStyle="1" w:styleId="88">
    <w:name w:val="px14"/>
    <w:qFormat/>
    <w:uiPriority w:val="0"/>
  </w:style>
  <w:style w:type="character" w:customStyle="1" w:styleId="89">
    <w:name w:val="ant-form-item-children5"/>
    <w:qFormat/>
    <w:uiPriority w:val="0"/>
  </w:style>
  <w:style w:type="character" w:customStyle="1" w:styleId="90">
    <w:name w:val="c-icon14"/>
    <w:qFormat/>
    <w:uiPriority w:val="0"/>
  </w:style>
  <w:style w:type="character" w:customStyle="1" w:styleId="91">
    <w:name w:val="批注文字 字符"/>
    <w:semiHidden/>
    <w:qFormat/>
    <w:uiPriority w:val="0"/>
    <w:rPr>
      <w:kern w:val="2"/>
      <w:sz w:val="21"/>
    </w:rPr>
  </w:style>
  <w:style w:type="character" w:customStyle="1" w:styleId="92">
    <w:name w:val="页脚 Char1"/>
    <w:semiHidden/>
    <w:qFormat/>
    <w:uiPriority w:val="99"/>
    <w:rPr>
      <w:kern w:val="2"/>
      <w:sz w:val="18"/>
      <w:szCs w:val="18"/>
    </w:rPr>
  </w:style>
  <w:style w:type="character" w:customStyle="1" w:styleId="93">
    <w:name w:val="font161"/>
    <w:qFormat/>
    <w:uiPriority w:val="0"/>
    <w:rPr>
      <w:rFonts w:ascii="Arial" w:hAnsi="Arial" w:eastAsia="黑体"/>
      <w:b/>
      <w:bCs/>
      <w:kern w:val="2"/>
      <w:sz w:val="32"/>
      <w:szCs w:val="32"/>
      <w:lang w:val="en-US" w:eastAsia="zh-CN" w:bidi="ar-SA"/>
    </w:rPr>
  </w:style>
  <w:style w:type="character" w:customStyle="1" w:styleId="94">
    <w:name w:val="标题 2 Char"/>
    <w:qFormat/>
    <w:uiPriority w:val="0"/>
    <w:rPr>
      <w:rFonts w:ascii="Arial" w:hAnsi="Arial" w:eastAsia="黑体"/>
      <w:b/>
      <w:kern w:val="2"/>
      <w:sz w:val="32"/>
    </w:rPr>
  </w:style>
  <w:style w:type="character" w:customStyle="1" w:styleId="95">
    <w:name w:val="17"/>
    <w:qFormat/>
    <w:uiPriority w:val="0"/>
    <w:rPr>
      <w:rFonts w:hint="default" w:ascii="微软雅黑 Light" w:hAnsi="微软雅黑 Light"/>
      <w:color w:val="000000"/>
      <w:spacing w:val="10"/>
      <w:sz w:val="19"/>
      <w:szCs w:val="19"/>
    </w:rPr>
  </w:style>
  <w:style w:type="character" w:customStyle="1" w:styleId="96">
    <w:name w:val="纯文本 Char1"/>
    <w:qFormat/>
    <w:uiPriority w:val="99"/>
    <w:rPr>
      <w:rFonts w:ascii="宋体" w:hAnsi="Courier New" w:cs="Courier New"/>
      <w:kern w:val="2"/>
      <w:sz w:val="21"/>
      <w:szCs w:val="21"/>
    </w:rPr>
  </w:style>
  <w:style w:type="character" w:customStyle="1" w:styleId="97">
    <w:name w:val="页眉 Char1"/>
    <w:semiHidden/>
    <w:qFormat/>
    <w:uiPriority w:val="99"/>
    <w:rPr>
      <w:kern w:val="2"/>
      <w:sz w:val="18"/>
      <w:szCs w:val="18"/>
    </w:rPr>
  </w:style>
  <w:style w:type="character" w:customStyle="1" w:styleId="98">
    <w:name w:val="36"/>
    <w:qFormat/>
    <w:uiPriority w:val="0"/>
    <w:rPr>
      <w:rFonts w:hint="default" w:ascii="微软雅黑 Light" w:hAnsi="微软雅黑 Light"/>
      <w:color w:val="000000"/>
      <w:spacing w:val="0"/>
      <w:sz w:val="22"/>
      <w:szCs w:val="22"/>
    </w:rPr>
  </w:style>
  <w:style w:type="character" w:customStyle="1" w:styleId="99">
    <w:name w:val="16"/>
    <w:qFormat/>
    <w:uiPriority w:val="0"/>
    <w:rPr>
      <w:rFonts w:hint="default" w:ascii="微软雅黑 Light" w:hAnsi="微软雅黑 Light"/>
      <w:color w:val="000000"/>
      <w:spacing w:val="0"/>
      <w:sz w:val="22"/>
      <w:szCs w:val="22"/>
    </w:rPr>
  </w:style>
  <w:style w:type="character" w:customStyle="1" w:styleId="100">
    <w:name w:val="37"/>
    <w:qFormat/>
    <w:uiPriority w:val="0"/>
    <w:rPr>
      <w:rFonts w:hint="default" w:ascii="微软雅黑 Light" w:hAnsi="微软雅黑 Light"/>
      <w:color w:val="000000"/>
      <w:spacing w:val="150"/>
      <w:sz w:val="19"/>
      <w:szCs w:val="19"/>
    </w:rPr>
  </w:style>
  <w:style w:type="character" w:customStyle="1" w:styleId="101">
    <w:name w:val="正文文本缩进 3 字符"/>
    <w:qFormat/>
    <w:uiPriority w:val="0"/>
    <w:rPr>
      <w:kern w:val="2"/>
      <w:sz w:val="16"/>
    </w:rPr>
  </w:style>
  <w:style w:type="character" w:customStyle="1" w:styleId="102">
    <w:name w:val="25"/>
    <w:qFormat/>
    <w:uiPriority w:val="0"/>
    <w:rPr>
      <w:rFonts w:hint="default" w:ascii="微软雅黑 Light" w:hAnsi="微软雅黑 Light"/>
      <w:color w:val="000000"/>
      <w:spacing w:val="-10"/>
      <w:sz w:val="18"/>
      <w:szCs w:val="18"/>
    </w:rPr>
  </w:style>
  <w:style w:type="character" w:customStyle="1" w:styleId="103">
    <w:name w:val=" Char Char1"/>
    <w:qFormat/>
    <w:uiPriority w:val="0"/>
    <w:rPr>
      <w:rFonts w:eastAsia="宋体"/>
      <w:b/>
      <w:bCs/>
      <w:kern w:val="44"/>
      <w:sz w:val="44"/>
      <w:szCs w:val="44"/>
      <w:lang w:val="en-US" w:eastAsia="zh-CN" w:bidi="ar-SA"/>
    </w:rPr>
  </w:style>
  <w:style w:type="paragraph" w:customStyle="1" w:styleId="104">
    <w:name w:val="样式 行距: 固定值 25 磅"/>
    <w:basedOn w:val="1"/>
    <w:qFormat/>
    <w:uiPriority w:val="0"/>
    <w:pPr>
      <w:spacing w:line="500" w:lineRule="exact"/>
    </w:pPr>
    <w:rPr>
      <w:rFonts w:cs="宋体"/>
      <w:sz w:val="28"/>
    </w:rPr>
  </w:style>
  <w:style w:type="paragraph" w:customStyle="1" w:styleId="105">
    <w:name w:val="head1"/>
    <w:basedOn w:val="1"/>
    <w:qFormat/>
    <w:uiPriority w:val="0"/>
    <w:pPr>
      <w:widowControl/>
      <w:tabs>
        <w:tab w:val="left" w:pos="1680"/>
      </w:tabs>
      <w:overflowPunct w:val="0"/>
      <w:autoSpaceDE w:val="0"/>
      <w:autoSpaceDN w:val="0"/>
      <w:adjustRightInd w:val="0"/>
      <w:spacing w:before="60" w:beforeLines="0" w:after="60" w:afterLines="0"/>
      <w:ind w:left="1680"/>
      <w:jc w:val="left"/>
      <w:textAlignment w:val="baseline"/>
      <w:outlineLvl w:val="0"/>
    </w:pPr>
    <w:rPr>
      <w:rFonts w:ascii="黑体" w:hAnsi="¿¬Ìå" w:eastAsia="黑体"/>
      <w:kern w:val="0"/>
      <w:sz w:val="30"/>
      <w:szCs w:val="30"/>
    </w:rPr>
  </w:style>
  <w:style w:type="paragraph" w:customStyle="1" w:styleId="106">
    <w:name w:val="正文_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7">
    <w:name w:val="标题 3_0"/>
    <w:basedOn w:val="106"/>
    <w:next w:val="108"/>
    <w:qFormat/>
    <w:uiPriority w:val="0"/>
    <w:pPr>
      <w:keepNext/>
      <w:keepLines/>
      <w:spacing w:before="260" w:beforeLines="0" w:after="260" w:afterLines="0" w:line="416" w:lineRule="auto"/>
      <w:outlineLvl w:val="2"/>
    </w:pPr>
    <w:rPr>
      <w:rFonts w:ascii="Calibri" w:hAnsi="Calibri" w:eastAsia="宋体" w:cs="Times New Roman"/>
      <w:b/>
      <w:bCs/>
      <w:sz w:val="32"/>
      <w:szCs w:val="32"/>
    </w:rPr>
  </w:style>
  <w:style w:type="paragraph" w:customStyle="1" w:styleId="108">
    <w:name w:val="正文_3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9">
    <w:name w:val="Plain Text"/>
    <w:basedOn w:val="1"/>
    <w:qFormat/>
    <w:uiPriority w:val="0"/>
    <w:pPr>
      <w:adjustRightInd w:val="0"/>
      <w:jc w:val="left"/>
      <w:textAlignment w:val="baseline"/>
    </w:pPr>
    <w:rPr>
      <w:rFonts w:ascii="宋体" w:hAnsi="Courier New"/>
    </w:rPr>
  </w:style>
  <w:style w:type="paragraph" w:customStyle="1" w:styleId="110">
    <w:name w:val="默认段落字体 Para Char Char Char Char Char Char Char Char Char Char"/>
    <w:basedOn w:val="1"/>
    <w:qFormat/>
    <w:uiPriority w:val="0"/>
    <w:rPr>
      <w:kern w:val="0"/>
    </w:rPr>
  </w:style>
  <w:style w:type="paragraph" w:customStyle="1" w:styleId="111">
    <w:name w:val="默认段落字体 Para Char Char Char Char Char Char Char"/>
    <w:basedOn w:val="1"/>
    <w:qFormat/>
    <w:uiPriority w:val="0"/>
    <w:pPr>
      <w:adjustRightInd w:val="0"/>
      <w:spacing w:line="360" w:lineRule="auto"/>
      <w:ind w:left="200" w:hanging="200" w:hangingChars="200"/>
    </w:pPr>
    <w:rPr>
      <w:kern w:val="0"/>
      <w:sz w:val="24"/>
    </w:rPr>
  </w:style>
  <w:style w:type="paragraph" w:customStyle="1" w:styleId="112">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13">
    <w:name w:val="Char Char Char"/>
    <w:basedOn w:val="1"/>
    <w:qFormat/>
    <w:uiPriority w:val="0"/>
    <w:rPr>
      <w:rFonts w:ascii="Tahoma" w:hAnsi="Tahoma"/>
      <w:sz w:val="24"/>
    </w:rPr>
  </w:style>
  <w:style w:type="paragraph" w:customStyle="1" w:styleId="114">
    <w:name w:val="标题 4_1"/>
    <w:basedOn w:val="106"/>
    <w:next w:val="106"/>
    <w:qFormat/>
    <w:uiPriority w:val="0"/>
    <w:pPr>
      <w:keepNext/>
      <w:keepLines/>
      <w:spacing w:before="280" w:beforeLines="0" w:after="290" w:afterLines="0" w:line="372" w:lineRule="auto"/>
      <w:outlineLvl w:val="3"/>
    </w:pPr>
    <w:rPr>
      <w:rFonts w:ascii="Cambria" w:hAnsi="Cambria" w:eastAsia="宋体" w:cs="Times New Roman"/>
      <w:b/>
      <w:bCs/>
      <w:sz w:val="28"/>
      <w:szCs w:val="28"/>
    </w:rPr>
  </w:style>
  <w:style w:type="paragraph" w:customStyle="1" w:styleId="115">
    <w:name w:val="正文_3_0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6">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cs="宋体"/>
      <w:b w:val="0"/>
      <w:sz w:val="28"/>
    </w:rPr>
  </w:style>
  <w:style w:type="paragraph" w:customStyle="1" w:styleId="117">
    <w:name w:val="纯文本_0_0"/>
    <w:basedOn w:val="115"/>
    <w:qFormat/>
    <w:uiPriority w:val="0"/>
    <w:rPr>
      <w:rFonts w:ascii="宋体" w:hAnsi="Courier New" w:eastAsia="宋体" w:cs="Times New Roman"/>
      <w:szCs w:val="24"/>
    </w:rPr>
  </w:style>
  <w:style w:type="paragraph" w:customStyle="1" w:styleId="11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rFonts w:ascii="Arial Unicode MS" w:hAnsi="Arial Unicode MS"/>
      <w:kern w:val="0"/>
      <w:sz w:val="24"/>
      <w:szCs w:val="24"/>
    </w:rPr>
  </w:style>
  <w:style w:type="paragraph" w:customStyle="1" w:styleId="119">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kern w:val="0"/>
      <w:sz w:val="24"/>
      <w:szCs w:val="24"/>
    </w:rPr>
  </w:style>
  <w:style w:type="paragraph" w:customStyle="1" w:styleId="120">
    <w:name w:val="xl31"/>
    <w:basedOn w:val="1"/>
    <w:qFormat/>
    <w:uiPriority w:val="0"/>
    <w:pPr>
      <w:widowControl/>
      <w:spacing w:before="100" w:beforeLines="0" w:beforeAutospacing="1" w:after="100" w:afterLines="0" w:afterAutospacing="1"/>
      <w:jc w:val="center"/>
    </w:pPr>
    <w:rPr>
      <w:rFonts w:ascii="宋体" w:hAnsi="宋体"/>
      <w:kern w:val="0"/>
      <w:sz w:val="24"/>
      <w:szCs w:val="24"/>
    </w:rPr>
  </w:style>
  <w:style w:type="paragraph" w:customStyle="1" w:styleId="121">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1"/>
    <w:basedOn w:val="1"/>
    <w:next w:val="1"/>
    <w:qFormat/>
    <w:uiPriority w:val="0"/>
    <w:rPr>
      <w:szCs w:val="24"/>
    </w:rPr>
  </w:style>
  <w:style w:type="paragraph" w:customStyle="1" w:styleId="123">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kern w:val="0"/>
      <w:sz w:val="28"/>
      <w:szCs w:val="28"/>
    </w:rPr>
  </w:style>
  <w:style w:type="paragraph" w:customStyle="1" w:styleId="124">
    <w:name w:val="5 Char Char Char Char Char Char Char Char Char Char"/>
    <w:basedOn w:val="1"/>
    <w:qFormat/>
    <w:uiPriority w:val="0"/>
    <w:rPr>
      <w:szCs w:val="24"/>
    </w:rPr>
  </w:style>
  <w:style w:type="paragraph" w:customStyle="1" w:styleId="125">
    <w:name w:val="xl45"/>
    <w:basedOn w:val="1"/>
    <w:qFormat/>
    <w:uiPriority w:val="0"/>
    <w:pPr>
      <w:widowControl/>
      <w:pBdr>
        <w:bottom w:val="single" w:color="auto" w:sz="4" w:space="0"/>
      </w:pBdr>
      <w:spacing w:before="100" w:beforeLines="0" w:beforeAutospacing="1" w:after="100" w:afterLines="0" w:afterAutospacing="1"/>
      <w:jc w:val="center"/>
    </w:pPr>
    <w:rPr>
      <w:kern w:val="0"/>
      <w:sz w:val="40"/>
      <w:szCs w:val="40"/>
    </w:rPr>
  </w:style>
  <w:style w:type="paragraph" w:customStyle="1" w:styleId="126">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7">
    <w:name w:val="表"/>
    <w:basedOn w:val="1"/>
    <w:qFormat/>
    <w:uiPriority w:val="0"/>
    <w:pPr>
      <w:spacing w:line="300" w:lineRule="auto"/>
    </w:pPr>
    <w:rPr>
      <w:color w:val="000000"/>
      <w:szCs w:val="21"/>
    </w:rPr>
  </w:style>
  <w:style w:type="paragraph" w:customStyle="1" w:styleId="128">
    <w:name w:val="文件目录"/>
    <w:basedOn w:val="1"/>
    <w:qFormat/>
    <w:uiPriority w:val="0"/>
    <w:pPr>
      <w:spacing w:line="600" w:lineRule="exact"/>
      <w:jc w:val="left"/>
    </w:pPr>
    <w:rPr>
      <w:b/>
      <w:sz w:val="30"/>
    </w:rPr>
  </w:style>
  <w:style w:type="paragraph" w:customStyle="1" w:styleId="129">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kern w:val="0"/>
      <w:sz w:val="24"/>
      <w:szCs w:val="24"/>
    </w:rPr>
  </w:style>
  <w:style w:type="paragraph" w:customStyle="1" w:styleId="130">
    <w:name w:val="xl44"/>
    <w:basedOn w:val="1"/>
    <w:qFormat/>
    <w:uiPriority w:val="0"/>
    <w:pPr>
      <w:widowControl/>
      <w:pBdr>
        <w:bottom w:val="single" w:color="auto" w:sz="4" w:space="0"/>
      </w:pBdr>
      <w:spacing w:before="100" w:beforeLines="0" w:beforeAutospacing="1" w:after="100" w:afterLines="0" w:afterAutospacing="1"/>
      <w:jc w:val="center"/>
    </w:pPr>
    <w:rPr>
      <w:rFonts w:ascii="Arial Unicode MS" w:hAnsi="Arial Unicode MS"/>
      <w:kern w:val="0"/>
      <w:sz w:val="24"/>
      <w:szCs w:val="24"/>
    </w:rPr>
  </w:style>
  <w:style w:type="paragraph" w:customStyle="1" w:styleId="131">
    <w:name w:val="font9"/>
    <w:basedOn w:val="1"/>
    <w:qFormat/>
    <w:uiPriority w:val="0"/>
    <w:pPr>
      <w:widowControl/>
      <w:spacing w:before="100" w:beforeLines="0" w:beforeAutospacing="1" w:after="100" w:afterLines="0" w:afterAutospacing="1"/>
      <w:jc w:val="left"/>
    </w:pPr>
    <w:rPr>
      <w:kern w:val="0"/>
      <w:sz w:val="40"/>
      <w:szCs w:val="40"/>
    </w:rPr>
  </w:style>
  <w:style w:type="paragraph" w:customStyle="1" w:styleId="132">
    <w:name w:val="Char Char Char Char Char Char Char Char Char1 Char Char Char Char Char Char Char Char Char Char Char Char Char"/>
    <w:basedOn w:val="2"/>
    <w:qFormat/>
    <w:uiPriority w:val="0"/>
    <w:pPr>
      <w:adjustRightInd/>
      <w:spacing w:before="240" w:beforeLines="0" w:after="240" w:afterLines="0" w:line="348" w:lineRule="auto"/>
      <w:jc w:val="both"/>
    </w:pPr>
    <w:rPr>
      <w:rFonts w:eastAsia="宋体"/>
      <w:b/>
      <w:bCs/>
      <w:sz w:val="44"/>
      <w:szCs w:val="44"/>
    </w:rPr>
  </w:style>
  <w:style w:type="paragraph" w:customStyle="1" w:styleId="133">
    <w:name w:val="Body Text 2"/>
    <w:basedOn w:val="1"/>
    <w:qFormat/>
    <w:uiPriority w:val="0"/>
    <w:pPr>
      <w:adjustRightInd w:val="0"/>
      <w:spacing w:line="460" w:lineRule="exact"/>
      <w:ind w:firstLine="635"/>
      <w:jc w:val="left"/>
      <w:textAlignment w:val="baseline"/>
    </w:pPr>
    <w:rPr>
      <w:sz w:val="28"/>
    </w:rPr>
  </w:style>
  <w:style w:type="paragraph" w:customStyle="1" w:styleId="134">
    <w:name w:val="样式 标题 3 + (中文) 黑体 小四 非加粗 段前: 7.8 磅 段后: 0 磅 行距: 固定值 20 磅"/>
    <w:basedOn w:val="4"/>
    <w:qFormat/>
    <w:uiPriority w:val="0"/>
    <w:pPr>
      <w:spacing w:before="0" w:beforeLines="0" w:after="0" w:afterLines="0" w:line="400" w:lineRule="exact"/>
    </w:pPr>
    <w:rPr>
      <w:rFonts w:ascii="仿宋_GB2312" w:eastAsia="黑体" w:cs="宋体"/>
      <w:b w:val="0"/>
      <w:color w:val="000000"/>
      <w:sz w:val="24"/>
    </w:rPr>
  </w:style>
  <w:style w:type="paragraph" w:customStyle="1" w:styleId="13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rFonts w:ascii="Arial Unicode MS" w:hAnsi="Arial Unicode MS"/>
      <w:kern w:val="0"/>
      <w:sz w:val="24"/>
      <w:szCs w:val="24"/>
    </w:rPr>
  </w:style>
  <w:style w:type="paragraph" w:customStyle="1" w:styleId="13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kern w:val="0"/>
      <w:sz w:val="24"/>
      <w:szCs w:val="24"/>
    </w:rPr>
  </w:style>
  <w:style w:type="paragraph" w:customStyle="1" w:styleId="137">
    <w:name w:val="xl34"/>
    <w:basedOn w:val="1"/>
    <w:qFormat/>
    <w:uiPriority w:val="0"/>
    <w:pPr>
      <w:widowControl/>
      <w:pBdr>
        <w:left w:val="single" w:color="auto" w:sz="4" w:space="0"/>
        <w:right w:val="single" w:color="auto" w:sz="4" w:space="0"/>
      </w:pBdr>
      <w:spacing w:before="100" w:beforeLines="0" w:after="100" w:afterLines="0"/>
      <w:jc w:val="center"/>
    </w:pPr>
    <w:rPr>
      <w:rFonts w:ascii="宋体" w:hAnsi="宋体"/>
      <w:kern w:val="0"/>
      <w:sz w:val="24"/>
    </w:rPr>
  </w:style>
  <w:style w:type="paragraph" w:customStyle="1" w:styleId="138">
    <w:name w:val="Char1 Char Char Char Char Char Char Char Char Char Char Char Char Char Char Char"/>
    <w:basedOn w:val="6"/>
    <w:qFormat/>
    <w:uiPriority w:val="0"/>
    <w:pPr>
      <w:tabs>
        <w:tab w:val="left" w:pos="0"/>
        <w:tab w:val="left" w:pos="1680"/>
      </w:tabs>
      <w:adjustRightInd w:val="0"/>
      <w:spacing w:line="372" w:lineRule="auto"/>
      <w:ind w:left="1680" w:hanging="420"/>
      <w:textAlignment w:val="baseline"/>
    </w:pPr>
    <w:rPr>
      <w:bCs w:val="0"/>
      <w:szCs w:val="20"/>
    </w:rPr>
  </w:style>
  <w:style w:type="paragraph" w:customStyle="1" w:styleId="139">
    <w:name w:val="font7"/>
    <w:basedOn w:val="1"/>
    <w:qFormat/>
    <w:uiPriority w:val="0"/>
    <w:pPr>
      <w:widowControl/>
      <w:spacing w:before="100" w:beforeLines="0" w:beforeAutospacing="1" w:after="100" w:afterLines="0" w:afterAutospacing="1"/>
      <w:jc w:val="left"/>
    </w:pPr>
    <w:rPr>
      <w:rFonts w:hint="eastAsia" w:ascii="宋体" w:hAnsi="宋体"/>
      <w:kern w:val="0"/>
      <w:sz w:val="28"/>
      <w:szCs w:val="28"/>
    </w:r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rFonts w:ascii="Arial Unicode MS" w:hAnsi="Arial Unicode MS"/>
      <w:kern w:val="0"/>
      <w:sz w:val="24"/>
      <w:szCs w:val="24"/>
    </w:rPr>
  </w:style>
  <w:style w:type="paragraph" w:customStyle="1" w:styleId="14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24"/>
      <w:szCs w:val="24"/>
    </w:rPr>
  </w:style>
  <w:style w:type="paragraph" w:customStyle="1" w:styleId="142">
    <w:name w:val="4"/>
    <w:basedOn w:val="1"/>
    <w:next w:val="21"/>
    <w:qFormat/>
    <w:uiPriority w:val="0"/>
    <w:rPr>
      <w:rFonts w:ascii="宋体" w:hAnsi="Courier New"/>
    </w:rPr>
  </w:style>
  <w:style w:type="paragraph" w:customStyle="1" w:styleId="143">
    <w:name w:val="font6"/>
    <w:basedOn w:val="1"/>
    <w:qFormat/>
    <w:uiPriority w:val="0"/>
    <w:pPr>
      <w:widowControl/>
      <w:spacing w:before="100" w:beforeLines="0" w:beforeAutospacing="1" w:after="100" w:afterLines="0" w:afterAutospacing="1"/>
      <w:jc w:val="left"/>
    </w:pPr>
    <w:rPr>
      <w:kern w:val="0"/>
      <w:sz w:val="24"/>
      <w:szCs w:val="24"/>
    </w:rPr>
  </w:style>
  <w:style w:type="paragraph" w:customStyle="1" w:styleId="144">
    <w:name w:val="xl3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Lines="0" w:beforeAutospacing="1" w:after="100" w:afterLines="0" w:afterAutospacing="1"/>
      <w:jc w:val="left"/>
    </w:pPr>
    <w:rPr>
      <w:rFonts w:ascii="Arial Unicode MS" w:hAnsi="Arial Unicode MS"/>
      <w:kern w:val="0"/>
      <w:sz w:val="24"/>
      <w:szCs w:val="24"/>
    </w:rPr>
  </w:style>
  <w:style w:type="paragraph" w:customStyle="1" w:styleId="145">
    <w:name w:val="正文文本 (2)1"/>
    <w:basedOn w:val="1"/>
    <w:qFormat/>
    <w:uiPriority w:val="0"/>
    <w:pPr>
      <w:shd w:val="clear" w:color="auto" w:fill="FFFFFF"/>
      <w:autoSpaceDE/>
      <w:autoSpaceDN/>
      <w:spacing w:before="300" w:beforeLines="0" w:after="100" w:afterLines="0" w:afterAutospacing="1" w:line="439" w:lineRule="exact"/>
      <w:jc w:val="distribute"/>
    </w:pPr>
    <w:rPr>
      <w:rFonts w:ascii="微软雅黑 Light" w:hAnsi="微软雅黑 Light"/>
      <w:color w:val="000000"/>
      <w:spacing w:val="20"/>
      <w:lang w:val="en-US" w:bidi="ar-SA"/>
    </w:rPr>
  </w:style>
  <w:style w:type="paragraph" w:customStyle="1" w:styleId="146">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textAlignment w:val="center"/>
    </w:pPr>
    <w:rPr>
      <w:kern w:val="0"/>
      <w:sz w:val="24"/>
      <w:szCs w:val="24"/>
    </w:rPr>
  </w:style>
  <w:style w:type="paragraph" w:customStyle="1" w:styleId="147">
    <w:name w:val=" Char"/>
    <w:basedOn w:val="1"/>
    <w:qFormat/>
    <w:uiPriority w:val="0"/>
    <w:rPr>
      <w:szCs w:val="24"/>
    </w:rPr>
  </w:style>
  <w:style w:type="paragraph" w:customStyle="1" w:styleId="148">
    <w:name w:val="font5"/>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49">
    <w:name w:val="Char"/>
    <w:basedOn w:val="1"/>
    <w:qFormat/>
    <w:uiPriority w:val="0"/>
    <w:rPr>
      <w:szCs w:val="24"/>
    </w:rPr>
  </w:style>
  <w:style w:type="paragraph" w:customStyle="1" w:styleId="15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b/>
      <w:bCs/>
      <w:kern w:val="0"/>
      <w:sz w:val="24"/>
      <w:szCs w:val="24"/>
    </w:rPr>
  </w:style>
  <w:style w:type="paragraph" w:customStyle="1" w:styleId="151">
    <w:name w:val="head4"/>
    <w:basedOn w:val="1"/>
    <w:qFormat/>
    <w:uiPriority w:val="0"/>
    <w:pPr>
      <w:widowControl/>
      <w:overflowPunct w:val="0"/>
      <w:autoSpaceDE w:val="0"/>
      <w:autoSpaceDN w:val="0"/>
      <w:adjustRightInd w:val="0"/>
      <w:spacing w:before="120" w:beforeLines="0" w:line="360" w:lineRule="auto"/>
      <w:textAlignment w:val="baseline"/>
    </w:pPr>
    <w:rPr>
      <w:rFonts w:ascii="¿¬Ìå" w:hAnsi="¿¬Ìå"/>
      <w:kern w:val="0"/>
      <w:sz w:val="24"/>
      <w:szCs w:val="24"/>
    </w:rPr>
  </w:style>
  <w:style w:type="paragraph" w:customStyle="1" w:styleId="152">
    <w:name w:val=" Char Char Char Char Char Char Char Char Char Char"/>
    <w:basedOn w:val="14"/>
    <w:qFormat/>
    <w:uiPriority w:val="0"/>
    <w:pPr>
      <w:keepNext/>
      <w:tabs>
        <w:tab w:val="left" w:pos="720"/>
      </w:tabs>
      <w:spacing w:before="312" w:beforeLines="100"/>
      <w:ind w:hanging="720"/>
    </w:pPr>
    <w:rPr>
      <w:rFonts w:ascii="Tahoma" w:hAnsi="Tahoma"/>
      <w:sz w:val="24"/>
    </w:rPr>
  </w:style>
  <w:style w:type="paragraph" w:customStyle="1" w:styleId="153">
    <w:name w:val="font8"/>
    <w:basedOn w:val="1"/>
    <w:qFormat/>
    <w:uiPriority w:val="0"/>
    <w:pPr>
      <w:widowControl/>
      <w:spacing w:before="100" w:beforeLines="0" w:beforeAutospacing="1" w:after="100" w:afterLines="0" w:afterAutospacing="1"/>
      <w:jc w:val="left"/>
    </w:pPr>
    <w:rPr>
      <w:rFonts w:hint="eastAsia" w:ascii="宋体" w:hAnsi="宋体"/>
      <w:kern w:val="0"/>
      <w:sz w:val="40"/>
      <w:szCs w:val="40"/>
    </w:rPr>
  </w:style>
  <w:style w:type="paragraph" w:customStyle="1" w:styleId="154">
    <w:name w:val="文件标题"/>
    <w:basedOn w:val="1"/>
    <w:qFormat/>
    <w:uiPriority w:val="0"/>
    <w:pPr>
      <w:jc w:val="center"/>
    </w:pPr>
    <w:rPr>
      <w:rFonts w:ascii="仿宋_GB2312" w:eastAsia="仿宋_GB2312"/>
      <w:b/>
      <w:sz w:val="36"/>
      <w:szCs w:val="28"/>
    </w:rPr>
  </w:style>
  <w:style w:type="paragraph" w:customStyle="1" w:styleId="15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b/>
      <w:bCs/>
      <w:kern w:val="0"/>
      <w:sz w:val="24"/>
      <w:szCs w:val="24"/>
    </w:rPr>
  </w:style>
  <w:style w:type="paragraph" w:styleId="156">
    <w:name w:val="List Paragraph"/>
    <w:basedOn w:val="1"/>
    <w:qFormat/>
    <w:uiPriority w:val="1"/>
    <w:pPr>
      <w:ind w:left="424" w:firstLine="480"/>
    </w:pPr>
  </w:style>
  <w:style w:type="paragraph" w:customStyle="1" w:styleId="15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18"/>
      <w:szCs w:val="18"/>
    </w:rPr>
  </w:style>
  <w:style w:type="paragraph" w:customStyle="1" w:styleId="15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kern w:val="0"/>
      <w:sz w:val="24"/>
      <w:szCs w:val="24"/>
    </w:rPr>
  </w:style>
  <w:style w:type="paragraph" w:customStyle="1" w:styleId="159">
    <w:name w:val="表格标题"/>
    <w:basedOn w:val="1"/>
    <w:qFormat/>
    <w:uiPriority w:val="0"/>
    <w:pPr>
      <w:shd w:val="clear" w:color="auto" w:fill="FFFFFF"/>
      <w:autoSpaceDE/>
      <w:autoSpaceDN/>
      <w:spacing w:line="322" w:lineRule="exact"/>
      <w:jc w:val="distribute"/>
    </w:pPr>
    <w:rPr>
      <w:rFonts w:ascii="微软雅黑 Light" w:hAnsi="微软雅黑 Light"/>
      <w:color w:val="000000"/>
      <w:spacing w:val="10"/>
      <w:sz w:val="19"/>
      <w:szCs w:val="19"/>
      <w:lang w:val="en-US" w:bidi="ar-SA"/>
    </w:rPr>
  </w:style>
  <w:style w:type="paragraph" w:customStyle="1" w:styleId="160">
    <w:name w:val=" Char Char Char Char Char Char Char Char Char Char Char Char Char Char Char Char Char Char Char"/>
    <w:basedOn w:val="1"/>
    <w:semiHidden/>
    <w:qFormat/>
    <w:uiPriority w:val="0"/>
    <w:rPr>
      <w:szCs w:val="24"/>
    </w:rPr>
  </w:style>
  <w:style w:type="paragraph" w:customStyle="1" w:styleId="161">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rFonts w:ascii="Arial Unicode MS" w:hAnsi="Arial Unicode MS"/>
      <w:b/>
      <w:bCs/>
      <w:kern w:val="0"/>
      <w:sz w:val="24"/>
      <w:szCs w:val="24"/>
    </w:rPr>
  </w:style>
  <w:style w:type="paragraph" w:customStyle="1" w:styleId="162">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24"/>
      <w:szCs w:val="24"/>
    </w:rPr>
  </w:style>
  <w:style w:type="paragraph" w:customStyle="1" w:styleId="163">
    <w:name w:val="表格"/>
    <w:basedOn w:val="1"/>
    <w:qFormat/>
    <w:uiPriority w:val="0"/>
    <w:pPr>
      <w:jc w:val="center"/>
      <w:textAlignment w:val="center"/>
    </w:pPr>
    <w:rPr>
      <w:rFonts w:ascii="华文细黑" w:hAnsi="华文细黑"/>
      <w:kern w:val="0"/>
    </w:rPr>
  </w:style>
  <w:style w:type="paragraph" w:customStyle="1" w:styleId="164">
    <w:name w:val="text"/>
    <w:basedOn w:val="1"/>
    <w:qFormat/>
    <w:uiPriority w:val="0"/>
    <w:pPr>
      <w:overflowPunct w:val="0"/>
      <w:autoSpaceDE w:val="0"/>
      <w:autoSpaceDN w:val="0"/>
      <w:adjustRightInd w:val="0"/>
      <w:spacing w:before="120" w:beforeLines="0" w:after="120" w:afterLines="0"/>
      <w:ind w:left="864"/>
      <w:textAlignment w:val="baseline"/>
    </w:pPr>
    <w:rPr>
      <w:rFonts w:ascii="宋体"/>
      <w:spacing w:val="-14"/>
      <w:kern w:val="0"/>
      <w:sz w:val="24"/>
      <w:szCs w:val="24"/>
    </w:rPr>
  </w:style>
  <w:style w:type="paragraph" w:customStyle="1" w:styleId="165">
    <w:name w:val="简单回函地址"/>
    <w:basedOn w:val="1"/>
    <w:qFormat/>
    <w:uiPriority w:val="0"/>
    <w:rPr>
      <w:rFonts w:ascii="仿宋_GB2312" w:hAnsi="宋体" w:eastAsia="仿宋_GB2312"/>
      <w:bCs/>
      <w:sz w:val="30"/>
    </w:rPr>
  </w:style>
  <w:style w:type="paragraph" w:customStyle="1" w:styleId="166">
    <w:name w:val="表头"/>
    <w:basedOn w:val="1"/>
    <w:qFormat/>
    <w:uiPriority w:val="0"/>
    <w:pPr>
      <w:spacing w:line="300" w:lineRule="auto"/>
      <w:jc w:val="center"/>
    </w:pPr>
    <w:rPr>
      <w:rFonts w:eastAsia="黑体" w:cs="华文细黑"/>
      <w:color w:val="000000"/>
      <w:szCs w:val="24"/>
    </w:rPr>
  </w:style>
  <w:style w:type="paragraph" w:customStyle="1" w:styleId="167">
    <w:name w:val="Table Paragraph"/>
    <w:basedOn w:val="1"/>
    <w:qFormat/>
    <w:uiPriority w:val="1"/>
  </w:style>
  <w:style w:type="paragraph" w:customStyle="1" w:styleId="168">
    <w:name w:val="表格文字"/>
    <w:basedOn w:val="1"/>
    <w:qFormat/>
    <w:uiPriority w:val="0"/>
    <w:pPr>
      <w:adjustRightInd w:val="0"/>
      <w:spacing w:line="420" w:lineRule="atLeast"/>
      <w:jc w:val="left"/>
      <w:textAlignment w:val="baseline"/>
    </w:pPr>
    <w:rPr>
      <w:kern w:val="0"/>
    </w:rPr>
  </w:style>
  <w:style w:type="paragraph" w:styleId="169">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kern w:val="0"/>
      <w:sz w:val="24"/>
      <w:szCs w:val="24"/>
    </w:rPr>
  </w:style>
  <w:style w:type="paragraph" w:customStyle="1" w:styleId="171">
    <w:name w:val="正文1"/>
    <w:qFormat/>
    <w:uiPriority w:val="0"/>
    <w:rPr>
      <w:rFonts w:ascii="Times New Roman" w:hAnsi="Times New Roman" w:eastAsia="Times New Roman" w:cs="Times New Roman"/>
      <w:sz w:val="24"/>
      <w:szCs w:val="24"/>
      <w:lang w:val="en-US" w:eastAsia="zh-CN" w:bidi="ar-SA"/>
    </w:rPr>
  </w:style>
  <w:style w:type="paragraph" w:customStyle="1" w:styleId="172">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73">
    <w:name w:val="font0"/>
    <w:basedOn w:val="1"/>
    <w:qFormat/>
    <w:uiPriority w:val="0"/>
    <w:pPr>
      <w:widowControl/>
      <w:spacing w:before="100" w:beforeLines="0" w:beforeAutospacing="1" w:after="100" w:afterLines="0" w:afterAutospacing="1"/>
      <w:jc w:val="left"/>
    </w:pPr>
    <w:rPr>
      <w:rFonts w:hint="eastAsia" w:ascii="宋体" w:hAnsi="宋体"/>
      <w:kern w:val="0"/>
      <w:sz w:val="24"/>
      <w:szCs w:val="24"/>
    </w:rPr>
  </w:style>
  <w:style w:type="paragraph" w:customStyle="1" w:styleId="174">
    <w:name w:val="标题 2_1"/>
    <w:basedOn w:val="108"/>
    <w:next w:val="108"/>
    <w:qFormat/>
    <w:uiPriority w:val="0"/>
    <w:pPr>
      <w:keepNext/>
      <w:keepLines/>
      <w:spacing w:before="260" w:beforeLines="0" w:after="260" w:afterLines="0" w:line="416" w:lineRule="auto"/>
      <w:outlineLvl w:val="1"/>
    </w:pPr>
    <w:rPr>
      <w:rFonts w:ascii="Cambria" w:hAnsi="Cambria" w:eastAsia="宋体" w:cs="Times New Roman"/>
      <w:b/>
      <w:bCs/>
      <w:sz w:val="32"/>
      <w:szCs w:val="32"/>
    </w:rPr>
  </w:style>
  <w:style w:type="paragraph" w:customStyle="1" w:styleId="175">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center"/>
    </w:pPr>
    <w:rPr>
      <w:rFonts w:ascii="Arial Unicode MS" w:hAnsi="Arial Unicode MS"/>
      <w:kern w:val="0"/>
      <w:sz w:val="24"/>
      <w:szCs w:val="24"/>
    </w:rPr>
  </w:style>
  <w:style w:type="paragraph" w:customStyle="1" w:styleId="176">
    <w:name w:val="正文文本 (23)1"/>
    <w:basedOn w:val="1"/>
    <w:qFormat/>
    <w:uiPriority w:val="0"/>
    <w:pPr>
      <w:shd w:val="clear" w:color="auto" w:fill="FFFFFF"/>
      <w:autoSpaceDE/>
      <w:autoSpaceDN/>
      <w:spacing w:before="100" w:beforeLines="0" w:beforeAutospacing="1" w:after="120" w:afterLines="0" w:line="0" w:lineRule="atLeast"/>
      <w:jc w:val="distribute"/>
    </w:pPr>
    <w:rPr>
      <w:rFonts w:ascii="微软雅黑 Light" w:hAnsi="微软雅黑 Light"/>
      <w:color w:val="000000"/>
      <w:lang w:val="en-US" w:bidi="ar-SA"/>
    </w:rPr>
  </w:style>
  <w:style w:type="paragraph" w:customStyle="1" w:styleId="177">
    <w:name w:val="xl47"/>
    <w:basedOn w:val="1"/>
    <w:qFormat/>
    <w:uiPriority w:val="0"/>
    <w:pPr>
      <w:widowControl/>
      <w:spacing w:before="100" w:beforeLines="0" w:beforeAutospacing="1" w:after="100" w:afterLines="0" w:afterAutospacing="1"/>
      <w:jc w:val="center"/>
    </w:pPr>
    <w:rPr>
      <w:rFonts w:ascii="宋体" w:hAnsi="宋体"/>
      <w:kern w:val="0"/>
      <w:sz w:val="28"/>
      <w:szCs w:val="28"/>
    </w:rPr>
  </w:style>
  <w:style w:type="paragraph" w:customStyle="1" w:styleId="178">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textAlignment w:val="center"/>
    </w:pPr>
    <w:rPr>
      <w:rFonts w:ascii="Arial Unicode MS" w:hAnsi="Arial Unicode MS"/>
      <w:kern w:val="0"/>
      <w:sz w:val="24"/>
      <w:szCs w:val="24"/>
    </w:rPr>
  </w:style>
  <w:style w:type="paragraph" w:customStyle="1" w:styleId="179">
    <w:name w:val="表格2"/>
    <w:basedOn w:val="1"/>
    <w:qFormat/>
    <w:uiPriority w:val="0"/>
    <w:pPr>
      <w:adjustRightInd w:val="0"/>
      <w:spacing w:before="60" w:beforeLines="0" w:after="60" w:afterLines="0"/>
      <w:jc w:val="center"/>
    </w:pPr>
    <w:rPr>
      <w:rFonts w:ascii="宋体"/>
      <w:color w:val="000000"/>
      <w:kern w:val="0"/>
      <w:sz w:val="24"/>
    </w:rPr>
  </w:style>
  <w:style w:type="paragraph" w:customStyle="1" w:styleId="180">
    <w:name w:val="_Style 179"/>
    <w:unhideWhenUsed/>
    <w:qFormat/>
    <w:uiPriority w:val="99"/>
    <w:rPr>
      <w:rFonts w:ascii="Times New Roman" w:hAnsi="Times New Roman" w:eastAsia="宋体" w:cs="Times New Roman"/>
      <w:kern w:val="2"/>
      <w:sz w:val="21"/>
      <w:lang w:val="en-US" w:eastAsia="zh-CN" w:bidi="ar-SA"/>
    </w:rPr>
  </w:style>
  <w:style w:type="paragraph" w:customStyle="1" w:styleId="18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Lines="0" w:beforeAutospacing="1" w:after="100" w:afterLines="0" w:afterAutospacing="1"/>
      <w:jc w:val="left"/>
    </w:pPr>
    <w:rPr>
      <w:rFonts w:ascii="Arial Unicode MS" w:hAnsi="Arial Unicode MS"/>
      <w:b/>
      <w:bCs/>
      <w:kern w:val="0"/>
      <w:sz w:val="24"/>
      <w:szCs w:val="24"/>
    </w:rPr>
  </w:style>
  <w:style w:type="paragraph" w:customStyle="1" w:styleId="182">
    <w:name w:val="正文文本_0"/>
    <w:basedOn w:val="106"/>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customStyle="1" w:styleId="183">
    <w:name w:val="1 Char"/>
    <w:basedOn w:val="1"/>
    <w:qFormat/>
    <w:uiPriority w:val="0"/>
    <w:rPr>
      <w:szCs w:val="24"/>
    </w:rPr>
  </w:style>
  <w:style w:type="paragraph" w:customStyle="1" w:styleId="184">
    <w:name w:val="合同正文"/>
    <w:basedOn w:val="1"/>
    <w:qFormat/>
    <w:uiPriority w:val="0"/>
    <w:pPr>
      <w:adjustRightInd w:val="0"/>
      <w:spacing w:line="580" w:lineRule="exact"/>
    </w:pPr>
    <w:rPr>
      <w:b/>
      <w:sz w:val="24"/>
    </w:rPr>
  </w:style>
  <w:style w:type="paragraph" w:customStyle="1" w:styleId="185">
    <w:name w:val="正文文本 (14)2"/>
    <w:basedOn w:val="1"/>
    <w:qFormat/>
    <w:uiPriority w:val="0"/>
    <w:pPr>
      <w:shd w:val="clear" w:color="auto" w:fill="FFFFFF"/>
      <w:autoSpaceDE/>
      <w:autoSpaceDN/>
      <w:spacing w:before="100" w:beforeLines="0" w:beforeAutospacing="1" w:after="540" w:afterLines="0" w:line="0" w:lineRule="atLeast"/>
      <w:jc w:val="center"/>
    </w:pPr>
    <w:rPr>
      <w:rFonts w:ascii="微软雅黑 Light" w:hAnsi="微软雅黑 Light"/>
      <w:color w:val="000000"/>
      <w:spacing w:val="10"/>
      <w:sz w:val="19"/>
      <w:szCs w:val="19"/>
      <w:lang w:val="en-US" w:bidi="ar-SA"/>
    </w:rPr>
  </w:style>
  <w:style w:type="paragraph" w:customStyle="1" w:styleId="186">
    <w:name w:val="标题2"/>
    <w:basedOn w:val="3"/>
    <w:next w:val="1"/>
    <w:qFormat/>
    <w:uiPriority w:val="0"/>
    <w:pPr>
      <w:numPr>
        <w:ilvl w:val="0"/>
        <w:numId w:val="0"/>
      </w:numPr>
      <w:snapToGrid w:val="0"/>
      <w:spacing w:before="120" w:beforeLines="0" w:after="120" w:afterLines="0" w:line="240" w:lineRule="auto"/>
      <w:jc w:val="left"/>
    </w:pPr>
    <w:rPr>
      <w:b w:val="0"/>
      <w:sz w:val="21"/>
      <w:szCs w:val="21"/>
    </w:rPr>
  </w:style>
  <w:style w:type="paragraph" w:customStyle="1" w:styleId="187">
    <w:name w:val="标题 4_0"/>
    <w:basedOn w:val="76"/>
    <w:next w:val="76"/>
    <w:unhideWhenUsed/>
    <w:qFormat/>
    <w:uiPriority w:val="9"/>
    <w:pPr>
      <w:keepNext/>
      <w:keepLines/>
      <w:spacing w:before="280" w:beforeLines="0" w:after="290" w:afterLines="0" w:line="376" w:lineRule="auto"/>
      <w:outlineLvl w:val="3"/>
    </w:pPr>
    <w:rPr>
      <w:rFonts w:ascii="Cambria" w:hAnsi="Cambria"/>
      <w:b/>
      <w:bCs/>
      <w:sz w:val="28"/>
      <w:szCs w:val="28"/>
    </w:rPr>
  </w:style>
  <w:style w:type="paragraph" w:customStyle="1" w:styleId="188">
    <w:name w:val="xl27"/>
    <w:basedOn w:val="1"/>
    <w:qFormat/>
    <w:uiPriority w:val="0"/>
    <w:pPr>
      <w:widowControl/>
      <w:pBdr>
        <w:bottom w:val="single" w:color="auto" w:sz="4" w:space="0"/>
        <w:right w:val="single" w:color="auto" w:sz="4" w:space="0"/>
      </w:pBdr>
      <w:spacing w:before="100" w:beforeLines="0" w:beforeAutospacing="1" w:after="100" w:afterLines="0" w:afterAutospacing="1"/>
      <w:jc w:val="center"/>
    </w:pPr>
    <w:rPr>
      <w:kern w:val="0"/>
      <w:sz w:val="24"/>
      <w:szCs w:val="24"/>
    </w:rPr>
  </w:style>
  <w:style w:type="paragraph" w:customStyle="1" w:styleId="189">
    <w:name w:val="样式 标题 1 + 黑体 三号 非加粗 居中 段前: 6 磅 段后: 6 磅 行距: 固定值 20 磅"/>
    <w:basedOn w:val="2"/>
    <w:qFormat/>
    <w:uiPriority w:val="0"/>
    <w:pPr>
      <w:adjustRightInd/>
      <w:snapToGrid/>
      <w:spacing w:before="120" w:beforeLines="0" w:after="120" w:afterLines="0" w:line="400" w:lineRule="exact"/>
    </w:pPr>
    <w:rPr>
      <w:rFonts w:ascii="黑体" w:hAnsi="黑体" w:cs="宋体"/>
    </w:rPr>
  </w:style>
  <w:style w:type="paragraph" w:customStyle="1" w:styleId="190">
    <w:name w:val="纯文本_0"/>
    <w:basedOn w:val="108"/>
    <w:qFormat/>
    <w:uiPriority w:val="0"/>
    <w:rPr>
      <w:rFonts w:ascii="宋体" w:hAnsi="Courier New" w:eastAsia="宋体" w:cs="Times New Roman"/>
      <w:szCs w:val="24"/>
    </w:rPr>
  </w:style>
  <w:style w:type="paragraph" w:customStyle="1" w:styleId="191">
    <w:name w:val="标题 #7 (2)"/>
    <w:basedOn w:val="1"/>
    <w:qFormat/>
    <w:uiPriority w:val="0"/>
    <w:pPr>
      <w:shd w:val="clear" w:color="auto" w:fill="FFFFFF"/>
      <w:autoSpaceDE/>
      <w:autoSpaceDN/>
      <w:spacing w:before="600" w:beforeLines="0" w:after="720" w:afterLines="0" w:line="0" w:lineRule="atLeast"/>
      <w:jc w:val="distribute"/>
      <w:outlineLvl w:val="6"/>
    </w:pPr>
    <w:rPr>
      <w:rFonts w:ascii="微软雅黑 Light" w:hAnsi="微软雅黑 Light"/>
      <w:color w:val="000000"/>
      <w:spacing w:val="20"/>
      <w:sz w:val="28"/>
      <w:szCs w:val="28"/>
      <w:lang w:val="en-US" w:bidi="ar-SA"/>
    </w:rPr>
  </w:style>
  <w:style w:type="paragraph" w:customStyle="1" w:styleId="192">
    <w:name w:val="font10"/>
    <w:basedOn w:val="1"/>
    <w:qFormat/>
    <w:uiPriority w:val="0"/>
    <w:pPr>
      <w:widowControl/>
      <w:spacing w:before="100" w:beforeLines="0" w:beforeAutospacing="1" w:after="100" w:afterLines="0" w:afterAutospacing="1"/>
      <w:jc w:val="left"/>
    </w:pPr>
    <w:rPr>
      <w:rFonts w:hint="eastAsia" w:ascii="宋体" w:hAnsi="宋体"/>
      <w:kern w:val="0"/>
      <w:sz w:val="24"/>
      <w:szCs w:val="24"/>
    </w:rPr>
  </w:style>
  <w:style w:type="paragraph" w:customStyle="1" w:styleId="193">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Lines="0" w:beforeAutospacing="1" w:after="100" w:afterLines="0" w:afterAutospacing="1"/>
      <w:jc w:val="center"/>
    </w:pPr>
    <w:rPr>
      <w:rFonts w:ascii="Arial Unicode MS" w:hAnsi="Arial Unicode MS"/>
      <w:kern w:val="0"/>
      <w:sz w:val="28"/>
      <w:szCs w:val="28"/>
    </w:rPr>
  </w:style>
  <w:style w:type="paragraph" w:customStyle="1" w:styleId="194">
    <w:name w:val=" Char Char Char Char Char Char Char"/>
    <w:basedOn w:val="1"/>
    <w:qFormat/>
    <w:uiPriority w:val="0"/>
    <w:rPr>
      <w:szCs w:val="24"/>
    </w:rPr>
  </w:style>
  <w:style w:type="paragraph" w:customStyle="1" w:styleId="195">
    <w:name w:val="Body text|1"/>
    <w:basedOn w:val="1"/>
    <w:qFormat/>
    <w:uiPriority w:val="0"/>
    <w:pPr>
      <w:widowControl w:val="0"/>
      <w:shd w:val="clear" w:color="auto" w:fill="auto"/>
      <w:spacing w:line="360" w:lineRule="auto"/>
      <w:ind w:firstLine="400"/>
    </w:pPr>
    <w:rPr>
      <w:rFonts w:ascii="宋体" w:hAnsi="宋体" w:eastAsia="宋体" w:cs="宋体"/>
      <w:sz w:val="32"/>
      <w:szCs w:val="32"/>
      <w:u w:val="none"/>
      <w:shd w:val="clear" w:color="auto" w:fill="auto"/>
      <w:lang w:val="zh-TW" w:eastAsia="zh-TW" w:bidi="zh-TW"/>
    </w:rPr>
  </w:style>
  <w:style w:type="paragraph" w:customStyle="1" w:styleId="196">
    <w:name w:val="正文_0_0"/>
    <w:basedOn w:val="75"/>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7">
    <w:name w:val="正文_2_0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8">
    <w:name w:val="正文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9">
    <w:name w:val="正文_2_1"/>
    <w:next w:val="20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0">
    <w:name w:val="正文首行缩进_0"/>
    <w:basedOn w:val="201"/>
    <w:qFormat/>
    <w:uiPriority w:val="0"/>
    <w:pPr>
      <w:spacing w:after="120"/>
      <w:ind w:firstLine="420" w:firstLineChars="100"/>
    </w:pPr>
    <w:rPr>
      <w:rFonts w:ascii="Times New Roman" w:hAnsi="Times New Roman"/>
      <w:szCs w:val="24"/>
    </w:rPr>
  </w:style>
  <w:style w:type="paragraph" w:customStyle="1" w:styleId="201">
    <w:name w:val="正文文本_1_0"/>
    <w:basedOn w:val="199"/>
    <w:next w:val="202"/>
    <w:qFormat/>
    <w:uiPriority w:val="99"/>
    <w:pPr>
      <w:spacing w:after="120"/>
    </w:pPr>
    <w:rPr>
      <w:rFonts w:ascii="Times New Roman" w:hAnsi="Times New Roman"/>
      <w:szCs w:val="24"/>
    </w:rPr>
  </w:style>
  <w:style w:type="paragraph" w:customStyle="1" w:styleId="202">
    <w:name w:val="正文首行缩进 2_0_0"/>
    <w:basedOn w:val="203"/>
    <w:qFormat/>
    <w:uiPriority w:val="0"/>
    <w:pPr>
      <w:ind w:firstLine="210"/>
    </w:pPr>
    <w:rPr>
      <w:rFonts w:ascii="Times New Roman" w:hAnsi="Times New Roman" w:eastAsia="宋体" w:cs="Times New Roman"/>
    </w:rPr>
  </w:style>
  <w:style w:type="paragraph" w:customStyle="1" w:styleId="203">
    <w:name w:val="正文文本缩进_1_0"/>
    <w:basedOn w:val="204"/>
    <w:next w:val="205"/>
    <w:qFormat/>
    <w:uiPriority w:val="0"/>
    <w:pPr>
      <w:spacing w:before="240" w:line="360" w:lineRule="auto"/>
      <w:ind w:firstLine="552" w:firstLineChars="263"/>
    </w:pPr>
    <w:rPr>
      <w:rFonts w:ascii="宋体" w:hAnsi="宋体" w:eastAsia="宋体" w:cs="Times New Roman"/>
    </w:rPr>
  </w:style>
  <w:style w:type="paragraph" w:customStyle="1" w:styleId="204">
    <w:name w:val="正文_3_1"/>
    <w:basedOn w:val="79"/>
    <w:qFormat/>
    <w:uiPriority w:val="0"/>
    <w:rPr>
      <w:rFonts w:ascii="Calibri" w:hAnsi="Calibri" w:cs="宋体"/>
      <w:szCs w:val="21"/>
    </w:rPr>
  </w:style>
  <w:style w:type="paragraph" w:customStyle="1" w:styleId="205">
    <w:name w:val="寄信人地址_0"/>
    <w:basedOn w:val="199"/>
    <w:qFormat/>
    <w:uiPriority w:val="0"/>
    <w:pPr>
      <w:widowControl/>
      <w:snapToGrid w:val="0"/>
      <w:jc w:val="left"/>
    </w:pPr>
    <w:rPr>
      <w:rFonts w:ascii="Arial" w:hAnsi="Arial" w:cs="Arial"/>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wsgs</Company>
  <Pages>80</Pages>
  <Words>20730</Words>
  <Characters>22185</Characters>
  <Lines>420</Lines>
  <Paragraphs>118</Paragraphs>
  <TotalTime>53</TotalTime>
  <ScaleCrop>false</ScaleCrop>
  <LinksUpToDate>false</LinksUpToDate>
  <CharactersWithSpaces>23507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2017-05-07T13:56:00Z</dcterms:created>
  <dc:creator>ws</dc:creator>
  <cp:lastModifiedBy>Strulle</cp:lastModifiedBy>
  <cp:lastPrinted>2020-07-31T15:04:00Z</cp:lastPrinted>
  <dcterms:modified xsi:type="dcterms:W3CDTF">2025-07-28T08:00:21Z</dcterms:modified>
  <dc:title>百色市天湖山庄别墅楼室内装修工程项目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70BFEB35A40547858FA273069940EAC4_13</vt:lpwstr>
  </property>
  <property fmtid="{D5CDD505-2E9C-101B-9397-08002B2CF9AE}" pid="4" name="KSOTemplateDocerSaveRecord">
    <vt:lpwstr>eyJoZGlkIjoiMWUyNDFmNGU1ZWIwNzQyZTQ2YjhjYjg4ZmZmYzkzZDEiLCJ1c2VySWQiOiI0MjkwMTM3MjUifQ==</vt:lpwstr>
  </property>
</Properties>
</file>