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keepNext w:val="0"/>
        <w:keepLines w:val="0"/>
        <w:pageBreakBefore w:val="0"/>
        <w:widowControl w:val="0"/>
        <w:numPr>
          <w:ilvl w:val="0"/>
          <w:numId w:val="0"/>
        </w:numPr>
        <w:tabs>
          <w:tab w:val="left" w:pos="1171"/>
        </w:tabs>
        <w:kinsoku/>
        <w:wordWrap/>
        <w:overflowPunct/>
        <w:topLinePunct w:val="0"/>
        <w:autoSpaceDE w:val="0"/>
        <w:autoSpaceDN w:val="0"/>
        <w:bidi w:val="0"/>
        <w:adjustRightInd/>
        <w:snapToGrid/>
        <w:spacing w:line="336" w:lineRule="auto"/>
        <w:ind w:left="867" w:leftChars="0"/>
        <w:jc w:val="center"/>
        <w:textAlignment w:val="auto"/>
        <w:rPr>
          <w:color w:val="auto"/>
        </w:rPr>
      </w:pPr>
      <w:bookmarkStart w:id="0" w:name="00交通工程设计说明"/>
      <w:bookmarkEnd w:id="0"/>
      <w:r>
        <w:rPr>
          <w:b/>
          <w:color w:val="auto"/>
          <w:sz w:val="52"/>
        </w:rPr>
        <w:t>交通工程设计说明</w:t>
      </w:r>
    </w:p>
    <w:p>
      <w:pPr>
        <w:pStyle w:val="12"/>
        <w:keepNext w:val="0"/>
        <w:keepLines w:val="0"/>
        <w:pageBreakBefore w:val="0"/>
        <w:widowControl w:val="0"/>
        <w:numPr>
          <w:ilvl w:val="0"/>
          <w:numId w:val="0"/>
        </w:numPr>
        <w:tabs>
          <w:tab w:val="left" w:pos="1171"/>
        </w:tabs>
        <w:kinsoku/>
        <w:wordWrap/>
        <w:overflowPunct/>
        <w:topLinePunct w:val="0"/>
        <w:autoSpaceDE w:val="0"/>
        <w:autoSpaceDN w:val="0"/>
        <w:bidi w:val="0"/>
        <w:adjustRightInd/>
        <w:snapToGrid/>
        <w:spacing w:line="336" w:lineRule="auto"/>
        <w:ind w:left="867" w:leftChars="0"/>
        <w:jc w:val="left"/>
        <w:textAlignment w:val="auto"/>
        <w:rPr>
          <w:color w:val="auto"/>
        </w:rPr>
      </w:pPr>
    </w:p>
    <w:p>
      <w:pPr>
        <w:pStyle w:val="12"/>
        <w:keepNext w:val="0"/>
        <w:keepLines w:val="0"/>
        <w:pageBreakBefore w:val="0"/>
        <w:widowControl w:val="0"/>
        <w:numPr>
          <w:ilvl w:val="3"/>
          <w:numId w:val="1"/>
        </w:numPr>
        <w:tabs>
          <w:tab w:val="left" w:pos="1171"/>
        </w:tabs>
        <w:kinsoku/>
        <w:wordWrap/>
        <w:overflowPunct/>
        <w:topLinePunct w:val="0"/>
        <w:autoSpaceDE w:val="0"/>
        <w:autoSpaceDN w:val="0"/>
        <w:bidi w:val="0"/>
        <w:adjustRightInd/>
        <w:snapToGrid/>
        <w:spacing w:line="336" w:lineRule="auto"/>
        <w:ind w:hanging="303"/>
        <w:jc w:val="left"/>
        <w:textAlignment w:val="auto"/>
        <w:rPr>
          <w:color w:val="auto"/>
        </w:rPr>
      </w:pPr>
      <w:r>
        <w:rPr>
          <w:color w:val="auto"/>
        </w:rPr>
        <w:t>概述</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val="en-US" w:eastAsia="zh-CN"/>
        </w:rPr>
      </w:pPr>
      <w:r>
        <w:rPr>
          <w:rFonts w:hint="eastAsia" w:ascii="Helvetica" w:hAnsi="Helvetica" w:cs="Helvetica"/>
          <w:color w:val="333333"/>
          <w:sz w:val="24"/>
          <w:shd w:val="clear" w:color="auto" w:fill="FFFFFF"/>
          <w:lang w:eastAsia="zh-CN"/>
        </w:rPr>
        <w:t>黄田镇黄田寨村道路交通安全隐患整治改造项目</w:t>
      </w:r>
      <w:bookmarkStart w:id="1" w:name="_GoBack"/>
      <w:bookmarkEnd w:id="1"/>
      <w:r>
        <w:rPr>
          <w:rFonts w:hint="eastAsia" w:ascii="宋体" w:hAnsi="宋体" w:eastAsia="宋体" w:cs="宋体"/>
          <w:sz w:val="24"/>
          <w:szCs w:val="24"/>
          <w:lang w:val="en-US" w:eastAsia="zh-CN"/>
        </w:rPr>
        <w:t>，本项目改造位于平桂区黄田镇，道路改造路段为姑婆山大道与贺州北过境线姑婆山互通交叉口范围，姑婆山大道现状路幅宽度为10.5m，改造后路幅宽度为18m。</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本次设计内容主要包括道路展宽路基路面工程、交通信控工程及排水改造。</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近年来经济迅速增长，百姓日常通行的客流、车流迅速增长，车辆违停、行人随意穿行加重了道路的负担。为了缓解日益增长的交通压力，对该道路进行规整改造和路面补强，同时改善道路的景观，提升居民生活质量。</w:t>
      </w:r>
    </w:p>
    <w:p>
      <w:pPr>
        <w:pStyle w:val="12"/>
        <w:keepNext w:val="0"/>
        <w:keepLines w:val="0"/>
        <w:pageBreakBefore w:val="0"/>
        <w:widowControl w:val="0"/>
        <w:numPr>
          <w:ilvl w:val="3"/>
          <w:numId w:val="1"/>
        </w:numPr>
        <w:tabs>
          <w:tab w:val="left" w:pos="1171"/>
        </w:tabs>
        <w:kinsoku/>
        <w:wordWrap/>
        <w:overflowPunct/>
        <w:topLinePunct w:val="0"/>
        <w:autoSpaceDE w:val="0"/>
        <w:autoSpaceDN w:val="0"/>
        <w:bidi w:val="0"/>
        <w:adjustRightInd/>
        <w:snapToGrid/>
        <w:spacing w:before="43" w:line="336" w:lineRule="auto"/>
        <w:ind w:hanging="303"/>
        <w:jc w:val="left"/>
        <w:textAlignment w:val="auto"/>
        <w:rPr>
          <w:color w:val="auto"/>
        </w:rPr>
      </w:pPr>
      <w:r>
        <w:rPr>
          <w:color w:val="auto"/>
        </w:rPr>
        <w:t>设计依据及技术标准</w:t>
      </w:r>
    </w:p>
    <w:p>
      <w:pPr>
        <w:pStyle w:val="13"/>
        <w:keepNext w:val="0"/>
        <w:keepLines w:val="0"/>
        <w:pageBreakBefore w:val="0"/>
        <w:widowControl w:val="0"/>
        <w:numPr>
          <w:ilvl w:val="4"/>
          <w:numId w:val="1"/>
        </w:numPr>
        <w:tabs>
          <w:tab w:val="left" w:pos="1363"/>
        </w:tabs>
        <w:kinsoku/>
        <w:wordWrap/>
        <w:overflowPunct/>
        <w:topLinePunct w:val="0"/>
        <w:autoSpaceDE w:val="0"/>
        <w:autoSpaceDN w:val="0"/>
        <w:bidi w:val="0"/>
        <w:adjustRightInd/>
        <w:snapToGrid/>
        <w:spacing w:before="252" w:line="336" w:lineRule="auto"/>
        <w:textAlignment w:val="auto"/>
        <w:rPr>
          <w:color w:val="auto"/>
        </w:rPr>
      </w:pPr>
      <w:r>
        <w:rPr>
          <w:color w:val="auto"/>
        </w:rPr>
        <w:t>设计依据</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（1）《城市道路工程设计规范》(CJJ37—2012)；</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（2）《道路交通标志和标线》(GB5768</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—2009)；</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—20</w:t>
      </w:r>
      <w:r>
        <w:rPr>
          <w:rFonts w:hint="eastAsia" w:ascii="宋体" w:hAnsi="宋体" w:eastAsia="宋体" w:cs="宋体"/>
          <w:color w:val="auto"/>
          <w:sz w:val="24"/>
          <w:szCs w:val="24"/>
          <w:lang w:val="en-US" w:eastAsia="zh-CN"/>
        </w:rPr>
        <w:t>22</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—2009)；</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—20</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—20</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—20</w:t>
      </w:r>
      <w:r>
        <w:rPr>
          <w:rFonts w:hint="eastAsia" w:ascii="宋体" w:hAnsi="宋体" w:eastAsia="宋体" w:cs="宋体"/>
          <w:color w:val="auto"/>
          <w:sz w:val="24"/>
          <w:szCs w:val="24"/>
          <w:lang w:val="en-US" w:eastAsia="zh-CN"/>
        </w:rPr>
        <w:t>17</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lang w:eastAsia="zh-CN"/>
        </w:rPr>
        <w:t>—20</w:t>
      </w:r>
      <w:r>
        <w:rPr>
          <w:rFonts w:hint="eastAsia" w:ascii="宋体" w:hAnsi="宋体" w:eastAsia="宋体" w:cs="宋体"/>
          <w:color w:val="auto"/>
          <w:sz w:val="24"/>
          <w:szCs w:val="24"/>
          <w:lang w:val="en-US" w:eastAsia="zh-CN"/>
        </w:rPr>
        <w:t>18</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lang w:eastAsia="zh-CN"/>
        </w:rPr>
        <w:t>）《道路交通标志和标线》(GB5768</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—200</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（3）《城市道路交通标志和标线设置规范》（GB51038-2015）；</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（4）《城市道路交通设施设计规范》(GB50688—2011)</w:t>
      </w:r>
      <w:r>
        <w:rPr>
          <w:rFonts w:hint="eastAsia" w:ascii="宋体" w:hAnsi="宋体" w:eastAsia="宋体" w:cs="宋体"/>
          <w:color w:val="auto"/>
          <w:sz w:val="24"/>
          <w:szCs w:val="24"/>
          <w:lang w:val="en-US" w:eastAsia="zh-CN"/>
        </w:rPr>
        <w:t>2019版</w:t>
      </w:r>
      <w:r>
        <w:rPr>
          <w:rFonts w:hint="eastAsia" w:ascii="宋体" w:hAnsi="宋体" w:eastAsia="宋体" w:cs="宋体"/>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（5）《路面标线涂料》(JT/T280—2004)；</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（6）《中华人民共和国道路交通安全法》；</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（7）《中华人民共和国道路交通安全法实施条例》；</w:t>
      </w:r>
    </w:p>
    <w:p>
      <w:pPr>
        <w:keepNext w:val="0"/>
        <w:keepLines w:val="0"/>
        <w:pageBreakBefore w:val="0"/>
        <w:widowControl w:val="0"/>
        <w:kinsoku/>
        <w:wordWrap/>
        <w:overflowPunct/>
        <w:topLinePunct w:val="0"/>
        <w:autoSpaceDE w:val="0"/>
        <w:autoSpaceDN w:val="0"/>
        <w:bidi w:val="0"/>
        <w:adjustRightInd/>
        <w:snapToGrid/>
        <w:spacing w:before="0"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（8）《道路交通信号灯设置与安装规范》(GB</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l4886—20</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6)；</w:t>
      </w:r>
    </w:p>
    <w:p>
      <w:pPr>
        <w:pStyle w:val="13"/>
        <w:keepNext w:val="0"/>
        <w:keepLines w:val="0"/>
        <w:pageBreakBefore w:val="0"/>
        <w:widowControl w:val="0"/>
        <w:numPr>
          <w:ilvl w:val="4"/>
          <w:numId w:val="1"/>
        </w:numPr>
        <w:tabs>
          <w:tab w:val="left" w:pos="1364"/>
        </w:tabs>
        <w:kinsoku/>
        <w:wordWrap/>
        <w:overflowPunct/>
        <w:topLinePunct w:val="0"/>
        <w:autoSpaceDE w:val="0"/>
        <w:autoSpaceDN w:val="0"/>
        <w:bidi w:val="0"/>
        <w:adjustRightInd/>
        <w:snapToGrid/>
        <w:spacing w:before="212" w:line="336" w:lineRule="auto"/>
        <w:ind w:left="1363" w:hanging="496"/>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主要技术标准：</w:t>
      </w:r>
    </w:p>
    <w:p>
      <w:pPr>
        <w:keepNext w:val="0"/>
        <w:keepLines w:val="0"/>
        <w:pageBreakBefore w:val="0"/>
        <w:widowControl w:val="0"/>
        <w:kinsoku/>
        <w:wordWrap/>
        <w:overflowPunct/>
        <w:topLinePunct w:val="0"/>
        <w:autoSpaceDE w:val="0"/>
        <w:autoSpaceDN w:val="0"/>
        <w:bidi w:val="0"/>
        <w:adjustRightInd/>
        <w:snapToGrid/>
        <w:spacing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（1）路面设计标准轴载：100KN；</w:t>
      </w:r>
    </w:p>
    <w:p>
      <w:pPr>
        <w:keepNext w:val="0"/>
        <w:keepLines w:val="0"/>
        <w:pageBreakBefore w:val="0"/>
        <w:widowControl w:val="0"/>
        <w:kinsoku/>
        <w:wordWrap/>
        <w:overflowPunct/>
        <w:topLinePunct w:val="0"/>
        <w:autoSpaceDE w:val="0"/>
        <w:autoSpaceDN w:val="0"/>
        <w:bidi w:val="0"/>
        <w:adjustRightInd/>
        <w:snapToGrid/>
        <w:spacing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（2）路面结构类型：沥青砼路面；</w:t>
      </w:r>
    </w:p>
    <w:p>
      <w:pPr>
        <w:keepNext w:val="0"/>
        <w:keepLines w:val="0"/>
        <w:pageBreakBefore w:val="0"/>
        <w:widowControl w:val="0"/>
        <w:kinsoku/>
        <w:wordWrap/>
        <w:overflowPunct/>
        <w:topLinePunct w:val="0"/>
        <w:autoSpaceDE w:val="0"/>
        <w:autoSpaceDN w:val="0"/>
        <w:bidi w:val="0"/>
        <w:adjustRightInd/>
        <w:snapToGrid/>
        <w:spacing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）道路交通量达到饱和状态时的道路设计年限为：</w:t>
      </w: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lang w:eastAsia="zh-CN"/>
        </w:rPr>
        <w:t>年；</w:t>
      </w:r>
    </w:p>
    <w:p>
      <w:pPr>
        <w:keepNext w:val="0"/>
        <w:keepLines w:val="0"/>
        <w:pageBreakBefore w:val="0"/>
        <w:widowControl w:val="0"/>
        <w:kinsoku/>
        <w:wordWrap/>
        <w:overflowPunct/>
        <w:topLinePunct w:val="0"/>
        <w:autoSpaceDE w:val="0"/>
        <w:autoSpaceDN w:val="0"/>
        <w:bidi w:val="0"/>
        <w:adjustRightInd/>
        <w:snapToGrid/>
        <w:spacing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）路面结构设计使用年限：沥青混凝土路面1</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年；</w:t>
      </w:r>
    </w:p>
    <w:p>
      <w:pPr>
        <w:keepNext w:val="0"/>
        <w:keepLines w:val="0"/>
        <w:pageBreakBefore w:val="0"/>
        <w:widowControl w:val="0"/>
        <w:kinsoku/>
        <w:wordWrap/>
        <w:overflowPunct/>
        <w:topLinePunct w:val="0"/>
        <w:autoSpaceDE w:val="0"/>
        <w:autoSpaceDN w:val="0"/>
        <w:bidi w:val="0"/>
        <w:adjustRightInd/>
        <w:snapToGrid/>
        <w:spacing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）道路净空高度：机动车道净高≥</w:t>
      </w:r>
      <w:r>
        <w:rPr>
          <w:rFonts w:hint="eastAsia" w:ascii="宋体" w:hAnsi="宋体" w:eastAsia="宋体" w:cs="宋体"/>
          <w:color w:val="auto"/>
          <w:sz w:val="24"/>
          <w:szCs w:val="24"/>
          <w:lang w:val="en-US" w:eastAsia="zh-CN"/>
        </w:rPr>
        <w:t>4.5</w:t>
      </w:r>
      <w:r>
        <w:rPr>
          <w:rFonts w:hint="eastAsia" w:ascii="宋体" w:hAnsi="宋体" w:eastAsia="宋体" w:cs="宋体"/>
          <w:color w:val="auto"/>
          <w:sz w:val="24"/>
          <w:szCs w:val="24"/>
          <w:lang w:eastAsia="zh-CN"/>
        </w:rPr>
        <w:t>m。</w:t>
      </w:r>
    </w:p>
    <w:p>
      <w:pPr>
        <w:keepNext w:val="0"/>
        <w:keepLines w:val="0"/>
        <w:pageBreakBefore w:val="0"/>
        <w:widowControl w:val="0"/>
        <w:kinsoku/>
        <w:wordWrap/>
        <w:overflowPunct/>
        <w:topLinePunct w:val="0"/>
        <w:autoSpaceDE w:val="0"/>
        <w:autoSpaceDN w:val="0"/>
        <w:bidi w:val="0"/>
        <w:adjustRightInd/>
        <w:snapToGrid/>
        <w:spacing w:line="336" w:lineRule="auto"/>
        <w:ind w:left="1349"/>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lang w:eastAsia="zh-CN"/>
        </w:rPr>
        <w:t>）地震基本烈度VI，地震动峰值加速度为0.05g，地震动反应谱特征周期为0.35s</w:t>
      </w:r>
    </w:p>
    <w:p>
      <w:pPr>
        <w:pStyle w:val="12"/>
        <w:keepNext w:val="0"/>
        <w:keepLines w:val="0"/>
        <w:pageBreakBefore w:val="0"/>
        <w:widowControl w:val="0"/>
        <w:numPr>
          <w:ilvl w:val="3"/>
          <w:numId w:val="1"/>
        </w:numPr>
        <w:tabs>
          <w:tab w:val="left" w:pos="878"/>
        </w:tabs>
        <w:kinsoku/>
        <w:wordWrap/>
        <w:overflowPunct/>
        <w:topLinePunct w:val="0"/>
        <w:autoSpaceDE w:val="0"/>
        <w:autoSpaceDN w:val="0"/>
        <w:bidi w:val="0"/>
        <w:adjustRightInd/>
        <w:snapToGrid/>
        <w:spacing w:before="200" w:line="336" w:lineRule="auto"/>
        <w:ind w:left="877" w:hanging="303"/>
        <w:jc w:val="left"/>
        <w:textAlignment w:val="auto"/>
        <w:rPr>
          <w:color w:val="auto"/>
        </w:rPr>
      </w:pPr>
      <w:r>
        <w:rPr>
          <w:color w:val="auto"/>
        </w:rPr>
        <w:t>设计内容</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color w:val="auto"/>
          <w:sz w:val="24"/>
          <w:lang w:eastAsia="zh-CN"/>
        </w:rPr>
      </w:pPr>
      <w:r>
        <w:rPr>
          <w:rFonts w:hint="eastAsia" w:ascii="宋体" w:hAnsi="宋体" w:eastAsia="宋体" w:cs="宋体"/>
          <w:sz w:val="24"/>
          <w:szCs w:val="24"/>
          <w:lang w:eastAsia="zh-CN"/>
        </w:rPr>
        <w:t>按照设计任务的要求，本项目设计内容包括交通标线、交通标志的设计。</w:t>
      </w:r>
    </w:p>
    <w:p>
      <w:pPr>
        <w:pStyle w:val="13"/>
        <w:keepNext w:val="0"/>
        <w:keepLines w:val="0"/>
        <w:pageBreakBefore w:val="0"/>
        <w:widowControl w:val="0"/>
        <w:numPr>
          <w:ilvl w:val="0"/>
          <w:numId w:val="0"/>
        </w:numPr>
        <w:tabs>
          <w:tab w:val="left" w:pos="1071"/>
        </w:tabs>
        <w:kinsoku/>
        <w:wordWrap/>
        <w:overflowPunct/>
        <w:topLinePunct w:val="0"/>
        <w:autoSpaceDE w:val="0"/>
        <w:autoSpaceDN w:val="0"/>
        <w:bidi w:val="0"/>
        <w:adjustRightInd/>
        <w:snapToGrid/>
        <w:spacing w:before="40" w:line="336" w:lineRule="auto"/>
        <w:ind w:left="850" w:leftChars="0" w:firstLine="0" w:firstLineChars="0"/>
        <w:textAlignment w:val="auto"/>
        <w:rPr>
          <w:color w:val="auto"/>
        </w:rPr>
      </w:pPr>
      <w:r>
        <w:rPr>
          <w:rFonts w:hint="eastAsia"/>
          <w:color w:val="auto"/>
          <w:lang w:val="en-US" w:eastAsia="zh-CN"/>
        </w:rPr>
        <w:t>3.1</w:t>
      </w:r>
      <w:r>
        <w:rPr>
          <w:color w:val="auto"/>
        </w:rPr>
        <w:t>交通标线</w:t>
      </w:r>
    </w:p>
    <w:p>
      <w:pPr>
        <w:pStyle w:val="14"/>
        <w:keepNext w:val="0"/>
        <w:keepLines w:val="0"/>
        <w:pageBreakBefore w:val="0"/>
        <w:widowControl w:val="0"/>
        <w:numPr>
          <w:ilvl w:val="0"/>
          <w:numId w:val="0"/>
        </w:numPr>
        <w:tabs>
          <w:tab w:val="left" w:pos="1724"/>
        </w:tabs>
        <w:kinsoku/>
        <w:wordWrap/>
        <w:overflowPunct/>
        <w:topLinePunct w:val="0"/>
        <w:autoSpaceDE w:val="0"/>
        <w:autoSpaceDN w:val="0"/>
        <w:bidi w:val="0"/>
        <w:adjustRightInd/>
        <w:snapToGrid/>
        <w:spacing w:before="30" w:line="336" w:lineRule="auto"/>
        <w:ind w:left="907" w:leftChars="0"/>
        <w:textAlignment w:val="auto"/>
        <w:rPr>
          <w:b/>
          <w:color w:val="auto"/>
          <w:sz w:val="24"/>
        </w:rPr>
      </w:pPr>
      <w:r>
        <w:rPr>
          <w:b/>
          <w:color w:val="auto"/>
          <w:sz w:val="24"/>
        </w:rPr>
        <w:t>交通标线的布设原则</w:t>
      </w:r>
    </w:p>
    <w:p>
      <w:pPr>
        <w:keepNext w:val="0"/>
        <w:keepLines w:val="0"/>
        <w:pageBreakBefore w:val="0"/>
        <w:widowControl w:val="0"/>
        <w:kinsoku/>
        <w:wordWrap/>
        <w:overflowPunct/>
        <w:topLinePunct w:val="0"/>
        <w:autoSpaceDE w:val="0"/>
        <w:autoSpaceDN w:val="0"/>
        <w:bidi w:val="0"/>
        <w:adjustRightInd/>
        <w:snapToGrid/>
        <w:spacing w:before="40" w:line="336" w:lineRule="auto"/>
        <w:ind w:left="907" w:right="295" w:firstLine="567"/>
        <w:textAlignment w:val="auto"/>
        <w:rPr>
          <w:color w:val="auto"/>
          <w:sz w:val="24"/>
          <w:lang w:eastAsia="zh-CN"/>
        </w:rPr>
      </w:pPr>
      <w:r>
        <w:rPr>
          <w:rFonts w:hint="eastAsia" w:ascii="宋体" w:hAnsi="宋体" w:eastAsia="宋体" w:cs="宋体"/>
          <w:sz w:val="24"/>
          <w:szCs w:val="24"/>
          <w:lang w:eastAsia="zh-CN"/>
        </w:rPr>
        <w:t>通过合理布设标线、导向箭头，使车流分道行驶，减少或避免冲突点，同时将交通标线与交通标志相配合，科学合理地诱导交通流，确保达到交通有序，安全和畅通的目的。</w:t>
      </w:r>
    </w:p>
    <w:p>
      <w:pPr>
        <w:pStyle w:val="14"/>
        <w:keepNext w:val="0"/>
        <w:keepLines w:val="0"/>
        <w:pageBreakBefore w:val="0"/>
        <w:widowControl w:val="0"/>
        <w:numPr>
          <w:ilvl w:val="0"/>
          <w:numId w:val="0"/>
        </w:numPr>
        <w:tabs>
          <w:tab w:val="left" w:pos="1724"/>
        </w:tabs>
        <w:kinsoku/>
        <w:wordWrap/>
        <w:overflowPunct/>
        <w:topLinePunct w:val="0"/>
        <w:autoSpaceDE w:val="0"/>
        <w:autoSpaceDN w:val="0"/>
        <w:bidi w:val="0"/>
        <w:adjustRightInd/>
        <w:snapToGrid/>
        <w:spacing w:before="30" w:line="336" w:lineRule="auto"/>
        <w:ind w:left="907" w:leftChars="0"/>
        <w:textAlignment w:val="auto"/>
        <w:rPr>
          <w:b/>
          <w:color w:val="auto"/>
          <w:sz w:val="24"/>
        </w:rPr>
      </w:pPr>
      <w:r>
        <w:rPr>
          <w:b/>
          <w:color w:val="auto"/>
          <w:sz w:val="24"/>
        </w:rPr>
        <w:t>交通标线的平面布设</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color w:val="auto"/>
          <w:sz w:val="24"/>
          <w:lang w:eastAsia="zh-CN"/>
        </w:rPr>
      </w:pPr>
      <w:r>
        <w:rPr>
          <w:rFonts w:hint="eastAsia" w:ascii="宋体" w:hAnsi="宋体" w:eastAsia="宋体" w:cs="宋体"/>
          <w:sz w:val="24"/>
          <w:szCs w:val="24"/>
          <w:lang w:eastAsia="zh-CN"/>
        </w:rPr>
        <w:t>按照《道路交通标志和标线》（GB5768</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-2009）的布设原则，本路段布设交通标线有：车行道边缘线、车行道分界线、导向车道线、停止线、人行横道线、中心黄色双实线、导向箭头和路面文字标记等。</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车行道边缘线：</w:t>
      </w:r>
      <w:r>
        <w:rPr>
          <w:rFonts w:hint="eastAsia" w:ascii="宋体" w:hAnsi="宋体" w:eastAsia="宋体" w:cs="宋体"/>
          <w:sz w:val="24"/>
          <w:szCs w:val="24"/>
          <w:lang w:eastAsia="zh-CN"/>
        </w:rPr>
        <w:t>设在路缘带内侧或者非机动车道与机动车道之间的分界线，采用白色实线，线宽 1</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可跨越车行道边缘线：</w:t>
      </w:r>
      <w:r>
        <w:rPr>
          <w:rFonts w:hint="eastAsia" w:ascii="宋体" w:hAnsi="宋体" w:eastAsia="宋体" w:cs="宋体"/>
          <w:sz w:val="24"/>
          <w:szCs w:val="24"/>
          <w:lang w:eastAsia="zh-CN"/>
        </w:rPr>
        <w:t>设在机动车车行道之间，为白色虚线，线宽 1</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cm，实线长</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00cm，间隔为</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00cm。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可跨越同向车行道分界线：</w:t>
      </w:r>
      <w:r>
        <w:rPr>
          <w:rFonts w:hint="eastAsia" w:ascii="宋体" w:hAnsi="宋体" w:eastAsia="宋体" w:cs="宋体"/>
          <w:sz w:val="24"/>
          <w:szCs w:val="24"/>
          <w:lang w:eastAsia="zh-CN"/>
        </w:rPr>
        <w:t>设在机动车车行道之间，为白色虚线，线宽 1</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cm，实线长</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00cm，间隔为</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00cm。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导向车道线：</w:t>
      </w:r>
      <w:r>
        <w:rPr>
          <w:rFonts w:hint="eastAsia" w:ascii="宋体" w:hAnsi="宋体" w:eastAsia="宋体" w:cs="宋体"/>
          <w:sz w:val="24"/>
          <w:szCs w:val="24"/>
          <w:lang w:eastAsia="zh-CN"/>
        </w:rPr>
        <w:t>设在平交路口的进口道，机动车车行道之间的分界线，标划白色单实线，线宽 1</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color w:val="auto"/>
          <w:spacing w:val="-10"/>
          <w:sz w:val="24"/>
          <w:lang w:eastAsia="zh-CN"/>
        </w:rPr>
      </w:pPr>
      <w:r>
        <w:rPr>
          <w:b/>
          <w:bCs/>
          <w:color w:val="auto"/>
          <w:spacing w:val="-10"/>
          <w:sz w:val="24"/>
          <w:lang w:eastAsia="zh-CN"/>
        </w:rPr>
        <w:t>停止线：</w:t>
      </w:r>
      <w:r>
        <w:rPr>
          <w:rFonts w:hint="eastAsia" w:ascii="宋体" w:hAnsi="宋体" w:eastAsia="宋体" w:cs="宋体"/>
          <w:sz w:val="24"/>
          <w:szCs w:val="24"/>
          <w:lang w:eastAsia="zh-CN"/>
        </w:rPr>
        <w:t>表示车辆等候放行信号的停车位置。划设于交叉路口的进口道前端，与车行道中心线连接，为白色实线，线宽 40cm，距离人行横道 200cm。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人行横道线：</w:t>
      </w:r>
      <w:r>
        <w:rPr>
          <w:rFonts w:hint="eastAsia" w:ascii="宋体" w:hAnsi="宋体" w:eastAsia="宋体" w:cs="宋体"/>
          <w:sz w:val="24"/>
          <w:szCs w:val="24"/>
          <w:lang w:eastAsia="zh-CN"/>
        </w:rPr>
        <w:t>斑马线的白色实线的宽度为 40cm，间隔 60cm。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导向箭头：</w:t>
      </w:r>
      <w:r>
        <w:rPr>
          <w:rFonts w:hint="eastAsia" w:ascii="宋体" w:hAnsi="宋体" w:eastAsia="宋体" w:cs="宋体"/>
          <w:sz w:val="24"/>
          <w:szCs w:val="24"/>
          <w:lang w:eastAsia="zh-CN"/>
        </w:rPr>
        <w:t>表示车辆的行驶方向，主要用于交叉道口的导向车道内及对渠化交通的引导，颜色为白色，箭头的高度为</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00cm。</w:t>
      </w:r>
    </w:p>
    <w:p>
      <w:pPr>
        <w:keepNext w:val="0"/>
        <w:keepLines w:val="0"/>
        <w:pageBreakBefore w:val="0"/>
        <w:widowControl w:val="0"/>
        <w:kinsoku/>
        <w:wordWrap/>
        <w:overflowPunct/>
        <w:topLinePunct w:val="0"/>
        <w:autoSpaceDE w:val="0"/>
        <w:autoSpaceDN w:val="0"/>
        <w:bidi w:val="0"/>
        <w:adjustRightInd/>
        <w:snapToGrid/>
        <w:spacing w:line="336" w:lineRule="auto"/>
        <w:ind w:left="907" w:right="295" w:firstLine="567"/>
        <w:textAlignment w:val="auto"/>
        <w:rPr>
          <w:rFonts w:hint="eastAsia" w:ascii="宋体" w:hAnsi="宋体" w:eastAsia="宋体" w:cs="宋体"/>
          <w:sz w:val="24"/>
          <w:szCs w:val="24"/>
          <w:lang w:eastAsia="zh-CN"/>
        </w:rPr>
      </w:pPr>
      <w:r>
        <w:rPr>
          <w:b/>
          <w:bCs/>
          <w:color w:val="auto"/>
          <w:spacing w:val="-10"/>
          <w:sz w:val="24"/>
          <w:lang w:eastAsia="zh-CN"/>
        </w:rPr>
        <w:t>中心黄色实线：</w:t>
      </w:r>
      <w:r>
        <w:rPr>
          <w:rFonts w:hint="eastAsia" w:ascii="宋体" w:hAnsi="宋体" w:eastAsia="宋体" w:cs="宋体"/>
          <w:sz w:val="24"/>
          <w:szCs w:val="24"/>
          <w:lang w:eastAsia="zh-CN"/>
        </w:rPr>
        <w:t>设在道路中心线，标划黄色单</w:t>
      </w:r>
      <w:r>
        <w:rPr>
          <w:rFonts w:hint="eastAsia" w:ascii="宋体" w:hAnsi="宋体" w:eastAsia="宋体" w:cs="宋体"/>
          <w:sz w:val="24"/>
          <w:szCs w:val="24"/>
          <w:lang w:val="en-US" w:eastAsia="zh-CN"/>
        </w:rPr>
        <w:t>/双</w:t>
      </w:r>
      <w:r>
        <w:rPr>
          <w:rFonts w:hint="eastAsia" w:ascii="宋体" w:hAnsi="宋体" w:eastAsia="宋体" w:cs="宋体"/>
          <w:sz w:val="24"/>
          <w:szCs w:val="24"/>
          <w:lang w:eastAsia="zh-CN"/>
        </w:rPr>
        <w:t>实线，线宽 15cm。</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非机动车地面标识及行人地面标识依国标长度为 120cm，宽度为 100cm，可根据实际情况适当调整。</w:t>
      </w:r>
    </w:p>
    <w:p>
      <w:pPr>
        <w:pStyle w:val="14"/>
        <w:keepNext w:val="0"/>
        <w:keepLines w:val="0"/>
        <w:pageBreakBefore w:val="0"/>
        <w:widowControl w:val="0"/>
        <w:numPr>
          <w:ilvl w:val="0"/>
          <w:numId w:val="0"/>
        </w:numPr>
        <w:tabs>
          <w:tab w:val="left" w:pos="1724"/>
        </w:tabs>
        <w:kinsoku/>
        <w:wordWrap/>
        <w:overflowPunct/>
        <w:topLinePunct w:val="0"/>
        <w:autoSpaceDE w:val="0"/>
        <w:autoSpaceDN w:val="0"/>
        <w:bidi w:val="0"/>
        <w:adjustRightInd/>
        <w:snapToGrid/>
        <w:spacing w:before="30" w:line="336" w:lineRule="auto"/>
        <w:ind w:left="907" w:leftChars="0"/>
        <w:textAlignment w:val="auto"/>
        <w:rPr>
          <w:b/>
          <w:color w:val="auto"/>
          <w:sz w:val="24"/>
        </w:rPr>
      </w:pPr>
      <w:r>
        <w:rPr>
          <w:b/>
          <w:color w:val="auto"/>
          <w:sz w:val="24"/>
        </w:rPr>
        <w:t>交通标线材料的选择</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结合本项目的特点，选用道路标线材料为高级的热熔型标线涂料。该材料具有夜间反光性能很好、耐磨性较好、可自动喷涂施工、干燥时间短、使用寿命长。标线及标记均采用热熔反光涂料，并掺有玻璃珠，其中，一般标线的标线厚度为1.8±0.2mm，减速标线的厚度为6±1.0mm，其材料及配比应符合 JT/T280-2004《路面标线涂料》的规定。</w:t>
      </w:r>
    </w:p>
    <w:p>
      <w:pPr>
        <w:pStyle w:val="14"/>
        <w:keepNext w:val="0"/>
        <w:keepLines w:val="0"/>
        <w:pageBreakBefore w:val="0"/>
        <w:widowControl w:val="0"/>
        <w:numPr>
          <w:ilvl w:val="0"/>
          <w:numId w:val="0"/>
        </w:numPr>
        <w:tabs>
          <w:tab w:val="left" w:pos="1724"/>
        </w:tabs>
        <w:kinsoku/>
        <w:wordWrap/>
        <w:overflowPunct/>
        <w:topLinePunct w:val="0"/>
        <w:autoSpaceDE w:val="0"/>
        <w:autoSpaceDN w:val="0"/>
        <w:bidi w:val="0"/>
        <w:adjustRightInd/>
        <w:snapToGrid/>
        <w:spacing w:before="30" w:line="336" w:lineRule="auto"/>
        <w:ind w:left="907" w:leftChars="0"/>
        <w:textAlignment w:val="auto"/>
        <w:rPr>
          <w:b/>
          <w:color w:val="auto"/>
          <w:sz w:val="24"/>
        </w:rPr>
      </w:pPr>
      <w:r>
        <w:rPr>
          <w:rFonts w:hint="eastAsia"/>
          <w:b/>
          <w:color w:val="auto"/>
          <w:sz w:val="24"/>
        </w:rPr>
        <w:t xml:space="preserve">交通标线材料的要求 </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涂料密度，1.8～2.3g/cm³；</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涂膜外观：涂膜冷疑后应无皱纹、斑点、起泡、裂纹、脱落及表面无发粘现象，涂膜的颜色和外观与标准板差别不大；</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色度性能：按《路面标线涂料》（JT/T280-2004）标准规定的方法测试；</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抗压强度：≥12 MPa；</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耐磨性（200r/1000g后减重）：≤50㎎；</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初始逆反射系数mcd.LX-1.m –2，白色≥200；黄色≥100；</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耐候性：经12月试验，涂膜的起皱、斑点、裂纹、脱落及变色等都不大于标准样板；</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涂料用下涂剂颜色应无透明或琥珀色流体；固体含量，30﹪±5；涂布量，150～200 g/㎡；干燥时间，≤3 min；</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玻璃珠的技术条件：密度（在23℃±2℃的二甲苯中）2.4～2.6 g/cm³；外观无色透明球状，扩大10～50倍观察时，熔融团、片状、尖状物、有气泡等瑕庇不应超过总量的20%；玻璃珠的折射率（20℃浸渍法≥1.5）；</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玻璃珠含量：涂料中含20%～30%的玻璃珠，施工时撒布玻璃珠于热熔涂料上；</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根据《道路交通标志和标线》（GB5768-2009）规定，按道路的情况及车速要求，制作道路标线；</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制作道路标线使用热熔反光涂料；</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制作标线的热熔涂料、底漆、玻璃珠要经交通部检测机构检测合格才能使用；</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人行横道线、人行预告标志、箭头、导流线制作符合《道路交通标志和标线》（GB5768-2009）规定；</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制作标线、人行横线及其箭头、导流线等等，现状路面若有旧标线时，需要铲除旧标线后再制作新标线；</w:t>
      </w:r>
    </w:p>
    <w:p>
      <w:pPr>
        <w:pStyle w:val="14"/>
        <w:keepNext w:val="0"/>
        <w:keepLines w:val="0"/>
        <w:pageBreakBefore w:val="0"/>
        <w:widowControl w:val="0"/>
        <w:numPr>
          <w:ilvl w:val="0"/>
          <w:numId w:val="0"/>
        </w:numPr>
        <w:tabs>
          <w:tab w:val="left" w:pos="1724"/>
        </w:tabs>
        <w:kinsoku/>
        <w:wordWrap/>
        <w:overflowPunct/>
        <w:topLinePunct w:val="0"/>
        <w:autoSpaceDE w:val="0"/>
        <w:autoSpaceDN w:val="0"/>
        <w:bidi w:val="0"/>
        <w:adjustRightInd/>
        <w:snapToGrid/>
        <w:spacing w:before="30" w:line="336" w:lineRule="auto"/>
        <w:ind w:left="907" w:leftChars="0"/>
        <w:textAlignment w:val="auto"/>
        <w:rPr>
          <w:rFonts w:hint="eastAsia"/>
          <w:b/>
          <w:color w:val="auto"/>
          <w:sz w:val="24"/>
        </w:rPr>
      </w:pPr>
      <w:r>
        <w:rPr>
          <w:rFonts w:hint="eastAsia"/>
          <w:b/>
          <w:color w:val="auto"/>
          <w:sz w:val="24"/>
        </w:rPr>
        <w:t>交通信号控制地下管线及信号控制、监控设备设计</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交通控制：利用现代化设备服务于道路交通管理的手段和方法，包括交通信号控制、交通信息检测诱导等。</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交通控制管线：为铺设连接交通控制主控设备（如交通信号机等）与对应各种受控设备（如信号灯、检测器等）之间的电缆、光缆而埋设于地下的各种管道及接线井。</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交通控制管线设计的主要内容：</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交通信号控制地下管线分为路段交通管线和交叉口过街管线。路段交通管线主线段用单管，单独敷设，连接到各监控点的分支用两根管，过路时用六根。</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交叉口用信号灯进行多相位控制，机动车道的车辆采用的信号灯种类有机动车信号灯和方向指示信号灯进行控制，非机动车道车辆采用的信号灯种类有非机动车信号灯进行控制，行人才有人行横道灯进行控制。</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机动车信号灯为一组三灯、满屏无图案；人行横道灯为一组两灯，运动图案。</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电缆沟敷设管线详见交通平面图，与受控设备连接。</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接线井为直径800mm的检查井。</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交通信号灯管线的预埋工程包括电缆及管的预埋、信号灯杆基础及其预埋件的预设、电缆沟检查井的预设。</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信号灯的支撑杆距路面高度为6.5m，伸臂长度为1</w:t>
      </w:r>
      <w:r>
        <w:rPr>
          <w:rFonts w:hint="eastAsia" w:ascii="宋体" w:hAnsi="宋体" w:eastAsia="宋体" w:cs="宋体"/>
          <w:sz w:val="24"/>
          <w:szCs w:val="24"/>
          <w:lang w:val="en-US" w:eastAsia="zh-CN"/>
        </w:rPr>
        <w:t>0</w:t>
      </w:r>
      <w:r>
        <w:rPr>
          <w:rFonts w:hint="eastAsia" w:ascii="宋体" w:hAnsi="宋体" w:eastAsia="宋体" w:cs="宋体"/>
          <w:sz w:val="24"/>
          <w:szCs w:val="24"/>
          <w:lang w:eastAsia="zh-CN"/>
        </w:rPr>
        <w:t>m。</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电子监控设置空旷、视野好的人行道上，悬臂支撑，伸臂长度为4m。</w:t>
      </w:r>
    </w:p>
    <w:p>
      <w:pPr>
        <w:keepNext w:val="0"/>
        <w:keepLines w:val="0"/>
        <w:pageBreakBefore w:val="0"/>
        <w:widowControl w:val="0"/>
        <w:kinsoku/>
        <w:wordWrap/>
        <w:overflowPunct/>
        <w:topLinePunct w:val="0"/>
        <w:autoSpaceDE w:val="0"/>
        <w:autoSpaceDN w:val="0"/>
        <w:bidi w:val="0"/>
        <w:adjustRightInd/>
        <w:snapToGrid/>
        <w:spacing w:line="336" w:lineRule="auto"/>
        <w:ind w:left="573" w:right="295" w:firstLine="482"/>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交通信号控制机应与当地现行的控制机一致。</w:t>
      </w:r>
    </w:p>
    <w:sectPr>
      <w:headerReference r:id="rId3" w:type="default"/>
      <w:footerReference r:id="rId4" w:type="default"/>
      <w:type w:val="continuous"/>
      <w:pgSz w:w="23820" w:h="16840" w:orient="landscape"/>
      <w:pgMar w:top="1083" w:right="850" w:bottom="1100" w:left="1134" w:header="720" w:footer="720" w:gutter="0"/>
      <w:cols w:equalWidth="0" w:num="2">
        <w:col w:w="10574" w:space="425"/>
        <w:col w:w="10837"/>
      </w:cols>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auto"/>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1312" behindDoc="1" locked="0" layoutInCell="1" allowOverlap="1">
              <wp:simplePos x="0" y="0"/>
              <wp:positionH relativeFrom="page">
                <wp:posOffset>1421765</wp:posOffset>
              </wp:positionH>
              <wp:positionV relativeFrom="page">
                <wp:posOffset>9978390</wp:posOffset>
              </wp:positionV>
              <wp:extent cx="12818745" cy="0"/>
              <wp:effectExtent l="0" t="0" r="0" b="0"/>
              <wp:wrapNone/>
              <wp:docPr id="3" name="直线 2"/>
              <wp:cNvGraphicFramePr/>
              <a:graphic xmlns:a="http://schemas.openxmlformats.org/drawingml/2006/main">
                <a:graphicData uri="http://schemas.microsoft.com/office/word/2010/wordprocessingShape">
                  <wps:wsp>
                    <wps:cNvCnPr/>
                    <wps:spPr>
                      <a:xfrm>
                        <a:off x="0" y="0"/>
                        <a:ext cx="12818745" cy="0"/>
                      </a:xfrm>
                      <a:prstGeom prst="line">
                        <a:avLst/>
                      </a:prstGeom>
                      <a:ln w="6096"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11.95pt;margin-top:785.7pt;height:0pt;width:1009.35pt;mso-position-horizontal-relative:page;mso-position-vertical-relative:page;z-index:-251655168;mso-width-relative:page;mso-height-relative:page;" filled="f" stroked="t" coordsize="21600,21600" o:gfxdata="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cPvV/toAAAAOAQAADwAAAAAAAAABACAAAAAi&#10;AAAAZHJzL2Rvd25yZXYueG1sUEsBAhQAFAAAAAgAh07iQC169+bPAQAAjgMAAA4AAAAAAAAAAQAg&#10;AAAAKQEAAGRycy9lMm9Eb2MueG1sUEsFBgAAAAAGAAYAWQEAAGoFAAAAAA==&#10;">
              <v:fill on="f" focussize="0,0"/>
              <v:stroke weight="0.48pt" color="#000000" joinstyle="round"/>
              <v:imagedata o:title=""/>
              <o:lock v:ext="edit" aspectratio="f"/>
            </v:lin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12413615</wp:posOffset>
              </wp:positionH>
              <wp:positionV relativeFrom="page">
                <wp:posOffset>10083165</wp:posOffset>
              </wp:positionV>
              <wp:extent cx="1027430" cy="173355"/>
              <wp:effectExtent l="0" t="0" r="0" b="0"/>
              <wp:wrapNone/>
              <wp:docPr id="4" name="文本框 1"/>
              <wp:cNvGraphicFramePr/>
              <a:graphic xmlns:a="http://schemas.openxmlformats.org/drawingml/2006/main">
                <a:graphicData uri="http://schemas.microsoft.com/office/word/2010/wordprocessingShape">
                  <wps:wsp>
                    <wps:cNvSpPr txBox="1"/>
                    <wps:spPr>
                      <a:xfrm>
                        <a:off x="0" y="0"/>
                        <a:ext cx="1027430" cy="173355"/>
                      </a:xfrm>
                      <a:prstGeom prst="rect">
                        <a:avLst/>
                      </a:prstGeom>
                      <a:noFill/>
                      <a:ln>
                        <a:noFill/>
                      </a:ln>
                    </wps:spPr>
                    <wps:txbx>
                      <w:txbxContent>
                        <w:p>
                          <w:pPr>
                            <w:spacing w:line="260" w:lineRule="exact"/>
                            <w:ind w:left="20"/>
                            <w:rPr>
                              <w:rFonts w:hint="eastAsia" w:ascii="宋体" w:eastAsia="宋体"/>
                              <w:sz w:val="21"/>
                            </w:rPr>
                          </w:pPr>
                          <w:r>
                            <w:rPr>
                              <w:rFonts w:hint="eastAsia" w:ascii="宋体" w:eastAsia="宋体"/>
                              <w:sz w:val="21"/>
                            </w:rPr>
                            <w:t xml:space="preserve">第 </w:t>
                          </w:r>
                          <w:r>
                            <w:fldChar w:fldCharType="begin"/>
                          </w:r>
                          <w:r>
                            <w:rPr>
                              <w:rFonts w:ascii="Calibri" w:eastAsia="Calibri"/>
                              <w:b/>
                              <w:sz w:val="21"/>
                            </w:rPr>
                            <w:instrText xml:space="preserve"> PAGE </w:instrText>
                          </w:r>
                          <w:r>
                            <w:fldChar w:fldCharType="separate"/>
                          </w:r>
                          <w:r>
                            <w:rPr>
                              <w:rFonts w:ascii="Calibri" w:eastAsia="Calibri"/>
                              <w:b/>
                              <w:sz w:val="21"/>
                            </w:rPr>
                            <w:t>1</w:t>
                          </w:r>
                          <w:r>
                            <w:fldChar w:fldCharType="end"/>
                          </w:r>
                          <w:r>
                            <w:rPr>
                              <w:rFonts w:ascii="Calibri" w:eastAsia="Calibri"/>
                              <w:b/>
                              <w:sz w:val="21"/>
                            </w:rPr>
                            <w:t xml:space="preserve"> </w:t>
                          </w:r>
                          <w:r>
                            <w:rPr>
                              <w:rFonts w:hint="eastAsia" w:ascii="宋体" w:eastAsia="宋体"/>
                              <w:sz w:val="21"/>
                            </w:rPr>
                            <w:t xml:space="preserve">页，共 </w:t>
                          </w:r>
                          <w:r>
                            <w:rPr>
                              <w:rFonts w:ascii="Calibri" w:eastAsia="Calibri"/>
                              <w:b/>
                              <w:sz w:val="21"/>
                            </w:rPr>
                            <w:t xml:space="preserve">2 </w:t>
                          </w:r>
                          <w:r>
                            <w:rPr>
                              <w:rFonts w:hint="eastAsia" w:ascii="宋体" w:eastAsia="宋体"/>
                              <w:sz w:val="21"/>
                            </w:rPr>
                            <w:t>页</w:t>
                          </w:r>
                        </w:p>
                      </w:txbxContent>
                    </wps:txbx>
                    <wps:bodyPr lIns="0" tIns="0" rIns="0" bIns="0" upright="1"/>
                  </wps:wsp>
                </a:graphicData>
              </a:graphic>
            </wp:anchor>
          </w:drawing>
        </mc:Choice>
        <mc:Fallback>
          <w:pict>
            <v:shape id="文本框 1" o:spid="_x0000_s1026" o:spt="202" type="#_x0000_t202" style="position:absolute;left:0pt;margin-left:977.45pt;margin-top:793.95pt;height:13.65pt;width:80.9pt;mso-position-horizontal-relative:page;mso-position-vertical-relative:page;z-index:-251654144;mso-width-relative:page;mso-height-relative:page;" filled="f" stroked="f" coordsize="21600,21600" o:gfxdata="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G15WG/cAAAADwEAAA8AAAAA&#10;AAAAAQAgAAAAIgAAAGRycy9kb3ducmV2LnhtbFBLAQIUABQAAAAIAIdO4kBhcJJ4ngEAACQDAAAO&#10;AAAAAAAAAAEAIAAAACsBAABkcnMvZTJvRG9jLnhtbFBLBQYAAAAABgAGAFkBAAA7BQAAAAA=&#10;">
              <v:fill on="f" focussize="0,0"/>
              <v:stroke on="f"/>
              <v:imagedata o:title=""/>
              <o:lock v:ext="edit" aspectratio="f"/>
              <v:textbox inset="0mm,0mm,0mm,0mm">
                <w:txbxContent>
                  <w:p>
                    <w:pPr>
                      <w:spacing w:line="260" w:lineRule="exact"/>
                      <w:ind w:left="20"/>
                      <w:rPr>
                        <w:rFonts w:hint="eastAsia" w:ascii="宋体" w:eastAsia="宋体"/>
                        <w:sz w:val="21"/>
                      </w:rPr>
                    </w:pPr>
                    <w:r>
                      <w:rPr>
                        <w:rFonts w:hint="eastAsia" w:ascii="宋体" w:eastAsia="宋体"/>
                        <w:sz w:val="21"/>
                      </w:rPr>
                      <w:t xml:space="preserve">第 </w:t>
                    </w:r>
                    <w:r>
                      <w:fldChar w:fldCharType="begin"/>
                    </w:r>
                    <w:r>
                      <w:rPr>
                        <w:rFonts w:ascii="Calibri" w:eastAsia="Calibri"/>
                        <w:b/>
                        <w:sz w:val="21"/>
                      </w:rPr>
                      <w:instrText xml:space="preserve"> PAGE </w:instrText>
                    </w:r>
                    <w:r>
                      <w:fldChar w:fldCharType="separate"/>
                    </w:r>
                    <w:r>
                      <w:rPr>
                        <w:rFonts w:ascii="Calibri" w:eastAsia="Calibri"/>
                        <w:b/>
                        <w:sz w:val="21"/>
                      </w:rPr>
                      <w:t>1</w:t>
                    </w:r>
                    <w:r>
                      <w:fldChar w:fldCharType="end"/>
                    </w:r>
                    <w:r>
                      <w:rPr>
                        <w:rFonts w:ascii="Calibri" w:eastAsia="Calibri"/>
                        <w:b/>
                        <w:sz w:val="21"/>
                      </w:rPr>
                      <w:t xml:space="preserve"> </w:t>
                    </w:r>
                    <w:r>
                      <w:rPr>
                        <w:rFonts w:hint="eastAsia" w:ascii="宋体" w:eastAsia="宋体"/>
                        <w:sz w:val="21"/>
                      </w:rPr>
                      <w:t xml:space="preserve">页，共 </w:t>
                    </w:r>
                    <w:r>
                      <w:rPr>
                        <w:rFonts w:ascii="Calibri" w:eastAsia="Calibri"/>
                        <w:b/>
                        <w:sz w:val="21"/>
                      </w:rPr>
                      <w:t xml:space="preserve">2 </w:t>
                    </w:r>
                    <w:r>
                      <w:rPr>
                        <w:rFonts w:hint="eastAsia" w:ascii="宋体" w:eastAsia="宋体"/>
                        <w:sz w:val="21"/>
                      </w:rP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mc:AlternateContent>
        <mc:Choice Requires="wps">
          <w:drawing>
            <wp:anchor distT="0" distB="0" distL="114300" distR="114300" simplePos="0" relativeHeight="251660288" behindDoc="1" locked="0" layoutInCell="1" allowOverlap="1">
              <wp:simplePos x="0" y="0"/>
              <wp:positionH relativeFrom="page">
                <wp:posOffset>11860530</wp:posOffset>
              </wp:positionH>
              <wp:positionV relativeFrom="page">
                <wp:posOffset>443230</wp:posOffset>
              </wp:positionV>
              <wp:extent cx="1091565" cy="15875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091565" cy="158750"/>
                      </a:xfrm>
                      <a:prstGeom prst="rect">
                        <a:avLst/>
                      </a:prstGeom>
                      <a:noFill/>
                      <a:ln>
                        <a:noFill/>
                      </a:ln>
                    </wps:spPr>
                    <wps:txbx>
                      <w:txbxContent>
                        <w:p>
                          <w:pPr>
                            <w:spacing w:line="250" w:lineRule="exact"/>
                            <w:ind w:left="20"/>
                            <w:rPr>
                              <w:rFonts w:hint="eastAsia" w:ascii="宋体" w:eastAsia="宋体"/>
                              <w:sz w:val="21"/>
                            </w:rPr>
                          </w:pPr>
                          <w:r>
                            <w:rPr>
                              <w:rFonts w:hint="eastAsia" w:ascii="宋体" w:eastAsia="宋体"/>
                              <w:sz w:val="21"/>
                            </w:rPr>
                            <w:t>交通工程设计说明</w:t>
                          </w:r>
                        </w:p>
                      </w:txbxContent>
                    </wps:txbx>
                    <wps:bodyPr lIns="0" tIns="0" rIns="0" bIns="0" upright="1"/>
                  </wps:wsp>
                </a:graphicData>
              </a:graphic>
            </wp:anchor>
          </w:drawing>
        </mc:Choice>
        <mc:Fallback>
          <w:pict>
            <v:shape id="文本框 3" o:spid="_x0000_s1026" o:spt="202" type="#_x0000_t202" style="position:absolute;left:0pt;margin-left:933.9pt;margin-top:34.9pt;height:12.5pt;width:85.95pt;mso-position-horizontal-relative:page;mso-position-vertical-relative:page;z-index:-251656192;mso-width-relative:page;mso-height-relative:page;" filled="f" stroked="f" coordsize="21600,21600" o:gfxdata="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DVGagDaAAAACwEAAA8AAAAA&#10;AAAAAQAgAAAAIgAAAGRycy9kb3ducmV2LnhtbFBLAQIUABQAAAAIAIdO4kAL7uNLoAEAACQDAAAO&#10;AAAAAAAAAAEAIAAAACkBAABkcnMvZTJvRG9jLnhtbFBLBQYAAAAABgAGAFkBAAA7BQAAAAA=&#10;">
              <v:fill on="f" focussize="0,0"/>
              <v:stroke on="f"/>
              <v:imagedata o:title=""/>
              <o:lock v:ext="edit" aspectratio="f"/>
              <v:textbox inset="0mm,0mm,0mm,0mm">
                <w:txbxContent>
                  <w:p>
                    <w:pPr>
                      <w:spacing w:line="250" w:lineRule="exact"/>
                      <w:ind w:left="20"/>
                      <w:rPr>
                        <w:rFonts w:hint="eastAsia" w:ascii="宋体" w:eastAsia="宋体"/>
                        <w:sz w:val="21"/>
                      </w:rPr>
                    </w:pPr>
                    <w:r>
                      <w:rPr>
                        <w:rFonts w:hint="eastAsia" w:ascii="宋体" w:eastAsia="宋体"/>
                        <w:sz w:val="21"/>
                      </w:rPr>
                      <w:t>交通工程设计说明</w:t>
                    </w: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page">
                <wp:posOffset>1421765</wp:posOffset>
              </wp:positionH>
              <wp:positionV relativeFrom="page">
                <wp:posOffset>647700</wp:posOffset>
              </wp:positionV>
              <wp:extent cx="12818745" cy="0"/>
              <wp:effectExtent l="0" t="0" r="0" b="0"/>
              <wp:wrapNone/>
              <wp:docPr id="1" name="直线 4"/>
              <wp:cNvGraphicFramePr/>
              <a:graphic xmlns:a="http://schemas.openxmlformats.org/drawingml/2006/main">
                <a:graphicData uri="http://schemas.microsoft.com/office/word/2010/wordprocessingShape">
                  <wps:wsp>
                    <wps:cNvCnPr/>
                    <wps:spPr>
                      <a:xfrm>
                        <a:off x="0" y="0"/>
                        <a:ext cx="12818745" cy="0"/>
                      </a:xfrm>
                      <a:prstGeom prst="line">
                        <a:avLst/>
                      </a:prstGeom>
                      <a:ln w="9144" cap="flat" cmpd="sng">
                        <a:solidFill>
                          <a:srgbClr val="000000"/>
                        </a:solidFill>
                        <a:prstDash val="solid"/>
                        <a:headEnd type="none" w="med" len="med"/>
                        <a:tailEnd type="none" w="med" len="med"/>
                      </a:ln>
                    </wps:spPr>
                    <wps:bodyPr upright="1"/>
                  </wps:wsp>
                </a:graphicData>
              </a:graphic>
            </wp:anchor>
          </w:drawing>
        </mc:Choice>
        <mc:Fallback>
          <w:pict>
            <v:line id="直线 4" o:spid="_x0000_s1026" o:spt="20" style="position:absolute;left:0pt;margin-left:111.95pt;margin-top:51pt;height:0pt;width:1009.35pt;mso-position-horizontal-relative:page;mso-position-vertical-relative:page;z-index:-251657216;mso-width-relative:page;mso-height-relative:page;" filled="f" stroked="t" coordsize="21600,21600" o:gfxdata="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&#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L3rTnWAAAADAEAAA8AAAAAAAAAAQAgAAAAIgAAAGRy&#10;cy9kb3ducmV2LnhtbFBLAQIUABQAAAAIAIdO4kCOTz7EzgEAAI4DAAAOAAAAAAAAAAEAIAAAACUB&#10;AABkcnMvZTJvRG9jLnhtbFBLBQYAAAAABgAGAFkBAABlBQAAAAA=&#10;">
              <v:fill on="f" focussize="0,0"/>
              <v:stroke weight="0.72pt" color="#00000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61826"/>
    <w:multiLevelType w:val="multilevel"/>
    <w:tmpl w:val="2F661826"/>
    <w:lvl w:ilvl="0" w:tentative="0">
      <w:start w:val="4"/>
      <w:numFmt w:val="decimal"/>
      <w:lvlText w:val="%1"/>
      <w:lvlJc w:val="left"/>
      <w:pPr>
        <w:ind w:left="1170" w:hanging="770"/>
        <w:jc w:val="left"/>
      </w:pPr>
      <w:rPr>
        <w:rFonts w:hint="default"/>
      </w:r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1"/>
      <w:numFmt w:val="decimal"/>
      <w:lvlText w:val="%4"/>
      <w:lvlJc w:val="left"/>
      <w:pPr>
        <w:ind w:left="1170" w:hanging="302"/>
        <w:jc w:val="right"/>
      </w:pPr>
      <w:rPr>
        <w:rFonts w:hint="default" w:ascii="仿宋_GB2312" w:hAnsi="仿宋_GB2312" w:eastAsia="仿宋_GB2312" w:cs="仿宋_GB2312"/>
        <w:b/>
        <w:bCs/>
        <w:w w:val="99"/>
        <w:sz w:val="30"/>
        <w:szCs w:val="30"/>
      </w:rPr>
    </w:lvl>
    <w:lvl w:ilvl="4" w:tentative="0">
      <w:start w:val="0"/>
      <w:numFmt w:val="none"/>
      <w:lvlText w:val=""/>
      <w:lvlJc w:val="left"/>
      <w:pPr>
        <w:tabs>
          <w:tab w:val="left" w:pos="360"/>
        </w:tabs>
      </w:pPr>
    </w:lvl>
    <w:lvl w:ilvl="5" w:tentative="0">
      <w:start w:val="1"/>
      <w:numFmt w:val="decimal"/>
      <w:lvlText w:val="（%6）"/>
      <w:lvlJc w:val="left"/>
      <w:pPr>
        <w:ind w:left="1949" w:hanging="601"/>
        <w:jc w:val="left"/>
      </w:pPr>
      <w:rPr>
        <w:rFonts w:hint="default" w:ascii="仿宋_GB2312" w:hAnsi="仿宋_GB2312" w:eastAsia="仿宋_GB2312" w:cs="仿宋_GB2312"/>
        <w:spacing w:val="-120"/>
        <w:w w:val="100"/>
        <w:sz w:val="22"/>
        <w:szCs w:val="22"/>
      </w:rPr>
    </w:lvl>
    <w:lvl w:ilvl="6" w:tentative="0">
      <w:start w:val="0"/>
      <w:numFmt w:val="bullet"/>
      <w:lvlText w:val="•"/>
      <w:lvlJc w:val="left"/>
      <w:pPr>
        <w:ind w:left="-2687" w:hanging="601"/>
      </w:pPr>
      <w:rPr>
        <w:rFonts w:hint="default"/>
      </w:rPr>
    </w:lvl>
    <w:lvl w:ilvl="7" w:tentative="0">
      <w:start w:val="0"/>
      <w:numFmt w:val="bullet"/>
      <w:lvlText w:val="•"/>
      <w:lvlJc w:val="left"/>
      <w:pPr>
        <w:ind w:left="-4229" w:hanging="601"/>
      </w:pPr>
      <w:rPr>
        <w:rFonts w:hint="default"/>
      </w:rPr>
    </w:lvl>
    <w:lvl w:ilvl="8" w:tentative="0">
      <w:start w:val="0"/>
      <w:numFmt w:val="bullet"/>
      <w:lvlText w:val="•"/>
      <w:lvlJc w:val="left"/>
      <w:pPr>
        <w:ind w:left="-5771" w:hanging="60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1"/>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ZDZmMTE2OTIxMjA0NjE4NmYwMWFmMjdkNzVmNGMifQ=="/>
  </w:docVars>
  <w:rsids>
    <w:rsidRoot w:val="00B50C95"/>
    <w:rsid w:val="001F2FA7"/>
    <w:rsid w:val="00316644"/>
    <w:rsid w:val="00340808"/>
    <w:rsid w:val="00382AC4"/>
    <w:rsid w:val="00675776"/>
    <w:rsid w:val="00A61D10"/>
    <w:rsid w:val="00AF3E74"/>
    <w:rsid w:val="00B50C95"/>
    <w:rsid w:val="00EF3633"/>
    <w:rsid w:val="00F25065"/>
    <w:rsid w:val="00F31D8F"/>
    <w:rsid w:val="018E53BB"/>
    <w:rsid w:val="0195784D"/>
    <w:rsid w:val="026B4618"/>
    <w:rsid w:val="06A75330"/>
    <w:rsid w:val="0885461E"/>
    <w:rsid w:val="0B78592E"/>
    <w:rsid w:val="13CC750B"/>
    <w:rsid w:val="17CF3C51"/>
    <w:rsid w:val="1E263ED4"/>
    <w:rsid w:val="1F240DC7"/>
    <w:rsid w:val="21B94A11"/>
    <w:rsid w:val="2B363609"/>
    <w:rsid w:val="2F7B222C"/>
    <w:rsid w:val="301310CB"/>
    <w:rsid w:val="316F0E38"/>
    <w:rsid w:val="35534AAF"/>
    <w:rsid w:val="37A150FD"/>
    <w:rsid w:val="3A0F31C6"/>
    <w:rsid w:val="40EE4011"/>
    <w:rsid w:val="466C06C8"/>
    <w:rsid w:val="4D725CF9"/>
    <w:rsid w:val="522425A8"/>
    <w:rsid w:val="522A0590"/>
    <w:rsid w:val="56363410"/>
    <w:rsid w:val="56A945DC"/>
    <w:rsid w:val="5C32061B"/>
    <w:rsid w:val="5E54429A"/>
    <w:rsid w:val="60D76ECB"/>
    <w:rsid w:val="646D12C7"/>
    <w:rsid w:val="68A9464D"/>
    <w:rsid w:val="68AA055A"/>
    <w:rsid w:val="68E83482"/>
    <w:rsid w:val="6AEF47FE"/>
    <w:rsid w:val="721901B4"/>
    <w:rsid w:val="752252FB"/>
    <w:rsid w:val="75414FE9"/>
    <w:rsid w:val="7E1A69B9"/>
    <w:rsid w:val="7F225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_GB2312" w:hAnsi="仿宋_GB2312" w:eastAsia="仿宋_GB2312" w:cs="仿宋_GB2312"/>
      <w:sz w:val="22"/>
      <w:szCs w:val="22"/>
      <w:lang w:val="en-US" w:eastAsia="en-US"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customStyle="1" w:styleId="2">
    <w:name w:val="11111"/>
    <w:basedOn w:val="1"/>
    <w:next w:val="1"/>
    <w:qFormat/>
    <w:uiPriority w:val="0"/>
    <w:rPr>
      <w:rFonts w:ascii="宋体" w:hAnsi="宋体" w:cs="宋体"/>
    </w:rPr>
  </w:style>
  <w:style w:type="paragraph" w:styleId="3">
    <w:name w:val="Body Text"/>
    <w:basedOn w:val="1"/>
    <w:qFormat/>
    <w:uiPriority w:val="1"/>
    <w:pPr>
      <w:ind w:left="400"/>
    </w:pPr>
    <w:rPr>
      <w:sz w:val="28"/>
      <w:szCs w:val="28"/>
    </w:rPr>
  </w:style>
  <w:style w:type="paragraph" w:styleId="4">
    <w:name w:val="footer"/>
    <w:basedOn w:val="1"/>
    <w:link w:val="17"/>
    <w:unhideWhenUsed/>
    <w:qFormat/>
    <w:uiPriority w:val="99"/>
    <w:pPr>
      <w:tabs>
        <w:tab w:val="center" w:pos="4153"/>
        <w:tab w:val="right" w:pos="8306"/>
      </w:tabs>
      <w:snapToGrid w:val="0"/>
    </w:pPr>
    <w:rPr>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Body Text First Indent 21"/>
    <w:basedOn w:val="9"/>
    <w:qFormat/>
    <w:uiPriority w:val="0"/>
    <w:pPr>
      <w:ind w:firstLine="420"/>
    </w:pPr>
  </w:style>
  <w:style w:type="paragraph" w:customStyle="1" w:styleId="9">
    <w:name w:val="Body Text Indent1"/>
    <w:basedOn w:val="1"/>
    <w:qFormat/>
    <w:uiPriority w:val="0"/>
    <w:pPr>
      <w:adjustRightInd w:val="0"/>
      <w:snapToGrid w:val="0"/>
      <w:spacing w:line="400" w:lineRule="exact"/>
      <w:ind w:firstLine="560" w:firstLineChars="200"/>
    </w:pPr>
    <w:rPr>
      <w:rFonts w:ascii="Times New Roman" w:hAnsi="Times New Roman" w:eastAsia="宋体" w:cs="Times New Roman"/>
      <w:sz w:val="28"/>
      <w:szCs w:val="24"/>
    </w:rPr>
  </w:style>
  <w:style w:type="table" w:customStyle="1" w:styleId="10">
    <w:name w:val="Table Normal"/>
    <w:unhideWhenUsed/>
    <w:qFormat/>
    <w:uiPriority w:val="2"/>
    <w:tblPr>
      <w:tblLayout w:type="fixed"/>
      <w:tblCellMar>
        <w:top w:w="0" w:type="dxa"/>
        <w:left w:w="0" w:type="dxa"/>
        <w:bottom w:w="0" w:type="dxa"/>
        <w:right w:w="0" w:type="dxa"/>
      </w:tblCellMar>
    </w:tblPr>
  </w:style>
  <w:style w:type="paragraph" w:customStyle="1" w:styleId="11">
    <w:name w:val="Heading 1"/>
    <w:basedOn w:val="1"/>
    <w:qFormat/>
    <w:uiPriority w:val="1"/>
    <w:pPr>
      <w:ind w:left="1002"/>
      <w:outlineLvl w:val="1"/>
    </w:pPr>
    <w:rPr>
      <w:b/>
      <w:bCs/>
      <w:sz w:val="32"/>
      <w:szCs w:val="32"/>
    </w:rPr>
  </w:style>
  <w:style w:type="paragraph" w:customStyle="1" w:styleId="12">
    <w:name w:val="Heading 2"/>
    <w:basedOn w:val="1"/>
    <w:qFormat/>
    <w:uiPriority w:val="1"/>
    <w:pPr>
      <w:ind w:left="400"/>
      <w:outlineLvl w:val="2"/>
    </w:pPr>
    <w:rPr>
      <w:b/>
      <w:bCs/>
      <w:sz w:val="30"/>
      <w:szCs w:val="30"/>
    </w:rPr>
  </w:style>
  <w:style w:type="paragraph" w:customStyle="1" w:styleId="13">
    <w:name w:val="Heading 3"/>
    <w:basedOn w:val="1"/>
    <w:qFormat/>
    <w:uiPriority w:val="1"/>
    <w:pPr>
      <w:ind w:left="962"/>
      <w:outlineLvl w:val="3"/>
    </w:pPr>
    <w:rPr>
      <w:b/>
      <w:bCs/>
      <w:sz w:val="28"/>
      <w:szCs w:val="28"/>
    </w:rPr>
  </w:style>
  <w:style w:type="paragraph" w:customStyle="1" w:styleId="14">
    <w:name w:val="List Paragraph"/>
    <w:basedOn w:val="1"/>
    <w:qFormat/>
    <w:uiPriority w:val="1"/>
    <w:pPr>
      <w:ind w:left="400" w:hanging="602"/>
    </w:pPr>
  </w:style>
  <w:style w:type="paragraph" w:customStyle="1" w:styleId="15">
    <w:name w:val="Table Paragraph"/>
    <w:basedOn w:val="1"/>
    <w:qFormat/>
    <w:uiPriority w:val="1"/>
    <w:pPr>
      <w:spacing w:before="129"/>
      <w:jc w:val="center"/>
    </w:pPr>
  </w:style>
  <w:style w:type="character" w:customStyle="1" w:styleId="16">
    <w:name w:val="页眉 Char"/>
    <w:basedOn w:val="6"/>
    <w:link w:val="5"/>
    <w:semiHidden/>
    <w:qFormat/>
    <w:uiPriority w:val="99"/>
    <w:rPr>
      <w:rFonts w:ascii="仿宋_GB2312" w:hAnsi="仿宋_GB2312" w:eastAsia="仿宋_GB2312" w:cs="仿宋_GB2312"/>
      <w:sz w:val="18"/>
      <w:szCs w:val="18"/>
    </w:rPr>
  </w:style>
  <w:style w:type="character" w:customStyle="1" w:styleId="17">
    <w:name w:val="页脚 Char"/>
    <w:basedOn w:val="6"/>
    <w:link w:val="4"/>
    <w:semiHidden/>
    <w:qFormat/>
    <w:uiPriority w:val="99"/>
    <w:rPr>
      <w:rFonts w:ascii="仿宋_GB2312" w:hAnsi="仿宋_GB2312" w:eastAsia="仿宋_GB2312" w:cs="仿宋_GB2312"/>
      <w:sz w:val="18"/>
      <w:szCs w:val="18"/>
    </w:rPr>
  </w:style>
  <w:style w:type="paragraph" w:customStyle="1" w:styleId="18">
    <w:name w:val="Body Text First Indent 2"/>
    <w:basedOn w:val="19"/>
    <w:qFormat/>
    <w:uiPriority w:val="0"/>
    <w:pPr>
      <w:ind w:firstLine="420"/>
    </w:pPr>
  </w:style>
  <w:style w:type="paragraph" w:customStyle="1" w:styleId="19">
    <w:name w:val="Body Text Indent"/>
    <w:basedOn w:val="1"/>
    <w:qFormat/>
    <w:uiPriority w:val="0"/>
    <w:pPr>
      <w:adjustRightInd w:val="0"/>
      <w:snapToGrid w:val="0"/>
      <w:spacing w:line="400" w:lineRule="exact"/>
      <w:ind w:firstLine="560" w:firstLineChars="200"/>
    </w:pPr>
    <w:rPr>
      <w:rFonts w:ascii="Times New Roman" w:hAnsi="Times New Roman" w:eastAsia="宋体" w:cs="Times New Roman"/>
      <w:sz w:val="2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1553</Words>
  <Characters>1862</Characters>
  <Lines>21</Lines>
  <Paragraphs>6</Paragraphs>
  <ScaleCrop>false</ScaleCrop>
  <LinksUpToDate>false</LinksUpToDate>
  <CharactersWithSpaces>1875</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2022-09-12T16:55:00Z</dcterms:created>
  <dc:creator>Administrator</dc:creator>
  <cp:lastModifiedBy>Administrator</cp:lastModifiedBy>
  <cp:lastPrinted>2025-01-06T03:14:00Z</cp:lastPrinted>
  <dcterms:modified xsi:type="dcterms:W3CDTF">2025-04-17T10:10:09Z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2022-03-30T00:00:00Z</vt:filetime>
  </property>
  <property fmtid="{D5CDD505-2E9C-101B-9397-08002B2CF9AE}" pid="3" name="Creator">
    <vt:lpwstr>Adobe Acrobat Pro 10.1.0</vt:lpwstr>
  </property>
  <property fmtid="{D5CDD505-2E9C-101B-9397-08002B2CF9AE}" pid="4" name="LastSaved">
    <vt:filetime>2022-09-12T00:00:00Z</vt:filetime>
  </property>
  <property fmtid="{D5CDD505-2E9C-101B-9397-08002B2CF9AE}" pid="5" name="KSOProductBuildVer">
    <vt:lpwstr>2052-10.1.0.6748</vt:lpwstr>
  </property>
  <property fmtid="{D5CDD505-2E9C-101B-9397-08002B2CF9AE}" pid="6" name="ICV">
    <vt:lpwstr>BC74BDDBA98C4E398B27EF83CD0E464C_13</vt:lpwstr>
  </property>
  <property fmtid="{D5CDD505-2E9C-101B-9397-08002B2CF9AE}" pid="7" name="KSOTemplateDocerSaveRecord">
    <vt:lpwstr>eyJoZGlkIjoiMjhlZDZmMTE2OTIxMjA0NjE4NmYwMWFmMjdkNzVmNGMiLCJ1c2VySWQiOiIyMzk4ODM5OCJ9</vt:lpwstr>
  </property>
</Properties>
</file>