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59CCE">
      <w:pPr>
        <w:spacing w:line="400" w:lineRule="exact"/>
        <w:rPr>
          <w:rFonts w:hint="eastAsia" w:ascii="宋体" w:hAnsi="宋体" w:eastAsia="宋体" w:cs="宋体"/>
          <w:b/>
          <w:color w:val="auto"/>
          <w:sz w:val="28"/>
          <w:highlight w:val="none"/>
        </w:rPr>
      </w:pPr>
      <w:bookmarkStart w:id="168" w:name="_GoBack"/>
      <w:bookmarkEnd w:id="168"/>
      <w:r>
        <w:rPr>
          <w:rFonts w:hint="eastAsia" w:ascii="宋体" w:hAnsi="宋体" w:eastAsia="宋体" w:cs="宋体"/>
          <w:color w:val="auto"/>
          <w:sz w:val="72"/>
          <w:szCs w:val="72"/>
          <w:highlight w:val="none"/>
        </w:rPr>
        <w:drawing>
          <wp:anchor distT="0" distB="0" distL="114300" distR="114300" simplePos="0" relativeHeight="251662336" behindDoc="0" locked="0" layoutInCell="1" allowOverlap="1">
            <wp:simplePos x="0" y="0"/>
            <wp:positionH relativeFrom="column">
              <wp:posOffset>588010</wp:posOffset>
            </wp:positionH>
            <wp:positionV relativeFrom="paragraph">
              <wp:posOffset>0</wp:posOffset>
            </wp:positionV>
            <wp:extent cx="5389245" cy="2857500"/>
            <wp:effectExtent l="0" t="0" r="1905" b="0"/>
            <wp:wrapSquare wrapText="bothSides"/>
            <wp:docPr id="3" name="图片 1" descr="旺鑫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旺鑫logo（新）"/>
                    <pic:cNvPicPr>
                      <a:picLocks noChangeAspect="1"/>
                    </pic:cNvPicPr>
                  </pic:nvPicPr>
                  <pic:blipFill>
                    <a:blip r:embed="rId15"/>
                    <a:stretch>
                      <a:fillRect/>
                    </a:stretch>
                  </pic:blipFill>
                  <pic:spPr>
                    <a:xfrm>
                      <a:off x="0" y="0"/>
                      <a:ext cx="5389245" cy="2857500"/>
                    </a:xfrm>
                    <a:prstGeom prst="rect">
                      <a:avLst/>
                    </a:prstGeom>
                    <a:noFill/>
                    <a:ln>
                      <a:noFill/>
                    </a:ln>
                  </pic:spPr>
                </pic:pic>
              </a:graphicData>
            </a:graphic>
          </wp:anchor>
        </w:drawing>
      </w:r>
    </w:p>
    <w:p w14:paraId="3E555521">
      <w:pPr>
        <w:spacing w:line="400" w:lineRule="exact"/>
        <w:rPr>
          <w:rFonts w:hint="eastAsia" w:ascii="宋体" w:hAnsi="宋体" w:eastAsia="宋体" w:cs="宋体"/>
          <w:b/>
          <w:color w:val="auto"/>
          <w:sz w:val="28"/>
          <w:highlight w:val="none"/>
        </w:rPr>
      </w:pPr>
    </w:p>
    <w:p w14:paraId="4A1D8D68">
      <w:pPr>
        <w:spacing w:line="400" w:lineRule="exact"/>
        <w:rPr>
          <w:rFonts w:hint="eastAsia" w:ascii="宋体" w:hAnsi="宋体" w:eastAsia="宋体" w:cs="宋体"/>
          <w:b/>
          <w:color w:val="auto"/>
          <w:sz w:val="28"/>
          <w:highlight w:val="none"/>
        </w:rPr>
      </w:pPr>
    </w:p>
    <w:p w14:paraId="021E32F1">
      <w:pPr>
        <w:spacing w:line="600" w:lineRule="exact"/>
        <w:ind w:firstLine="1533" w:firstLineChars="347"/>
        <w:rPr>
          <w:rFonts w:hint="eastAsia" w:ascii="宋体" w:hAnsi="宋体" w:eastAsia="宋体" w:cs="宋体"/>
          <w:b/>
          <w:color w:val="auto"/>
          <w:sz w:val="44"/>
          <w:szCs w:val="44"/>
          <w:highlight w:val="none"/>
        </w:rPr>
      </w:pPr>
    </w:p>
    <w:p w14:paraId="14FFC1B9">
      <w:pPr>
        <w:autoSpaceDE w:val="0"/>
        <w:autoSpaceDN w:val="0"/>
        <w:jc w:val="center"/>
        <w:rPr>
          <w:rFonts w:hint="eastAsia" w:ascii="宋体" w:hAnsi="宋体" w:eastAsia="宋体" w:cs="宋体"/>
          <w:b/>
          <w:color w:val="auto"/>
          <w:sz w:val="70"/>
          <w:szCs w:val="70"/>
          <w:highlight w:val="none"/>
        </w:rPr>
      </w:pPr>
    </w:p>
    <w:p w14:paraId="4E971809">
      <w:pPr>
        <w:autoSpaceDE w:val="0"/>
        <w:autoSpaceDN w:val="0"/>
        <w:jc w:val="center"/>
        <w:rPr>
          <w:rFonts w:hint="eastAsia" w:ascii="宋体" w:hAnsi="宋体" w:eastAsia="宋体" w:cs="宋体"/>
          <w:b/>
          <w:color w:val="auto"/>
          <w:sz w:val="70"/>
          <w:szCs w:val="70"/>
          <w:highlight w:val="none"/>
        </w:rPr>
      </w:pPr>
    </w:p>
    <w:p w14:paraId="00CCC752">
      <w:pPr>
        <w:autoSpaceDE w:val="0"/>
        <w:autoSpaceDN w:val="0"/>
        <w:jc w:val="center"/>
        <w:rPr>
          <w:rFonts w:hint="eastAsia" w:ascii="宋体" w:hAnsi="宋体" w:eastAsia="宋体" w:cs="宋体"/>
          <w:b/>
          <w:color w:val="auto"/>
          <w:sz w:val="70"/>
          <w:szCs w:val="70"/>
          <w:highlight w:val="none"/>
        </w:rPr>
      </w:pPr>
    </w:p>
    <w:p w14:paraId="4E5AF377">
      <w:pPr>
        <w:autoSpaceDE w:val="0"/>
        <w:autoSpaceDN w:val="0"/>
        <w:jc w:val="center"/>
        <w:rPr>
          <w:rFonts w:hint="eastAsia" w:ascii="宋体" w:hAnsi="宋体" w:eastAsia="宋体" w:cs="宋体"/>
          <w:b/>
          <w:color w:val="auto"/>
          <w:sz w:val="70"/>
          <w:szCs w:val="70"/>
          <w:highlight w:val="none"/>
        </w:rPr>
      </w:pPr>
    </w:p>
    <w:p w14:paraId="78B61A07">
      <w:pPr>
        <w:autoSpaceDE w:val="0"/>
        <w:autoSpaceDN w:val="0"/>
        <w:jc w:val="center"/>
        <w:rPr>
          <w:rFonts w:hint="eastAsia" w:ascii="宋体" w:hAnsi="宋体" w:eastAsia="宋体" w:cs="宋体"/>
          <w:b/>
          <w:color w:val="auto"/>
          <w:sz w:val="90"/>
          <w:highlight w:val="none"/>
        </w:rPr>
      </w:pPr>
      <w:r>
        <w:rPr>
          <w:rFonts w:hint="eastAsia" w:ascii="宋体" w:hAnsi="宋体" w:eastAsia="宋体" w:cs="宋体"/>
          <w:b/>
          <w:color w:val="auto"/>
          <w:sz w:val="70"/>
          <w:szCs w:val="70"/>
          <w:highlight w:val="none"/>
        </w:rPr>
        <w:t>竞争性磋商采购文件</w:t>
      </w:r>
    </w:p>
    <w:p w14:paraId="50BF1156">
      <w:pPr>
        <w:spacing w:line="400" w:lineRule="exact"/>
        <w:jc w:val="center"/>
        <w:rPr>
          <w:rFonts w:hint="eastAsia" w:ascii="宋体" w:hAnsi="宋体" w:eastAsia="宋体" w:cs="宋体"/>
          <w:b/>
          <w:color w:val="auto"/>
          <w:sz w:val="32"/>
          <w:szCs w:val="32"/>
          <w:highlight w:val="none"/>
        </w:rPr>
      </w:pPr>
    </w:p>
    <w:p w14:paraId="145DFA5F">
      <w:pPr>
        <w:pStyle w:val="17"/>
        <w:spacing w:line="400" w:lineRule="exact"/>
        <w:jc w:val="center"/>
        <w:rPr>
          <w:rFonts w:hint="eastAsia" w:ascii="宋体" w:hAnsi="宋体" w:eastAsia="宋体" w:cs="宋体"/>
          <w:b/>
          <w:color w:val="auto"/>
          <w:sz w:val="32"/>
          <w:szCs w:val="32"/>
          <w:highlight w:val="none"/>
        </w:rPr>
      </w:pPr>
    </w:p>
    <w:p w14:paraId="404E6748">
      <w:pPr>
        <w:pStyle w:val="17"/>
        <w:spacing w:line="400" w:lineRule="exact"/>
        <w:jc w:val="center"/>
        <w:rPr>
          <w:rFonts w:hint="eastAsia" w:ascii="宋体" w:hAnsi="宋体" w:eastAsia="宋体" w:cs="宋体"/>
          <w:b/>
          <w:color w:val="auto"/>
          <w:sz w:val="32"/>
          <w:szCs w:val="32"/>
          <w:highlight w:val="none"/>
        </w:rPr>
      </w:pPr>
    </w:p>
    <w:p w14:paraId="740AAC38">
      <w:pPr>
        <w:pStyle w:val="17"/>
        <w:spacing w:line="500" w:lineRule="exact"/>
        <w:jc w:val="center"/>
        <w:rPr>
          <w:rFonts w:hint="eastAsia" w:ascii="宋体" w:hAnsi="宋体" w:eastAsia="宋体" w:cs="宋体"/>
          <w:b/>
          <w:color w:val="auto"/>
          <w:sz w:val="32"/>
          <w:szCs w:val="32"/>
          <w:highlight w:val="none"/>
        </w:rPr>
      </w:pPr>
    </w:p>
    <w:p w14:paraId="61BB67A9">
      <w:pPr>
        <w:spacing w:line="500" w:lineRule="exact"/>
        <w:ind w:firstLine="562" w:firstLine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bookmarkStart w:id="0" w:name="_Toc251051298"/>
      <w:r>
        <w:rPr>
          <w:rFonts w:hint="eastAsia" w:ascii="宋体" w:hAnsi="宋体" w:cs="宋体"/>
          <w:b/>
          <w:color w:val="auto"/>
          <w:sz w:val="28"/>
          <w:szCs w:val="28"/>
          <w:highlight w:val="none"/>
          <w:lang w:eastAsia="zh-CN"/>
        </w:rPr>
        <w:t>2025年贺州市平桂生态环境局委托监测事项</w:t>
      </w:r>
    </w:p>
    <w:p w14:paraId="2F30844C">
      <w:pPr>
        <w:pStyle w:val="17"/>
        <w:spacing w:line="500" w:lineRule="exact"/>
        <w:jc w:val="center"/>
        <w:rPr>
          <w:rFonts w:hint="eastAsia" w:ascii="宋体" w:hAnsi="宋体" w:eastAsia="宋体" w:cs="宋体"/>
          <w:b/>
          <w:color w:val="auto"/>
          <w:kern w:val="2"/>
          <w:sz w:val="28"/>
          <w:szCs w:val="28"/>
          <w:highlight w:val="none"/>
          <w:lang w:eastAsia="zh-CN"/>
        </w:rPr>
      </w:pPr>
      <w:r>
        <w:rPr>
          <w:rFonts w:hint="eastAsia" w:ascii="宋体" w:hAnsi="宋体" w:eastAsia="宋体" w:cs="宋体"/>
          <w:b/>
          <w:color w:val="auto"/>
          <w:sz w:val="28"/>
          <w:szCs w:val="28"/>
          <w:highlight w:val="none"/>
        </w:rPr>
        <w:t>项目编号：</w:t>
      </w:r>
      <w:bookmarkEnd w:id="0"/>
      <w:r>
        <w:rPr>
          <w:rFonts w:hint="eastAsia" w:hAnsi="宋体" w:cs="宋体"/>
          <w:b/>
          <w:color w:val="auto"/>
          <w:kern w:val="2"/>
          <w:sz w:val="28"/>
          <w:szCs w:val="28"/>
          <w:highlight w:val="none"/>
          <w:lang w:eastAsia="zh-CN"/>
        </w:rPr>
        <w:t>HZZC2025-C3-990166-GXWX</w:t>
      </w:r>
    </w:p>
    <w:p w14:paraId="0FB31D75">
      <w:pPr>
        <w:spacing w:line="400" w:lineRule="exact"/>
        <w:jc w:val="center"/>
        <w:rPr>
          <w:rFonts w:hint="eastAsia" w:ascii="宋体" w:hAnsi="宋体" w:eastAsia="宋体" w:cs="宋体"/>
          <w:b/>
          <w:color w:val="auto"/>
          <w:sz w:val="28"/>
          <w:szCs w:val="28"/>
          <w:highlight w:val="none"/>
        </w:rPr>
      </w:pPr>
    </w:p>
    <w:p w14:paraId="433058F6">
      <w:pPr>
        <w:spacing w:line="400" w:lineRule="exact"/>
        <w:jc w:val="center"/>
        <w:rPr>
          <w:rFonts w:hint="eastAsia" w:ascii="宋体" w:hAnsi="宋体" w:eastAsia="宋体" w:cs="宋体"/>
          <w:b/>
          <w:color w:val="auto"/>
          <w:sz w:val="28"/>
          <w:szCs w:val="28"/>
          <w:highlight w:val="none"/>
        </w:rPr>
      </w:pPr>
    </w:p>
    <w:p w14:paraId="69848DB8">
      <w:pPr>
        <w:pStyle w:val="68"/>
        <w:rPr>
          <w:rFonts w:hint="eastAsia" w:ascii="宋体" w:hAnsi="宋体" w:eastAsia="宋体" w:cs="宋体"/>
          <w:color w:val="auto"/>
          <w:highlight w:val="none"/>
        </w:rPr>
      </w:pPr>
    </w:p>
    <w:p w14:paraId="71DF38E6">
      <w:pPr>
        <w:spacing w:line="400" w:lineRule="exact"/>
        <w:ind w:firstLine="551" w:firstLineChars="196"/>
        <w:rPr>
          <w:rFonts w:hint="eastAsia" w:ascii="宋体" w:hAnsi="宋体" w:eastAsia="宋体" w:cs="宋体"/>
          <w:b/>
          <w:color w:val="auto"/>
          <w:sz w:val="28"/>
          <w:szCs w:val="28"/>
          <w:highlight w:val="none"/>
          <w:u w:val="double"/>
        </w:rPr>
      </w:pPr>
    </w:p>
    <w:p w14:paraId="79030CD0">
      <w:pPr>
        <w:spacing w:line="400" w:lineRule="exact"/>
        <w:jc w:val="left"/>
        <w:rPr>
          <w:rFonts w:hint="eastAsia" w:ascii="宋体" w:hAnsi="宋体" w:eastAsia="宋体" w:cs="宋体"/>
          <w:bCs/>
          <w:color w:val="auto"/>
          <w:sz w:val="28"/>
          <w:szCs w:val="28"/>
          <w:highlight w:val="none"/>
          <w:u w:val="double"/>
        </w:rPr>
      </w:pPr>
    </w:p>
    <w:p w14:paraId="7094188E">
      <w:pPr>
        <w:spacing w:line="500" w:lineRule="exact"/>
        <w:jc w:val="center"/>
        <w:rPr>
          <w:rFonts w:hint="eastAsia" w:ascii="宋体" w:hAnsi="宋体" w:eastAsia="宋体" w:cs="宋体"/>
          <w:color w:val="auto"/>
          <w:sz w:val="28"/>
          <w:szCs w:val="28"/>
          <w:highlight w:val="none"/>
          <w:lang w:eastAsia="zh-CN"/>
        </w:rPr>
      </w:pPr>
      <w:bookmarkStart w:id="1" w:name="_Toc251051300"/>
      <w:r>
        <w:rPr>
          <w:rFonts w:hint="eastAsia" w:ascii="宋体" w:hAnsi="宋体" w:eastAsia="宋体" w:cs="宋体"/>
          <w:b/>
          <w:bCs/>
          <w:color w:val="auto"/>
          <w:sz w:val="28"/>
          <w:szCs w:val="28"/>
          <w:highlight w:val="none"/>
        </w:rPr>
        <w:t>采购人:</w:t>
      </w:r>
      <w:bookmarkEnd w:id="1"/>
      <w:bookmarkStart w:id="2" w:name="_Toc251051301"/>
      <w:r>
        <w:rPr>
          <w:rFonts w:hint="eastAsia" w:ascii="宋体" w:hAnsi="宋体" w:cs="宋体"/>
          <w:b/>
          <w:bCs/>
          <w:color w:val="auto"/>
          <w:sz w:val="28"/>
          <w:szCs w:val="28"/>
          <w:highlight w:val="none"/>
          <w:lang w:eastAsia="zh-CN"/>
        </w:rPr>
        <w:t>贺州市平桂生态环境局</w:t>
      </w:r>
    </w:p>
    <w:p w14:paraId="27855503">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w:t>
      </w:r>
      <w:bookmarkEnd w:id="2"/>
      <w:r>
        <w:rPr>
          <w:rFonts w:hint="eastAsia" w:ascii="宋体" w:hAnsi="宋体" w:eastAsia="宋体" w:cs="宋体"/>
          <w:b/>
          <w:bCs/>
          <w:color w:val="auto"/>
          <w:sz w:val="28"/>
          <w:szCs w:val="28"/>
          <w:highlight w:val="none"/>
        </w:rPr>
        <w:t>广西旺鑫项目管理咨询有限公司</w:t>
      </w:r>
    </w:p>
    <w:p w14:paraId="0525E577">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发布日期：</w:t>
      </w:r>
      <w:r>
        <w:rPr>
          <w:rFonts w:hint="eastAsia" w:ascii="宋体" w:hAnsi="宋体" w:cs="宋体"/>
          <w:b/>
          <w:bCs/>
          <w:color w:val="auto"/>
          <w:sz w:val="28"/>
          <w:szCs w:val="28"/>
          <w:highlight w:val="none"/>
          <w:lang w:eastAsia="zh-CN"/>
        </w:rPr>
        <w:t>2025年8月6日</w:t>
      </w:r>
    </w:p>
    <w:p w14:paraId="0213E588">
      <w:pPr>
        <w:pStyle w:val="17"/>
        <w:spacing w:line="400" w:lineRule="exact"/>
        <w:jc w:val="center"/>
        <w:rPr>
          <w:rFonts w:hint="eastAsia" w:ascii="宋体" w:hAnsi="宋体" w:eastAsia="宋体" w:cs="宋体"/>
          <w:b/>
          <w:color w:val="auto"/>
          <w:sz w:val="44"/>
          <w:highlight w:val="none"/>
        </w:rPr>
        <w:sectPr>
          <w:headerReference r:id="rId5" w:type="first"/>
          <w:headerReference r:id="rId3" w:type="default"/>
          <w:footerReference r:id="rId6" w:type="default"/>
          <w:headerReference r:id="rId4" w:type="even"/>
          <w:footerReference r:id="rId7" w:type="even"/>
          <w:pgSz w:w="11906" w:h="16838"/>
          <w:pgMar w:top="1134" w:right="1062" w:bottom="1134" w:left="964" w:header="851" w:footer="552" w:gutter="0"/>
          <w:pgNumType w:start="1"/>
          <w:cols w:space="720" w:num="1"/>
          <w:titlePg/>
          <w:docGrid w:type="lines" w:linePitch="312" w:charSpace="0"/>
        </w:sectPr>
      </w:pPr>
    </w:p>
    <w:p w14:paraId="31E0CECD">
      <w:pPr>
        <w:spacing w:line="360" w:lineRule="auto"/>
        <w:jc w:val="center"/>
        <w:rPr>
          <w:rFonts w:hint="eastAsia" w:ascii="宋体" w:hAnsi="宋体" w:eastAsia="宋体" w:cs="宋体"/>
          <w:b/>
          <w:color w:val="auto"/>
          <w:sz w:val="44"/>
          <w:szCs w:val="44"/>
          <w:highlight w:val="none"/>
        </w:rPr>
      </w:pPr>
    </w:p>
    <w:p w14:paraId="2B14941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CBC1D09">
      <w:pPr>
        <w:spacing w:line="400" w:lineRule="exact"/>
        <w:jc w:val="center"/>
        <w:rPr>
          <w:rFonts w:hint="eastAsia" w:ascii="宋体" w:hAnsi="宋体" w:eastAsia="宋体" w:cs="宋体"/>
          <w:b/>
          <w:color w:val="auto"/>
          <w:sz w:val="44"/>
          <w:szCs w:val="44"/>
          <w:highlight w:val="none"/>
        </w:rPr>
      </w:pPr>
    </w:p>
    <w:p w14:paraId="3EE1499B">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Cs w:val="21"/>
          <w:highlight w:val="none"/>
        </w:rPr>
        <w:fldChar w:fldCharType="begin"/>
      </w:r>
      <w:r>
        <w:rPr>
          <w:rFonts w:hint="eastAsia" w:ascii="宋体" w:hAnsi="宋体" w:eastAsia="宋体" w:cs="宋体"/>
          <w:b/>
          <w:color w:val="auto"/>
          <w:szCs w:val="21"/>
          <w:highlight w:val="none"/>
        </w:rPr>
        <w:instrText xml:space="preserve">TOC \o "1-3" \h \z \u</w:instrText>
      </w:r>
      <w:r>
        <w:rPr>
          <w:rFonts w:hint="eastAsia" w:ascii="宋体" w:hAnsi="宋体" w:eastAsia="宋体" w:cs="宋体"/>
          <w:b/>
          <w:color w:val="auto"/>
          <w:szCs w:val="21"/>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E7E47C">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DDC3EE">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99C07E">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DABEE8">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4A3E2F">
      <w:pPr>
        <w:pStyle w:val="23"/>
        <w:keepNext w:val="0"/>
        <w:keepLines w:val="0"/>
        <w:pageBreakBefore w:val="0"/>
        <w:widowControl w:val="0"/>
        <w:tabs>
          <w:tab w:val="right" w:leader="dot" w:pos="9638"/>
          <w:tab w:val="clear" w:pos="8296"/>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2E4CA">
      <w:pPr>
        <w:pStyle w:val="23"/>
        <w:jc w:val="center"/>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fldChar w:fldCharType="end"/>
      </w:r>
    </w:p>
    <w:p w14:paraId="0013DC3B">
      <w:pPr>
        <w:spacing w:line="400" w:lineRule="exact"/>
        <w:jc w:val="left"/>
        <w:rPr>
          <w:rFonts w:hint="eastAsia" w:ascii="宋体" w:hAnsi="宋体" w:eastAsia="宋体" w:cs="宋体"/>
          <w:b/>
          <w:color w:val="auto"/>
          <w:sz w:val="32"/>
          <w:szCs w:val="32"/>
          <w:highlight w:val="none"/>
        </w:rPr>
      </w:pPr>
    </w:p>
    <w:p w14:paraId="5FD2E8F8">
      <w:pPr>
        <w:spacing w:line="400" w:lineRule="exact"/>
        <w:jc w:val="center"/>
        <w:rPr>
          <w:rFonts w:hint="eastAsia" w:ascii="宋体" w:hAnsi="宋体" w:eastAsia="宋体" w:cs="宋体"/>
          <w:b/>
          <w:color w:val="auto"/>
          <w:sz w:val="32"/>
          <w:szCs w:val="32"/>
          <w:highlight w:val="none"/>
        </w:rPr>
      </w:pPr>
    </w:p>
    <w:p w14:paraId="66027376">
      <w:pPr>
        <w:spacing w:line="400" w:lineRule="exact"/>
        <w:jc w:val="center"/>
        <w:rPr>
          <w:rFonts w:hint="eastAsia" w:ascii="宋体" w:hAnsi="宋体" w:eastAsia="宋体" w:cs="宋体"/>
          <w:b/>
          <w:color w:val="auto"/>
          <w:sz w:val="32"/>
          <w:szCs w:val="32"/>
          <w:highlight w:val="none"/>
        </w:rPr>
      </w:pPr>
    </w:p>
    <w:p w14:paraId="202E7C76">
      <w:pPr>
        <w:spacing w:line="400" w:lineRule="exact"/>
        <w:jc w:val="center"/>
        <w:rPr>
          <w:rFonts w:hint="eastAsia" w:ascii="宋体" w:hAnsi="宋体" w:eastAsia="宋体" w:cs="宋体"/>
          <w:b/>
          <w:color w:val="auto"/>
          <w:sz w:val="32"/>
          <w:szCs w:val="32"/>
          <w:highlight w:val="none"/>
        </w:rPr>
      </w:pPr>
    </w:p>
    <w:p w14:paraId="212C9ACE">
      <w:pPr>
        <w:spacing w:line="400" w:lineRule="exact"/>
        <w:jc w:val="center"/>
        <w:rPr>
          <w:rFonts w:hint="eastAsia" w:ascii="宋体" w:hAnsi="宋体" w:eastAsia="宋体" w:cs="宋体"/>
          <w:b/>
          <w:color w:val="auto"/>
          <w:sz w:val="32"/>
          <w:szCs w:val="32"/>
          <w:highlight w:val="none"/>
        </w:rPr>
      </w:pPr>
    </w:p>
    <w:p w14:paraId="5E7F683E">
      <w:pPr>
        <w:spacing w:line="400" w:lineRule="exact"/>
        <w:rPr>
          <w:rFonts w:hint="eastAsia" w:ascii="宋体" w:hAnsi="宋体" w:eastAsia="宋体" w:cs="宋体"/>
          <w:b/>
          <w:color w:val="auto"/>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992" w:gutter="0"/>
          <w:pgNumType w:start="0"/>
          <w:cols w:space="0" w:num="1"/>
          <w:titlePg/>
          <w:docGrid w:type="lines" w:linePitch="312" w:charSpace="0"/>
        </w:sectPr>
      </w:pPr>
    </w:p>
    <w:p w14:paraId="4C82ED8C">
      <w:pPr>
        <w:pStyle w:val="3"/>
        <w:numPr>
          <w:ilvl w:val="0"/>
          <w:numId w:val="2"/>
        </w:numPr>
        <w:jc w:val="center"/>
        <w:rPr>
          <w:rFonts w:hint="eastAsia" w:ascii="宋体" w:hAnsi="宋体" w:eastAsia="宋体" w:cs="宋体"/>
          <w:color w:val="auto"/>
          <w:szCs w:val="21"/>
          <w:highlight w:val="none"/>
        </w:rPr>
      </w:pPr>
      <w:bookmarkStart w:id="3" w:name="_Toc4849"/>
      <w:r>
        <w:rPr>
          <w:rFonts w:hint="eastAsia" w:ascii="宋体" w:hAnsi="宋体" w:eastAsia="宋体" w:cs="宋体"/>
          <w:color w:val="auto"/>
          <w:highlight w:val="none"/>
        </w:rPr>
        <w:t>竞争性磋商公告</w:t>
      </w:r>
      <w:bookmarkEnd w:id="3"/>
    </w:p>
    <w:p w14:paraId="2B9EBC21">
      <w:pPr>
        <w:keepNext/>
        <w:keepLines/>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广西旺鑫项目管理咨询有限公司关于</w:t>
      </w:r>
      <w:r>
        <w:rPr>
          <w:rFonts w:hint="eastAsia" w:ascii="宋体" w:hAnsi="宋体" w:cs="宋体"/>
          <w:b/>
          <w:bCs/>
          <w:color w:val="auto"/>
          <w:sz w:val="28"/>
          <w:szCs w:val="28"/>
          <w:highlight w:val="none"/>
          <w:lang w:eastAsia="zh-CN"/>
        </w:rPr>
        <w:t>2025年贺州市平桂生态环境局委托监测事项</w:t>
      </w: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HZZC2025-C3-990166-GXWX</w:t>
      </w:r>
      <w:r>
        <w:rPr>
          <w:rFonts w:hint="eastAsia" w:ascii="宋体" w:hAnsi="宋体" w:eastAsia="宋体" w:cs="宋体"/>
          <w:b/>
          <w:bCs/>
          <w:color w:val="auto"/>
          <w:sz w:val="28"/>
          <w:szCs w:val="28"/>
          <w:highlight w:val="none"/>
        </w:rPr>
        <w:t>）</w:t>
      </w:r>
    </w:p>
    <w:p w14:paraId="58FBCBBD">
      <w:pPr>
        <w:keepNext/>
        <w:keepLines/>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竞争性磋商公告</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远程异地评标</w:t>
      </w:r>
      <w:r>
        <w:rPr>
          <w:rFonts w:hint="eastAsia" w:ascii="宋体" w:hAnsi="宋体" w:eastAsia="宋体" w:cs="宋体"/>
          <w:b/>
          <w:color w:val="auto"/>
          <w:sz w:val="28"/>
          <w:szCs w:val="28"/>
          <w:highlight w:val="none"/>
          <w:lang w:eastAsia="zh-CN"/>
        </w:rPr>
        <w:t>）</w:t>
      </w:r>
    </w:p>
    <w:p w14:paraId="366D44D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bookmarkStart w:id="4" w:name="_Hlk37430271"/>
      <w:r>
        <w:rPr>
          <w:rFonts w:hint="eastAsia" w:ascii="宋体" w:hAnsi="宋体" w:eastAsia="宋体" w:cs="宋体"/>
          <w:color w:val="auto"/>
          <w:szCs w:val="21"/>
          <w:highlight w:val="none"/>
        </w:rPr>
        <w:t>项目概况</w:t>
      </w:r>
    </w:p>
    <w:p w14:paraId="655BD1C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2025年贺州市平桂生态环境局委托监测事项</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lang w:eastAsia="zh-CN"/>
        </w:rPr>
        <w:t>“广西政府采购云”平台（https://www.gcy.zfcg.gxzf.gov.cn/）</w:t>
      </w:r>
      <w:r>
        <w:rPr>
          <w:rFonts w:hint="eastAsia" w:ascii="宋体" w:hAnsi="宋体" w:eastAsia="宋体" w:cs="宋体"/>
          <w:color w:val="auto"/>
          <w:szCs w:val="21"/>
          <w:highlight w:val="none"/>
        </w:rPr>
        <w:t>下载竞争性磋商文件，并于</w:t>
      </w:r>
      <w:r>
        <w:rPr>
          <w:rFonts w:hint="eastAsia" w:ascii="宋体" w:hAnsi="宋体" w:cs="宋体"/>
          <w:color w:val="auto"/>
          <w:szCs w:val="21"/>
          <w:highlight w:val="none"/>
          <w:u w:val="single"/>
          <w:lang w:eastAsia="zh-CN"/>
        </w:rPr>
        <w:t>2025年8月18日9时00分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637573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color w:val="auto"/>
          <w:szCs w:val="21"/>
          <w:highlight w:val="none"/>
        </w:rPr>
      </w:pPr>
      <w:bookmarkStart w:id="5" w:name="_Toc28359089"/>
      <w:bookmarkStart w:id="6" w:name="_Toc44229878"/>
      <w:bookmarkStart w:id="7" w:name="_Toc28359012"/>
      <w:bookmarkStart w:id="8" w:name="_Toc35393629"/>
      <w:bookmarkStart w:id="9" w:name="_Toc35393798"/>
      <w:r>
        <w:rPr>
          <w:rFonts w:hint="eastAsia" w:ascii="宋体" w:hAnsi="宋体" w:eastAsia="宋体" w:cs="宋体"/>
          <w:b/>
          <w:bCs/>
          <w:color w:val="auto"/>
          <w:szCs w:val="21"/>
          <w:highlight w:val="none"/>
        </w:rPr>
        <w:t>一、项目基本情况</w:t>
      </w:r>
      <w:bookmarkEnd w:id="5"/>
      <w:bookmarkEnd w:id="6"/>
      <w:bookmarkEnd w:id="7"/>
      <w:bookmarkEnd w:id="8"/>
      <w:bookmarkEnd w:id="9"/>
    </w:p>
    <w:p w14:paraId="4CF2A65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HZZC2025-C3-990166-GXWX</w:t>
      </w:r>
    </w:p>
    <w:p w14:paraId="35391CF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2025年贺州市平桂生态环境局委托监测事项</w:t>
      </w:r>
    </w:p>
    <w:p w14:paraId="2886795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65C21E8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约59万元，1分标12万元，2分标47万元。</w:t>
      </w:r>
    </w:p>
    <w:p w14:paraId="0CA5C9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5.最高限价：</w:t>
      </w:r>
      <w:r>
        <w:rPr>
          <w:rFonts w:hint="eastAsia" w:ascii="宋体" w:hAnsi="宋体" w:eastAsia="宋体" w:cs="宋体"/>
          <w:color w:val="auto"/>
          <w:szCs w:val="21"/>
          <w:highlight w:val="none"/>
          <w:u w:val="none"/>
        </w:rPr>
        <w:t>本项目以预算价为最高限价。</w:t>
      </w:r>
    </w:p>
    <w:p w14:paraId="2BCF01A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6.采购需求：</w:t>
      </w:r>
      <w:r>
        <w:rPr>
          <w:rFonts w:hint="eastAsia" w:ascii="宋体" w:hAnsi="宋体" w:cs="宋体"/>
          <w:color w:val="auto"/>
          <w:szCs w:val="21"/>
          <w:highlight w:val="none"/>
          <w:u w:val="none"/>
          <w:lang w:eastAsia="zh-CN"/>
        </w:rPr>
        <w:t>2025年贺州市平桂生态环境局委托监测事项。</w:t>
      </w:r>
      <w:r>
        <w:rPr>
          <w:rFonts w:hint="eastAsia" w:ascii="宋体" w:hAnsi="宋体" w:eastAsia="宋体" w:cs="宋体"/>
          <w:color w:val="auto"/>
          <w:szCs w:val="21"/>
          <w:highlight w:val="none"/>
          <w:u w:val="none"/>
        </w:rPr>
        <w:t>本项目共划分为2个分标，每个分标拟采购1名供应商。供应商可对全部标段进行投标，也可对其中一个标段进行投标，最多可中一个标段。已在前一个标段推荐为第一成交候选人的供应商不进行下一个标段的资格评审。评审顺序为标项1→标项2单独评审。详见采购文件第三章“采购需求和说明”。</w:t>
      </w:r>
    </w:p>
    <w:p w14:paraId="4E04F61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合同履行期限：</w:t>
      </w:r>
      <w:r>
        <w:rPr>
          <w:rFonts w:hint="eastAsia" w:ascii="宋体" w:hAnsi="宋体" w:cs="宋体"/>
          <w:color w:val="auto"/>
          <w:highlight w:val="none"/>
          <w:u w:val="none"/>
          <w:lang w:eastAsia="zh-CN"/>
        </w:rPr>
        <w:t>一年，具体时间在签订合同时确定</w:t>
      </w:r>
      <w:r>
        <w:rPr>
          <w:rFonts w:hint="eastAsia" w:ascii="宋体" w:hAnsi="宋体" w:eastAsia="宋体" w:cs="宋体"/>
          <w:color w:val="auto"/>
          <w:szCs w:val="18"/>
          <w:highlight w:val="none"/>
          <w:u w:val="none"/>
        </w:rPr>
        <w:t>。</w:t>
      </w:r>
    </w:p>
    <w:p w14:paraId="0822B18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接受联合体竞标。</w:t>
      </w:r>
    </w:p>
    <w:p w14:paraId="29FD1F6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10" w:name="_Toc35393630"/>
      <w:bookmarkStart w:id="11" w:name="_Toc44229879"/>
      <w:bookmarkStart w:id="12" w:name="_Toc35393799"/>
      <w:bookmarkStart w:id="13" w:name="_Toc28359090"/>
      <w:bookmarkStart w:id="14" w:name="_Toc28359013"/>
      <w:r>
        <w:rPr>
          <w:rFonts w:hint="eastAsia" w:ascii="宋体" w:hAnsi="宋体" w:eastAsia="宋体" w:cs="宋体"/>
          <w:b/>
          <w:bCs/>
          <w:color w:val="auto"/>
          <w:szCs w:val="21"/>
          <w:highlight w:val="none"/>
        </w:rPr>
        <w:t>二、供应商的资格条件：</w:t>
      </w:r>
      <w:bookmarkEnd w:id="10"/>
      <w:bookmarkEnd w:id="11"/>
      <w:bookmarkEnd w:id="12"/>
      <w:bookmarkEnd w:id="13"/>
      <w:bookmarkEnd w:id="14"/>
    </w:p>
    <w:p w14:paraId="4AE620E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bookmarkStart w:id="15" w:name="_Toc35393631"/>
      <w:bookmarkStart w:id="16" w:name="_Toc35393800"/>
      <w:bookmarkStart w:id="17" w:name="_Toc28359014"/>
      <w:bookmarkStart w:id="18" w:name="_Toc28359091"/>
      <w:bookmarkStart w:id="19" w:name="_Toc44229880"/>
      <w:r>
        <w:rPr>
          <w:rFonts w:hint="eastAsia" w:ascii="宋体" w:hAnsi="宋体" w:eastAsia="宋体" w:cs="宋体"/>
          <w:color w:val="auto"/>
          <w:szCs w:val="21"/>
          <w:highlight w:val="none"/>
        </w:rPr>
        <w:t>1.满足《中华人民共和国政府采购法》第二十二条规定；</w:t>
      </w:r>
    </w:p>
    <w:p w14:paraId="5C70A0E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专门面向中小企业采购的项目</w:t>
      </w:r>
      <w:r>
        <w:rPr>
          <w:rFonts w:hint="eastAsia" w:ascii="宋体" w:hAnsi="宋体" w:eastAsia="宋体" w:cs="宋体"/>
          <w:color w:val="auto"/>
          <w:szCs w:val="21"/>
          <w:highlight w:val="none"/>
        </w:rPr>
        <w:t>；</w:t>
      </w:r>
    </w:p>
    <w:p w14:paraId="1E0F8E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3.本项目的特定资格要求：</w:t>
      </w:r>
      <w:r>
        <w:rPr>
          <w:rFonts w:hint="eastAsia" w:ascii="宋体" w:hAnsi="宋体"/>
          <w:color w:val="auto"/>
          <w:szCs w:val="21"/>
          <w:highlight w:val="none"/>
          <w:lang w:eastAsia="zh-CN"/>
        </w:rPr>
        <w:t>具备省级及以上检验检测机构资质认定证书（CMA）</w:t>
      </w:r>
      <w:r>
        <w:rPr>
          <w:rFonts w:hint="eastAsia" w:ascii="宋体" w:hAnsi="宋体" w:eastAsia="宋体" w:cs="宋体"/>
          <w:color w:val="auto"/>
          <w:szCs w:val="21"/>
          <w:highlight w:val="none"/>
        </w:rPr>
        <w:t>；</w:t>
      </w:r>
    </w:p>
    <w:p w14:paraId="0C7C0A4D">
      <w:pPr>
        <w:pStyle w:val="66"/>
        <w:keepNext w:val="0"/>
        <w:keepLines w:val="0"/>
        <w:pageBreakBefore w:val="0"/>
        <w:kinsoku/>
        <w:wordWrap/>
        <w:overflowPunct/>
        <w:topLinePunct w:val="0"/>
        <w:autoSpaceDE/>
        <w:autoSpaceDN/>
        <w:bidi w:val="0"/>
        <w:adjustRightInd/>
        <w:spacing w:before="0" w:beforeAutospacing="0" w:after="0" w:afterAutospacing="0" w:line="380" w:lineRule="exact"/>
        <w:ind w:firstLine="420"/>
        <w:contextualSpacing/>
        <w:textAlignment w:val="auto"/>
        <w:rPr>
          <w:rFonts w:hint="eastAsia" w:ascii="宋体" w:hAnsi="宋体" w:eastAsia="宋体" w:cs="宋体"/>
          <w:b w:val="0"/>
          <w:bCs w:val="0"/>
          <w:color w:val="auto"/>
          <w:kern w:val="1"/>
          <w:highlight w:val="none"/>
        </w:rPr>
      </w:pPr>
      <w:r>
        <w:rPr>
          <w:rFonts w:hint="eastAsia" w:ascii="宋体" w:hAnsi="宋体" w:eastAsia="宋体" w:cs="宋体"/>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A07E2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1"/>
          <w:szCs w:val="21"/>
          <w:highlight w:val="none"/>
        </w:rPr>
        <w:t>5.</w:t>
      </w:r>
      <w:r>
        <w:rPr>
          <w:rFonts w:hint="eastAsia" w:ascii="宋体" w:hAnsi="宋体" w:eastAsia="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r>
        <w:rPr>
          <w:rFonts w:hint="eastAsia" w:ascii="宋体" w:hAnsi="宋体" w:eastAsia="宋体" w:cs="宋体"/>
          <w:color w:val="auto"/>
          <w:szCs w:val="21"/>
          <w:highlight w:val="none"/>
          <w:lang w:eastAsia="zh-CN"/>
        </w:rPr>
        <w:t>。</w:t>
      </w:r>
    </w:p>
    <w:bookmarkEnd w:id="15"/>
    <w:bookmarkEnd w:id="16"/>
    <w:bookmarkEnd w:id="17"/>
    <w:bookmarkEnd w:id="18"/>
    <w:bookmarkEnd w:id="19"/>
    <w:p w14:paraId="3F25FEAC">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20" w:name="_Toc28359095"/>
      <w:bookmarkStart w:id="21" w:name="_Toc35393636"/>
      <w:bookmarkStart w:id="22" w:name="_Toc35393805"/>
      <w:bookmarkStart w:id="23" w:name="_Toc44229885"/>
      <w:bookmarkStart w:id="24" w:name="_Toc28359018"/>
      <w:r>
        <w:rPr>
          <w:rFonts w:hint="eastAsia" w:ascii="宋体" w:hAnsi="宋体" w:eastAsia="宋体" w:cs="宋体"/>
          <w:b/>
          <w:bCs/>
          <w:color w:val="auto"/>
          <w:szCs w:val="21"/>
          <w:highlight w:val="none"/>
        </w:rPr>
        <w:t>三、获取竞争性磋商文件</w:t>
      </w:r>
    </w:p>
    <w:p w14:paraId="14E003A0">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bookmarkStart w:id="25" w:name="_Toc35393801"/>
      <w:bookmarkStart w:id="26" w:name="_Toc35393632"/>
      <w:bookmarkStart w:id="27" w:name="_Toc44229881"/>
      <w:bookmarkStart w:id="28" w:name="_Toc28359092"/>
      <w:bookmarkStart w:id="29" w:name="_Toc28359015"/>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2025年8月6日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eastAsia="zh-CN"/>
        </w:rPr>
        <w:t>2025年8月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，每天上午08:00至12:00 ，下午1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:00至18:00（北京时间，法定节假日除外）</w:t>
      </w:r>
    </w:p>
    <w:p w14:paraId="7E2E2DB2">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地点（网址）：“广西政府采购云”平台（https://www.gcy.zfcg.gxzf.gov.cn/） </w:t>
      </w:r>
    </w:p>
    <w:p w14:paraId="60A53435">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方式：网上下载。本项目不发放纸质文件，供应商应自行在“广西政府采购云”平台（https://www.gcy.zfcg.gxzf.gov.cn/）下载</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文件（操作路径：登录“广西政府采购云”平台-项目采购-获取采购文件-找到本项目-点击“申请获取采购文件”），电子投标文件制作需要基于“广西政府采购云”平台获取的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 xml:space="preserve">文件编制。 </w:t>
      </w:r>
    </w:p>
    <w:p w14:paraId="41CA51F9">
      <w:pPr>
        <w:keepNext w:val="0"/>
        <w:keepLines w:val="0"/>
        <w:pageBreakBefore w:val="0"/>
        <w:kinsoku/>
        <w:wordWrap/>
        <w:overflowPunct/>
        <w:topLinePunct w:val="0"/>
        <w:autoSpaceDE/>
        <w:autoSpaceDN/>
        <w:bidi w:val="0"/>
        <w:adjustRightInd/>
        <w:snapToGrid w:val="0"/>
        <w:spacing w:line="38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售价（元）：0</w:t>
      </w:r>
    </w:p>
    <w:bookmarkEnd w:id="25"/>
    <w:bookmarkEnd w:id="26"/>
    <w:bookmarkEnd w:id="27"/>
    <w:bookmarkEnd w:id="28"/>
    <w:bookmarkEnd w:id="29"/>
    <w:p w14:paraId="49C9D78B">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0" w:name="_Toc28359094"/>
      <w:bookmarkStart w:id="31" w:name="_Toc44229883"/>
      <w:bookmarkStart w:id="32" w:name="_Toc35393803"/>
      <w:bookmarkStart w:id="33" w:name="_Toc28359017"/>
      <w:bookmarkStart w:id="34" w:name="_Toc35393634"/>
      <w:r>
        <w:rPr>
          <w:rFonts w:hint="eastAsia" w:ascii="宋体" w:hAnsi="宋体" w:eastAsia="宋体" w:cs="宋体"/>
          <w:b/>
          <w:bCs/>
          <w:color w:val="auto"/>
          <w:szCs w:val="21"/>
          <w:highlight w:val="none"/>
        </w:rPr>
        <w:t>四、响应文件提交</w:t>
      </w:r>
    </w:p>
    <w:p w14:paraId="5490A3AE">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1.截止时间：</w:t>
      </w:r>
      <w:r>
        <w:rPr>
          <w:rFonts w:hint="eastAsia" w:ascii="宋体" w:hAnsi="宋体" w:cs="宋体"/>
          <w:color w:val="auto"/>
          <w:highlight w:val="none"/>
          <w:lang w:eastAsia="zh-CN"/>
        </w:rPr>
        <w:t>2025年8月18日9时00分</w:t>
      </w:r>
      <w:r>
        <w:rPr>
          <w:rFonts w:hint="eastAsia" w:ascii="宋体" w:hAnsi="宋体" w:eastAsia="宋体" w:cs="宋体"/>
          <w:color w:val="auto"/>
          <w:highlight w:val="none"/>
        </w:rPr>
        <w:t>（北京时间）</w:t>
      </w:r>
    </w:p>
    <w:p w14:paraId="17629DE9">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2.地点：通过“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”平台电子在线投标响应</w:t>
      </w:r>
    </w:p>
    <w:p w14:paraId="3396D97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5" w:name="_Toc28359093"/>
      <w:bookmarkStart w:id="36" w:name="_Toc35393633"/>
      <w:bookmarkStart w:id="37" w:name="_Toc28359016"/>
      <w:bookmarkStart w:id="38" w:name="_Toc35393802"/>
      <w:r>
        <w:rPr>
          <w:rFonts w:hint="eastAsia" w:ascii="宋体" w:hAnsi="宋体" w:eastAsia="宋体" w:cs="宋体"/>
          <w:b/>
          <w:bCs/>
          <w:color w:val="auto"/>
          <w:szCs w:val="21"/>
          <w:highlight w:val="none"/>
        </w:rPr>
        <w:t>五、开启</w:t>
      </w:r>
      <w:bookmarkEnd w:id="35"/>
      <w:bookmarkEnd w:id="36"/>
      <w:bookmarkEnd w:id="37"/>
      <w:bookmarkEnd w:id="38"/>
    </w:p>
    <w:p w14:paraId="5B18D8D0">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ascii="宋体" w:hAnsi="宋体" w:cs="宋体"/>
          <w:color w:val="auto"/>
          <w:highlight w:val="none"/>
          <w:lang w:eastAsia="zh-CN"/>
        </w:rPr>
        <w:t>2025年8月18日9时00分</w:t>
      </w:r>
      <w:r>
        <w:rPr>
          <w:rFonts w:hint="eastAsia" w:ascii="宋体" w:hAnsi="宋体" w:eastAsia="宋体" w:cs="宋体"/>
          <w:color w:val="auto"/>
          <w:highlight w:val="none"/>
        </w:rPr>
        <w:t>（北京时间）</w:t>
      </w:r>
    </w:p>
    <w:p w14:paraId="6C7808C7">
      <w:pPr>
        <w:keepNext w:val="0"/>
        <w:keepLines w:val="0"/>
        <w:pageBreakBefore w:val="0"/>
        <w:kinsoku/>
        <w:wordWrap/>
        <w:overflowPunct/>
        <w:topLinePunct w:val="0"/>
        <w:autoSpaceDE/>
        <w:autoSpaceDN/>
        <w:bidi w:val="0"/>
        <w:snapToGrid/>
        <w:spacing w:line="38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highlight w:val="none"/>
        </w:rPr>
        <w:t>2.地点：广西壮族自治区贺州市八步区贺州市城东新区回建地E地块27号六楼评标室</w:t>
      </w:r>
    </w:p>
    <w:p w14:paraId="70FF8E1E">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、公告期限</w:t>
      </w:r>
      <w:bookmarkEnd w:id="30"/>
      <w:bookmarkEnd w:id="31"/>
      <w:bookmarkEnd w:id="32"/>
      <w:bookmarkEnd w:id="33"/>
      <w:bookmarkEnd w:id="34"/>
    </w:p>
    <w:p w14:paraId="486AAD4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8964617">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Cs w:val="21"/>
          <w:highlight w:val="none"/>
        </w:rPr>
      </w:pPr>
      <w:bookmarkStart w:id="39" w:name="_Toc44229884"/>
      <w:bookmarkStart w:id="40" w:name="_Toc35393635"/>
      <w:bookmarkStart w:id="41" w:name="_Toc35393804"/>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、其他补充事宜</w:t>
      </w:r>
      <w:bookmarkEnd w:id="39"/>
      <w:bookmarkEnd w:id="40"/>
      <w:bookmarkEnd w:id="41"/>
    </w:p>
    <w:p w14:paraId="703A96C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b w:val="0"/>
          <w:bCs/>
          <w:color w:val="auto"/>
          <w:szCs w:val="21"/>
          <w:highlight w:val="none"/>
          <w:lang w:val="en-US" w:eastAsia="zh-CN"/>
        </w:rPr>
        <w:t>不收取</w:t>
      </w:r>
      <w:r>
        <w:rPr>
          <w:rFonts w:hint="eastAsia" w:ascii="宋体" w:hAnsi="宋体" w:eastAsia="宋体" w:cs="宋体"/>
          <w:color w:val="auto"/>
          <w:szCs w:val="21"/>
          <w:highlight w:val="none"/>
        </w:rPr>
        <w:t xml:space="preserve"> </w:t>
      </w:r>
    </w:p>
    <w:p w14:paraId="4EDCED2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本项目需要落实的政府采购政策：《政府采购促进中小企业发展管理办法》（财库〔2020〕46号）、财库〔2022〕19号文件及《广西壮族自治区财政厅 广西壮族自治区工业和信息化厅关于转发财政部工业和信息化部政府采购促进中小企业发展管理办法的通知》（桂财采〔2021〕70号）、《贺州市财政局贺州市工业和信息化局关于转发财政部工业和信息化部政府采购促进中小企业发展管理办法的通知》（贺财采〔2021〕19号）、《财政部、司法部关于政府采购支持监狱企业发展有关问题的通知》（财库〔2014〕68号）、《关于促进残疾人就业政府采购政策的通知》（财库〔2017〕141号）等政府采购相关政策。</w:t>
      </w:r>
      <w:r>
        <w:rPr>
          <w:rFonts w:hint="eastAsia" w:ascii="宋体" w:hAnsi="宋体" w:cs="宋体"/>
          <w:b/>
          <w:bCs/>
          <w:color w:val="auto"/>
          <w:kern w:val="0"/>
          <w:szCs w:val="21"/>
          <w:highlight w:val="none"/>
        </w:rPr>
        <w:t>本项目为专门面向“中小企业”的项目或者采购包，不再执行价格评审优惠的扶持政策。</w:t>
      </w:r>
    </w:p>
    <w:p w14:paraId="1D4A49EF">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3、在线投标响应（电子投标）说明：</w:t>
      </w:r>
    </w:p>
    <w:p w14:paraId="50C47A9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lang w:val="en-US" w:eastAsia="zh-CN" w:bidi="ar"/>
        </w:rPr>
        <w:t>响应</w:t>
      </w:r>
      <w:r>
        <w:rPr>
          <w:rFonts w:hint="eastAsia" w:ascii="宋体" w:hAnsi="宋体" w:eastAsia="宋体" w:cs="宋体"/>
          <w:color w:val="auto"/>
          <w:szCs w:val="21"/>
          <w:highlight w:val="none"/>
          <w:lang w:bidi="ar"/>
        </w:rPr>
        <w:t>文件提交方式：本项目为全流程电子化政府采购项目，通过</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https://www.gcy.zfcg.gxzf.gov.cn/</w:t>
      </w:r>
      <w:r>
        <w:rPr>
          <w:rFonts w:hint="eastAsia" w:ascii="宋体" w:hAnsi="宋体" w:eastAsia="宋体" w:cs="宋体"/>
          <w:color w:val="auto"/>
          <w:szCs w:val="21"/>
          <w:highlight w:val="none"/>
          <w:lang w:bidi="ar"/>
        </w:rPr>
        <w:t>）实行在线电子投标，供应商应先安装“政采云电子交易客户端”（请自行前往</w:t>
      </w:r>
      <w:r>
        <w:rPr>
          <w:rFonts w:hint="eastAsia" w:ascii="宋体" w:hAnsi="宋体" w:eastAsia="宋体" w:cs="宋体"/>
          <w:bCs/>
          <w:color w:val="auto"/>
          <w:sz w:val="21"/>
          <w:szCs w:val="21"/>
          <w:highlight w:val="none"/>
        </w:rPr>
        <w:t>广西政府采购网</w:t>
      </w:r>
      <w:r>
        <w:rPr>
          <w:rFonts w:hint="eastAsia" w:ascii="宋体" w:hAnsi="宋体" w:eastAsia="宋体" w:cs="宋体"/>
          <w:color w:val="auto"/>
          <w:szCs w:val="21"/>
          <w:highlight w:val="none"/>
          <w:lang w:bidi="ar"/>
        </w:rPr>
        <w:t>进行下载），并按照本项目</w:t>
      </w:r>
      <w:r>
        <w:rPr>
          <w:rFonts w:hint="eastAsia" w:ascii="宋体" w:hAnsi="宋体" w:eastAsia="宋体" w:cs="宋体"/>
          <w:color w:val="auto"/>
          <w:szCs w:val="21"/>
          <w:highlight w:val="none"/>
          <w:lang w:val="en-US" w:eastAsia="zh-CN" w:bidi="ar"/>
        </w:rPr>
        <w:t>采购</w:t>
      </w:r>
      <w:r>
        <w:rPr>
          <w:rFonts w:hint="eastAsia" w:ascii="宋体" w:hAnsi="宋体" w:eastAsia="宋体" w:cs="宋体"/>
          <w:color w:val="auto"/>
          <w:szCs w:val="21"/>
          <w:highlight w:val="none"/>
          <w:lang w:bidi="ar"/>
        </w:rPr>
        <w:t>文件和</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的要求编制、加密后在投标截止时间前通过网络上传至</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eastAsia="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提交电子版响应文件时，请填写参加远程开标活动经办人联系方式。</w:t>
      </w:r>
    </w:p>
    <w:p w14:paraId="74E8EE5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时，建议使用WIN7及以上操作系统，通过“广西政府采购云”平台参与在线投标时如遇平台技术问题详询95763。</w:t>
      </w:r>
    </w:p>
    <w:p w14:paraId="3353092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（3）为确保网上操作合法、有效和安全，</w:t>
      </w: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单位应当在开标截止时间前完成在“广西政府采购云”</w:t>
      </w:r>
      <w:r>
        <w:rPr>
          <w:rFonts w:hint="eastAsia" w:ascii="宋体" w:hAnsi="宋体" w:eastAsia="宋体" w:cs="宋体"/>
          <w:bCs/>
          <w:color w:val="auto"/>
          <w:sz w:val="21"/>
          <w:szCs w:val="21"/>
          <w:highlight w:val="none"/>
          <w:lang w:val="en-US" w:eastAsia="zh-CN"/>
        </w:rPr>
        <w:t>平台</w:t>
      </w:r>
      <w:r>
        <w:rPr>
          <w:rFonts w:hint="eastAsia" w:ascii="宋体" w:hAnsi="宋体" w:eastAsia="宋体" w:cs="宋体"/>
          <w:bCs/>
          <w:color w:val="auto"/>
          <w:sz w:val="21"/>
          <w:szCs w:val="21"/>
          <w:highlight w:val="none"/>
        </w:rPr>
        <w:t>的身份认证，确保在电子投标过程中能够对相关数据电文进行加密和使用电子签章。使用</w:t>
      </w:r>
      <w:r>
        <w:rPr>
          <w:rFonts w:hint="eastAsia" w:ascii="宋体" w:hAnsi="宋体" w:eastAsia="宋体" w:cs="宋体"/>
          <w:bCs/>
          <w:color w:val="auto"/>
          <w:sz w:val="21"/>
          <w:szCs w:val="21"/>
          <w:highlight w:val="none"/>
          <w:lang w:eastAsia="zh-CN"/>
        </w:rPr>
        <w:t>“广西政府采购云客户端”</w:t>
      </w:r>
      <w:r>
        <w:rPr>
          <w:rFonts w:hint="eastAsia" w:ascii="宋体" w:hAnsi="宋体" w:eastAsia="宋体" w:cs="宋体"/>
          <w:bCs/>
          <w:color w:val="auto"/>
          <w:sz w:val="21"/>
          <w:szCs w:val="21"/>
          <w:highlight w:val="none"/>
        </w:rPr>
        <w:t>需要提前申领CA数字证书，申领流程请自行前往相关网站进行查阅（完成CA数字证书办理预计一周左右，建议供应商获取公开</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后立即办理）。</w:t>
      </w:r>
    </w:p>
    <w:p w14:paraId="1FA1779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单位应当在开标截止时间前，将生成的“电子加密</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文件”上传递交至“广西政府采购云”平台。</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文件递交截止时间前可以补充、修改或者撤回电子</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文件。补充或者修改电子</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文件的，应当先行撤回原文件，补充、修改后重新传输递交，开标截止时间前未完成传输的，视为撤回</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w:t>
      </w:r>
    </w:p>
    <w:p w14:paraId="5F597FB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文件递交截止时间后，“广西政府采购云”（电子交易平台）自动提取所有</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文件，各供应商须在提交</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文件截止后30分钟内对上传“广西政府采购云”的</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文件进行解密，所有供应商在规定的解密时限内解密完成或解密时限到后，采购代理机构开启</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文件；供应商超过解密时限的，系统默认自动放弃。</w:t>
      </w:r>
    </w:p>
    <w:p w14:paraId="1530866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（6）供应商可以参与现场开标，所需在线投标响应及解密开启设备自带。</w:t>
      </w:r>
    </w:p>
    <w:p w14:paraId="301FE5E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（7）在供应商提交了电子备份</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文件后，如通过“广西政府采购云”平台上传递交的电子加密</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文件无法按时解密且无法通过“广西政府采购云”“异常处理”端口处理的视为</w:t>
      </w:r>
      <w:r>
        <w:rPr>
          <w:rFonts w:hint="eastAsia" w:ascii="宋体" w:hAnsi="宋体" w:eastAsia="宋体" w:cs="宋体"/>
          <w:color w:val="auto"/>
          <w:szCs w:val="21"/>
          <w:highlight w:val="none"/>
          <w:lang w:val="en-US" w:eastAsia="zh-CN" w:bidi="ar"/>
        </w:rPr>
        <w:t>响应</w:t>
      </w:r>
      <w:r>
        <w:rPr>
          <w:rFonts w:hint="eastAsia" w:ascii="宋体" w:hAnsi="宋体" w:eastAsia="宋体" w:cs="宋体"/>
          <w:bCs/>
          <w:color w:val="auto"/>
          <w:sz w:val="21"/>
          <w:szCs w:val="21"/>
          <w:highlight w:val="none"/>
        </w:rPr>
        <w:t>文件撤回，所造成的后果由供应商自行承担</w:t>
      </w:r>
      <w:r>
        <w:rPr>
          <w:rFonts w:hint="eastAsia" w:ascii="宋体" w:hAnsi="宋体" w:eastAsia="宋体" w:cs="宋体"/>
          <w:bCs/>
          <w:color w:val="auto"/>
          <w:szCs w:val="21"/>
          <w:highlight w:val="none"/>
        </w:rPr>
        <w:t xml:space="preserve">                 </w:t>
      </w:r>
    </w:p>
    <w:p w14:paraId="15A5AAC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4、本项目采用远程异地评标，评标主会场地址：广西壮族自治区贺州市八步区贺州市城东新区回建地E地块27号六楼评标室，</w:t>
      </w:r>
      <w:r>
        <w:rPr>
          <w:rFonts w:hint="eastAsia" w:ascii="宋体" w:hAnsi="宋体" w:cs="宋体"/>
          <w:bCs/>
          <w:color w:val="auto"/>
          <w:szCs w:val="21"/>
          <w:highlight w:val="none"/>
        </w:rPr>
        <w:t>评标副会场地址：广西弘达建设工程咨询有限公司（广西壮族自治区百色市右江区百城街道东合村东旦中屯五组（城乡路123号）二楼）</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w:t>
      </w:r>
    </w:p>
    <w:p w14:paraId="0C90359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、发布公告的媒介：中国政府采购网、广西壮族自治区政府采购网。</w:t>
      </w:r>
    </w:p>
    <w:p w14:paraId="61F1A61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bookmarkEnd w:id="20"/>
      <w:bookmarkEnd w:id="21"/>
      <w:bookmarkEnd w:id="22"/>
      <w:bookmarkEnd w:id="23"/>
      <w:bookmarkEnd w:id="24"/>
    </w:p>
    <w:bookmarkEnd w:id="4"/>
    <w:p w14:paraId="7F3FDC3B">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14:paraId="5166B7F8">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 称：</w:t>
      </w:r>
      <w:r>
        <w:rPr>
          <w:rFonts w:hint="eastAsia" w:ascii="宋体" w:hAnsi="宋体" w:cs="宋体"/>
          <w:color w:val="auto"/>
          <w:szCs w:val="21"/>
          <w:highlight w:val="none"/>
          <w:lang w:eastAsia="zh-CN"/>
        </w:rPr>
        <w:t>贺州市平桂生态环境局</w:t>
      </w:r>
    </w:p>
    <w:p w14:paraId="40937928">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地 址：</w:t>
      </w:r>
      <w:r>
        <w:rPr>
          <w:rFonts w:hint="eastAsia" w:ascii="宋体" w:hAnsi="宋体" w:cs="宋体"/>
          <w:bCs/>
          <w:color w:val="auto"/>
          <w:szCs w:val="21"/>
          <w:highlight w:val="none"/>
          <w:lang w:eastAsia="zh-CN"/>
        </w:rPr>
        <w:t>贺州市平桂区平桂大道石鑫大厦B座</w:t>
      </w:r>
    </w:p>
    <w:p w14:paraId="018A8E0A">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联系方式：</w:t>
      </w:r>
      <w:r>
        <w:rPr>
          <w:rFonts w:hint="eastAsia" w:ascii="宋体" w:hAnsi="宋体" w:cs="宋体"/>
          <w:bCs/>
          <w:color w:val="auto"/>
          <w:szCs w:val="21"/>
          <w:highlight w:val="none"/>
          <w:lang w:val="en-US" w:eastAsia="zh-CN"/>
        </w:rPr>
        <w:t>王</w:t>
      </w:r>
      <w:r>
        <w:rPr>
          <w:rFonts w:hint="eastAsia" w:ascii="宋体" w:hAnsi="宋体" w:eastAsia="宋体" w:cs="宋体"/>
          <w:bCs/>
          <w:color w:val="auto"/>
          <w:szCs w:val="21"/>
          <w:highlight w:val="none"/>
          <w:lang w:eastAsia="zh-CN"/>
        </w:rPr>
        <w:t>工，</w:t>
      </w:r>
      <w:r>
        <w:rPr>
          <w:rFonts w:hint="eastAsia" w:ascii="宋体" w:hAnsi="宋体" w:cs="宋体"/>
          <w:bCs/>
          <w:color w:val="auto"/>
          <w:szCs w:val="21"/>
          <w:highlight w:val="none"/>
        </w:rPr>
        <w:t>0774-</w:t>
      </w:r>
      <w:r>
        <w:rPr>
          <w:rFonts w:hint="eastAsia" w:ascii="宋体" w:hAnsi="宋体" w:cs="宋体"/>
          <w:bCs/>
          <w:color w:val="auto"/>
          <w:szCs w:val="21"/>
          <w:highlight w:val="none"/>
          <w:lang w:val="en-US" w:eastAsia="zh-CN"/>
        </w:rPr>
        <w:t>8838102</w:t>
      </w:r>
      <w:r>
        <w:rPr>
          <w:rFonts w:hint="eastAsia" w:ascii="宋体" w:hAnsi="宋体" w:eastAsia="宋体" w:cs="宋体"/>
          <w:bCs/>
          <w:color w:val="auto"/>
          <w:szCs w:val="21"/>
          <w:highlight w:val="none"/>
          <w:lang w:eastAsia="zh-CN"/>
        </w:rPr>
        <w:t xml:space="preserve"> </w:t>
      </w:r>
    </w:p>
    <w:p w14:paraId="0017CD2E">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755FF635">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 称：</w:t>
      </w:r>
      <w:r>
        <w:rPr>
          <w:rFonts w:hint="eastAsia" w:ascii="宋体" w:hAnsi="宋体" w:eastAsia="宋体" w:cs="宋体"/>
          <w:color w:val="auto"/>
          <w:szCs w:val="21"/>
          <w:highlight w:val="none"/>
        </w:rPr>
        <w:t>广西旺鑫项目管理咨询有限公司</w:t>
      </w:r>
    </w:p>
    <w:p w14:paraId="392E04EB">
      <w:pPr>
        <w:keepNext w:val="0"/>
        <w:keepLines w:val="0"/>
        <w:pageBreakBefore w:val="0"/>
        <w:kinsoku/>
        <w:wordWrap/>
        <w:overflowPunct/>
        <w:topLinePunct w:val="0"/>
        <w:autoSpaceDE/>
        <w:autoSpaceDN/>
        <w:bidi w:val="0"/>
        <w:adjustRightInd/>
        <w:spacing w:line="380" w:lineRule="exact"/>
        <w:ind w:firstLine="424" w:firstLineChars="202"/>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color w:val="auto"/>
          <w:szCs w:val="21"/>
          <w:highlight w:val="none"/>
        </w:rPr>
        <w:t>贺州市八步区城东新区回建地E地块27号六楼</w:t>
      </w:r>
    </w:p>
    <w:p w14:paraId="5EDA4B4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王芸玲</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rPr>
        <w:t>0774-5079392</w:t>
      </w:r>
    </w:p>
    <w:p w14:paraId="104CC80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3.监督部门：贺州市财政局政府采购监督管理办公室</w:t>
      </w:r>
      <w:r>
        <w:rPr>
          <w:rFonts w:hint="eastAsia" w:ascii="宋体" w:hAnsi="宋体" w:eastAsia="宋体" w:cs="宋体"/>
          <w:color w:val="auto"/>
          <w:szCs w:val="21"/>
          <w:highlight w:val="none"/>
        </w:rPr>
        <w:t xml:space="preserve">  联系方式: 0774-5135553</w:t>
      </w:r>
    </w:p>
    <w:p w14:paraId="3BBBEE55">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p>
    <w:p w14:paraId="38E8825A">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贺州市平桂生态环境局</w:t>
      </w:r>
    </w:p>
    <w:p w14:paraId="5CE8186B">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采购代理机构：广西旺鑫项目管理咨询有限公司</w:t>
      </w:r>
    </w:p>
    <w:p w14:paraId="11D11A02">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2025年8月6日</w:t>
      </w:r>
    </w:p>
    <w:p w14:paraId="62145D9F">
      <w:pPr>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br w:type="page"/>
      </w:r>
    </w:p>
    <w:p w14:paraId="1859FBB0">
      <w:pPr>
        <w:spacing w:line="376" w:lineRule="exact"/>
        <w:jc w:val="center"/>
        <w:outlineLvl w:val="1"/>
        <w:rPr>
          <w:rStyle w:val="54"/>
          <w:rFonts w:hint="eastAsia" w:ascii="宋体" w:hAnsi="宋体" w:eastAsia="宋体" w:cs="宋体"/>
          <w:color w:val="auto"/>
          <w:highlight w:val="none"/>
        </w:rPr>
      </w:pPr>
      <w:bookmarkStart w:id="42" w:name="_Toc21107"/>
      <w:r>
        <w:rPr>
          <w:rStyle w:val="54"/>
          <w:rFonts w:hint="eastAsia" w:ascii="宋体" w:hAnsi="宋体" w:eastAsia="宋体" w:cs="宋体"/>
          <w:color w:val="auto"/>
          <w:highlight w:val="none"/>
        </w:rPr>
        <w:t>第二章</w:t>
      </w:r>
      <w:r>
        <w:rPr>
          <w:rStyle w:val="54"/>
          <w:rFonts w:hint="eastAsia" w:ascii="宋体" w:hAnsi="宋体" w:eastAsia="宋体" w:cs="宋体"/>
          <w:color w:val="auto"/>
          <w:highlight w:val="none"/>
          <w:lang w:val="en-US" w:eastAsia="zh-CN"/>
        </w:rPr>
        <w:t xml:space="preserve"> </w:t>
      </w:r>
      <w:r>
        <w:rPr>
          <w:rStyle w:val="54"/>
          <w:rFonts w:hint="eastAsia" w:ascii="宋体" w:hAnsi="宋体" w:eastAsia="宋体" w:cs="宋体"/>
          <w:color w:val="auto"/>
          <w:highlight w:val="none"/>
        </w:rPr>
        <w:t>供应商须知</w:t>
      </w:r>
      <w:bookmarkEnd w:id="42"/>
    </w:p>
    <w:p w14:paraId="2D9EADA7">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供应商须知前附表</w:t>
      </w:r>
    </w:p>
    <w:p w14:paraId="166434F7">
      <w:pPr>
        <w:spacing w:line="400" w:lineRule="exact"/>
        <w:jc w:val="center"/>
        <w:rPr>
          <w:rFonts w:hint="eastAsia" w:ascii="宋体" w:hAnsi="宋体" w:eastAsia="宋体" w:cs="宋体"/>
          <w:b/>
          <w:color w:val="auto"/>
          <w:szCs w:val="21"/>
          <w:highlight w:val="none"/>
        </w:rPr>
      </w:pPr>
    </w:p>
    <w:tbl>
      <w:tblPr>
        <w:tblStyle w:val="3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ACA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07E2AD6">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3BBE5705">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5A91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B7C5B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14CD2B3F">
            <w:pPr>
              <w:spacing w:line="38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供应商的资格条件：详见竞争性磋商公告</w:t>
            </w:r>
            <w:r>
              <w:rPr>
                <w:rFonts w:hint="eastAsia" w:ascii="宋体" w:hAnsi="宋体" w:eastAsia="宋体" w:cs="宋体"/>
                <w:color w:val="auto"/>
                <w:szCs w:val="21"/>
                <w:highlight w:val="none"/>
              </w:rPr>
              <w:t>。</w:t>
            </w:r>
          </w:p>
        </w:tc>
      </w:tr>
      <w:tr w14:paraId="0763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3D922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31387BD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是否接受联合体竞标: </w:t>
            </w:r>
            <w:r>
              <w:rPr>
                <w:rFonts w:hint="eastAsia" w:ascii="宋体" w:hAnsi="宋体" w:eastAsia="宋体" w:cs="宋体"/>
                <w:bCs/>
                <w:color w:val="auto"/>
                <w:szCs w:val="21"/>
                <w:highlight w:val="none"/>
              </w:rPr>
              <w:t>详见竞争性磋商公告</w:t>
            </w:r>
            <w:r>
              <w:rPr>
                <w:rFonts w:hint="eastAsia" w:ascii="宋体" w:hAnsi="宋体" w:eastAsia="宋体" w:cs="宋体"/>
                <w:color w:val="auto"/>
                <w:szCs w:val="21"/>
                <w:highlight w:val="none"/>
              </w:rPr>
              <w:t>。</w:t>
            </w:r>
          </w:p>
        </w:tc>
      </w:tr>
      <w:tr w14:paraId="40D5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B6AA56">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912" w:type="dxa"/>
            <w:vAlign w:val="center"/>
          </w:tcPr>
          <w:p w14:paraId="78C4974C">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如接受联合体竞标，联合体竞标要求如下：</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tc>
      </w:tr>
      <w:tr w14:paraId="3DA6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68424F">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31319CC7">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不允许分包</w:t>
            </w:r>
          </w:p>
          <w:p w14:paraId="330DB13D">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允许分包</w:t>
            </w:r>
          </w:p>
          <w:p w14:paraId="77186833">
            <w:pPr>
              <w:pStyle w:val="11"/>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677D282E">
            <w:pPr>
              <w:pStyle w:val="11"/>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0C8B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AE032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392B311C">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51F08E33">
            <w:pPr>
              <w:pStyle w:val="11"/>
              <w:numPr>
                <w:ilvl w:val="0"/>
                <w:numId w:val="3"/>
              </w:numPr>
              <w:spacing w:line="400" w:lineRule="exact"/>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bCs/>
                <w:color w:val="auto"/>
                <w:szCs w:val="21"/>
                <w:highlight w:val="none"/>
                <w:lang w:val="en-US" w:eastAsia="zh-CN"/>
              </w:rPr>
              <w:t>（必须提供，否则响应文件按无效响应处理）</w:t>
            </w:r>
          </w:p>
          <w:p w14:paraId="3333A9EB">
            <w:pPr>
              <w:pStyle w:val="11"/>
              <w:numPr>
                <w:ilvl w:val="0"/>
                <w:numId w:val="3"/>
              </w:num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贺州市政府采购供应商信用承诺函（格式后附）；（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510EE84E">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93E039C">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C49D9A3">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21E599AB">
            <w:pPr>
              <w:snapToGrid w:val="0"/>
              <w:spacing w:line="400" w:lineRule="exact"/>
              <w:jc w:val="left"/>
              <w:rPr>
                <w:rFonts w:hint="eastAsia" w:ascii="宋体" w:hAnsi="宋体" w:eastAsia="宋体" w:cs="宋体"/>
                <w:b/>
                <w:bCs w:val="0"/>
                <w:color w:val="auto"/>
                <w:szCs w:val="21"/>
                <w:highlight w:val="none"/>
              </w:rPr>
            </w:pP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.中小企业声明函；</w:t>
            </w:r>
            <w:r>
              <w:rPr>
                <w:rFonts w:hint="eastAsia" w:ascii="宋体" w:hAnsi="宋体" w:eastAsia="宋体" w:cs="宋体"/>
                <w:b/>
                <w:bCs w:val="0"/>
                <w:color w:val="auto"/>
                <w:szCs w:val="21"/>
                <w:highlight w:val="none"/>
              </w:rPr>
              <w:t>（本项目为专门面向中小企业采购项目，必须提供，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b/>
                <w:bCs w:val="0"/>
                <w:color w:val="auto"/>
                <w:szCs w:val="21"/>
                <w:highlight w:val="none"/>
              </w:rPr>
              <w:t>）</w:t>
            </w:r>
          </w:p>
          <w:p w14:paraId="265B7E6C">
            <w:pPr>
              <w:snapToGrid w:val="0"/>
              <w:spacing w:line="400" w:lineRule="exact"/>
              <w:jc w:val="left"/>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采购人或采购代理机构根据竞争性</w:t>
            </w:r>
            <w:r>
              <w:rPr>
                <w:rFonts w:hint="eastAsia" w:ascii="宋体" w:hAnsi="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公告对应的特定资格要求及特定条件设置供应商提供的资格证明材料</w:t>
            </w:r>
            <w:r>
              <w:rPr>
                <w:rFonts w:hint="eastAsia" w:ascii="宋体" w:hAnsi="宋体" w:cs="宋体"/>
                <w:b w:val="0"/>
                <w:bCs/>
                <w:color w:val="auto"/>
                <w:szCs w:val="21"/>
                <w:highlight w:val="none"/>
                <w:lang w:eastAsia="zh-CN"/>
              </w:rPr>
              <w:t>（</w:t>
            </w:r>
            <w:r>
              <w:rPr>
                <w:rFonts w:hint="eastAsia" w:ascii="宋体" w:hAnsi="宋体"/>
                <w:color w:val="auto"/>
                <w:szCs w:val="21"/>
                <w:highlight w:val="none"/>
                <w:lang w:eastAsia="zh-CN"/>
              </w:rPr>
              <w:t>具备省级及以上检验检测机构资质认定证书（CMA）</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必须提供，否则响应文件作无效处理</w:t>
            </w:r>
            <w:r>
              <w:rPr>
                <w:rFonts w:hint="eastAsia" w:ascii="宋体" w:hAnsi="宋体" w:eastAsia="宋体" w:cs="宋体"/>
                <w:color w:val="auto"/>
                <w:szCs w:val="21"/>
                <w:highlight w:val="none"/>
              </w:rPr>
              <w:t>）</w:t>
            </w:r>
          </w:p>
          <w:p w14:paraId="430E183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3DB64E6">
            <w:pPr>
              <w:snapToGrid w:val="0"/>
              <w:spacing w:line="38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1.以上标明“必须提供”的材料属于复印件的，必须加盖供应商电子公章，否则响应文件按无效响应处理。</w:t>
            </w:r>
          </w:p>
          <w:p w14:paraId="33076BD4">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2.竞标声明必须由法定代表人在规定签章处签字并加盖供应商电子公章，否则响应文件按无效响应处理。</w:t>
            </w:r>
          </w:p>
          <w:p w14:paraId="50C920F7">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3.供应商直接控股、管理关系信息表必须由法定代表人或者委托代理人在规定签章处签字并加盖供应商电子公章，否则响应文件按无效响应处理。</w:t>
            </w:r>
          </w:p>
          <w:p w14:paraId="24C216B4">
            <w:pPr>
              <w:pStyle w:val="11"/>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4.联合体竞标时，第1-</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项资格证明文件联合体各方均必须分别提供，联合体各方分别盖章和签字，否则响应文件按无效响应处理。</w:t>
            </w:r>
          </w:p>
        </w:tc>
      </w:tr>
      <w:tr w14:paraId="78A88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78F6C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3FCEF331">
            <w:pPr>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报价商务技术文件</w:t>
            </w:r>
          </w:p>
          <w:p w14:paraId="3D0D023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0DDC1E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2.竞标报价表（格式后附）；（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7A0C76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E54ACB9">
            <w:pPr>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11593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5.磋商保证金提交凭证；（</w:t>
            </w:r>
            <w:r>
              <w:rPr>
                <w:rFonts w:hint="eastAsia" w:ascii="宋体" w:hAnsi="宋体" w:eastAsia="宋体" w:cs="宋体"/>
                <w:color w:val="auto"/>
                <w:szCs w:val="21"/>
                <w:highlight w:val="none"/>
                <w:lang w:val="en-US" w:eastAsia="zh-CN"/>
              </w:rPr>
              <w:t>如有请提供</w:t>
            </w:r>
            <w:r>
              <w:rPr>
                <w:rFonts w:hint="eastAsia" w:ascii="宋体" w:hAnsi="宋体" w:eastAsia="宋体" w:cs="宋体"/>
                <w:color w:val="auto"/>
                <w:szCs w:val="21"/>
                <w:highlight w:val="none"/>
              </w:rPr>
              <w:t>）</w:t>
            </w:r>
          </w:p>
          <w:p w14:paraId="533DF4B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80DDC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7.服务方案；（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8AEF88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529A0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9.项目实施人员一览表（格式自拟）； </w:t>
            </w:r>
          </w:p>
          <w:p w14:paraId="2E507B88">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10.对应采购需求的服务需求、商务条款提供的其他文件资料；</w:t>
            </w:r>
          </w:p>
          <w:p w14:paraId="399C4D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11.供应商认为需要提供的其他有关资料。</w:t>
            </w:r>
          </w:p>
          <w:p w14:paraId="4F23B8E1">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4D901A18">
            <w:pPr>
              <w:snapToGrid w:val="0"/>
              <w:spacing w:line="38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1.法定代表人授权委托书必须由法定代表人及委托代理人签字，并加盖供应商电子公章，否则响应文件按无效响应处理。</w:t>
            </w:r>
          </w:p>
          <w:p w14:paraId="7B89F5CA">
            <w:pPr>
              <w:spacing w:line="38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2.以上标明“必须提供”的材料属于复印件的，必须加盖供应商电子公章，否则响应文件按无效响应处理。</w:t>
            </w:r>
          </w:p>
          <w:p w14:paraId="39D194A8">
            <w:pPr>
              <w:spacing w:line="380" w:lineRule="exact"/>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14:paraId="0ABA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D83C44">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7912" w:type="dxa"/>
            <w:vAlign w:val="center"/>
          </w:tcPr>
          <w:p w14:paraId="2217C6BB">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响应文件应按资格证明文件、报价商务技术文件分别编制，资格证明文件、报价商务技术文件按顺序合并生成电子文件。</w:t>
            </w:r>
          </w:p>
          <w:p w14:paraId="5B3E3114">
            <w:pPr>
              <w:snapToGrid w:val="0"/>
              <w:spacing w:line="38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纸质响应文件要求：成交供应商应在采购合同签订前将已签字和（或）盖章的纸质版响应文件（需与广西政府采购云平台提交的电子版响应文件内容一致）递交至本项目采购代理机构处；纸质版响应文件份数要求：正本：壹份，副本：贰份。</w:t>
            </w:r>
          </w:p>
        </w:tc>
      </w:tr>
      <w:tr w14:paraId="1C539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E2DC8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30DB28C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必须包含满足本次竞标全部采购需求所应提供的服务，以及伴随的货物和工程（如有）的价格；包含竞标服务、货物、工程的成本及设计、运输（含保险）、安装和拆装（如有）、调试、检验、技术服务、培训、税费等所有费用。</w:t>
            </w:r>
            <w:r>
              <w:rPr>
                <w:rFonts w:hint="eastAsia" w:ascii="宋体" w:hAnsi="宋体" w:eastAsia="宋体" w:cs="宋体"/>
                <w:b/>
                <w:color w:val="auto"/>
                <w:szCs w:val="21"/>
                <w:highlight w:val="none"/>
              </w:rPr>
              <w:t>（采购需求另有约定的，从其约定。）</w:t>
            </w:r>
          </w:p>
        </w:tc>
      </w:tr>
      <w:tr w14:paraId="453EF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992" w:type="dxa"/>
            <w:vAlign w:val="center"/>
          </w:tcPr>
          <w:p w14:paraId="54050643">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151B9905">
            <w:pPr>
              <w:pStyle w:val="7"/>
              <w:numPr>
                <w:ilvl w:val="0"/>
                <w:numId w:val="0"/>
              </w:numPr>
              <w:tabs>
                <w:tab w:val="left" w:pos="720"/>
                <w:tab w:val="left" w:pos="840"/>
                <w:tab w:val="clear" w:pos="360"/>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 xml:space="preserve"> 45</w:t>
            </w:r>
            <w:r>
              <w:rPr>
                <w:rFonts w:hint="eastAsia" w:ascii="宋体" w:hAnsi="宋体" w:eastAsia="宋体" w:cs="宋体"/>
                <w:color w:val="auto"/>
                <w:szCs w:val="21"/>
                <w:highlight w:val="none"/>
              </w:rPr>
              <w:t>日。</w:t>
            </w:r>
          </w:p>
        </w:tc>
      </w:tr>
      <w:tr w14:paraId="422A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99E3E6">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481EA42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本项目不收取磋商保证金。</w:t>
            </w:r>
          </w:p>
          <w:p w14:paraId="038C024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本项目收取磋商保证金，具体规定如下：</w:t>
            </w:r>
          </w:p>
          <w:p w14:paraId="23A991D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磋商保证金的交纳方式：详见竞争性磋商公告。</w:t>
            </w:r>
          </w:p>
          <w:p w14:paraId="5AC4D9B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磋商保证金的金额：详见竞争性磋商公告。</w:t>
            </w:r>
          </w:p>
          <w:p w14:paraId="40B171A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24ABDAC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DB23B63">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eastAsia="宋体" w:cs="宋体"/>
                <w:b/>
                <w:color w:val="auto"/>
                <w:szCs w:val="21"/>
                <w:highlight w:val="none"/>
              </w:rPr>
              <w:t>否则竞标无效</w:t>
            </w:r>
            <w:r>
              <w:rPr>
                <w:rFonts w:hint="eastAsia" w:ascii="宋体" w:hAnsi="宋体" w:eastAsia="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14:paraId="3858724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3.磋商保证金指定帐户：详见竞争性磋商公告或者邀请函。</w:t>
            </w:r>
          </w:p>
          <w:p w14:paraId="27BF56C3">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4.供应商为联合体的，可以由联合体中的一方或者多方共同交纳磋商保证金，其交纳的保证金对联合体各方均具有约束力。</w:t>
            </w:r>
          </w:p>
          <w:p w14:paraId="0640D893">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1819191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1.磋商保证金在首次响应文件提交截止时间后提交的，或者不按规定交纳方式交纳的，或者未足额交纳的（包含保函额度不足的），视为无效磋商保证金。</w:t>
            </w:r>
          </w:p>
          <w:p w14:paraId="445D652D">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2.供应商采用现钞方式或者从个人账户（自然人竞标除外）转出的磋商保证金，视为无效磋商保证金。</w:t>
            </w:r>
          </w:p>
          <w:p w14:paraId="7212F661">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4275AF66">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31D55250">
            <w:pPr>
              <w:snapToGrid w:val="0"/>
              <w:spacing w:line="38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59A7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4E721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vAlign w:val="center"/>
          </w:tcPr>
          <w:p w14:paraId="2483E4C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备份响应文件：本项目不接受备份响应文件。</w:t>
            </w:r>
          </w:p>
        </w:tc>
      </w:tr>
      <w:tr w14:paraId="36E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F2E67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6042B193">
            <w:pPr>
              <w:snapToGrid w:val="0"/>
              <w:spacing w:line="3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首次响应文件提交起止时间：详见竞争性磋商公告。</w:t>
            </w:r>
          </w:p>
          <w:p w14:paraId="57A2A724">
            <w:pPr>
              <w:snapToGrid w:val="0"/>
              <w:spacing w:line="3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首次响应文件提交截止时间：详见竞争性磋商公告。</w:t>
            </w:r>
          </w:p>
          <w:p w14:paraId="781EFC77">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首次响应文件提交地点：详见竞争性磋商公告。</w:t>
            </w:r>
          </w:p>
          <w:p w14:paraId="53848F37">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在首次响应文件提交截止时间后提交的响应文件为无效文件，采购代理机构应当拒收。</w:t>
            </w:r>
          </w:p>
        </w:tc>
      </w:tr>
      <w:tr w14:paraId="48054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CF461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1E83A1F1">
            <w:pPr>
              <w:snapToGrid w:val="0"/>
              <w:spacing w:line="38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人。其中采购人代表1人，评审专家2人。</w:t>
            </w:r>
          </w:p>
        </w:tc>
      </w:tr>
      <w:tr w14:paraId="3F9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992" w:type="dxa"/>
            <w:vAlign w:val="center"/>
          </w:tcPr>
          <w:p w14:paraId="5BAFAEB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14:paraId="53DCEAD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03875035">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lang w:val="en-US" w:eastAsia="zh-CN"/>
              </w:rPr>
              <w:t xml:space="preserve"> 0</w:t>
            </w:r>
            <w:r>
              <w:rPr>
                <w:rFonts w:hint="eastAsia" w:ascii="宋体" w:hAnsi="宋体" w:eastAsia="宋体" w:cs="宋体"/>
                <w:color w:val="auto"/>
                <w:szCs w:val="21"/>
                <w:highlight w:val="none"/>
              </w:rPr>
              <w:t>项。</w:t>
            </w:r>
          </w:p>
        </w:tc>
      </w:tr>
      <w:tr w14:paraId="1E7D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992" w:type="dxa"/>
            <w:vAlign w:val="center"/>
          </w:tcPr>
          <w:p w14:paraId="7C581E79">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w:t>
            </w:r>
          </w:p>
        </w:tc>
        <w:tc>
          <w:tcPr>
            <w:tcW w:w="7912" w:type="dxa"/>
            <w:vAlign w:val="center"/>
          </w:tcPr>
          <w:p w14:paraId="3E104609">
            <w:pPr>
              <w:snapToGrid w:val="0"/>
              <w:spacing w:line="380" w:lineRule="exact"/>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rPr>
              <w:t>采购人授权</w:t>
            </w:r>
            <w:r>
              <w:rPr>
                <w:rFonts w:hint="eastAsia" w:ascii="宋体" w:hAnsi="宋体" w:eastAsia="宋体" w:cs="宋体"/>
                <w:b/>
                <w:bCs w:val="0"/>
                <w:color w:val="auto"/>
                <w:szCs w:val="21"/>
                <w:highlight w:val="none"/>
                <w:lang w:val="en-US" w:eastAsia="zh-CN"/>
              </w:rPr>
              <w:t>磋商小组</w:t>
            </w:r>
            <w:r>
              <w:rPr>
                <w:rFonts w:hint="eastAsia" w:ascii="宋体" w:hAnsi="宋体" w:eastAsia="宋体" w:cs="宋体"/>
                <w:b/>
                <w:bCs w:val="0"/>
                <w:color w:val="auto"/>
                <w:szCs w:val="21"/>
                <w:highlight w:val="none"/>
              </w:rPr>
              <w:t>直接确定</w:t>
            </w:r>
            <w:r>
              <w:rPr>
                <w:rFonts w:hint="eastAsia" w:ascii="宋体" w:hAnsi="宋体" w:eastAsia="宋体" w:cs="宋体"/>
                <w:b/>
                <w:bCs w:val="0"/>
                <w:color w:val="auto"/>
                <w:szCs w:val="21"/>
                <w:highlight w:val="none"/>
                <w:lang w:val="en-US" w:eastAsia="zh-CN"/>
              </w:rPr>
              <w:t>综合评分排名第一的成交候选人为成交</w:t>
            </w:r>
            <w:r>
              <w:rPr>
                <w:rFonts w:hint="eastAsia" w:ascii="宋体" w:hAnsi="宋体" w:eastAsia="宋体" w:cs="宋体"/>
                <w:b/>
                <w:bCs w:val="0"/>
                <w:color w:val="auto"/>
                <w:szCs w:val="21"/>
                <w:highlight w:val="none"/>
              </w:rPr>
              <w:t>人。</w:t>
            </w:r>
            <w:r>
              <w:rPr>
                <w:rFonts w:hint="eastAsia" w:ascii="宋体" w:hAnsi="宋体" w:eastAsia="宋体" w:cs="宋体"/>
                <w:b w:val="0"/>
                <w:bCs/>
                <w:color w:val="auto"/>
                <w:szCs w:val="21"/>
                <w:highlight w:val="none"/>
                <w:lang w:val="en-US" w:eastAsia="zh-CN"/>
              </w:rPr>
              <w:t>磋商小组</w:t>
            </w:r>
            <w:r>
              <w:rPr>
                <w:rFonts w:hint="eastAsia" w:ascii="宋体" w:hAnsi="宋体" w:eastAsia="宋体" w:cs="宋体"/>
                <w:b w:val="0"/>
                <w:bCs/>
                <w:color w:val="auto"/>
                <w:szCs w:val="21"/>
                <w:highlight w:val="none"/>
              </w:rPr>
              <w:t>确定</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人时，出现</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候选人并列的情形，</w:t>
            </w:r>
            <w:r>
              <w:rPr>
                <w:rFonts w:hint="eastAsia" w:ascii="宋体" w:hAnsi="宋体" w:eastAsia="宋体" w:cs="宋体"/>
                <w:b w:val="0"/>
                <w:bCs/>
                <w:color w:val="auto"/>
                <w:szCs w:val="21"/>
                <w:highlight w:val="none"/>
                <w:lang w:val="en-US" w:eastAsia="zh-CN"/>
              </w:rPr>
              <w:t>磋商小组</w:t>
            </w:r>
            <w:r>
              <w:rPr>
                <w:rFonts w:hint="eastAsia" w:ascii="宋体" w:hAnsi="宋体" w:eastAsia="宋体" w:cs="宋体"/>
                <w:b w:val="0"/>
                <w:bCs/>
                <w:color w:val="auto"/>
                <w:szCs w:val="21"/>
                <w:highlight w:val="none"/>
              </w:rPr>
              <w:t>按以下的方式确定</w:t>
            </w:r>
            <w:r>
              <w:rPr>
                <w:rFonts w:hint="eastAsia" w:ascii="宋体" w:hAnsi="宋体" w:eastAsia="宋体" w:cs="宋体"/>
                <w:b w:val="0"/>
                <w:bCs/>
                <w:color w:val="auto"/>
                <w:szCs w:val="21"/>
                <w:highlight w:val="none"/>
                <w:lang w:val="en-US" w:eastAsia="zh-CN"/>
              </w:rPr>
              <w:t>成交</w:t>
            </w:r>
            <w:r>
              <w:rPr>
                <w:rFonts w:hint="eastAsia" w:ascii="宋体" w:hAnsi="宋体" w:eastAsia="宋体" w:cs="宋体"/>
                <w:b w:val="0"/>
                <w:bCs/>
                <w:color w:val="auto"/>
                <w:szCs w:val="21"/>
                <w:highlight w:val="none"/>
              </w:rPr>
              <w:t>人：按综合评分中技术分、商务分、价格分高低依次确定。</w:t>
            </w:r>
          </w:p>
        </w:tc>
      </w:tr>
      <w:tr w14:paraId="0A962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5A38B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2B88AF19">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收取履约保证金。</w:t>
            </w:r>
          </w:p>
          <w:p w14:paraId="11BCCF13">
            <w:pPr>
              <w:autoSpaceDE w:val="0"/>
              <w:autoSpaceDN w:val="0"/>
              <w:snapToGrid w:val="0"/>
              <w:spacing w:line="380" w:lineRule="exact"/>
              <w:jc w:val="left"/>
              <w:textAlignment w:val="bottom"/>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rPr>
              <w:t>履约保证金金额：</w:t>
            </w:r>
            <w:r>
              <w:rPr>
                <w:rFonts w:hint="eastAsia" w:ascii="宋体" w:hAnsi="宋体" w:eastAsia="宋体" w:cs="宋体"/>
                <w:b/>
                <w:bCs/>
                <w:color w:val="auto"/>
                <w:szCs w:val="21"/>
                <w:highlight w:val="none"/>
                <w:u w:val="single"/>
                <w:lang w:val="en-US" w:eastAsia="zh-CN"/>
              </w:rPr>
              <w:t xml:space="preserve">  /    </w:t>
            </w:r>
          </w:p>
          <w:p w14:paraId="2CC700D6">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在签订合同前，根据《中小微企业划型标准》，若</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供应商为大型企业的，则必须向采购人缴纳采购合同金额的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%履约保证金；若</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供应商为中小企业则须向采购人缴纳采购合同金额的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%履约保证金；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供应商为微型企业的则无须缴纳履约保证金。</w:t>
            </w:r>
          </w:p>
          <w:p w14:paraId="305330CD">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履约保证金提交方式：银行转账、支票、汇票、本票或者金融、担保机构出具的保函等非现金方式（参照竞标保证金）。</w:t>
            </w:r>
          </w:p>
          <w:p w14:paraId="7B2185C0">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5A39C9FA">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2108223">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1.根据桂财采【2022】30号文《广西壮族自治区财政厅关于进一步发挥政府采购政策功能促进企业发展的通知》，采购文件要求</w:t>
            </w:r>
            <w:r>
              <w:rPr>
                <w:rFonts w:hint="eastAsia" w:ascii="宋体" w:hAnsi="宋体" w:cs="宋体"/>
                <w:b/>
                <w:color w:val="auto"/>
                <w:szCs w:val="21"/>
                <w:highlight w:val="none"/>
                <w:lang w:eastAsia="zh-CN"/>
              </w:rPr>
              <w:t>成交</w:t>
            </w:r>
            <w:r>
              <w:rPr>
                <w:rFonts w:hint="eastAsia" w:ascii="宋体" w:hAnsi="宋体" w:eastAsia="宋体" w:cs="宋体"/>
                <w:b/>
                <w:color w:val="auto"/>
                <w:szCs w:val="21"/>
                <w:highlight w:val="none"/>
              </w:rPr>
              <w:t>或者成交供应商提交履约保证金的，履约保证金数额不得超过政府采购合同金额的5%，对中小企业收取的履约保证金数额不得超过政府采购合同金额的2%。</w:t>
            </w:r>
          </w:p>
          <w:p w14:paraId="22F4A878">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5BE0B5CF">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76FA70EC">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14:paraId="7D53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ADA0E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2C1F36C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签订合同携带的证明材料： 电子采购合同需要供应商通过有效CA证书进行电子签名与签章。</w:t>
            </w:r>
          </w:p>
        </w:tc>
      </w:tr>
      <w:tr w14:paraId="0BA4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C5D10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0839343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3437F891">
            <w:pPr>
              <w:pStyle w:val="17"/>
              <w:snapToGrid w:val="0"/>
              <w:spacing w:line="380" w:lineRule="exac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kern w:val="2"/>
                <w:sz w:val="21"/>
                <w:highlight w:val="none"/>
                <w:u w:val="single"/>
              </w:rPr>
              <w:t>广西旺鑫项目管理咨询有限公司</w:t>
            </w:r>
            <w:r>
              <w:rPr>
                <w:rFonts w:hint="eastAsia" w:ascii="宋体" w:hAnsi="宋体" w:eastAsia="宋体" w:cs="宋体"/>
                <w:color w:val="auto"/>
                <w:kern w:val="2"/>
                <w:sz w:val="21"/>
                <w:highlight w:val="none"/>
              </w:rPr>
              <w:t>，联系电话：0774-5079392，通讯地址：贺州市八步区城东新区回建地E地块27号六楼</w:t>
            </w:r>
          </w:p>
          <w:p w14:paraId="47C6EAF1">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业务时间：上午8时00分到12时00分，下午3时00分到6时00分，业务时间以外、双休日和法定节假日不办理业务。</w:t>
            </w:r>
          </w:p>
        </w:tc>
      </w:tr>
      <w:tr w14:paraId="2979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37D8E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3B3DFEFE">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14:paraId="2C180A5C">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14:paraId="54047630">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14:paraId="413DDE75">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14:paraId="35B38A65">
            <w:pPr>
              <w:pStyle w:val="17"/>
              <w:snapToGrid w:val="0"/>
              <w:spacing w:line="380" w:lineRule="exact"/>
              <w:rPr>
                <w:rFonts w:hint="eastAsia" w:ascii="宋体" w:hAnsi="宋体" w:eastAsia="宋体" w:cs="宋体"/>
                <w:color w:val="auto"/>
                <w:sz w:val="21"/>
                <w:highlight w:val="none"/>
              </w:rPr>
            </w:pPr>
            <w:r>
              <w:rPr>
                <w:rFonts w:hint="eastAsia" w:hAnsi="宋体" w:cs="宋体"/>
                <w:color w:val="auto"/>
                <w:sz w:val="21"/>
                <w:highlight w:val="none"/>
                <w:lang w:eastAsia="zh-CN"/>
              </w:rPr>
              <w:t>☑</w:t>
            </w:r>
            <w:r>
              <w:rPr>
                <w:rFonts w:hint="eastAsia" w:ascii="宋体" w:hAnsi="宋体" w:eastAsia="宋体" w:cs="宋体"/>
                <w:color w:val="auto"/>
                <w:sz w:val="21"/>
                <w:highlight w:val="none"/>
              </w:rPr>
              <w:t>以分标（</w:t>
            </w:r>
            <w:r>
              <w:rPr>
                <w:rFonts w:hint="eastAsia" w:hAnsi="宋体" w:cs="宋体"/>
                <w:color w:val="auto"/>
                <w:highlight w:val="none"/>
                <w:lang w:eastAsia="zh-CN"/>
              </w:rPr>
              <w:t>□</w:t>
            </w:r>
            <w:r>
              <w:rPr>
                <w:rFonts w:hint="eastAsia" w:ascii="宋体" w:hAnsi="宋体" w:eastAsia="宋体" w:cs="宋体"/>
                <w:color w:val="auto"/>
                <w:sz w:val="21"/>
                <w:highlight w:val="none"/>
              </w:rPr>
              <w:t>成交金额/</w:t>
            </w:r>
            <w:r>
              <w:rPr>
                <w:rFonts w:hint="eastAsia" w:hAnsi="宋体" w:cs="宋体"/>
                <w:color w:val="auto"/>
                <w:sz w:val="21"/>
                <w:highlight w:val="none"/>
                <w:lang w:eastAsia="zh-CN"/>
              </w:rPr>
              <w:t>☑</w:t>
            </w:r>
            <w:r>
              <w:rPr>
                <w:rFonts w:hint="eastAsia" w:ascii="宋体" w:hAnsi="宋体" w:eastAsia="宋体" w:cs="宋体"/>
                <w:color w:val="auto"/>
                <w:sz w:val="21"/>
                <w:highlight w:val="none"/>
              </w:rPr>
              <w:t>采购预算/□暂定成交金额/□其他）为计费额，按本须知正文第32.2条规定的收费计算标准（□货物类/☑服务类/□工程类）采用差额定率累进法计算出收费基准价格，采购代理收费以（</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收费基准价格/</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收费基准价格下浮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/□收费基准价格上浮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）收取。</w:t>
            </w:r>
          </w:p>
          <w:p w14:paraId="1BBBAABF">
            <w:pPr>
              <w:pStyle w:val="17"/>
              <w:snapToGrid w:val="0"/>
              <w:spacing w:line="380" w:lineRule="exact"/>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w:t>
            </w:r>
          </w:p>
          <w:p w14:paraId="7753AFF7">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3.采购代理费收取银行账户</w:t>
            </w:r>
          </w:p>
          <w:p w14:paraId="4E48C92A">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开户名：广西旺鑫项目管理咨询有限公司</w:t>
            </w:r>
          </w:p>
          <w:p w14:paraId="770497FA">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开户银行：中国建设银行股份有限公司贺州城东支行</w:t>
            </w:r>
          </w:p>
          <w:p w14:paraId="1CF9F53D">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帐   号：4505 0164 7402 0000 1326 </w:t>
            </w:r>
          </w:p>
        </w:tc>
      </w:tr>
      <w:tr w14:paraId="6D81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71587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14:paraId="26696082">
            <w:pPr>
              <w:pStyle w:val="17"/>
              <w:snapToGrid w:val="0"/>
              <w:spacing w:line="380" w:lineRule="exac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305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3A94E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14:paraId="0C42C004">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CAF5055">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90E75E">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3.本磋商文件中描述供应商的“签字”是指供应商的法定代表人或者委托代理人亲自在文件规定签署处亲笔写上个人的名字或盖电子签章的行为，私章、签字章、印鉴、影印等其他形式均不能代替亲笔签字。</w:t>
            </w:r>
          </w:p>
          <w:p w14:paraId="6DEB9014">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4.自然人竞标的，磋商文件规定盖公章处由自然人摁手指指印。</w:t>
            </w:r>
          </w:p>
          <w:p w14:paraId="58ACE006">
            <w:pPr>
              <w:pStyle w:val="17"/>
              <w:snapToGrid w:val="0"/>
              <w:spacing w:line="38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7B52B333">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供应商须知正文</w:t>
      </w:r>
    </w:p>
    <w:p w14:paraId="41992F9A">
      <w:pPr>
        <w:spacing w:line="400" w:lineRule="exact"/>
        <w:jc w:val="center"/>
        <w:rPr>
          <w:rFonts w:hint="eastAsia" w:ascii="宋体" w:hAnsi="宋体" w:eastAsia="宋体" w:cs="宋体"/>
          <w:b/>
          <w:color w:val="auto"/>
          <w:sz w:val="32"/>
          <w:szCs w:val="32"/>
          <w:highlight w:val="none"/>
        </w:rPr>
      </w:pPr>
    </w:p>
    <w:p w14:paraId="7E3B0D6B">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5CF0B694">
      <w:pPr>
        <w:spacing w:line="400" w:lineRule="exact"/>
        <w:rPr>
          <w:rFonts w:hint="eastAsia" w:ascii="宋体" w:hAnsi="宋体" w:eastAsia="宋体" w:cs="宋体"/>
          <w:color w:val="auto"/>
          <w:szCs w:val="21"/>
          <w:highlight w:val="none"/>
        </w:rPr>
      </w:pPr>
    </w:p>
    <w:p w14:paraId="0FB2F45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A658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212C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07EF81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5DB690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8AC170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3AF54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BE91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798CF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902F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5861A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C2CC6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7A542F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355F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C9165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0D1BD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5FEF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5F9DC47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3166C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C77E2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6D268B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6C089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400B0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6137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67A60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43" w:name="_Hlk66782192"/>
      <w:r>
        <w:rPr>
          <w:rFonts w:hint="eastAsia" w:ascii="宋体" w:hAnsi="宋体" w:eastAsia="宋体" w:cs="宋体"/>
          <w:color w:val="auto"/>
          <w:szCs w:val="21"/>
          <w:highlight w:val="none"/>
        </w:rPr>
        <w:t>根据《政府采购促进中小企业发展管理办法》（财库〔2020〕46号）第九条第二款、《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3"/>
    </w:p>
    <w:p w14:paraId="6B2AEE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A635A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651CD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6B1C1712">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581F6748">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5B1227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5393A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72FC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5036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E1DF3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9598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130D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CD991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BDAA0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982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D160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12DF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80D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C0DE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CD47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113F7C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F4B4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5E4E4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0304A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EE05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4BC0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AC863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EE74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36DB7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E0532F4">
      <w:pPr>
        <w:pStyle w:val="8"/>
        <w:rPr>
          <w:rFonts w:hint="eastAsia" w:ascii="宋体" w:hAnsi="宋体" w:eastAsia="宋体" w:cs="宋体"/>
          <w:color w:val="auto"/>
          <w:szCs w:val="21"/>
          <w:highlight w:val="none"/>
        </w:rPr>
      </w:pPr>
    </w:p>
    <w:p w14:paraId="1A17873D">
      <w:pPr>
        <w:spacing w:line="360" w:lineRule="auto"/>
        <w:jc w:val="center"/>
        <w:rPr>
          <w:rFonts w:hint="eastAsia" w:ascii="宋体" w:hAnsi="宋体" w:eastAsia="宋体" w:cs="宋体"/>
          <w:b/>
          <w:bCs/>
          <w:color w:val="auto"/>
          <w:sz w:val="32"/>
          <w:szCs w:val="32"/>
          <w:highlight w:val="none"/>
        </w:rPr>
      </w:pPr>
      <w:bookmarkStart w:id="48" w:name="_Toc254970675"/>
      <w:bookmarkStart w:id="49" w:name="_Toc254970534"/>
      <w:r>
        <w:rPr>
          <w:rFonts w:hint="eastAsia" w:ascii="宋体" w:hAnsi="宋体" w:eastAsia="宋体" w:cs="宋体"/>
          <w:b/>
          <w:bCs/>
          <w:color w:val="auto"/>
          <w:sz w:val="32"/>
          <w:szCs w:val="32"/>
          <w:highlight w:val="none"/>
        </w:rPr>
        <w:t>二、磋商文件</w:t>
      </w:r>
      <w:bookmarkEnd w:id="48"/>
      <w:bookmarkEnd w:id="49"/>
    </w:p>
    <w:p w14:paraId="3E253EC0">
      <w:pPr>
        <w:spacing w:line="360" w:lineRule="auto"/>
        <w:rPr>
          <w:rFonts w:hint="eastAsia" w:ascii="宋体" w:hAnsi="宋体" w:eastAsia="宋体" w:cs="宋体"/>
          <w:color w:val="auto"/>
          <w:szCs w:val="21"/>
          <w:highlight w:val="none"/>
        </w:rPr>
      </w:pPr>
    </w:p>
    <w:p w14:paraId="72F680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12CC9C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1828B3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167A12D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40C927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762F98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59AFB0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4935BA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ACB0C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13A25F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AD59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0FF9FDC3">
      <w:pPr>
        <w:spacing w:line="360" w:lineRule="auto"/>
        <w:rPr>
          <w:rFonts w:hint="eastAsia" w:ascii="宋体" w:hAnsi="宋体" w:eastAsia="宋体" w:cs="宋体"/>
          <w:color w:val="auto"/>
          <w:szCs w:val="21"/>
          <w:highlight w:val="none"/>
        </w:rPr>
      </w:pPr>
    </w:p>
    <w:p w14:paraId="50D9F866">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14:paraId="6F5B4B6B">
      <w:pPr>
        <w:spacing w:line="360" w:lineRule="auto"/>
        <w:rPr>
          <w:rFonts w:hint="eastAsia" w:ascii="宋体" w:hAnsi="宋体" w:eastAsia="宋体" w:cs="宋体"/>
          <w:color w:val="auto"/>
          <w:szCs w:val="21"/>
          <w:highlight w:val="none"/>
        </w:rPr>
      </w:pPr>
    </w:p>
    <w:p w14:paraId="03DFCE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68A5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E5CBE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0978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14:paraId="4BFD46C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2036C56">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12.1.2报价商务技术文件：详见须知前附表</w:t>
      </w:r>
    </w:p>
    <w:p w14:paraId="1221A204">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5D851F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39937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F9C69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A7B2E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A1F5A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1EEDAC6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4720A8A7">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76CEAEBB">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3FF797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7AF187D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61B6BF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6C1EB3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C0C0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18F1D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0"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50"/>
    <w:p w14:paraId="38050D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F59EF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38393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0AB5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CB8880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3BB156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46E830F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221F95BF">
      <w:pPr>
        <w:spacing w:line="360" w:lineRule="auto"/>
        <w:ind w:firstLine="420" w:firstLineChars="200"/>
        <w:rPr>
          <w:rFonts w:hint="eastAsia" w:ascii="宋体" w:hAnsi="宋体" w:eastAsia="宋体" w:cs="宋体"/>
          <w:color w:val="auto"/>
          <w:szCs w:val="21"/>
          <w:highlight w:val="none"/>
        </w:rPr>
      </w:pPr>
      <w:bookmarkStart w:id="51" w:name="_Hlk66782243"/>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成交供应商的竞标保证金自成交通知书发出之日起4个工作日内退还；</w:t>
      </w:r>
      <w:r>
        <w:rPr>
          <w:rFonts w:hint="eastAsia" w:ascii="宋体" w:hAnsi="宋体" w:eastAsia="宋体" w:cs="宋体"/>
          <w:color w:val="auto"/>
          <w:szCs w:val="21"/>
          <w:highlight w:val="none"/>
        </w:rPr>
        <w:t>成交供应商的磋商保证金自签订合同之日起4个工作日内退还。</w:t>
      </w:r>
      <w:bookmarkEnd w:id="51"/>
    </w:p>
    <w:p w14:paraId="3DEFE35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C07505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37CA83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65E830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48143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6925EC6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632E9F8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2F684E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B16FE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52" w:name="_19.2投标文件应按报价文件、资格证明文件、商务文件、技术文件分别编制"/>
      <w:bookmarkEnd w:id="52"/>
    </w:p>
    <w:p w14:paraId="0DA6014A">
      <w:pPr>
        <w:pStyle w:val="6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eastAsia="宋体" w:cs="宋体"/>
          <w:b/>
          <w:color w:val="auto"/>
          <w:sz w:val="21"/>
          <w:szCs w:val="21"/>
          <w:highlight w:val="none"/>
        </w:rPr>
        <w:t>其响应文件按无效响应处理。</w:t>
      </w:r>
      <w:r>
        <w:rPr>
          <w:rFonts w:hint="eastAsia" w:ascii="宋体" w:hAnsi="宋体" w:eastAsia="宋体" w:cs="宋体"/>
          <w:color w:val="auto"/>
          <w:sz w:val="21"/>
          <w:szCs w:val="21"/>
          <w:highlight w:val="none"/>
        </w:rPr>
        <w:t>骑缝盖公章不视为在规定位置盖章。</w:t>
      </w:r>
    </w:p>
    <w:p w14:paraId="7A30A3CE">
      <w:pPr>
        <w:pStyle w:val="6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18.3为确保网上操作合法、有效和安全，供应商应当在投标截止时间前完成在“政采云”平台的身份认证，确保在电子投标过程中能够对相关数据电文进行加密和使用电子签名。</w:t>
      </w:r>
    </w:p>
    <w:p w14:paraId="60130E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18.4响应文件</w:t>
      </w:r>
      <w:r>
        <w:rPr>
          <w:rFonts w:hint="eastAsia" w:ascii="宋体" w:hAnsi="宋体" w:cs="宋体"/>
          <w:b/>
          <w:color w:val="auto"/>
          <w:szCs w:val="21"/>
          <w:highlight w:val="none"/>
          <w:lang w:eastAsia="zh-CN"/>
        </w:rPr>
        <w:t>成交</w:t>
      </w:r>
      <w:r>
        <w:rPr>
          <w:rFonts w:hint="eastAsia" w:ascii="宋体" w:hAnsi="宋体" w:eastAsia="宋体" w:cs="宋体"/>
          <w:b/>
          <w:color w:val="auto"/>
          <w:szCs w:val="21"/>
          <w:highlight w:val="none"/>
        </w:rPr>
        <w:t>注的供应商名称应与主体资格证明（如营业执照、事业单位法人证书、执业许可证、自然人身份证等）及公章一致，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5C19A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18.5响应文件应避免涂改、行间插字或者删除，</w:t>
      </w:r>
      <w:r>
        <w:rPr>
          <w:rFonts w:hint="eastAsia" w:ascii="宋体" w:hAnsi="宋体" w:eastAsia="宋体" w:cs="宋体"/>
          <w:b/>
          <w:color w:val="auto"/>
          <w:szCs w:val="21"/>
          <w:highlight w:val="none"/>
        </w:rPr>
        <w:t>否则其投标无效。</w:t>
      </w:r>
    </w:p>
    <w:p w14:paraId="5C2F72F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18.6 对采购文件的实质性要求和条件作出响应是指供应商必须对采购文件</w:t>
      </w:r>
      <w:r>
        <w:rPr>
          <w:rFonts w:hint="eastAsia" w:ascii="宋体" w:hAnsi="宋体" w:cs="宋体"/>
          <w:color w:val="auto"/>
          <w:highlight w:val="none"/>
          <w:lang w:eastAsia="zh-CN"/>
        </w:rPr>
        <w:t>成交</w:t>
      </w:r>
      <w:r>
        <w:rPr>
          <w:rFonts w:hint="eastAsia" w:ascii="宋体" w:hAnsi="宋体" w:eastAsia="宋体" w:cs="宋体"/>
          <w:color w:val="auto"/>
          <w:highlight w:val="none"/>
        </w:rPr>
        <w:t>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4236F23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18.7本项目为贺州市电子化项目，异常情况见“供应商须知正文”中“25.3开标程序。</w:t>
      </w:r>
    </w:p>
    <w:p w14:paraId="291138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19.备份响应文件</w:t>
      </w:r>
    </w:p>
    <w:p w14:paraId="1671086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详见在“供应商须知前附表”。</w:t>
      </w:r>
    </w:p>
    <w:p w14:paraId="00C54FC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CA666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政采云平台”。</w:t>
      </w:r>
    </w:p>
    <w:p w14:paraId="5A0ECBA3">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21.2未在规定时间内提交或者未按照采购文件要求密封或者标记的电子响应文件，“政采云”平台将拒收。</w:t>
      </w:r>
    </w:p>
    <w:p w14:paraId="75B5B7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21.3电子版响应文件提交方式见“竞争性磋商公告”中“四、提交响应文件截止时间、开标时间和地点”</w:t>
      </w:r>
      <w:r>
        <w:rPr>
          <w:rFonts w:hint="eastAsia" w:ascii="宋体" w:hAnsi="宋体" w:eastAsia="宋体" w:cs="宋体"/>
          <w:b/>
          <w:color w:val="auto"/>
          <w:szCs w:val="21"/>
          <w:highlight w:val="none"/>
        </w:rPr>
        <w:t>。</w:t>
      </w:r>
    </w:p>
    <w:p w14:paraId="7E266F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499186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ECD2504">
      <w:pPr>
        <w:spacing w:line="360" w:lineRule="auto"/>
        <w:ind w:firstLine="482" w:firstLineChars="200"/>
        <w:rPr>
          <w:rFonts w:hint="eastAsia" w:ascii="宋体" w:hAnsi="宋体" w:eastAsia="宋体" w:cs="宋体"/>
          <w:b/>
          <w:bCs/>
          <w:color w:val="auto"/>
          <w:sz w:val="24"/>
          <w:highlight w:val="none"/>
        </w:rPr>
      </w:pPr>
      <w:bookmarkStart w:id="53" w:name="_Hlk45702405"/>
      <w:r>
        <w:rPr>
          <w:rFonts w:hint="eastAsia" w:ascii="宋体" w:hAnsi="宋体" w:eastAsia="宋体" w:cs="宋体"/>
          <w:b/>
          <w:bCs/>
          <w:color w:val="auto"/>
          <w:sz w:val="24"/>
          <w:highlight w:val="none"/>
        </w:rPr>
        <w:t>22. 首次响应文件的退回</w:t>
      </w:r>
    </w:p>
    <w:p w14:paraId="609C2F3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补充、修改或者撤回方式见公告附件“电子响应文件制作与投送教程”）</w:t>
      </w:r>
    </w:p>
    <w:p w14:paraId="72345FC7">
      <w:pPr>
        <w:pStyle w:val="67"/>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22.2“政采云”平台收到响应文件，将妥善保存并即时向供应商发出确认回执通知。在投标截止时间前，除供应商补充、修改或者撤回响应文件外，任何单位和个人不得解密或提取响应文件。</w:t>
      </w:r>
    </w:p>
    <w:p w14:paraId="2A523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22.3在投标截止时间止提交电子版响应文件的供应商不足3家时，电子版响应文件由代理机构在“政采云”平台操作退回，除此之外采购人和采购代理机构对已提交的响应文件概不退回。</w:t>
      </w:r>
    </w:p>
    <w:p w14:paraId="309B5F2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4E18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bookmarkEnd w:id="53"/>
    <w:p w14:paraId="6F1CD2A7">
      <w:pPr>
        <w:spacing w:line="360" w:lineRule="auto"/>
        <w:rPr>
          <w:rFonts w:hint="eastAsia" w:ascii="宋体" w:hAnsi="宋体" w:eastAsia="宋体" w:cs="宋体"/>
          <w:color w:val="auto"/>
          <w:szCs w:val="21"/>
          <w:highlight w:val="none"/>
        </w:rPr>
      </w:pPr>
    </w:p>
    <w:p w14:paraId="30B9C345">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14:paraId="7BE5E0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EBD0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5B88F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555F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25.开标时间和地点</w:t>
      </w:r>
    </w:p>
    <w:p w14:paraId="703FF82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25.1开标时间及地点详见“供应商须知前附表”</w:t>
      </w:r>
    </w:p>
    <w:p w14:paraId="1FA3A2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25.2如</w:t>
      </w:r>
      <w:r>
        <w:rPr>
          <w:rFonts w:hint="eastAsia" w:ascii="宋体" w:hAnsi="宋体" w:eastAsia="宋体" w:cs="宋体"/>
          <w:bCs/>
          <w:color w:val="auto"/>
          <w:highlight w:val="none"/>
        </w:rPr>
        <w:t>供应商成功解密响应文件，但未在“政采云”电子开标大厅参加开标的，视同认可开标过程和结果，</w:t>
      </w:r>
      <w:r>
        <w:rPr>
          <w:rFonts w:hint="eastAsia" w:ascii="宋体" w:hAnsi="宋体" w:eastAsia="宋体" w:cs="宋体"/>
          <w:color w:val="auto"/>
          <w:highlight w:val="none"/>
        </w:rPr>
        <w:t>由此产生的后果由供应商自行负责。供应商不足3家的，不得开标。</w:t>
      </w:r>
    </w:p>
    <w:p w14:paraId="74967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25.3开标程序</w:t>
      </w:r>
    </w:p>
    <w:p w14:paraId="1A2D890D">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25.3.1</w:t>
      </w:r>
      <w:r>
        <w:rPr>
          <w:rFonts w:hint="eastAsia" w:ascii="宋体" w:hAnsi="宋体" w:eastAsia="宋体" w:cs="宋体"/>
          <w:color w:val="auto"/>
          <w:kern w:val="0"/>
          <w:szCs w:val="21"/>
          <w:highlight w:val="none"/>
        </w:rPr>
        <w:t>开标形式：</w:t>
      </w:r>
    </w:p>
    <w:p w14:paraId="36B46E5E">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14:paraId="658C2422">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采购文件规定的时间通过“政采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26B0715C">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25.3.2开标程序：</w:t>
      </w:r>
    </w:p>
    <w:p w14:paraId="5C9FB620">
      <w:pPr>
        <w:pStyle w:val="17"/>
        <w:snapToGrid w:val="0"/>
        <w:spacing w:line="440" w:lineRule="exact"/>
        <w:ind w:firstLine="422" w:firstLineChars="200"/>
        <w:rPr>
          <w:rFonts w:hint="eastAsia" w:ascii="宋体" w:hAnsi="宋体" w:eastAsia="宋体" w:cs="宋体"/>
          <w:color w:val="auto"/>
          <w:sz w:val="21"/>
          <w:highlight w:val="none"/>
        </w:rPr>
      </w:pPr>
      <w:r>
        <w:rPr>
          <w:rFonts w:hint="eastAsia" w:ascii="宋体" w:hAnsi="宋体" w:eastAsia="宋体" w:cs="宋体"/>
          <w:b/>
          <w:color w:val="auto"/>
          <w:sz w:val="21"/>
          <w:highlight w:val="none"/>
        </w:rPr>
        <w:t>（1）解密电子响应文件。“</w:t>
      </w:r>
      <w:r>
        <w:rPr>
          <w:rFonts w:hint="eastAsia" w:ascii="宋体" w:hAnsi="宋体" w:eastAsia="宋体" w:cs="宋体"/>
          <w:color w:val="auto"/>
          <w:sz w:val="21"/>
          <w:highlight w:val="none"/>
        </w:rPr>
        <w:t>政采云”平台按开标时间自动提取所有响应文件。采购代理机构依托“政采云”平台向各供应商发出电子加密响应文件【开始解密】通知，由供应商按采购文件规定的时间内自行进行响应文件解密。供应商的法定代表人或其委托代理人</w:t>
      </w:r>
      <w:r>
        <w:rPr>
          <w:rFonts w:hint="eastAsia" w:ascii="宋体" w:hAnsi="宋体" w:eastAsia="宋体" w:cs="宋体"/>
          <w:b/>
          <w:color w:val="auto"/>
          <w:sz w:val="21"/>
          <w:highlight w:val="none"/>
        </w:rPr>
        <w:t>须携带加密时所用的CA锁准时登录到“政采云”平台电子开标大厅签到并对电子响应文件解密</w:t>
      </w:r>
      <w:r>
        <w:rPr>
          <w:rFonts w:hint="eastAsia" w:ascii="宋体" w:hAnsi="宋体" w:eastAsia="宋体" w:cs="宋体"/>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sz w:val="21"/>
          <w:highlight w:val="none"/>
        </w:rPr>
        <w:t>均视为无效投标。</w:t>
      </w:r>
    </w:p>
    <w:p w14:paraId="15386198">
      <w:pPr>
        <w:pStyle w:val="17"/>
        <w:snapToGrid w:val="0"/>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异常情况处理：详见本章26.4评标方法及评标标准（3）</w:t>
      </w:r>
      <w:r>
        <w:rPr>
          <w:rFonts w:hint="eastAsia" w:ascii="宋体" w:hAnsi="宋体" w:eastAsia="宋体" w:cs="宋体"/>
          <w:color w:val="auto"/>
          <w:sz w:val="21"/>
          <w:highlight w:val="none"/>
        </w:rPr>
        <w:t>电子交易活动的中止。）</w:t>
      </w:r>
    </w:p>
    <w:p w14:paraId="7D776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响应文件解密结束，各竞标供应商报价均在“政采云”平台远程不见面开标大厅展示；</w:t>
      </w:r>
    </w:p>
    <w:p w14:paraId="0B439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14:paraId="31E84AF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1A05914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1064857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FA57B80">
      <w:pPr>
        <w:pStyle w:val="17"/>
        <w:snapToGrid w:val="0"/>
        <w:spacing w:line="440" w:lineRule="exact"/>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特别说明：</w:t>
      </w:r>
      <w:r>
        <w:rPr>
          <w:rFonts w:hint="eastAsia" w:ascii="宋体" w:hAnsi="宋体" w:eastAsia="宋体" w:cs="宋体"/>
          <w:color w:val="auto"/>
          <w:sz w:val="21"/>
          <w:highlight w:val="none"/>
        </w:rPr>
        <w:t>如遇“政采云”平台电子化开标或评审程序调整的，按调整后执行。</w:t>
      </w:r>
    </w:p>
    <w:p w14:paraId="36A92A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041D9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0DD5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417BB7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26.3评标原则</w:t>
      </w:r>
    </w:p>
    <w:p w14:paraId="3BA6B6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14:paraId="1F4229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54" w:name="_28.3评标方法。本项目将按须知前附表规定的评标办法进行评标，具体评标"/>
      <w:bookmarkEnd w:id="54"/>
    </w:p>
    <w:p w14:paraId="5123E0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E6D4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14:paraId="2EFF3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26.4评标方法及评标标准</w:t>
      </w:r>
    </w:p>
    <w:p w14:paraId="5C7873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（1）本项目的评标方法详见</w:t>
      </w:r>
      <w:r>
        <w:rPr>
          <w:rFonts w:hint="eastAsia" w:ascii="宋体" w:hAnsi="宋体" w:eastAsia="宋体" w:cs="宋体"/>
          <w:b/>
          <w:bCs/>
          <w:color w:val="auto"/>
          <w:highlight w:val="none"/>
        </w:rPr>
        <w:t>“供应商须知前附表”。</w:t>
      </w:r>
    </w:p>
    <w:p w14:paraId="4F2D5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（2）磋商小组按照</w:t>
      </w:r>
      <w:r>
        <w:rPr>
          <w:rFonts w:hint="eastAsia" w:ascii="宋体" w:hAnsi="宋体" w:eastAsia="宋体" w:cs="宋体"/>
          <w:b/>
          <w:color w:val="auto"/>
          <w:highlight w:val="none"/>
        </w:rPr>
        <w:t>“第四章评审程序、评审方法和评审标准”</w:t>
      </w:r>
      <w:r>
        <w:rPr>
          <w:rFonts w:hint="eastAsia" w:ascii="宋体" w:hAnsi="宋体" w:eastAsia="宋体" w:cs="宋体"/>
          <w:color w:val="auto"/>
          <w:highlight w:val="none"/>
        </w:rPr>
        <w:t>规定的方法、评审因素、标准和程序对响应文件进行评审。</w:t>
      </w:r>
    </w:p>
    <w:p w14:paraId="0889D1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（3）电子交易活动的中止。采购过程中出现以下情形，导致电子交易平台无法正常运行，或者无法保证电子交易的公平、公正和安全时，采购机构可中止电子交易活动：</w:t>
      </w:r>
    </w:p>
    <w:p w14:paraId="5EF8830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4326BAA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F353CB8">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4017F29">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4167211D">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01EB7D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8D68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C198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b w:val="0"/>
          <w:color w:val="auto"/>
          <w:sz w:val="21"/>
          <w:szCs w:val="21"/>
          <w:highlight w:val="none"/>
          <w:lang w:val="en-US" w:eastAsia="zh-CN"/>
        </w:rPr>
        <w:t>成交</w:t>
      </w:r>
      <w:r>
        <w:rPr>
          <w:rFonts w:hint="eastAsia" w:ascii="宋体" w:hAnsi="宋体" w:eastAsia="宋体" w:cs="宋体"/>
          <w:b w:val="0"/>
          <w:color w:val="auto"/>
          <w:sz w:val="21"/>
          <w:szCs w:val="21"/>
          <w:highlight w:val="none"/>
        </w:rPr>
        <w:t>候选人并列的，按照“</w:t>
      </w:r>
      <w:r>
        <w:rPr>
          <w:rFonts w:hint="eastAsia" w:ascii="宋体" w:hAnsi="宋体" w:eastAsia="宋体" w:cs="宋体"/>
          <w:b w:val="0"/>
          <w:color w:val="auto"/>
          <w:sz w:val="21"/>
          <w:szCs w:val="21"/>
          <w:highlight w:val="none"/>
          <w:lang w:val="en-US" w:eastAsia="zh-CN"/>
        </w:rPr>
        <w:t>供应商</w:t>
      </w:r>
      <w:r>
        <w:rPr>
          <w:rFonts w:hint="eastAsia" w:ascii="宋体" w:hAnsi="宋体" w:eastAsia="宋体" w:cs="宋体"/>
          <w:b w:val="0"/>
          <w:color w:val="auto"/>
          <w:sz w:val="21"/>
          <w:szCs w:val="21"/>
          <w:highlight w:val="none"/>
        </w:rPr>
        <w:t>须知前附表”规定的方式确定</w:t>
      </w:r>
      <w:r>
        <w:rPr>
          <w:rFonts w:hint="eastAsia" w:ascii="宋体" w:hAnsi="宋体" w:eastAsia="宋体" w:cs="宋体"/>
          <w:b w:val="0"/>
          <w:color w:val="auto"/>
          <w:sz w:val="21"/>
          <w:szCs w:val="21"/>
          <w:highlight w:val="none"/>
          <w:lang w:val="en-US" w:eastAsia="zh-CN"/>
        </w:rPr>
        <w:t>成交</w:t>
      </w:r>
      <w:r>
        <w:rPr>
          <w:rFonts w:hint="eastAsia" w:ascii="宋体" w:hAnsi="宋体" w:eastAsia="宋体" w:cs="宋体"/>
          <w:b w:val="0"/>
          <w:color w:val="auto"/>
          <w:sz w:val="21"/>
          <w:szCs w:val="21"/>
          <w:highlight w:val="none"/>
        </w:rPr>
        <w:t>人。</w:t>
      </w:r>
      <w:r>
        <w:rPr>
          <w:rFonts w:hint="eastAsia" w:ascii="宋体" w:hAnsi="宋体" w:eastAsia="宋体" w:cs="宋体"/>
          <w:b/>
          <w:bCs/>
          <w:color w:val="auto"/>
          <w:sz w:val="21"/>
          <w:szCs w:val="21"/>
          <w:highlight w:val="none"/>
          <w:lang w:eastAsia="zh-CN"/>
        </w:rPr>
        <w:t>本项目</w:t>
      </w:r>
      <w:r>
        <w:rPr>
          <w:rFonts w:hint="eastAsia" w:ascii="宋体" w:hAnsi="宋体" w:eastAsia="宋体" w:cs="宋体"/>
          <w:b/>
          <w:bCs/>
          <w:color w:val="auto"/>
          <w:sz w:val="21"/>
          <w:szCs w:val="21"/>
          <w:highlight w:val="none"/>
        </w:rPr>
        <w:t>采购人授权</w:t>
      </w:r>
      <w:r>
        <w:rPr>
          <w:rFonts w:hint="eastAsia" w:ascii="宋体" w:hAnsi="宋体" w:eastAsia="宋体" w:cs="宋体"/>
          <w:b/>
          <w:bCs/>
          <w:color w:val="auto"/>
          <w:sz w:val="21"/>
          <w:szCs w:val="21"/>
          <w:highlight w:val="none"/>
          <w:lang w:val="en-US" w:eastAsia="zh-CN"/>
        </w:rPr>
        <w:t>磋商小组</w:t>
      </w:r>
      <w:r>
        <w:rPr>
          <w:rFonts w:hint="eastAsia" w:ascii="宋体" w:hAnsi="宋体" w:eastAsia="宋体" w:cs="宋体"/>
          <w:b/>
          <w:bCs/>
          <w:color w:val="auto"/>
          <w:sz w:val="21"/>
          <w:szCs w:val="21"/>
          <w:highlight w:val="none"/>
        </w:rPr>
        <w:t>直接确定</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人。</w:t>
      </w:r>
    </w:p>
    <w:p w14:paraId="6452B7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5" w:name="_Hlk66782294"/>
      <w:r>
        <w:rPr>
          <w:rFonts w:hint="eastAsia" w:ascii="宋体" w:hAnsi="宋体" w:eastAsia="宋体" w:cs="宋体"/>
          <w:color w:val="auto"/>
          <w:szCs w:val="21"/>
          <w:highlight w:val="none"/>
        </w:rPr>
        <w:t>成交供应商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w:t>
      </w:r>
      <w:bookmarkEnd w:id="55"/>
      <w:r>
        <w:rPr>
          <w:rFonts w:hint="eastAsia" w:ascii="宋体" w:hAnsi="宋体" w:cs="宋体"/>
          <w:b/>
          <w:bCs/>
          <w:color w:val="auto"/>
          <w:kern w:val="0"/>
          <w:szCs w:val="21"/>
          <w:highlight w:val="none"/>
        </w:rPr>
        <w:t>本项目为专门面向“中小企业”的项目或者采购包，不再执行价格评审优惠的扶持政策。</w:t>
      </w:r>
    </w:p>
    <w:p w14:paraId="78CDB7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EEAA8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9B3497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54AA21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74FE6FA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5BDD768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18850E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6D2280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29.1成交供应商在收到成交通知书后，应当在签订合同时向采购人出示相关证明材料，具体内容详见 “供应商须知前附表”，经采购人核验合格后方可签订合同。</w:t>
      </w:r>
    </w:p>
    <w:p w14:paraId="75C9E84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签订合同时间：按成交通知书规定的时间与采购人签订政府采购合同。</w:t>
      </w:r>
    </w:p>
    <w:p w14:paraId="7C0FF18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14534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7A22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80B8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176AE3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87CAE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48141A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27B030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52C61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57F1FC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22D34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6F9BC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F7A07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CE325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62AFEF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A9F70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92828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5FD38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603F1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EC571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6F4E4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54DF04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D45C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6889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49D8B26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01E6A2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32"/>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660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D172E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9A1A5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035BF475">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0DF4C0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01D97B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3152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310AF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4698921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466B69C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504446A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103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4F4D4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1EA2C6C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4C056A4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2D7D70A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69D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9425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48F3393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4AD3598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75F19DC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B90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DCEC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465D6B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316C2E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5277E19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5C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050A2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23462DB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61181A5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5EE0EB2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080E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FE89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2231EA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519A0A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7D0746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477D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787A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1F35EE5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7B9887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246B890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D9A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0F8B7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58E48C2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0171D8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06E83CE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8E3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3217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7DB186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59C9E80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5ADA9DD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1C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61C7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2DE13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55FF998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4D95C75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B23C0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09947D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7B02F1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4EDB75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2ED017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130591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0588BC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057295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19288AC">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14:paraId="10B18200">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 其他事项详见“供应商须知前附表”。</w:t>
      </w:r>
    </w:p>
    <w:p w14:paraId="0B4DFA05">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56C4F636">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004A95CC">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70951310">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p>
    <w:p w14:paraId="112367FE">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73C4F79B">
      <w:pPr>
        <w:widowControl/>
        <w:shd w:val="clear" w:color="auto" w:fill="FFFFFF"/>
        <w:spacing w:line="480" w:lineRule="atLeast"/>
        <w:jc w:val="center"/>
        <w:rPr>
          <w:rFonts w:hint="eastAsia" w:ascii="宋体" w:hAnsi="宋体" w:eastAsia="宋体" w:cs="宋体"/>
          <w:color w:val="auto"/>
          <w:kern w:val="0"/>
          <w:sz w:val="32"/>
          <w:szCs w:val="32"/>
          <w:highlight w:val="none"/>
        </w:rPr>
      </w:pPr>
    </w:p>
    <w:p w14:paraId="068B5C7D">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885089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D68ED78">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84E08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0"/>
                <w:highlight w:val="none"/>
              </w:rPr>
              <w:sym w:font="Wingdings 2" w:char="F0A3"/>
            </w:r>
            <w:r>
              <w:rPr>
                <w:rFonts w:hint="eastAsia" w:ascii="宋体" w:hAnsi="宋体" w:eastAsia="宋体" w:cs="宋体"/>
                <w:color w:val="auto"/>
                <w:kern w:val="0"/>
                <w:szCs w:val="21"/>
                <w:highlight w:val="none"/>
              </w:rPr>
              <w:t>自行验收</w:t>
            </w:r>
            <w:r>
              <w:rPr>
                <w:rFonts w:hint="eastAsia" w:ascii="宋体" w:hAnsi="宋体" w:eastAsia="宋体" w:cs="宋体"/>
                <w:color w:val="auto"/>
                <w:kern w:val="0"/>
                <w:szCs w:val="20"/>
                <w:highlight w:val="none"/>
              </w:rPr>
              <w:sym w:font="Wingdings 2" w:char="F0A3"/>
            </w:r>
            <w:r>
              <w:rPr>
                <w:rFonts w:hint="eastAsia" w:ascii="宋体" w:hAnsi="宋体" w:eastAsia="宋体" w:cs="宋体"/>
                <w:color w:val="auto"/>
                <w:kern w:val="0"/>
                <w:szCs w:val="21"/>
                <w:highlight w:val="none"/>
              </w:rPr>
              <w:t>委托验收</w:t>
            </w:r>
          </w:p>
        </w:tc>
      </w:tr>
      <w:tr w14:paraId="41DBA21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30FC2AF">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C04DF43">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BED1BD3">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1DA92DD">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98B74A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466D680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CEC012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698318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8DB226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F4B1A8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1F6491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5483B3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9E3820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A0C24E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0C9DFF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219E60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BF0FD8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B769CD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4C7BB2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D7F7DC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523721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E99DC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26FBC0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6E134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7D0E272">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56B6361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4E120A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312A95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AA43885">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合计大写金额：仟佰拾万仟佰拾元</w:t>
            </w:r>
          </w:p>
        </w:tc>
      </w:tr>
      <w:tr w14:paraId="6B17669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1B5F80D">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8E40B7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E811B95">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2F866C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0A6715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8E7C5">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D485F8D">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A32CFA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05B9C1">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7D96A0BE">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49BCB3F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B217974">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46758B24">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B0AE63C">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326650F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85C6B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72B5682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3369B48">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0CACAB4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BD0BC4B">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287566">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6078138F">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9B371A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2EA8B65B">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76A2539E">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274FE96F">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联系电话：年月日</w:t>
            </w:r>
          </w:p>
        </w:tc>
      </w:tr>
    </w:tbl>
    <w:p w14:paraId="1A4B07B1">
      <w:pPr>
        <w:pStyle w:val="17"/>
        <w:snapToGrid w:val="0"/>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295A40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14:paraId="5240BE27">
      <w:pPr>
        <w:jc w:val="center"/>
        <w:rPr>
          <w:rFonts w:hint="eastAsia" w:ascii="宋体" w:hAnsi="宋体" w:eastAsia="宋体" w:cs="宋体"/>
          <w:color w:val="auto"/>
          <w:sz w:val="36"/>
          <w:szCs w:val="36"/>
          <w:highlight w:val="none"/>
        </w:rPr>
      </w:pPr>
    </w:p>
    <w:tbl>
      <w:tblPr>
        <w:tblStyle w:val="3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35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67CC5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18EB1C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4F3D53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7FCBE9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57164F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vAlign w:val="center"/>
          </w:tcPr>
          <w:p w14:paraId="73E72E3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700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E786094">
            <w:pPr>
              <w:rPr>
                <w:rFonts w:hint="eastAsia" w:ascii="宋体" w:hAnsi="宋体" w:eastAsia="宋体" w:cs="宋体"/>
                <w:color w:val="auto"/>
                <w:sz w:val="24"/>
                <w:highlight w:val="none"/>
              </w:rPr>
            </w:pPr>
          </w:p>
        </w:tc>
        <w:tc>
          <w:tcPr>
            <w:tcW w:w="8009" w:type="dxa"/>
            <w:vAlign w:val="center"/>
          </w:tcPr>
          <w:p w14:paraId="5EE700B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7BF8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6CABF6C8">
            <w:pPr>
              <w:rPr>
                <w:rFonts w:hint="eastAsia" w:ascii="宋体" w:hAnsi="宋体" w:eastAsia="宋体" w:cs="宋体"/>
                <w:color w:val="auto"/>
                <w:sz w:val="24"/>
                <w:highlight w:val="none"/>
              </w:rPr>
            </w:pPr>
          </w:p>
        </w:tc>
        <w:tc>
          <w:tcPr>
            <w:tcW w:w="8009" w:type="dxa"/>
          </w:tcPr>
          <w:p w14:paraId="291A93F6">
            <w:pPr>
              <w:rPr>
                <w:rFonts w:hint="eastAsia" w:ascii="宋体" w:hAnsi="宋体" w:eastAsia="宋体" w:cs="宋体"/>
                <w:color w:val="auto"/>
                <w:sz w:val="24"/>
                <w:highlight w:val="none"/>
              </w:rPr>
            </w:pPr>
          </w:p>
          <w:p w14:paraId="2A4D055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该项目已于年月日验收并交付使用。根据合同规定，该项目的履约保证金期限于年月日已满，请将履约保证金</w:t>
            </w:r>
          </w:p>
          <w:p w14:paraId="144C45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（大写）￥（小写）退付到达以下帐户。</w:t>
            </w:r>
          </w:p>
          <w:p w14:paraId="0AB7AF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2DA3E22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57C5A9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597B42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7602B8F6">
            <w:pPr>
              <w:rPr>
                <w:rFonts w:hint="eastAsia" w:ascii="宋体" w:hAnsi="宋体" w:eastAsia="宋体" w:cs="宋体"/>
                <w:color w:val="auto"/>
                <w:sz w:val="24"/>
                <w:highlight w:val="none"/>
              </w:rPr>
            </w:pPr>
          </w:p>
          <w:p w14:paraId="56C235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供应商签章：</w:t>
            </w:r>
          </w:p>
          <w:p w14:paraId="69E57F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14:paraId="12CA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5AB17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3A57B7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15FC0A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14:paraId="0C19B5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14:paraId="03A692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3562EF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Pr>
          <w:p w14:paraId="10D89F71">
            <w:pPr>
              <w:rPr>
                <w:rFonts w:hint="eastAsia" w:ascii="宋体" w:hAnsi="宋体" w:eastAsia="宋体" w:cs="宋体"/>
                <w:color w:val="auto"/>
                <w:sz w:val="24"/>
                <w:highlight w:val="none"/>
              </w:rPr>
            </w:pPr>
          </w:p>
          <w:p w14:paraId="31C6FE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395FF05F">
            <w:pPr>
              <w:rPr>
                <w:rFonts w:hint="eastAsia" w:ascii="宋体" w:hAnsi="宋体" w:eastAsia="宋体" w:cs="宋体"/>
                <w:color w:val="auto"/>
                <w:sz w:val="24"/>
                <w:highlight w:val="none"/>
              </w:rPr>
            </w:pPr>
          </w:p>
          <w:p w14:paraId="7148E1B5">
            <w:pPr>
              <w:rPr>
                <w:rFonts w:hint="eastAsia" w:ascii="宋体" w:hAnsi="宋体" w:eastAsia="宋体" w:cs="宋体"/>
                <w:color w:val="auto"/>
                <w:sz w:val="24"/>
                <w:highlight w:val="none"/>
              </w:rPr>
            </w:pPr>
          </w:p>
          <w:p w14:paraId="1C9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2EBA189A">
            <w:pPr>
              <w:rPr>
                <w:rFonts w:hint="eastAsia" w:ascii="宋体" w:hAnsi="宋体" w:eastAsia="宋体" w:cs="宋体"/>
                <w:color w:val="auto"/>
                <w:sz w:val="24"/>
                <w:highlight w:val="none"/>
              </w:rPr>
            </w:pPr>
          </w:p>
          <w:p w14:paraId="2D95DD71">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采购人签章：</w:t>
            </w:r>
          </w:p>
          <w:p w14:paraId="25CFD8F2">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tc>
      </w:tr>
      <w:tr w14:paraId="586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7B7AF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Pr>
          <w:p w14:paraId="2192E33F">
            <w:pPr>
              <w:rPr>
                <w:rFonts w:hint="eastAsia" w:ascii="宋体" w:hAnsi="宋体" w:eastAsia="宋体" w:cs="宋体"/>
                <w:color w:val="auto"/>
                <w:sz w:val="24"/>
                <w:highlight w:val="none"/>
              </w:rPr>
            </w:pPr>
          </w:p>
        </w:tc>
      </w:tr>
    </w:tbl>
    <w:p w14:paraId="56F30EEF">
      <w:pPr>
        <w:pStyle w:val="13"/>
        <w:ind w:left="1" w:firstLine="2" w:firstLineChars="1"/>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14:paraId="50AC4173">
      <w:pPr>
        <w:pStyle w:val="17"/>
        <w:snapToGrid w:val="0"/>
        <w:spacing w:before="120" w:after="120"/>
        <w:rPr>
          <w:rFonts w:hint="eastAsia" w:ascii="宋体" w:hAnsi="宋体" w:eastAsia="宋体" w:cs="宋体"/>
          <w:color w:val="auto"/>
          <w:highlight w:val="none"/>
        </w:rPr>
      </w:pPr>
    </w:p>
    <w:p w14:paraId="167A3930">
      <w:pPr>
        <w:rPr>
          <w:rFonts w:hint="eastAsia" w:ascii="宋体" w:hAnsi="宋体" w:eastAsia="宋体" w:cs="宋体"/>
          <w:color w:val="auto"/>
          <w:highlight w:val="none"/>
        </w:rPr>
      </w:pPr>
    </w:p>
    <w:p w14:paraId="69C18712">
      <w:pPr>
        <w:jc w:val="left"/>
        <w:rPr>
          <w:rFonts w:hint="eastAsia" w:ascii="宋体" w:hAnsi="宋体" w:eastAsia="宋体" w:cs="宋体"/>
          <w:b/>
          <w:color w:val="auto"/>
          <w:sz w:val="32"/>
          <w:szCs w:val="32"/>
          <w:highlight w:val="none"/>
        </w:rPr>
      </w:pPr>
    </w:p>
    <w:p w14:paraId="6E68EF8B">
      <w:pPr>
        <w:pStyle w:val="3"/>
        <w:numPr>
          <w:ilvl w:val="0"/>
          <w:numId w:val="4"/>
        </w:numPr>
        <w:jc w:val="center"/>
        <w:rPr>
          <w:rFonts w:hint="eastAsia" w:ascii="宋体" w:hAnsi="宋体" w:eastAsia="宋体" w:cs="宋体"/>
          <w:color w:val="auto"/>
          <w:highlight w:val="none"/>
        </w:rPr>
      </w:pPr>
      <w:bookmarkStart w:id="56" w:name="_Toc9562"/>
      <w:r>
        <w:rPr>
          <w:rFonts w:hint="eastAsia" w:ascii="宋体" w:hAnsi="宋体" w:eastAsia="宋体" w:cs="宋体"/>
          <w:color w:val="auto"/>
          <w:highlight w:val="none"/>
        </w:rPr>
        <w:t>采购需求</w:t>
      </w:r>
      <w:bookmarkEnd w:id="56"/>
    </w:p>
    <w:p w14:paraId="4A6F5D44">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采购项目技术规格、参数及要求</w:t>
      </w:r>
    </w:p>
    <w:p w14:paraId="21526658">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7CFAB0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3C3A6FD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广西壮族自治区财政厅关于进一步发挥政府采购政策功能促进企业发展的通知》（财库〔2022〕30号）的规定。</w:t>
      </w:r>
      <w:r>
        <w:rPr>
          <w:rFonts w:hint="eastAsia" w:ascii="宋体" w:hAnsi="宋体" w:cs="宋体"/>
          <w:b/>
          <w:bCs/>
          <w:color w:val="auto"/>
          <w:kern w:val="0"/>
          <w:szCs w:val="21"/>
          <w:highlight w:val="none"/>
        </w:rPr>
        <w:t>本项目为专门面向“中小企业”的项目或者采购包，不再执行价格评审优惠的扶持政策。</w:t>
      </w:r>
    </w:p>
    <w:p w14:paraId="5615C17B">
      <w:pPr>
        <w:tabs>
          <w:tab w:val="left" w:pos="180"/>
          <w:tab w:val="left" w:pos="1620"/>
        </w:tabs>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A5867C5">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7FD0552">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如某一技术参数或要求为某一品牌所特有，则该参数将不作为实质性响应条件，不作废标条件也不作扣分条件。</w:t>
      </w:r>
    </w:p>
    <w:p w14:paraId="5CF76009">
      <w:pPr>
        <w:spacing w:line="440" w:lineRule="exact"/>
        <w:ind w:firstLine="426" w:firstLineChars="202"/>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4.供应商应根据自身实际情况如实响应竞争性磋商文件，不得仅将竞争性磋商文件内容简单复制粘贴作为竞标响应，还应当提供相关证明材料，否则将作无效响应处理（定制采购项目不适用本条款）。</w:t>
      </w:r>
      <w:r>
        <w:rPr>
          <w:rFonts w:hint="eastAsia" w:ascii="宋体" w:hAnsi="宋体" w:eastAsia="宋体" w:cs="宋体"/>
          <w:b/>
          <w:bCs/>
          <w:color w:val="auto"/>
          <w:highlight w:val="none"/>
        </w:rPr>
        <w:t>对于重要技术条款或技术参数应当在响应文件中提供技术支持资料，技术支持资料以竞争性磋商文件中规定的形式为准，否则将视为无效技术支持资料。</w:t>
      </w:r>
    </w:p>
    <w:p w14:paraId="320934CC">
      <w:pPr>
        <w:spacing w:line="440" w:lineRule="exact"/>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供应商必须自行为其竞标产品侵犯他人的知识产权或者专利成果的行为承担相应法律责任。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p w14:paraId="6F304FEF">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highlight w:val="none"/>
        </w:rPr>
        <w:t>6.本项目所属行业：其他未列明行业。</w:t>
      </w:r>
    </w:p>
    <w:p w14:paraId="74CE09FA">
      <w:pPr>
        <w:tabs>
          <w:tab w:val="left" w:pos="180"/>
          <w:tab w:val="left" w:pos="1620"/>
        </w:tabs>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1C2642B2">
      <w:pPr>
        <w:tabs>
          <w:tab w:val="left" w:pos="180"/>
          <w:tab w:val="left" w:pos="1620"/>
        </w:tabs>
        <w:spacing w:line="400" w:lineRule="exact"/>
        <w:jc w:val="center"/>
        <w:rPr>
          <w:rFonts w:hint="eastAsia" w:ascii="宋体" w:hAnsi="宋体" w:eastAsia="宋体" w:cs="宋体"/>
          <w:b/>
          <w:bCs/>
          <w:color w:val="auto"/>
          <w:szCs w:val="21"/>
          <w:highlight w:val="none"/>
        </w:rPr>
      </w:pPr>
    </w:p>
    <w:p w14:paraId="256CBC14">
      <w:pPr>
        <w:tabs>
          <w:tab w:val="left" w:pos="180"/>
          <w:tab w:val="left" w:pos="1620"/>
        </w:tabs>
        <w:spacing w:line="400" w:lineRule="exact"/>
        <w:jc w:val="center"/>
        <w:rPr>
          <w:rFonts w:hint="eastAsia" w:ascii="宋体" w:hAnsi="宋体" w:eastAsia="宋体" w:cs="宋体"/>
          <w:b/>
          <w:bCs/>
          <w:color w:val="auto"/>
          <w:sz w:val="32"/>
          <w:szCs w:val="32"/>
          <w:highlight w:val="none"/>
        </w:rPr>
      </w:pPr>
      <w:bookmarkStart w:id="57" w:name="_Toc32090"/>
      <w:r>
        <w:rPr>
          <w:rFonts w:hint="eastAsia" w:ascii="宋体" w:hAnsi="宋体" w:eastAsia="宋体" w:cs="宋体"/>
          <w:b/>
          <w:bCs/>
          <w:color w:val="auto"/>
          <w:sz w:val="32"/>
          <w:szCs w:val="32"/>
          <w:highlight w:val="none"/>
        </w:rPr>
        <w:t>采购需求和说明</w:t>
      </w:r>
    </w:p>
    <w:p w14:paraId="5F1438CC">
      <w:pPr>
        <w:pStyle w:val="49"/>
        <w:rPr>
          <w:rFonts w:hint="eastAsia"/>
          <w:color w:val="auto"/>
          <w:highlight w:val="none"/>
        </w:rPr>
      </w:pPr>
    </w:p>
    <w:p w14:paraId="0B38B948">
      <w:pPr>
        <w:numPr>
          <w:ilvl w:val="0"/>
          <w:numId w:val="0"/>
        </w:numPr>
        <w:spacing w:line="360" w:lineRule="auto"/>
        <w:ind w:firstLine="420" w:firstLineChars="200"/>
        <w:rPr>
          <w:rFonts w:hint="eastAsia" w:ascii="宋体" w:hAnsi="宋体" w:eastAsia="宋体" w:cs="宋体"/>
          <w:color w:val="auto"/>
          <w:sz w:val="21"/>
          <w:szCs w:val="21"/>
          <w:highlight w:val="none"/>
          <w:lang w:val="en"/>
        </w:rPr>
      </w:pPr>
      <w:r>
        <w:rPr>
          <w:rFonts w:hint="eastAsia" w:ascii="宋体" w:hAnsi="宋体" w:eastAsia="宋体" w:cs="宋体"/>
          <w:color w:val="auto"/>
          <w:sz w:val="21"/>
          <w:szCs w:val="21"/>
          <w:highlight w:val="none"/>
          <w:lang w:val="en"/>
        </w:rPr>
        <w:t>根据202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年</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
        </w:rPr>
        <w:t>全区生态环境监测方案</w:t>
      </w:r>
      <w:r>
        <w:rPr>
          <w:rFonts w:hint="eastAsia" w:ascii="宋体" w:hAnsi="宋体" w:eastAsia="宋体" w:cs="宋体"/>
          <w:color w:val="auto"/>
          <w:sz w:val="21"/>
          <w:szCs w:val="21"/>
          <w:highlight w:val="none"/>
          <w:lang w:val="en" w:eastAsia="zh-CN"/>
        </w:rPr>
        <w:t>》要求</w:t>
      </w:r>
      <w:r>
        <w:rPr>
          <w:rFonts w:hint="eastAsia" w:ascii="宋体" w:hAnsi="宋体" w:eastAsia="宋体" w:cs="宋体"/>
          <w:color w:val="auto"/>
          <w:sz w:val="21"/>
          <w:szCs w:val="21"/>
          <w:highlight w:val="none"/>
          <w:lang w:val="en"/>
        </w:rPr>
        <w:t>，完成</w:t>
      </w:r>
      <w:r>
        <w:rPr>
          <w:rFonts w:hint="eastAsia" w:ascii="宋体" w:hAnsi="宋体" w:cs="宋体"/>
          <w:color w:val="auto"/>
          <w:sz w:val="21"/>
          <w:szCs w:val="21"/>
          <w:highlight w:val="none"/>
          <w:lang w:val="en" w:eastAsia="zh-CN"/>
        </w:rPr>
        <w:t>贺州市平桂生态环境局</w:t>
      </w:r>
      <w:r>
        <w:rPr>
          <w:rFonts w:hint="eastAsia" w:ascii="宋体" w:hAnsi="宋体" w:eastAsia="宋体" w:cs="宋体"/>
          <w:color w:val="auto"/>
          <w:sz w:val="21"/>
          <w:szCs w:val="21"/>
          <w:highlight w:val="none"/>
          <w:lang w:val="en"/>
        </w:rPr>
        <w:t>监测事权对应的监测事项，202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年</w:t>
      </w:r>
      <w:r>
        <w:rPr>
          <w:rFonts w:hint="eastAsia" w:ascii="宋体" w:hAnsi="宋体" w:cs="宋体"/>
          <w:color w:val="auto"/>
          <w:sz w:val="21"/>
          <w:szCs w:val="21"/>
          <w:highlight w:val="none"/>
          <w:lang w:val="en" w:eastAsia="zh-CN"/>
        </w:rPr>
        <w:t>贺州市平桂生</w:t>
      </w:r>
      <w:r>
        <w:rPr>
          <w:rFonts w:hint="eastAsia" w:ascii="宋体" w:hAnsi="宋体" w:eastAsia="宋体" w:cs="宋体"/>
          <w:color w:val="auto"/>
          <w:sz w:val="21"/>
          <w:szCs w:val="21"/>
          <w:highlight w:val="none"/>
          <w:lang w:val="en" w:eastAsia="zh-CN"/>
        </w:rPr>
        <w:t>态环境局委托</w:t>
      </w:r>
      <w:r>
        <w:rPr>
          <w:rFonts w:hint="eastAsia" w:ascii="宋体" w:hAnsi="宋体" w:eastAsia="宋体" w:cs="宋体"/>
          <w:color w:val="auto"/>
          <w:sz w:val="21"/>
          <w:szCs w:val="21"/>
          <w:highlight w:val="none"/>
          <w:lang w:val="en"/>
        </w:rPr>
        <w:t>监测事项具体包括</w:t>
      </w:r>
      <w:r>
        <w:rPr>
          <w:rFonts w:hint="eastAsia" w:ascii="宋体" w:hAnsi="宋体" w:eastAsia="宋体" w:cs="宋体"/>
          <w:color w:val="auto"/>
          <w:sz w:val="21"/>
          <w:szCs w:val="21"/>
          <w:highlight w:val="none"/>
          <w:lang w:val="en-US" w:eastAsia="zh-CN"/>
        </w:rPr>
        <w:t>污染源执法监测、重点区域、重点入河排污口监督性监测，黑臭水体监测，</w:t>
      </w:r>
      <w:r>
        <w:rPr>
          <w:rFonts w:hint="eastAsia" w:ascii="宋体" w:hAnsi="宋体" w:eastAsia="宋体" w:cs="宋体"/>
          <w:color w:val="auto"/>
          <w:sz w:val="21"/>
          <w:szCs w:val="21"/>
          <w:highlight w:val="none"/>
          <w:lang w:val="zh-CN" w:eastAsia="zh-CN"/>
        </w:rPr>
        <w:t>农村污水处理设施排放口监测</w:t>
      </w:r>
      <w:r>
        <w:rPr>
          <w:rFonts w:hint="eastAsia" w:ascii="宋体" w:hAnsi="宋体" w:eastAsia="宋体" w:cs="宋体"/>
          <w:color w:val="auto"/>
          <w:sz w:val="21"/>
          <w:szCs w:val="21"/>
          <w:highlight w:val="none"/>
          <w:lang w:val="en-US" w:eastAsia="zh-CN"/>
        </w:rPr>
        <w:t>、重点河流断面水环境监测、乡镇和农村集中式饮用水水源地监测、声环境质量监测、</w:t>
      </w:r>
      <w:r>
        <w:rPr>
          <w:rFonts w:hint="eastAsia" w:ascii="宋体" w:hAnsi="宋体" w:cs="宋体"/>
          <w:color w:val="auto"/>
          <w:sz w:val="21"/>
          <w:szCs w:val="21"/>
          <w:highlight w:val="none"/>
          <w:lang w:val="en-US" w:eastAsia="zh-CN"/>
        </w:rPr>
        <w:t>涉</w:t>
      </w:r>
      <w:r>
        <w:rPr>
          <w:rFonts w:hint="eastAsia" w:ascii="宋体" w:hAnsi="宋体" w:eastAsia="宋体" w:cs="宋体"/>
          <w:color w:val="auto"/>
          <w:sz w:val="21"/>
          <w:szCs w:val="21"/>
          <w:highlight w:val="none"/>
          <w:lang w:val="en-US" w:eastAsia="zh-CN"/>
        </w:rPr>
        <w:t>镉等重金属矿区</w:t>
      </w:r>
      <w:r>
        <w:rPr>
          <w:rFonts w:hint="eastAsia" w:ascii="宋体" w:hAnsi="宋体" w:cs="宋体"/>
          <w:color w:val="auto"/>
          <w:sz w:val="21"/>
          <w:szCs w:val="21"/>
          <w:highlight w:val="none"/>
          <w:lang w:val="en-US" w:eastAsia="zh-CN"/>
        </w:rPr>
        <w:t>环境监测、</w:t>
      </w:r>
      <w:r>
        <w:rPr>
          <w:rFonts w:hint="eastAsia" w:ascii="宋体" w:hAnsi="宋体" w:eastAsia="宋体" w:cs="宋体"/>
          <w:color w:val="auto"/>
          <w:sz w:val="21"/>
          <w:szCs w:val="21"/>
          <w:highlight w:val="none"/>
          <w:lang w:val="en-US" w:eastAsia="zh-CN"/>
        </w:rPr>
        <w:t>环境违法案件取证监测、环境信访投诉取证监测和突发应急监测（突发环境事件前期的应急监测）等</w:t>
      </w:r>
      <w:r>
        <w:rPr>
          <w:rFonts w:hint="eastAsia" w:ascii="宋体" w:hAnsi="宋体" w:eastAsia="宋体" w:cs="宋体"/>
          <w:color w:val="auto"/>
          <w:sz w:val="21"/>
          <w:szCs w:val="21"/>
          <w:highlight w:val="none"/>
          <w:lang w:val="en"/>
        </w:rPr>
        <w:t>。</w:t>
      </w:r>
    </w:p>
    <w:tbl>
      <w:tblPr>
        <w:tblStyle w:val="3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990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top"/>
          </w:tcPr>
          <w:p w14:paraId="0E2038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技术</w:t>
            </w:r>
            <w:r>
              <w:rPr>
                <w:rFonts w:hint="eastAsia" w:ascii="宋体" w:hAnsi="宋体" w:eastAsia="宋体" w:cs="宋体"/>
                <w:b/>
                <w:bCs/>
                <w:color w:val="auto"/>
                <w:sz w:val="21"/>
                <w:szCs w:val="21"/>
                <w:highlight w:val="none"/>
                <w:lang w:val="en-US" w:eastAsia="zh-CN"/>
              </w:rPr>
              <w:t>条款要求</w:t>
            </w:r>
          </w:p>
        </w:tc>
      </w:tr>
      <w:tr w14:paraId="3777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9288" w:type="dxa"/>
            <w:vAlign w:val="top"/>
          </w:tcPr>
          <w:p w14:paraId="7AC29F9A">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sz w:val="21"/>
                <w:szCs w:val="21"/>
                <w:highlight w:val="none"/>
                <w:lang w:val="en"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一、服务要求</w:t>
            </w:r>
          </w:p>
          <w:p w14:paraId="41CA5A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所有监测事项工作</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按照相关监测技术规范执行</w:t>
            </w:r>
            <w:r>
              <w:rPr>
                <w:rFonts w:hint="eastAsia" w:ascii="宋体" w:hAnsi="宋体" w:eastAsia="宋体" w:cs="宋体"/>
                <w:color w:val="auto"/>
                <w:sz w:val="21"/>
                <w:szCs w:val="21"/>
                <w:highlight w:val="none"/>
              </w:rPr>
              <w:t>。</w:t>
            </w:r>
          </w:p>
          <w:p w14:paraId="77EC2B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
              </w:rPr>
              <w:t>2.</w:t>
            </w:r>
            <w:r>
              <w:rPr>
                <w:rFonts w:hint="eastAsia" w:ascii="宋体" w:hAnsi="宋体" w:eastAsia="宋体" w:cs="宋体"/>
                <w:color w:val="auto"/>
                <w:sz w:val="21"/>
                <w:szCs w:val="21"/>
                <w:highlight w:val="none"/>
              </w:rPr>
              <w:t>所有监测报告中需列出排放限值、监测点位名称及经纬度</w:t>
            </w:r>
            <w:r>
              <w:rPr>
                <w:rFonts w:hint="eastAsia" w:ascii="宋体" w:hAnsi="宋体" w:eastAsia="宋体" w:cs="宋体"/>
                <w:color w:val="auto"/>
                <w:sz w:val="21"/>
                <w:szCs w:val="21"/>
                <w:highlight w:val="none"/>
                <w:lang w:eastAsia="zh-CN"/>
              </w:rPr>
              <w:t>。</w:t>
            </w:r>
          </w:p>
          <w:p w14:paraId="38F7CA7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 w:eastAsia="zh-CN"/>
              </w:rPr>
              <w:t>3.</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需求表</w:t>
            </w:r>
            <w:r>
              <w:rPr>
                <w:rFonts w:hint="eastAsia" w:ascii="宋体" w:hAnsi="宋体" w:eastAsia="宋体" w:cs="宋体"/>
                <w:color w:val="auto"/>
                <w:sz w:val="21"/>
                <w:szCs w:val="21"/>
                <w:highlight w:val="none"/>
                <w:lang w:val="en-US" w:eastAsia="zh-CN"/>
              </w:rPr>
              <w:t>中监测频次为“</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val="en" w:eastAsia="zh-CN"/>
              </w:rPr>
              <w:t>/季度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 w:eastAsia="zh-CN"/>
              </w:rPr>
              <w:t>的</w:t>
            </w:r>
            <w:r>
              <w:rPr>
                <w:rFonts w:hint="eastAsia" w:ascii="宋体" w:hAnsi="宋体" w:eastAsia="宋体" w:cs="宋体"/>
                <w:color w:val="auto"/>
                <w:sz w:val="21"/>
                <w:szCs w:val="21"/>
                <w:highlight w:val="none"/>
              </w:rPr>
              <w:t>监测事项</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年第</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季度和</w:t>
            </w:r>
            <w:r>
              <w:rPr>
                <w:rFonts w:hint="eastAsia" w:ascii="宋体" w:hAnsi="宋体" w:eastAsia="宋体" w:cs="宋体"/>
                <w:color w:val="auto"/>
                <w:sz w:val="21"/>
                <w:szCs w:val="21"/>
                <w:highlight w:val="none"/>
                <w:lang w:val="en" w:eastAsia="zh-CN"/>
              </w:rPr>
              <w:t>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年第</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季度各监测一</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lang w:val="en-US" w:eastAsia="zh-CN"/>
              </w:rPr>
              <w:t>在每个季度末月5号前出具监测报告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监测频次为“</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val="en-US" w:eastAsia="zh-CN"/>
              </w:rPr>
              <w:t>/年”的</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lang w:val="en-US" w:eastAsia="zh-CN"/>
              </w:rPr>
              <w:t>在10月底前出具监测报告。若有调整则以</w:t>
            </w:r>
            <w:r>
              <w:rPr>
                <w:rFonts w:hint="eastAsia" w:ascii="宋体" w:hAnsi="宋体" w:cs="宋体"/>
                <w:color w:val="auto"/>
                <w:sz w:val="21"/>
                <w:szCs w:val="21"/>
                <w:highlight w:val="none"/>
                <w:lang w:val="en-US" w:eastAsia="zh-CN"/>
              </w:rPr>
              <w:t>贺州市平桂生态环境局</w:t>
            </w:r>
            <w:r>
              <w:rPr>
                <w:rFonts w:hint="eastAsia" w:ascii="宋体" w:hAnsi="宋体" w:eastAsia="宋体" w:cs="宋体"/>
                <w:color w:val="auto"/>
                <w:sz w:val="21"/>
                <w:szCs w:val="21"/>
                <w:highlight w:val="none"/>
                <w:lang w:val="en-US" w:eastAsia="zh-CN"/>
              </w:rPr>
              <w:t>的实际通知为准。</w:t>
            </w:r>
          </w:p>
          <w:p w14:paraId="3115C18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4.</w:t>
            </w:r>
            <w:r>
              <w:rPr>
                <w:rFonts w:hint="eastAsia" w:ascii="宋体" w:hAnsi="宋体" w:eastAsia="宋体" w:cs="宋体"/>
                <w:color w:val="auto"/>
                <w:sz w:val="21"/>
                <w:szCs w:val="21"/>
                <w:highlight w:val="none"/>
              </w:rPr>
              <w:t>现场采样完成后须在15天内出具监测报告，</w:t>
            </w:r>
            <w:r>
              <w:rPr>
                <w:rFonts w:hint="eastAsia" w:ascii="宋体" w:hAnsi="宋体" w:eastAsia="宋体" w:cs="宋体"/>
                <w:color w:val="auto"/>
                <w:sz w:val="21"/>
                <w:szCs w:val="21"/>
                <w:highlight w:val="none"/>
                <w:lang w:val="en-US" w:eastAsia="zh-CN"/>
              </w:rPr>
              <w:t>并将</w:t>
            </w:r>
            <w:r>
              <w:rPr>
                <w:rFonts w:hint="eastAsia" w:ascii="宋体" w:hAnsi="宋体" w:eastAsia="宋体" w:cs="宋体"/>
                <w:color w:val="auto"/>
                <w:sz w:val="21"/>
                <w:szCs w:val="21"/>
                <w:highlight w:val="none"/>
              </w:rPr>
              <w:t>监测报告</w:t>
            </w:r>
            <w:r>
              <w:rPr>
                <w:rFonts w:hint="eastAsia" w:ascii="宋体" w:hAnsi="宋体" w:eastAsia="宋体" w:cs="宋体"/>
                <w:color w:val="auto"/>
                <w:sz w:val="21"/>
                <w:szCs w:val="21"/>
                <w:highlight w:val="none"/>
                <w:lang w:val="en-US" w:eastAsia="zh-CN"/>
              </w:rPr>
              <w:t>的电子版、</w:t>
            </w:r>
            <w:r>
              <w:rPr>
                <w:rFonts w:hint="eastAsia" w:ascii="宋体" w:hAnsi="宋体" w:eastAsia="宋体" w:cs="宋体"/>
                <w:color w:val="auto"/>
                <w:sz w:val="21"/>
                <w:szCs w:val="21"/>
                <w:highlight w:val="none"/>
              </w:rPr>
              <w:t>扫描件</w:t>
            </w:r>
            <w:r>
              <w:rPr>
                <w:rFonts w:hint="eastAsia" w:ascii="宋体" w:hAnsi="宋体" w:eastAsia="宋体" w:cs="宋体"/>
                <w:color w:val="auto"/>
                <w:sz w:val="21"/>
                <w:szCs w:val="21"/>
                <w:highlight w:val="none"/>
                <w:lang w:val="en-US" w:eastAsia="zh-CN"/>
              </w:rPr>
              <w:t>及纸质版交</w:t>
            </w:r>
            <w:r>
              <w:rPr>
                <w:rFonts w:hint="eastAsia" w:ascii="宋体" w:hAnsi="宋体" w:cs="宋体"/>
                <w:color w:val="auto"/>
                <w:sz w:val="21"/>
                <w:szCs w:val="21"/>
                <w:highlight w:val="none"/>
                <w:lang w:eastAsia="zh-CN"/>
              </w:rPr>
              <w:t>贺州市平桂生态环境局</w:t>
            </w:r>
            <w:r>
              <w:rPr>
                <w:rFonts w:hint="eastAsia" w:ascii="宋体" w:hAnsi="宋体" w:eastAsia="宋体" w:cs="宋体"/>
                <w:color w:val="auto"/>
                <w:sz w:val="21"/>
                <w:szCs w:val="21"/>
                <w:highlight w:val="none"/>
                <w:lang w:eastAsia="zh-CN"/>
              </w:rPr>
              <w:t>。</w:t>
            </w:r>
          </w:p>
          <w:p w14:paraId="6000D5D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5.</w:t>
            </w:r>
            <w:r>
              <w:rPr>
                <w:rFonts w:hint="eastAsia" w:ascii="宋体" w:hAnsi="宋体" w:eastAsia="宋体" w:cs="宋体"/>
                <w:color w:val="auto"/>
                <w:sz w:val="21"/>
                <w:szCs w:val="21"/>
                <w:highlight w:val="none"/>
              </w:rPr>
              <w:t>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污染源执法监测</w:t>
            </w:r>
            <w:r>
              <w:rPr>
                <w:rFonts w:hint="eastAsia" w:ascii="宋体" w:hAnsi="宋体" w:eastAsia="宋体" w:cs="宋体"/>
                <w:color w:val="auto"/>
                <w:sz w:val="21"/>
                <w:szCs w:val="21"/>
                <w:highlight w:val="none"/>
              </w:rPr>
              <w:t>”须按照相关规定由被监测企业</w:t>
            </w:r>
            <w:r>
              <w:rPr>
                <w:rFonts w:hint="eastAsia" w:ascii="宋体" w:hAnsi="宋体" w:eastAsia="宋体" w:cs="宋体"/>
                <w:color w:val="auto"/>
                <w:sz w:val="21"/>
                <w:szCs w:val="21"/>
                <w:highlight w:val="none"/>
                <w:lang w:eastAsia="zh-CN"/>
              </w:rPr>
              <w:t>需配合检测公司</w:t>
            </w:r>
            <w:r>
              <w:rPr>
                <w:rFonts w:hint="eastAsia" w:ascii="宋体" w:hAnsi="宋体" w:eastAsia="宋体" w:cs="宋体"/>
                <w:color w:val="auto"/>
                <w:sz w:val="21"/>
                <w:szCs w:val="21"/>
                <w:highlight w:val="none"/>
              </w:rPr>
              <w:t>填写《监测现场调查表》和《国家重点污染源企业基本信息表》，并由在场的</w:t>
            </w:r>
            <w:r>
              <w:rPr>
                <w:rFonts w:hint="eastAsia" w:ascii="宋体" w:hAnsi="宋体" w:eastAsia="宋体" w:cs="宋体"/>
                <w:color w:val="auto"/>
                <w:sz w:val="21"/>
                <w:szCs w:val="21"/>
                <w:highlight w:val="none"/>
                <w:lang w:eastAsia="zh-CN"/>
              </w:rPr>
              <w:t>生态环境执法</w:t>
            </w:r>
            <w:r>
              <w:rPr>
                <w:rFonts w:hint="eastAsia" w:ascii="宋体" w:hAnsi="宋体" w:eastAsia="宋体" w:cs="宋体"/>
                <w:color w:val="auto"/>
                <w:sz w:val="21"/>
                <w:szCs w:val="21"/>
                <w:highlight w:val="none"/>
              </w:rPr>
              <w:t>人员签字见证，监测现场调查表与企业基本信息表须随监测报告一齐提交。</w:t>
            </w:r>
          </w:p>
          <w:p w14:paraId="4853281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
              </w:rPr>
              <w:t>6.</w:t>
            </w:r>
            <w:r>
              <w:rPr>
                <w:rFonts w:hint="eastAsia" w:ascii="宋体" w:hAnsi="宋体" w:eastAsia="宋体" w:cs="宋体"/>
                <w:color w:val="auto"/>
                <w:sz w:val="21"/>
                <w:szCs w:val="21"/>
                <w:highlight w:val="none"/>
                <w:lang w:val="en" w:eastAsia="zh-CN"/>
              </w:rPr>
              <w:t>通过竞争性磋商的方式择优选定202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eastAsia="zh-CN"/>
              </w:rPr>
              <w:t>年</w:t>
            </w:r>
            <w:r>
              <w:rPr>
                <w:rFonts w:hint="eastAsia" w:ascii="宋体" w:hAnsi="宋体" w:cs="宋体"/>
                <w:color w:val="auto"/>
                <w:sz w:val="21"/>
                <w:szCs w:val="21"/>
                <w:highlight w:val="none"/>
                <w:lang w:val="en" w:eastAsia="zh-CN"/>
              </w:rPr>
              <w:t>贺州市平桂生态环境局</w:t>
            </w:r>
            <w:r>
              <w:rPr>
                <w:rFonts w:hint="eastAsia" w:ascii="宋体" w:hAnsi="宋体" w:eastAsia="宋体" w:cs="宋体"/>
                <w:color w:val="auto"/>
                <w:sz w:val="21"/>
                <w:szCs w:val="21"/>
                <w:highlight w:val="none"/>
                <w:lang w:val="en" w:eastAsia="zh-CN"/>
              </w:rPr>
              <w:t>委托监测事项</w:t>
            </w:r>
            <w:r>
              <w:rPr>
                <w:rFonts w:hint="eastAsia" w:ascii="宋体" w:hAnsi="宋体" w:eastAsia="宋体" w:cs="宋体"/>
                <w:color w:val="auto"/>
                <w:sz w:val="21"/>
                <w:szCs w:val="21"/>
                <w:highlight w:val="none"/>
                <w:lang w:eastAsia="zh-CN"/>
              </w:rPr>
              <w:t>一家供应商。</w:t>
            </w:r>
          </w:p>
          <w:p w14:paraId="724B88E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各个子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分包的监测</w:t>
            </w:r>
            <w:r>
              <w:rPr>
                <w:rFonts w:hint="eastAsia" w:ascii="宋体" w:hAnsi="宋体" w:eastAsia="宋体" w:cs="宋体"/>
                <w:color w:val="auto"/>
                <w:sz w:val="21"/>
                <w:szCs w:val="21"/>
                <w:highlight w:val="none"/>
                <w:lang w:eastAsia="zh-CN"/>
              </w:rPr>
              <w:t>项目数量</w:t>
            </w:r>
            <w:r>
              <w:rPr>
                <w:rFonts w:hint="eastAsia" w:ascii="宋体" w:hAnsi="宋体" w:eastAsia="宋体" w:cs="宋体"/>
                <w:color w:val="auto"/>
                <w:sz w:val="21"/>
                <w:szCs w:val="21"/>
                <w:highlight w:val="none"/>
              </w:rPr>
              <w:t>不得超过子</w:t>
            </w:r>
            <w:r>
              <w:rPr>
                <w:rFonts w:hint="eastAsia" w:ascii="宋体" w:hAnsi="宋体" w:eastAsia="宋体" w:cs="宋体"/>
                <w:color w:val="auto"/>
                <w:sz w:val="21"/>
                <w:szCs w:val="21"/>
                <w:highlight w:val="none"/>
                <w:lang w:eastAsia="zh-CN"/>
              </w:rPr>
              <w:t>任务</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eastAsia="zh-CN"/>
              </w:rPr>
              <w:t>项目总量的</w:t>
            </w:r>
            <w:r>
              <w:rPr>
                <w:rFonts w:hint="eastAsia" w:ascii="宋体" w:hAnsi="宋体" w:eastAsia="宋体" w:cs="宋体"/>
                <w:color w:val="auto"/>
                <w:sz w:val="21"/>
                <w:szCs w:val="21"/>
                <w:highlight w:val="none"/>
                <w:lang w:val="en" w:eastAsia="zh-CN"/>
              </w:rPr>
              <w:t>20</w:t>
            </w:r>
            <w:r>
              <w:rPr>
                <w:rFonts w:hint="eastAsia" w:ascii="宋体" w:hAnsi="宋体" w:eastAsia="宋体" w:cs="宋体"/>
                <w:color w:val="auto"/>
                <w:sz w:val="21"/>
                <w:szCs w:val="21"/>
                <w:highlight w:val="none"/>
              </w:rPr>
              <w:t>%。</w:t>
            </w:r>
          </w:p>
          <w:p w14:paraId="2F6ABDE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突发应急监测</w:t>
            </w:r>
            <w:r>
              <w:rPr>
                <w:rFonts w:hint="eastAsia" w:ascii="宋体" w:hAnsi="宋体" w:eastAsia="宋体" w:cs="宋体"/>
                <w:color w:val="auto"/>
                <w:sz w:val="21"/>
                <w:szCs w:val="21"/>
                <w:highlight w:val="none"/>
                <w:lang w:eastAsia="zh-CN"/>
              </w:rPr>
              <w:t>与违法案件执法监测的</w:t>
            </w:r>
            <w:r>
              <w:rPr>
                <w:rFonts w:hint="eastAsia" w:ascii="宋体" w:hAnsi="宋体" w:eastAsia="宋体" w:cs="宋体"/>
                <w:color w:val="auto"/>
                <w:sz w:val="21"/>
                <w:szCs w:val="21"/>
                <w:highlight w:val="none"/>
              </w:rPr>
              <w:t>响应时间，不得超过</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分钟到达现场。</w:t>
            </w:r>
          </w:p>
          <w:p w14:paraId="253BCF0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监测采样开展前，需与监测任务涉及的</w:t>
            </w:r>
            <w:r>
              <w:rPr>
                <w:rFonts w:hint="eastAsia" w:ascii="宋体" w:hAnsi="宋体" w:cs="宋体"/>
                <w:color w:val="auto"/>
                <w:sz w:val="21"/>
                <w:szCs w:val="21"/>
                <w:highlight w:val="none"/>
                <w:lang w:eastAsia="zh-CN"/>
              </w:rPr>
              <w:t>贺州市平桂生态环境局</w:t>
            </w:r>
            <w:r>
              <w:rPr>
                <w:rFonts w:hint="eastAsia" w:ascii="宋体" w:hAnsi="宋体" w:eastAsia="宋体" w:cs="宋体"/>
                <w:color w:val="auto"/>
                <w:sz w:val="21"/>
                <w:szCs w:val="21"/>
                <w:highlight w:val="none"/>
              </w:rPr>
              <w:t>核实监测事项、监测点位、监测项目、监测频次等信息，若有调整则以实际通知为准。</w:t>
            </w:r>
          </w:p>
          <w:p w14:paraId="057F25A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为保证监测数据质量，</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人应接受采购人定期或不定期监督或考核（包括现场采样和实验室分析监督、采样及原始记录抽查、盲样考核等）。</w:t>
            </w:r>
          </w:p>
          <w:p w14:paraId="6EE7B57B">
            <w:pPr>
              <w:pStyle w:val="13"/>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kern w:val="2"/>
                <w:sz w:val="21"/>
                <w:szCs w:val="21"/>
                <w:highlight w:val="none"/>
                <w:lang w:val="en" w:eastAsia="zh-CN" w:bidi="ar-SA"/>
              </w:rPr>
            </w:pPr>
            <w:r>
              <w:rPr>
                <w:rFonts w:hint="eastAsia" w:ascii="宋体" w:hAnsi="宋体" w:eastAsia="宋体" w:cs="宋体"/>
                <w:color w:val="auto"/>
                <w:kern w:val="2"/>
                <w:sz w:val="21"/>
                <w:szCs w:val="21"/>
                <w:highlight w:val="none"/>
                <w:lang w:val="en-US" w:eastAsia="zh-CN" w:bidi="ar-SA"/>
              </w:rPr>
              <w:t>11.所有监测事项应及时提交</w:t>
            </w:r>
            <w:r>
              <w:rPr>
                <w:rFonts w:hint="eastAsia" w:ascii="宋体" w:hAnsi="宋体" w:eastAsia="宋体" w:cs="宋体"/>
                <w:color w:val="auto"/>
                <w:kern w:val="2"/>
                <w:sz w:val="21"/>
                <w:szCs w:val="21"/>
                <w:highlight w:val="none"/>
                <w:lang w:val="en" w:eastAsia="zh-CN" w:bidi="ar-SA"/>
              </w:rPr>
              <w:t>监测报告（成果），同时提交整个监测过程的原始记录复印件或扫描件作为监测报告的附件，并确认与原件一致。</w:t>
            </w:r>
          </w:p>
          <w:p w14:paraId="0F29124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12.本项目共划分为2个分标，每个分标拟采购1名供应商。供应商可对全部标段进行投标，也可对其中一个标段进行投标，最多可中一个标段。已在前一个标段推荐为第一成交候选人的供应商不进行下一个标段的资格评审。评审顺序为标项1→标项2单独评审。1分标内容为：环境质量监测，预算金额为12万元；2分标内容为执法及应急监测，预算金额为47万元</w:t>
            </w:r>
            <w:r>
              <w:rPr>
                <w:rFonts w:hint="eastAsia" w:ascii="宋体" w:hAnsi="宋体" w:cs="宋体"/>
                <w:color w:val="auto"/>
                <w:kern w:val="2"/>
                <w:sz w:val="21"/>
                <w:szCs w:val="21"/>
                <w:highlight w:val="none"/>
                <w:lang w:val="en-US" w:eastAsia="zh-CN" w:bidi="ar-SA"/>
              </w:rPr>
              <w:t>（具体工作内容详见附件1）。</w:t>
            </w:r>
          </w:p>
          <w:p w14:paraId="0C5AA342">
            <w:pPr>
              <w:pStyle w:val="13"/>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lang w:val="en-US" w:eastAsia="zh-CN"/>
              </w:rPr>
              <w:t>实验场所、设备、人员等</w:t>
            </w:r>
            <w:r>
              <w:rPr>
                <w:rFonts w:hint="eastAsia" w:ascii="宋体" w:hAnsi="宋体" w:eastAsia="宋体" w:cs="宋体"/>
                <w:b/>
                <w:bCs/>
                <w:color w:val="auto"/>
                <w:kern w:val="2"/>
                <w:sz w:val="21"/>
                <w:szCs w:val="21"/>
                <w:highlight w:val="none"/>
                <w:lang w:val="en-US" w:eastAsia="zh-CN" w:bidi="ar-SA"/>
              </w:rPr>
              <w:t>要求</w:t>
            </w:r>
          </w:p>
          <w:p w14:paraId="0B06610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1、实验场所、设备、人员等需满足检验检测机构资质认定能力评价检验检测机构通用要求（RB/T214）及检验检测机构资质认定生态环境监测机构评审补充要求。</w:t>
            </w:r>
          </w:p>
          <w:p w14:paraId="23E66B4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（1）供应商取得检验检测机构资质认定证书（CMA），并在有效期范围内（提供资质证书复印件）。</w:t>
            </w:r>
          </w:p>
          <w:p w14:paraId="2D06791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配备数量充足、技术指标符合相关检测方法要求的各类主要检测仪器设备。与检测结果的准确性和有效性相关的仪器设备在投入使用前，必须进行量值溯源，并保持其在有效期内。</w:t>
            </w:r>
          </w:p>
          <w:p w14:paraId="19F239D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供应商应具有承担本项目监测任务相关的技术人员和管理人员，数量和能力应满足本项目检测任务的需要。</w:t>
            </w:r>
          </w:p>
          <w:p w14:paraId="3146746D">
            <w:pPr>
              <w:pStyle w:val="49"/>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人员岗位设置及配备包括项目负责人、质量监督员、现场监测采样负责人、监测技术人员。</w:t>
            </w:r>
          </w:p>
          <w:p w14:paraId="66DE528D">
            <w:pPr>
              <w:pStyle w:val="49"/>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项目负责人须具备中级</w:t>
            </w:r>
            <w:r>
              <w:rPr>
                <w:rFonts w:hint="eastAsia" w:ascii="宋体" w:hAnsi="宋体" w:eastAsia="宋体" w:cs="宋体"/>
                <w:color w:val="auto"/>
                <w:sz w:val="21"/>
                <w:szCs w:val="21"/>
                <w:highlight w:val="none"/>
              </w:rPr>
              <w:t>及以上职称</w:t>
            </w:r>
            <w:r>
              <w:rPr>
                <w:rFonts w:hint="eastAsia" w:ascii="宋体" w:hAnsi="宋体" w:eastAsia="宋体" w:cs="宋体"/>
                <w:color w:val="auto"/>
                <w:sz w:val="21"/>
                <w:szCs w:val="21"/>
                <w:highlight w:val="none"/>
                <w:lang w:eastAsia="zh-CN"/>
              </w:rPr>
              <w:t>。</w:t>
            </w:r>
          </w:p>
          <w:p w14:paraId="2A38BD8B">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注：以上人员不能为同一个人且必须为磋商供应商本单位人员（提交近半年内以来任意1个月在本单位的社保证明）</w:t>
            </w:r>
          </w:p>
        </w:tc>
      </w:tr>
      <w:tr w14:paraId="2522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top"/>
          </w:tcPr>
          <w:p w14:paraId="1003474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商务条款要求</w:t>
            </w:r>
          </w:p>
        </w:tc>
      </w:tr>
      <w:tr w14:paraId="479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top"/>
          </w:tcPr>
          <w:p w14:paraId="754178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 xml:space="preserve">通知书发出之日起 </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w:t>
            </w:r>
            <w:r>
              <w:rPr>
                <w:rFonts w:hint="eastAsia" w:ascii="宋体" w:hAnsi="宋体" w:cs="宋体"/>
                <w:color w:val="auto"/>
                <w:szCs w:val="21"/>
                <w:highlight w:val="none"/>
                <w:lang w:eastAsia="zh-CN"/>
              </w:rPr>
              <w:t>。</w:t>
            </w:r>
          </w:p>
          <w:p w14:paraId="31DFFB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二、</w:t>
            </w:r>
            <w:r>
              <w:rPr>
                <w:rFonts w:hint="eastAsia" w:ascii="宋体" w:hAnsi="宋体" w:cs="宋体"/>
                <w:b/>
                <w:bCs/>
                <w:color w:val="auto"/>
                <w:szCs w:val="21"/>
                <w:highlight w:val="none"/>
                <w:lang w:val="en-US" w:eastAsia="zh-CN"/>
              </w:rPr>
              <w:t>合同履行期</w:t>
            </w:r>
            <w:r>
              <w:rPr>
                <w:rFonts w:hint="eastAsia" w:ascii="宋体" w:hAnsi="宋体" w:eastAsia="宋体" w:cs="宋体"/>
                <w:b/>
                <w:bCs/>
                <w:color w:val="auto"/>
                <w:szCs w:val="21"/>
                <w:highlight w:val="none"/>
                <w:lang w:val="en-US" w:eastAsia="zh-CN"/>
              </w:rPr>
              <w:t>限：</w:t>
            </w:r>
            <w:r>
              <w:rPr>
                <w:rFonts w:hint="eastAsia" w:ascii="宋体" w:hAnsi="宋体" w:cs="宋体"/>
                <w:color w:val="auto"/>
                <w:highlight w:val="none"/>
                <w:u w:val="none"/>
                <w:lang w:eastAsia="zh-CN"/>
              </w:rPr>
              <w:t>一年，具体时间在签订合同时确定</w:t>
            </w:r>
            <w:r>
              <w:rPr>
                <w:rFonts w:hint="eastAsia" w:ascii="宋体" w:hAnsi="宋体" w:eastAsia="宋体" w:cs="宋体"/>
                <w:color w:val="auto"/>
                <w:szCs w:val="21"/>
                <w:highlight w:val="none"/>
                <w:lang w:val="en-US" w:eastAsia="zh-CN"/>
              </w:rPr>
              <w:t>。</w:t>
            </w:r>
          </w:p>
          <w:p w14:paraId="6244A3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三、提交最终服务成果及地点：</w:t>
            </w:r>
          </w:p>
          <w:p w14:paraId="3686E7E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服务地点：</w:t>
            </w:r>
            <w:r>
              <w:rPr>
                <w:rFonts w:hint="eastAsia" w:ascii="宋体" w:hAnsi="宋体" w:cs="宋体"/>
                <w:color w:val="auto"/>
                <w:szCs w:val="21"/>
                <w:highlight w:val="none"/>
                <w:lang w:val="en-US" w:eastAsia="zh-CN"/>
              </w:rPr>
              <w:t>贺州市平桂区</w:t>
            </w:r>
          </w:p>
          <w:p w14:paraId="6D2CB9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提交服务成果时间：各监测任务分别出具监测报告，提交总成果报告至采购方。</w:t>
            </w:r>
          </w:p>
          <w:p w14:paraId="3663905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b/>
                <w:bCs/>
                <w:color w:val="auto"/>
                <w:szCs w:val="21"/>
                <w:highlight w:val="none"/>
                <w:lang w:val="en-US" w:eastAsia="zh-CN"/>
              </w:rPr>
              <w:t>四、响应时间：</w:t>
            </w:r>
            <w:r>
              <w:rPr>
                <w:rFonts w:hint="eastAsia" w:ascii="宋体" w:hAnsi="宋体" w:eastAsia="宋体" w:cs="宋体"/>
                <w:color w:val="auto"/>
                <w:szCs w:val="21"/>
                <w:highlight w:val="none"/>
                <w:lang w:val="en-US" w:eastAsia="zh-CN"/>
              </w:rPr>
              <w:t>在服务期内，如发生应急事件，在接到采购方通知后2小时内响应并到达现场解决（并提供承诺书）。</w:t>
            </w:r>
          </w:p>
          <w:p w14:paraId="6EE82E0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结算</w:t>
            </w:r>
            <w:r>
              <w:rPr>
                <w:rFonts w:hint="eastAsia" w:ascii="宋体" w:hAnsi="宋体" w:cs="宋体"/>
                <w:b/>
                <w:bCs/>
                <w:color w:val="auto"/>
                <w:szCs w:val="21"/>
                <w:highlight w:val="none"/>
              </w:rPr>
              <w:t>及付款</w:t>
            </w:r>
          </w:p>
          <w:p w14:paraId="70DFEE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（1）付款方式</w:t>
            </w:r>
            <w:r>
              <w:rPr>
                <w:rFonts w:hint="eastAsia" w:ascii="宋体" w:hAnsi="宋体" w:cs="宋体"/>
                <w:color w:val="auto"/>
                <w:szCs w:val="21"/>
                <w:highlight w:val="none"/>
                <w:lang w:eastAsia="zh-CN"/>
              </w:rPr>
              <w:t>及付款条件</w:t>
            </w:r>
            <w:r>
              <w:rPr>
                <w:rFonts w:hint="eastAsia" w:ascii="宋体" w:hAnsi="宋体" w:cs="宋体"/>
                <w:color w:val="auto"/>
                <w:szCs w:val="21"/>
                <w:highlight w:val="none"/>
              </w:rPr>
              <w:t>：</w:t>
            </w:r>
          </w:p>
          <w:p w14:paraId="707340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①签订合同后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日内，采购人向</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lang w:eastAsia="zh-CN"/>
              </w:rPr>
              <w:t>预付</w:t>
            </w:r>
            <w:r>
              <w:rPr>
                <w:rFonts w:hint="eastAsia" w:ascii="宋体" w:hAnsi="宋体" w:eastAsia="宋体" w:cs="宋体"/>
                <w:color w:val="auto"/>
                <w:szCs w:val="21"/>
                <w:highlight w:val="none"/>
              </w:rPr>
              <w:t>合同金额的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p>
          <w:p w14:paraId="5587FF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采购人收到供应商验收申请后5个工作日内组织开展履约验收，每个季度根据成交供应商</w:t>
            </w:r>
            <w:r>
              <w:rPr>
                <w:rFonts w:hint="default" w:ascii="宋体" w:hAnsi="宋体" w:eastAsia="宋体" w:cs="宋体"/>
                <w:color w:val="auto"/>
                <w:szCs w:val="21"/>
                <w:highlight w:val="none"/>
                <w:lang w:val="en-US" w:eastAsia="zh-CN"/>
              </w:rPr>
              <w:t>实际完成</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监测任务</w:t>
            </w:r>
            <w:r>
              <w:rPr>
                <w:rFonts w:hint="eastAsia" w:ascii="宋体" w:hAnsi="宋体" w:eastAsia="宋体" w:cs="宋体"/>
                <w:color w:val="auto"/>
                <w:szCs w:val="21"/>
                <w:highlight w:val="none"/>
                <w:lang w:val="en-US" w:eastAsia="zh-CN"/>
              </w:rPr>
              <w:t>，进行验收</w:t>
            </w:r>
            <w:r>
              <w:rPr>
                <w:rFonts w:hint="default"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en-US" w:eastAsia="zh-CN"/>
              </w:rPr>
              <w:t>，通过验收后，支付当个季度的合同金额。在收到成交供应商</w:t>
            </w:r>
            <w:r>
              <w:rPr>
                <w:rFonts w:hint="default"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付款申请</w:t>
            </w:r>
            <w:r>
              <w:rPr>
                <w:rFonts w:hint="eastAsia" w:ascii="宋体" w:hAnsi="宋体" w:eastAsia="宋体" w:cs="宋体"/>
                <w:color w:val="auto"/>
                <w:szCs w:val="21"/>
                <w:highlight w:val="none"/>
                <w:lang w:val="en-US" w:eastAsia="zh-CN"/>
              </w:rPr>
              <w:t>、发票</w:t>
            </w:r>
            <w:r>
              <w:rPr>
                <w:rFonts w:hint="default" w:ascii="宋体" w:hAnsi="宋体" w:eastAsia="宋体" w:cs="宋体"/>
                <w:color w:val="auto"/>
                <w:szCs w:val="21"/>
                <w:highlight w:val="none"/>
                <w:lang w:val="en-US" w:eastAsia="zh-CN"/>
              </w:rPr>
              <w:t>及相关符合要求的请款材料</w:t>
            </w:r>
            <w:r>
              <w:rPr>
                <w:rFonts w:hint="eastAsia" w:ascii="宋体" w:hAnsi="宋体" w:eastAsia="宋体" w:cs="宋体"/>
                <w:color w:val="auto"/>
                <w:szCs w:val="21"/>
                <w:highlight w:val="none"/>
                <w:lang w:val="en-US" w:eastAsia="zh-CN"/>
              </w:rPr>
              <w:t>后10个工作日内将资金支付到合同约定的供应商账户，</w:t>
            </w:r>
            <w:r>
              <w:rPr>
                <w:rFonts w:hint="eastAsia" w:ascii="宋体" w:hAnsi="宋体" w:eastAsia="宋体" w:cs="宋体"/>
                <w:b/>
                <w:bCs/>
                <w:color w:val="auto"/>
                <w:szCs w:val="21"/>
                <w:highlight w:val="none"/>
                <w:lang w:val="en-US" w:eastAsia="zh-CN"/>
              </w:rPr>
              <w:t>每个季度的结算金额=实际</w:t>
            </w:r>
            <w:r>
              <w:rPr>
                <w:rFonts w:hint="default" w:ascii="宋体" w:hAnsi="宋体" w:eastAsia="宋体" w:cs="宋体"/>
                <w:b/>
                <w:bCs/>
                <w:color w:val="auto"/>
                <w:szCs w:val="21"/>
                <w:highlight w:val="none"/>
                <w:lang w:val="en-US" w:eastAsia="zh-CN"/>
              </w:rPr>
              <w:t>完成</w:t>
            </w:r>
            <w:r>
              <w:rPr>
                <w:rFonts w:hint="eastAsia" w:ascii="宋体" w:hAnsi="宋体" w:eastAsia="宋体" w:cs="宋体"/>
                <w:b/>
                <w:bCs/>
                <w:color w:val="auto"/>
                <w:szCs w:val="21"/>
                <w:highlight w:val="none"/>
                <w:lang w:val="en-US" w:eastAsia="zh-CN"/>
              </w:rPr>
              <w:t>的</w:t>
            </w:r>
            <w:r>
              <w:rPr>
                <w:rFonts w:hint="default" w:ascii="宋体" w:hAnsi="宋体" w:eastAsia="宋体" w:cs="宋体"/>
                <w:b/>
                <w:bCs/>
                <w:color w:val="auto"/>
                <w:szCs w:val="21"/>
                <w:highlight w:val="none"/>
                <w:lang w:val="en-US" w:eastAsia="zh-CN"/>
              </w:rPr>
              <w:t>监测任务</w:t>
            </w:r>
            <w:r>
              <w:rPr>
                <w:rFonts w:hint="eastAsia" w:ascii="宋体" w:hAnsi="宋体" w:eastAsia="宋体" w:cs="宋体"/>
                <w:b/>
                <w:bCs/>
                <w:color w:val="auto"/>
                <w:szCs w:val="21"/>
                <w:highlight w:val="none"/>
                <w:lang w:val="en-US" w:eastAsia="zh-CN"/>
              </w:rPr>
              <w:t>结算金额-10%的预付款。</w:t>
            </w:r>
          </w:p>
          <w:p w14:paraId="745023D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t>成交供应商完成本项目所有监测任务后，若结算金额总价超出本项目预算金额，则以本项目的预算金额进行最终结算。具体支付方式经双方协商达成一致，以实际签订的监测采购合同书为准。</w:t>
            </w:r>
          </w:p>
          <w:p w14:paraId="31CAF0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（2）报价及结算说明：</w:t>
            </w:r>
          </w:p>
          <w:p w14:paraId="3A91B5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①本项目按费率进行报价，报价范围0≤费率≤100%，以《“广西壮族自治区物价局广西壮族自治区财政厅《关于重新核定环境监测收费标准的函》（桂价费字〔2004〕301号）”的收费标准附件表》</w:t>
            </w:r>
            <w:r>
              <w:rPr>
                <w:rFonts w:hint="default" w:ascii="宋体" w:hAnsi="宋体" w:eastAsia="宋体" w:cs="宋体"/>
                <w:color w:val="auto"/>
                <w:szCs w:val="21"/>
                <w:highlight w:val="none"/>
                <w:lang w:eastAsia="zh-CN"/>
              </w:rPr>
              <w:t>计算后的金额乘以</w:t>
            </w:r>
            <w:r>
              <w:rPr>
                <w:rFonts w:hint="eastAsia" w:ascii="宋体" w:hAnsi="宋体" w:cs="宋体"/>
                <w:color w:val="auto"/>
                <w:szCs w:val="21"/>
                <w:highlight w:val="none"/>
                <w:lang w:eastAsia="zh-CN"/>
              </w:rPr>
              <w:t>磋商供应商</w:t>
            </w:r>
            <w:r>
              <w:rPr>
                <w:rFonts w:hint="default" w:ascii="宋体" w:hAnsi="宋体" w:eastAsia="宋体" w:cs="宋体"/>
                <w:color w:val="auto"/>
                <w:szCs w:val="21"/>
                <w:highlight w:val="none"/>
                <w:lang w:eastAsia="zh-CN"/>
              </w:rPr>
              <w:t>报价折扣率进行结算，即结算金额＝按收费标准计算的实际完成项目金额×</w:t>
            </w:r>
            <w:r>
              <w:rPr>
                <w:rFonts w:hint="eastAsia" w:ascii="宋体" w:hAnsi="宋体" w:cs="宋体"/>
                <w:color w:val="auto"/>
                <w:szCs w:val="21"/>
                <w:highlight w:val="none"/>
                <w:lang w:eastAsia="zh-CN"/>
              </w:rPr>
              <w:t>成交</w:t>
            </w:r>
            <w:r>
              <w:rPr>
                <w:rFonts w:hint="default" w:ascii="宋体" w:hAnsi="宋体" w:eastAsia="宋体" w:cs="宋体"/>
                <w:color w:val="auto"/>
                <w:szCs w:val="21"/>
                <w:highlight w:val="none"/>
                <w:lang w:eastAsia="zh-CN"/>
              </w:rPr>
              <w:t>报价折扣率。</w:t>
            </w:r>
            <w:r>
              <w:rPr>
                <w:rFonts w:hint="eastAsia" w:ascii="宋体" w:hAnsi="宋体" w:eastAsia="宋体" w:cs="宋体"/>
                <w:color w:val="auto"/>
                <w:szCs w:val="21"/>
                <w:highlight w:val="none"/>
                <w:lang w:val="en-US" w:eastAsia="zh-CN"/>
              </w:rPr>
              <w:t>若结算金额未达到预算金额，则以实际完成监测任务的结算金额进行最终结算：</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方完成所有监测任务后，若结算金额总价超出预算金额，则以预算金额进行最终结算。</w:t>
            </w:r>
          </w:p>
          <w:p w14:paraId="3E9D52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②检验任务由采购人根据检测项目实际情况及</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人服务能力委派，采购人不承诺</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人承担的最低业务量。</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人报价采用固定费率报价方式，各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人在报价时应自行考虑市场上的不确定因素，结合自身的实际情况自主报价，</w:t>
            </w:r>
            <w:r>
              <w:rPr>
                <w:rFonts w:hint="eastAsia" w:ascii="宋体" w:hAnsi="宋体" w:cs="宋体"/>
                <w:color w:val="auto"/>
                <w:szCs w:val="21"/>
                <w:highlight w:val="none"/>
              </w:rPr>
              <w:t>确定包干单价。投标人须承诺保证服务期内费率在合同期内固定不变。</w:t>
            </w:r>
          </w:p>
          <w:p w14:paraId="6A0E4A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2、报价必须含以下部分，包括：</w:t>
            </w:r>
          </w:p>
          <w:p w14:paraId="1B9943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（1）服务的价格；</w:t>
            </w:r>
          </w:p>
          <w:p w14:paraId="3C4C5B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14:paraId="156BFB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投标报价为完成本次招标项目的全费用价格，其组成包括但不限于人员工资、劳动保险、办公、交通、专家咨询/评审、资料印刷、附加培训、税金及其他所有可能发生的一切费用。供应商为履行本合同而发生的所有费用均应包含在合同价款中，采购人不再另行支付其它任何费用。</w:t>
            </w:r>
          </w:p>
          <w:p w14:paraId="3F32EA7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3、本项目不接受存在知识产权纠纷或存在潜在知识产权纠纷的技术方案。</w:t>
            </w:r>
          </w:p>
          <w:p w14:paraId="66E47C6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4、供应商提供的产品及服务必须保证具备自有知识产权，如发生与知识产权有关的纠纷，由供应商解决并承担全部责任，与采购人无关。</w:t>
            </w:r>
          </w:p>
        </w:tc>
      </w:tr>
    </w:tbl>
    <w:p w14:paraId="745023AA">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b w:val="0"/>
          <w:bCs/>
          <w:color w:val="auto"/>
          <w:sz w:val="21"/>
          <w:szCs w:val="21"/>
          <w:highlight w:val="none"/>
          <w:lang w:val="en-US" w:eastAsia="zh-CN"/>
        </w:rPr>
      </w:pPr>
    </w:p>
    <w:p w14:paraId="69B3426E">
      <w:pPr>
        <w:keepNext w:val="0"/>
        <w:keepLines w:val="0"/>
        <w:pageBreakBefore w:val="0"/>
        <w:kinsoku/>
        <w:wordWrap/>
        <w:overflowPunct/>
        <w:topLinePunct w:val="0"/>
        <w:autoSpaceDE/>
        <w:autoSpaceDN/>
        <w:bidi w:val="0"/>
        <w:adjustRightInd/>
        <w:snapToGrid/>
        <w:spacing w:line="430" w:lineRule="exact"/>
        <w:textAlignment w:val="auto"/>
        <w:rPr>
          <w:color w:val="auto"/>
          <w:highlight w:val="none"/>
        </w:rPr>
      </w:pPr>
    </w:p>
    <w:p w14:paraId="04BA3E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0C724D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12419D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04171C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739033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4C2B73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7ABF85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pPr>
    </w:p>
    <w:p w14:paraId="2CA01A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 w:eastAsia="zh-CN"/>
        </w:rPr>
        <w:sectPr>
          <w:footerReference r:id="rId13" w:type="first"/>
          <w:footerReference r:id="rId12" w:type="default"/>
          <w:pgSz w:w="11906" w:h="16838"/>
          <w:pgMar w:top="1440" w:right="1417" w:bottom="1440" w:left="1417" w:header="851" w:footer="992" w:gutter="0"/>
          <w:cols w:space="425" w:num="1"/>
          <w:docGrid w:type="lines" w:linePitch="312" w:charSpace="0"/>
        </w:sectPr>
      </w:pPr>
    </w:p>
    <w:p w14:paraId="399D63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color w:val="auto"/>
          <w:sz w:val="32"/>
          <w:szCs w:val="32"/>
          <w:highlight w:val="none"/>
          <w:lang w:val="en-US" w:eastAsia="zh-CN"/>
        </w:rPr>
      </w:pPr>
      <w:r>
        <w:rPr>
          <w:rFonts w:hint="eastAsia" w:ascii="方正黑体_GBK" w:hAnsi="方正黑体_GBK" w:eastAsia="方正黑体_GBK" w:cs="方正黑体_GBK"/>
          <w:color w:val="auto"/>
          <w:sz w:val="28"/>
          <w:szCs w:val="28"/>
          <w:highlight w:val="none"/>
          <w:lang w:val="en" w:eastAsia="zh-CN"/>
        </w:rPr>
        <w:t>附件</w:t>
      </w:r>
      <w:r>
        <w:rPr>
          <w:rFonts w:hint="eastAsia" w:ascii="方正黑体_GBK" w:hAnsi="方正黑体_GBK" w:eastAsia="方正黑体_GBK" w:cs="方正黑体_GBK"/>
          <w:color w:val="auto"/>
          <w:sz w:val="28"/>
          <w:szCs w:val="28"/>
          <w:highlight w:val="none"/>
          <w:lang w:val="en-US" w:eastAsia="zh-CN"/>
        </w:rPr>
        <w:t>1</w:t>
      </w:r>
    </w:p>
    <w:p w14:paraId="40D736BC">
      <w:pPr>
        <w:jc w:val="center"/>
        <w:rPr>
          <w:rFonts w:ascii="Times New Roman" w:hAnsi="Times New Roman" w:eastAsia="仿宋_GB2312" w:cs="Times New Roman"/>
          <w:b/>
          <w:color w:val="auto"/>
          <w:sz w:val="44"/>
          <w:szCs w:val="44"/>
          <w:highlight w:val="none"/>
        </w:rPr>
      </w:pPr>
      <w:r>
        <w:rPr>
          <w:rFonts w:ascii="Times New Roman" w:hAnsi="Times New Roman" w:eastAsia="仿宋_GB2312" w:cs="Times New Roman"/>
          <w:b/>
          <w:color w:val="auto"/>
          <w:sz w:val="36"/>
          <w:szCs w:val="36"/>
          <w:highlight w:val="none"/>
          <w:lang w:val="en-US" w:eastAsia="zh-CN"/>
        </w:rPr>
        <w:t>202</w:t>
      </w:r>
      <w:r>
        <w:rPr>
          <w:rFonts w:hint="eastAsia" w:ascii="Times New Roman" w:hAnsi="Times New Roman" w:eastAsia="仿宋_GB2312" w:cs="Times New Roman"/>
          <w:b/>
          <w:color w:val="auto"/>
          <w:sz w:val="36"/>
          <w:szCs w:val="36"/>
          <w:highlight w:val="none"/>
          <w:lang w:val="en-US" w:eastAsia="zh-CN"/>
        </w:rPr>
        <w:t>5年委托监测事项汇总表</w:t>
      </w:r>
    </w:p>
    <w:tbl>
      <w:tblPr>
        <w:tblStyle w:val="33"/>
        <w:tblW w:w="14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72"/>
        <w:gridCol w:w="4221"/>
        <w:gridCol w:w="793"/>
        <w:gridCol w:w="1371"/>
        <w:gridCol w:w="836"/>
        <w:gridCol w:w="3048"/>
        <w:gridCol w:w="672"/>
      </w:tblGrid>
      <w:tr w14:paraId="36C9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02" w:type="dxa"/>
            <w:vAlign w:val="center"/>
          </w:tcPr>
          <w:p w14:paraId="5F86C76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监测项目分类</w:t>
            </w:r>
            <w:r>
              <w:rPr>
                <w:rFonts w:hint="eastAsia" w:ascii="宋体" w:hAnsi="宋体" w:cs="宋体"/>
                <w:b/>
                <w:bCs/>
                <w:color w:val="auto"/>
                <w:sz w:val="24"/>
                <w:szCs w:val="24"/>
                <w:highlight w:val="none"/>
                <w:lang w:val="en-US" w:eastAsia="zh-CN"/>
              </w:rPr>
              <w:t>（标段划分）</w:t>
            </w:r>
          </w:p>
        </w:tc>
        <w:tc>
          <w:tcPr>
            <w:tcW w:w="1672" w:type="dxa"/>
            <w:vAlign w:val="center"/>
          </w:tcPr>
          <w:p w14:paraId="1A81FF2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监测事项或任务名称</w:t>
            </w:r>
          </w:p>
        </w:tc>
        <w:tc>
          <w:tcPr>
            <w:tcW w:w="4221" w:type="dxa"/>
            <w:vAlign w:val="center"/>
          </w:tcPr>
          <w:p w14:paraId="23A90C1A">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监测项目</w:t>
            </w:r>
          </w:p>
        </w:tc>
        <w:tc>
          <w:tcPr>
            <w:tcW w:w="793" w:type="dxa"/>
            <w:vAlign w:val="center"/>
          </w:tcPr>
          <w:p w14:paraId="6435F167">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监测频次</w:t>
            </w:r>
          </w:p>
        </w:tc>
        <w:tc>
          <w:tcPr>
            <w:tcW w:w="1371" w:type="dxa"/>
            <w:vAlign w:val="center"/>
          </w:tcPr>
          <w:p w14:paraId="5B4CB598">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监测点位及个数</w:t>
            </w:r>
          </w:p>
        </w:tc>
        <w:tc>
          <w:tcPr>
            <w:tcW w:w="836" w:type="dxa"/>
            <w:vAlign w:val="center"/>
          </w:tcPr>
          <w:p w14:paraId="1A725A70">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金额</w:t>
            </w:r>
          </w:p>
        </w:tc>
        <w:tc>
          <w:tcPr>
            <w:tcW w:w="3048" w:type="dxa"/>
            <w:vAlign w:val="center"/>
          </w:tcPr>
          <w:p w14:paraId="4E7328C2">
            <w:pPr>
              <w:spacing w:line="2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监测任务来源</w:t>
            </w:r>
          </w:p>
        </w:tc>
        <w:tc>
          <w:tcPr>
            <w:tcW w:w="672" w:type="dxa"/>
            <w:vAlign w:val="center"/>
          </w:tcPr>
          <w:p w14:paraId="7B55EB34">
            <w:pPr>
              <w:spacing w:line="2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事权</w:t>
            </w:r>
          </w:p>
        </w:tc>
      </w:tr>
      <w:tr w14:paraId="32A5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802" w:type="dxa"/>
            <w:vMerge w:val="restart"/>
            <w:vAlign w:val="center"/>
          </w:tcPr>
          <w:p w14:paraId="544FB827">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环境质量监测</w:t>
            </w:r>
          </w:p>
          <w:p w14:paraId="471F2898">
            <w:pPr>
              <w:spacing w:line="2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（1分标）</w:t>
            </w:r>
          </w:p>
        </w:tc>
        <w:tc>
          <w:tcPr>
            <w:tcW w:w="1672" w:type="dxa"/>
            <w:vAlign w:val="center"/>
          </w:tcPr>
          <w:p w14:paraId="4BB53A27">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平桂区重点河流断面地表水监测</w:t>
            </w:r>
            <w:r>
              <w:rPr>
                <w:rFonts w:hint="eastAsia" w:ascii="宋体" w:hAnsi="宋体" w:eastAsia="宋体" w:cs="宋体"/>
                <w:color w:val="auto"/>
                <w:kern w:val="2"/>
                <w:sz w:val="21"/>
                <w:szCs w:val="21"/>
                <w:highlight w:val="none"/>
                <w:lang w:val="en-US" w:eastAsia="zh-CN" w:bidi="ar-SA"/>
              </w:rPr>
              <w:t>（2025年第3、4季度和2026年第1季度）</w:t>
            </w:r>
          </w:p>
        </w:tc>
        <w:tc>
          <w:tcPr>
            <w:tcW w:w="4221" w:type="dxa"/>
            <w:vAlign w:val="center"/>
          </w:tcPr>
          <w:p w14:paraId="735A81E6">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水温、pH、溶解氧、高锰酸盐指数、化学需氧量、五日生化需氧量、氨氮、总磷、铜、锌、氟化物、硒、砷、汞、镉、铬（六价）、铅、氰化物、挥发酚、石油类、阴离子表面活性剂、硫化物、粪大肠菌群、流量、电导率等，共25项。6月、12月增测硫酸盐、氯化物、硝酸盐、铁、锰共29项</w:t>
            </w:r>
          </w:p>
        </w:tc>
        <w:tc>
          <w:tcPr>
            <w:tcW w:w="793" w:type="dxa"/>
            <w:vAlign w:val="center"/>
          </w:tcPr>
          <w:p w14:paraId="524DAE72">
            <w:pPr>
              <w:spacing w:line="240" w:lineRule="exact"/>
              <w:jc w:val="center"/>
              <w:rPr>
                <w:rFonts w:hint="eastAsia" w:ascii="宋体" w:hAnsi="宋体" w:eastAsia="宋体" w:cs="宋体"/>
                <w:color w:val="auto"/>
                <w:kern w:val="2"/>
                <w:sz w:val="21"/>
                <w:szCs w:val="21"/>
                <w:highlight w:val="none"/>
                <w:lang w:val="en" w:eastAsia="zh-CN" w:bidi="ar-SA"/>
              </w:rPr>
            </w:pPr>
            <w:r>
              <w:rPr>
                <w:rFonts w:hint="eastAsia" w:ascii="宋体" w:hAnsi="宋体" w:eastAsia="宋体" w:cs="宋体"/>
                <w:color w:val="auto"/>
                <w:szCs w:val="21"/>
                <w:highlight w:val="none"/>
                <w:lang w:val="en-US" w:eastAsia="zh-CN"/>
              </w:rPr>
              <w:t>1次/季度</w:t>
            </w:r>
          </w:p>
        </w:tc>
        <w:tc>
          <w:tcPr>
            <w:tcW w:w="1371" w:type="dxa"/>
            <w:vAlign w:val="center"/>
          </w:tcPr>
          <w:p w14:paraId="6AF40950">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 w:eastAsia="zh-CN"/>
              </w:rPr>
              <w:t>1</w:t>
            </w:r>
            <w:r>
              <w:rPr>
                <w:rFonts w:hint="eastAsia" w:ascii="宋体" w:hAnsi="宋体" w:eastAsia="宋体" w:cs="宋体"/>
                <w:color w:val="auto"/>
                <w:szCs w:val="21"/>
                <w:highlight w:val="none"/>
                <w:lang w:val="en" w:eastAsia="zh-CN"/>
              </w:rPr>
              <w:t>个点位（五拱水</w:t>
            </w:r>
            <w:r>
              <w:rPr>
                <w:rFonts w:hint="eastAsia" w:ascii="宋体" w:hAnsi="宋体" w:eastAsia="宋体" w:cs="宋体"/>
                <w:color w:val="auto"/>
                <w:szCs w:val="21"/>
                <w:highlight w:val="none"/>
                <w:lang w:eastAsia="zh-CN"/>
              </w:rPr>
              <w:t>河</w:t>
            </w:r>
            <w:r>
              <w:rPr>
                <w:rFonts w:hint="eastAsia" w:ascii="宋体" w:hAnsi="宋体" w:eastAsia="宋体" w:cs="宋体"/>
                <w:color w:val="auto"/>
                <w:szCs w:val="21"/>
                <w:highlight w:val="none"/>
                <w:lang w:val="en" w:eastAsia="zh-CN"/>
              </w:rPr>
              <w:t>）</w:t>
            </w:r>
          </w:p>
        </w:tc>
        <w:tc>
          <w:tcPr>
            <w:tcW w:w="836" w:type="dxa"/>
            <w:vAlign w:val="center"/>
          </w:tcPr>
          <w:p w14:paraId="4D4F0961">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4万</w:t>
            </w:r>
          </w:p>
        </w:tc>
        <w:tc>
          <w:tcPr>
            <w:tcW w:w="3048" w:type="dxa"/>
            <w:vAlign w:val="center"/>
          </w:tcPr>
          <w:p w14:paraId="5B6C41FF">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重点河流水环境巡查</w:t>
            </w:r>
          </w:p>
        </w:tc>
        <w:tc>
          <w:tcPr>
            <w:tcW w:w="672" w:type="dxa"/>
            <w:vAlign w:val="center"/>
          </w:tcPr>
          <w:p w14:paraId="587AF0AB">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市级事权</w:t>
            </w:r>
          </w:p>
        </w:tc>
      </w:tr>
      <w:tr w14:paraId="1BC1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802" w:type="dxa"/>
            <w:vMerge w:val="continue"/>
            <w:vAlign w:val="center"/>
          </w:tcPr>
          <w:p w14:paraId="6165549F">
            <w:pPr>
              <w:spacing w:line="240" w:lineRule="exact"/>
              <w:jc w:val="center"/>
              <w:rPr>
                <w:rFonts w:hint="eastAsia" w:ascii="宋体" w:hAnsi="宋体" w:eastAsia="宋体" w:cs="宋体"/>
                <w:bCs/>
                <w:color w:val="auto"/>
                <w:szCs w:val="21"/>
                <w:highlight w:val="none"/>
              </w:rPr>
            </w:pPr>
          </w:p>
        </w:tc>
        <w:tc>
          <w:tcPr>
            <w:tcW w:w="1672" w:type="dxa"/>
            <w:vAlign w:val="center"/>
          </w:tcPr>
          <w:p w14:paraId="73BC215C">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农村污水处理设施排放口监测</w:t>
            </w:r>
          </w:p>
        </w:tc>
        <w:tc>
          <w:tcPr>
            <w:tcW w:w="4221" w:type="dxa"/>
            <w:vAlign w:val="center"/>
          </w:tcPr>
          <w:p w14:paraId="71CC42DC">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pH值、化学需氧量（COD</w:t>
            </w:r>
            <w:r>
              <w:rPr>
                <w:rFonts w:hint="eastAsia" w:ascii="宋体" w:hAnsi="宋体" w:eastAsia="宋体" w:cs="宋体"/>
                <w:bCs/>
                <w:color w:val="auto"/>
                <w:szCs w:val="21"/>
                <w:highlight w:val="none"/>
                <w:vertAlign w:val="subscript"/>
              </w:rPr>
              <w:t>Cr</w:t>
            </w:r>
            <w:r>
              <w:rPr>
                <w:rFonts w:hint="eastAsia" w:ascii="宋体" w:hAnsi="宋体" w:eastAsia="宋体" w:cs="宋体"/>
                <w:bCs/>
                <w:color w:val="auto"/>
                <w:szCs w:val="21"/>
                <w:highlight w:val="none"/>
              </w:rPr>
              <w:t>）和氨氮。</w:t>
            </w:r>
          </w:p>
        </w:tc>
        <w:tc>
          <w:tcPr>
            <w:tcW w:w="793" w:type="dxa"/>
            <w:vAlign w:val="center"/>
          </w:tcPr>
          <w:p w14:paraId="48E6E423">
            <w:pPr>
              <w:spacing w:line="240" w:lineRule="exact"/>
              <w:jc w:val="center"/>
              <w:rPr>
                <w:rFonts w:hint="eastAsia" w:ascii="宋体" w:hAnsi="宋体" w:eastAsia="宋体" w:cs="宋体"/>
                <w:color w:val="auto"/>
                <w:kern w:val="2"/>
                <w:sz w:val="21"/>
                <w:szCs w:val="21"/>
                <w:highlight w:val="none"/>
                <w:lang w:val="en-US" w:eastAsia="zh-CN" w:bidi="ar-SA"/>
              </w:rPr>
            </w:pPr>
            <w:r>
              <w:rPr>
                <w:rStyle w:val="85"/>
                <w:rFonts w:hint="eastAsia" w:ascii="宋体" w:hAnsi="宋体" w:eastAsia="宋体" w:cs="宋体"/>
                <w:bCs/>
                <w:color w:val="auto"/>
                <w:sz w:val="21"/>
                <w:szCs w:val="21"/>
                <w:highlight w:val="none"/>
              </w:rPr>
              <w:t>1</w:t>
            </w:r>
            <w:r>
              <w:rPr>
                <w:rFonts w:hint="eastAsia" w:ascii="宋体" w:hAnsi="宋体" w:eastAsia="宋体" w:cs="宋体"/>
                <w:bCs/>
                <w:color w:val="auto"/>
                <w:kern w:val="0"/>
                <w:szCs w:val="21"/>
                <w:highlight w:val="none"/>
              </w:rPr>
              <w:t>次</w:t>
            </w:r>
            <w:r>
              <w:rPr>
                <w:rStyle w:val="85"/>
                <w:rFonts w:hint="eastAsia" w:ascii="宋体" w:hAnsi="宋体" w:eastAsia="宋体" w:cs="宋体"/>
                <w:bCs/>
                <w:color w:val="auto"/>
                <w:sz w:val="21"/>
                <w:szCs w:val="21"/>
                <w:highlight w:val="none"/>
              </w:rPr>
              <w:t>/</w:t>
            </w:r>
            <w:r>
              <w:rPr>
                <w:rFonts w:hint="eastAsia" w:ascii="宋体" w:hAnsi="宋体" w:eastAsia="宋体" w:cs="宋体"/>
                <w:bCs/>
                <w:color w:val="auto"/>
                <w:kern w:val="0"/>
                <w:szCs w:val="21"/>
                <w:highlight w:val="none"/>
              </w:rPr>
              <w:t>半年</w:t>
            </w:r>
          </w:p>
        </w:tc>
        <w:tc>
          <w:tcPr>
            <w:tcW w:w="1371" w:type="dxa"/>
            <w:vAlign w:val="center"/>
          </w:tcPr>
          <w:p w14:paraId="093C5AAB">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11个点位</w:t>
            </w:r>
          </w:p>
        </w:tc>
        <w:tc>
          <w:tcPr>
            <w:tcW w:w="836" w:type="dxa"/>
            <w:vAlign w:val="center"/>
          </w:tcPr>
          <w:p w14:paraId="2D6BB389">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4万</w:t>
            </w:r>
          </w:p>
        </w:tc>
        <w:tc>
          <w:tcPr>
            <w:tcW w:w="3048" w:type="dxa"/>
            <w:vAlign w:val="center"/>
          </w:tcPr>
          <w:p w14:paraId="1B235487">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自治区生态环境监测方案</w:t>
            </w:r>
          </w:p>
        </w:tc>
        <w:tc>
          <w:tcPr>
            <w:tcW w:w="672" w:type="dxa"/>
            <w:vAlign w:val="center"/>
          </w:tcPr>
          <w:p w14:paraId="5072FA83">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市级事权</w:t>
            </w:r>
          </w:p>
        </w:tc>
      </w:tr>
      <w:tr w14:paraId="69E8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802" w:type="dxa"/>
            <w:vMerge w:val="continue"/>
            <w:vAlign w:val="center"/>
          </w:tcPr>
          <w:p w14:paraId="61E15709">
            <w:pPr>
              <w:spacing w:line="240" w:lineRule="exact"/>
              <w:jc w:val="center"/>
              <w:rPr>
                <w:rFonts w:hint="eastAsia" w:ascii="宋体" w:hAnsi="宋体" w:eastAsia="宋体" w:cs="宋体"/>
                <w:bCs/>
                <w:color w:val="auto"/>
                <w:szCs w:val="21"/>
                <w:highlight w:val="none"/>
                <w:lang w:val="en-US" w:eastAsia="zh-CN"/>
              </w:rPr>
            </w:pPr>
          </w:p>
        </w:tc>
        <w:tc>
          <w:tcPr>
            <w:tcW w:w="1672" w:type="dxa"/>
            <w:vAlign w:val="center"/>
          </w:tcPr>
          <w:p w14:paraId="584AE8FF">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平桂区</w:t>
            </w:r>
            <w:r>
              <w:rPr>
                <w:rFonts w:hint="eastAsia" w:ascii="宋体" w:hAnsi="宋体" w:eastAsia="宋体" w:cs="宋体"/>
                <w:bCs/>
                <w:color w:val="auto"/>
                <w:szCs w:val="21"/>
                <w:highlight w:val="none"/>
              </w:rPr>
              <w:t>乡镇集中式饮用水水质监测</w:t>
            </w:r>
          </w:p>
        </w:tc>
        <w:tc>
          <w:tcPr>
            <w:tcW w:w="4221" w:type="dxa"/>
            <w:vAlign w:val="center"/>
          </w:tcPr>
          <w:p w14:paraId="5FAADAFD">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《地表水环境质量标准》（GB3838-2002）表1中除化学需氧量以外的23项指标、表2的补充指标（5项）和表3的优选特定指标（33项）</w:t>
            </w:r>
          </w:p>
        </w:tc>
        <w:tc>
          <w:tcPr>
            <w:tcW w:w="793" w:type="dxa"/>
            <w:vAlign w:val="center"/>
          </w:tcPr>
          <w:p w14:paraId="2B932473">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次</w:t>
            </w:r>
            <w:r>
              <w:rPr>
                <w:rFonts w:hint="eastAsia" w:ascii="宋体" w:hAnsi="宋体" w:eastAsia="宋体" w:cs="宋体"/>
                <w:bCs/>
                <w:color w:val="auto"/>
                <w:szCs w:val="21"/>
                <w:highlight w:val="none"/>
                <w:lang w:val="en-US" w:eastAsia="zh-CN"/>
              </w:rPr>
              <w:t>/年</w:t>
            </w:r>
          </w:p>
        </w:tc>
        <w:tc>
          <w:tcPr>
            <w:tcW w:w="1371" w:type="dxa"/>
            <w:vAlign w:val="center"/>
          </w:tcPr>
          <w:p w14:paraId="7779F1C9">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4个点位</w:t>
            </w:r>
          </w:p>
        </w:tc>
        <w:tc>
          <w:tcPr>
            <w:tcW w:w="836" w:type="dxa"/>
            <w:vAlign w:val="center"/>
          </w:tcPr>
          <w:p w14:paraId="525EFD18">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4万</w:t>
            </w:r>
          </w:p>
        </w:tc>
        <w:tc>
          <w:tcPr>
            <w:tcW w:w="3048" w:type="dxa"/>
            <w:vAlign w:val="center"/>
          </w:tcPr>
          <w:p w14:paraId="7BFAAE66">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《广西壮族自治区饮用水水源保护条例》第四十三条 县级以上人民政府环境保护、水行政、国土资源、卫生等主管部门应当加强饮用水水源的监（检）测能力建设，合理布局监测网点，建立监（检）测档案，按照相关规定定期对饮用水水源进行监（检）测；对重点饮用水水源，应当加强监测监控。</w:t>
            </w:r>
          </w:p>
        </w:tc>
        <w:tc>
          <w:tcPr>
            <w:tcW w:w="672" w:type="dxa"/>
            <w:vAlign w:val="center"/>
          </w:tcPr>
          <w:p w14:paraId="4D3DA4C0">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市级事权</w:t>
            </w:r>
          </w:p>
        </w:tc>
      </w:tr>
      <w:tr w14:paraId="2021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802" w:type="dxa"/>
            <w:vAlign w:val="center"/>
          </w:tcPr>
          <w:p w14:paraId="6CDB597A">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执法及应急监测</w:t>
            </w:r>
            <w:r>
              <w:rPr>
                <w:rFonts w:hint="eastAsia" w:ascii="宋体" w:hAnsi="宋体" w:cs="宋体"/>
                <w:color w:val="auto"/>
                <w:kern w:val="2"/>
                <w:sz w:val="21"/>
                <w:szCs w:val="21"/>
                <w:highlight w:val="none"/>
                <w:lang w:val="en-US" w:eastAsia="zh-CN" w:bidi="ar-SA"/>
              </w:rPr>
              <w:t>（2分标）</w:t>
            </w:r>
          </w:p>
        </w:tc>
        <w:tc>
          <w:tcPr>
            <w:tcW w:w="1672" w:type="dxa"/>
            <w:vAlign w:val="center"/>
          </w:tcPr>
          <w:p w14:paraId="3182BAAD">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环境违法案件取证监测、信访投诉监测和突发应急监测</w:t>
            </w:r>
          </w:p>
        </w:tc>
        <w:tc>
          <w:tcPr>
            <w:tcW w:w="4221" w:type="dxa"/>
            <w:vAlign w:val="center"/>
          </w:tcPr>
          <w:p w14:paraId="638A8071">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包括废气监</w:t>
            </w:r>
            <w:r>
              <w:rPr>
                <w:rFonts w:hint="eastAsia" w:ascii="宋体" w:hAnsi="宋体" w:eastAsia="宋体" w:cs="宋体"/>
                <w:bCs/>
                <w:color w:val="auto"/>
                <w:szCs w:val="21"/>
                <w:highlight w:val="none"/>
                <w:lang w:val="en-US" w:eastAsia="zh-CN"/>
              </w:rPr>
              <w:t>测（含涉挥发性</w:t>
            </w:r>
            <w:r>
              <w:rPr>
                <w:rFonts w:hint="eastAsia" w:ascii="宋体" w:hAnsi="宋体" w:eastAsia="宋体" w:cs="宋体"/>
                <w:bCs/>
                <w:color w:val="auto"/>
                <w:szCs w:val="21"/>
                <w:highlight w:val="none"/>
                <w:lang w:val="en" w:eastAsia="zh-CN"/>
              </w:rPr>
              <w:t>VOC、</w:t>
            </w:r>
            <w:r>
              <w:rPr>
                <w:rFonts w:hint="eastAsia" w:ascii="宋体" w:hAnsi="宋体" w:eastAsia="宋体" w:cs="宋体"/>
                <w:bCs/>
                <w:color w:val="auto"/>
                <w:szCs w:val="21"/>
                <w:highlight w:val="none"/>
                <w:lang w:val="en-US" w:eastAsia="zh-CN"/>
              </w:rPr>
              <w:t>NO</w:t>
            </w:r>
            <w:r>
              <w:rPr>
                <w:rFonts w:hint="eastAsia" w:ascii="宋体" w:hAnsi="宋体" w:eastAsia="宋体" w:cs="宋体"/>
                <w:bCs/>
                <w:color w:val="auto"/>
                <w:sz w:val="13"/>
                <w:szCs w:val="13"/>
                <w:highlight w:val="none"/>
                <w:lang w:val="en-US" w:eastAsia="zh-CN"/>
              </w:rPr>
              <w:t>X</w:t>
            </w:r>
            <w:r>
              <w:rPr>
                <w:rFonts w:hint="eastAsia" w:ascii="宋体" w:hAnsi="宋体" w:eastAsia="宋体" w:cs="宋体"/>
                <w:bCs/>
                <w:color w:val="auto"/>
                <w:kern w:val="2"/>
                <w:sz w:val="21"/>
                <w:szCs w:val="21"/>
                <w:highlight w:val="none"/>
                <w:lang w:val="en-US" w:eastAsia="zh-CN" w:bidi="ar-SA"/>
              </w:rPr>
              <w:t>）、废水监测（含重金属）、固废（危废）鉴别监测、社会生活噪声及油烟监测、等四类监测，以及</w:t>
            </w:r>
            <w:r>
              <w:rPr>
                <w:rFonts w:hint="eastAsia" w:ascii="宋体" w:hAnsi="宋体" w:eastAsia="宋体" w:cs="宋体"/>
                <w:bCs/>
                <w:color w:val="auto"/>
                <w:szCs w:val="21"/>
                <w:highlight w:val="none"/>
              </w:rPr>
              <w:t>非常道路移动机械监测</w:t>
            </w:r>
            <w:r>
              <w:rPr>
                <w:rFonts w:hint="eastAsia" w:ascii="宋体" w:hAnsi="宋体" w:eastAsia="宋体" w:cs="宋体"/>
                <w:bCs/>
                <w:color w:val="auto"/>
                <w:szCs w:val="21"/>
                <w:highlight w:val="none"/>
                <w:lang w:eastAsia="zh-CN"/>
              </w:rPr>
              <w:t>、</w:t>
            </w:r>
            <w:r>
              <w:rPr>
                <w:rFonts w:hint="eastAsia" w:ascii="宋体" w:hAnsi="宋体" w:eastAsia="宋体" w:cs="宋体"/>
                <w:bCs/>
                <w:color w:val="auto"/>
                <w:kern w:val="2"/>
                <w:sz w:val="21"/>
                <w:szCs w:val="21"/>
                <w:highlight w:val="none"/>
                <w:lang w:val="en-US" w:eastAsia="zh-CN" w:bidi="ar-SA"/>
              </w:rPr>
              <w:t>突发应急监测，具体监测项目以平桂生态环境局通知为准。</w:t>
            </w:r>
          </w:p>
        </w:tc>
        <w:tc>
          <w:tcPr>
            <w:tcW w:w="793" w:type="dxa"/>
            <w:vAlign w:val="center"/>
          </w:tcPr>
          <w:p w14:paraId="44D9A4FC">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371" w:type="dxa"/>
            <w:vAlign w:val="center"/>
          </w:tcPr>
          <w:p w14:paraId="56D64C97">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前四项27家企业、</w:t>
            </w:r>
            <w:r>
              <w:rPr>
                <w:rFonts w:hint="eastAsia" w:ascii="宋体" w:hAnsi="宋体" w:eastAsia="宋体" w:cs="宋体"/>
                <w:bCs/>
                <w:color w:val="auto"/>
                <w:szCs w:val="21"/>
                <w:highlight w:val="none"/>
              </w:rPr>
              <w:t>非常道路移动机械监测</w:t>
            </w:r>
            <w:r>
              <w:rPr>
                <w:rFonts w:hint="eastAsia" w:ascii="宋体" w:hAnsi="宋体" w:eastAsia="宋体" w:cs="宋体"/>
                <w:bCs/>
                <w:color w:val="auto"/>
                <w:szCs w:val="21"/>
                <w:highlight w:val="none"/>
                <w:lang w:eastAsia="zh-CN"/>
              </w:rPr>
              <w:t>、</w:t>
            </w:r>
            <w:r>
              <w:rPr>
                <w:rFonts w:hint="eastAsia" w:ascii="宋体" w:hAnsi="宋体" w:eastAsia="宋体" w:cs="宋体"/>
                <w:bCs/>
                <w:color w:val="auto"/>
                <w:kern w:val="2"/>
                <w:sz w:val="21"/>
                <w:szCs w:val="21"/>
                <w:highlight w:val="none"/>
                <w:lang w:val="en-US" w:eastAsia="zh-CN" w:bidi="ar-SA"/>
              </w:rPr>
              <w:t>环境应急监测</w:t>
            </w:r>
            <w:r>
              <w:rPr>
                <w:rFonts w:hint="eastAsia" w:ascii="宋体" w:hAnsi="宋体" w:eastAsia="宋体" w:cs="宋体"/>
                <w:color w:val="auto"/>
                <w:kern w:val="2"/>
                <w:sz w:val="21"/>
                <w:szCs w:val="21"/>
                <w:highlight w:val="none"/>
                <w:lang w:val="en-US" w:eastAsia="zh-CN" w:bidi="ar-SA"/>
              </w:rPr>
              <w:t>以实际发生为准。</w:t>
            </w:r>
          </w:p>
        </w:tc>
        <w:tc>
          <w:tcPr>
            <w:tcW w:w="836" w:type="dxa"/>
            <w:vAlign w:val="center"/>
          </w:tcPr>
          <w:p w14:paraId="5FE94D74">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47万</w:t>
            </w:r>
          </w:p>
        </w:tc>
        <w:tc>
          <w:tcPr>
            <w:tcW w:w="3048" w:type="dxa"/>
            <w:vAlign w:val="center"/>
          </w:tcPr>
          <w:p w14:paraId="493BEBCF">
            <w:pPr>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日常执法、监督</w:t>
            </w:r>
          </w:p>
        </w:tc>
        <w:tc>
          <w:tcPr>
            <w:tcW w:w="672" w:type="dxa"/>
            <w:vAlign w:val="center"/>
          </w:tcPr>
          <w:p w14:paraId="300EB8AF">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市级事权</w:t>
            </w:r>
          </w:p>
        </w:tc>
      </w:tr>
    </w:tbl>
    <w:p w14:paraId="5845E599">
      <w:pPr>
        <w:rPr>
          <w:color w:val="auto"/>
          <w:highlight w:val="none"/>
        </w:rPr>
      </w:pPr>
    </w:p>
    <w:p w14:paraId="75D98C94">
      <w:pPr>
        <w:pStyle w:val="3"/>
        <w:jc w:val="both"/>
        <w:rPr>
          <w:rFonts w:hint="eastAsia" w:ascii="宋体" w:hAnsi="宋体" w:eastAsia="宋体" w:cs="宋体"/>
          <w:color w:val="auto"/>
          <w:highlight w:val="none"/>
        </w:rPr>
        <w:sectPr>
          <w:pgSz w:w="16838" w:h="11906" w:orient="landscape"/>
          <w:pgMar w:top="1417" w:right="1440" w:bottom="1417" w:left="1440" w:header="851" w:footer="992" w:gutter="0"/>
          <w:cols w:space="425" w:num="1"/>
          <w:docGrid w:type="lines" w:linePitch="312" w:charSpace="0"/>
        </w:sectPr>
      </w:pPr>
    </w:p>
    <w:p w14:paraId="071181FD">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评审程序、评审方法和评审标准</w:t>
      </w:r>
      <w:bookmarkEnd w:id="57"/>
    </w:p>
    <w:p w14:paraId="690D06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505F60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757F0B3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145801D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6B09FAE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0010CB5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AC3EA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0DBBD2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31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626C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71F3D56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FBA6E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FE3B4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67D9A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2AC0F8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44511C8B">
      <w:pPr>
        <w:spacing w:line="360" w:lineRule="auto"/>
        <w:ind w:firstLine="420" w:firstLineChars="200"/>
        <w:rPr>
          <w:rFonts w:hint="eastAsia" w:ascii="宋体" w:hAnsi="宋体" w:eastAsia="宋体" w:cs="宋体"/>
          <w:color w:val="auto"/>
          <w:szCs w:val="21"/>
          <w:highlight w:val="none"/>
        </w:rPr>
      </w:pPr>
      <w:bookmarkStart w:id="58"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58"/>
    <w:p w14:paraId="70AE2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21ABD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26F0477C">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6CD69F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54B13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8736A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052E0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749BD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3C255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31486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87FA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13503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CCFA3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1AB4C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366E64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198F94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“▲”的条款发生负偏离的或者允许负偏离的条款数超过“供应商须知前附表”规定项数的或者标明实质性的要求发生负偏离；</w:t>
      </w:r>
    </w:p>
    <w:p w14:paraId="373BC4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6）未对竞标有效期作出响应或者响应文件承诺的竞标有效期不满足磋商文件要求；</w:t>
      </w:r>
    </w:p>
    <w:p w14:paraId="669BAD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7）响应文件的实质性内容未使用中文表述、使用计量单位不符合磋商文件要求；</w:t>
      </w:r>
    </w:p>
    <w:p w14:paraId="084CC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8）响应文件中的文件资料因填写不齐全或者内容虚假或者出现其他情形而导致被磋商小组认定无效；</w:t>
      </w:r>
    </w:p>
    <w:p w14:paraId="112C57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w:t>
      </w:r>
    </w:p>
    <w:p w14:paraId="761F03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10）属于“供应商须知正文”第7.5条情形；</w:t>
      </w:r>
    </w:p>
    <w:p w14:paraId="71F7F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11）技术需求允许负偏离的条款数超过“供应商须知前附表”规定项数；</w:t>
      </w:r>
    </w:p>
    <w:p w14:paraId="7F999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12）虚假竞标，或者出现其他情形而导致被磋商小组认定无效；</w:t>
      </w:r>
    </w:p>
    <w:p w14:paraId="5E7E2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13）竞标技术方案不明确，磋商文件未允许但响应文件中存在一个或者一个以上备选（替代）竞标方案；</w:t>
      </w:r>
    </w:p>
    <w:p w14:paraId="5750F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14）响应文件标注的项目名称或者项目编号与竞争性磋商文件标注的项目名称或者项目编号不一致的；</w:t>
      </w:r>
    </w:p>
    <w:p w14:paraId="31E0DA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15）未响应磋商文件实质性要求；</w:t>
      </w:r>
    </w:p>
    <w:p w14:paraId="22E445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14:paraId="1FA410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2C387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报价商务技术文件中规定的“竞标报价表”；</w:t>
      </w:r>
    </w:p>
    <w:p w14:paraId="46794B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8F9F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D5CA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59" w:name="_Hlk42596405"/>
      <w:r>
        <w:rPr>
          <w:rFonts w:hint="eastAsia" w:ascii="宋体" w:hAnsi="宋体" w:eastAsia="宋体" w:cs="宋体"/>
          <w:color w:val="auto"/>
          <w:szCs w:val="21"/>
          <w:highlight w:val="none"/>
        </w:rPr>
        <w:t>竞标报价（包含首次报价、最后报价）</w:t>
      </w:r>
      <w:bookmarkEnd w:id="59"/>
      <w:bookmarkStart w:id="60" w:name="_Hlk42596276"/>
      <w:r>
        <w:rPr>
          <w:rFonts w:hint="eastAsia" w:ascii="宋体" w:hAnsi="宋体" w:eastAsia="宋体" w:cs="宋体"/>
          <w:color w:val="auto"/>
          <w:szCs w:val="21"/>
          <w:highlight w:val="none"/>
        </w:rPr>
        <w:t>超过磋商文件分项采购预算金额或者最高限价的</w:t>
      </w:r>
      <w:bookmarkEnd w:id="60"/>
      <w:r>
        <w:rPr>
          <w:rFonts w:hint="eastAsia" w:ascii="宋体" w:hAnsi="宋体" w:eastAsia="宋体" w:cs="宋体"/>
          <w:color w:val="auto"/>
          <w:szCs w:val="21"/>
          <w:highlight w:val="none"/>
        </w:rPr>
        <w:t>（如本项目公布了最高限价）；</w:t>
      </w:r>
    </w:p>
    <w:p w14:paraId="1A05E3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465F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2E0F7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D59F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1A566A6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3.磋商程序</w:t>
      </w:r>
    </w:p>
    <w:p w14:paraId="2DBCEA9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3F64A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91A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2FFB6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14:paraId="1EB975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81221A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5D479980">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5FB1A76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3.8对磋商过程提交的响应文件进行有效性、完整性和响应程度审查，通过审查的合格供应商不足3家的，采购人或者采购代理机构应当重新开展采购活动。</w:t>
      </w:r>
    </w:p>
    <w:p w14:paraId="4B4B38E0">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C381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03A70D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01BA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0D1B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2A25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14:paraId="416C87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F959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4CFE5E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2BAEA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07367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10684D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06228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3704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D3D9F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14:paraId="44B047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85FD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33D5A6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6DEDF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F8AE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51D5BC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66F10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90F06B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CDDC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1A3C5B">
      <w:pPr>
        <w:spacing w:line="360" w:lineRule="auto"/>
        <w:jc w:val="center"/>
        <w:rPr>
          <w:rFonts w:hint="eastAsia" w:ascii="宋体" w:hAnsi="宋体" w:eastAsia="宋体" w:cs="宋体"/>
          <w:b/>
          <w:color w:val="auto"/>
          <w:sz w:val="32"/>
          <w:szCs w:val="32"/>
          <w:highlight w:val="none"/>
        </w:rPr>
      </w:pPr>
    </w:p>
    <w:p w14:paraId="288DABC4">
      <w:pPr>
        <w:pStyle w:val="22"/>
        <w:rPr>
          <w:rFonts w:hint="eastAsia" w:ascii="宋体" w:hAnsi="宋体" w:eastAsia="宋体" w:cs="宋体"/>
          <w:color w:val="auto"/>
          <w:highlight w:val="none"/>
        </w:rPr>
      </w:pPr>
    </w:p>
    <w:p w14:paraId="1C4EDA8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84F7A0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258700F8">
      <w:pPr>
        <w:keepNext w:val="0"/>
        <w:keepLines w:val="0"/>
        <w:pageBreakBefore w:val="0"/>
        <w:kinsoku/>
        <w:wordWrap/>
        <w:overflowPunct/>
        <w:topLinePunct w:val="0"/>
        <w:autoSpaceDE/>
        <w:autoSpaceDN/>
        <w:bidi w:val="0"/>
        <w:spacing w:line="370" w:lineRule="exact"/>
        <w:ind w:firstLine="482" w:firstLineChars="200"/>
        <w:rPr>
          <w:rFonts w:hint="eastAsia" w:ascii="宋体" w:hAnsi="宋体" w:eastAsia="宋体" w:cs="宋体"/>
          <w:bCs/>
          <w:color w:val="auto"/>
          <w:szCs w:val="21"/>
          <w:highlight w:val="none"/>
        </w:rPr>
      </w:pPr>
      <w:r>
        <w:rPr>
          <w:rFonts w:hint="eastAsia" w:ascii="宋体" w:hAnsi="宋体" w:eastAsia="宋体" w:cs="宋体"/>
          <w:b/>
          <w:bCs/>
          <w:color w:val="auto"/>
          <w:sz w:val="24"/>
          <w:highlight w:val="none"/>
        </w:rPr>
        <w:t>6.评审依据</w:t>
      </w:r>
      <w:r>
        <w:rPr>
          <w:rFonts w:hint="eastAsia" w:ascii="宋体" w:hAnsi="宋体" w:eastAsia="宋体" w:cs="宋体"/>
          <w:bCs/>
          <w:color w:val="auto"/>
          <w:szCs w:val="21"/>
          <w:highlight w:val="none"/>
        </w:rPr>
        <w:t>：磋商小组将以磋商响应文件为评审依据，对供应商的报价、技术、商务等方面内容按百分制打分。（计分方法按四舍五入取至百分位）</w:t>
      </w:r>
    </w:p>
    <w:tbl>
      <w:tblPr>
        <w:tblStyle w:val="3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99"/>
        <w:gridCol w:w="7020"/>
        <w:gridCol w:w="964"/>
      </w:tblGrid>
      <w:tr w14:paraId="699A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7" w:type="dxa"/>
            <w:vAlign w:val="center"/>
          </w:tcPr>
          <w:p w14:paraId="053F8140">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99" w:type="dxa"/>
            <w:vAlign w:val="center"/>
          </w:tcPr>
          <w:p w14:paraId="1D62AAF9">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020" w:type="dxa"/>
            <w:vAlign w:val="center"/>
          </w:tcPr>
          <w:p w14:paraId="636A1E0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964" w:type="dxa"/>
            <w:vAlign w:val="center"/>
          </w:tcPr>
          <w:p w14:paraId="51F6DE79">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6B0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577" w:type="dxa"/>
            <w:vAlign w:val="center"/>
          </w:tcPr>
          <w:p w14:paraId="0360FF46">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99" w:type="dxa"/>
            <w:vAlign w:val="center"/>
          </w:tcPr>
          <w:p w14:paraId="161FB29A">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3BD20FD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（满分</w:t>
            </w:r>
            <w:r>
              <w:rPr>
                <w:rFonts w:hint="eastAsia" w:ascii="宋体" w:hAnsi="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分）</w:t>
            </w:r>
          </w:p>
        </w:tc>
        <w:tc>
          <w:tcPr>
            <w:tcW w:w="7020" w:type="dxa"/>
          </w:tcPr>
          <w:p w14:paraId="568C57C6">
            <w:pPr>
              <w:pStyle w:val="17"/>
              <w:keepNext w:val="0"/>
              <w:keepLines w:val="0"/>
              <w:pageBreakBefore w:val="0"/>
              <w:kinsoku/>
              <w:wordWrap/>
              <w:overflowPunct/>
              <w:topLinePunct w:val="0"/>
              <w:autoSpaceDE/>
              <w:autoSpaceDN/>
              <w:bidi w:val="0"/>
              <w:spacing w:line="380" w:lineRule="exac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注：本项目为专门面向中小微企业采购项目，不再执行价格扣减。</w:t>
            </w:r>
          </w:p>
          <w:p w14:paraId="37457942">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（1）以进入综合评分环节的最低的评标价为基准价，评标价＝投标折扣率；</w:t>
            </w:r>
          </w:p>
          <w:p w14:paraId="39692772">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（2）价格分计算公式：</w:t>
            </w:r>
          </w:p>
          <w:p w14:paraId="7A356C04">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某</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价格分=</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有效最低投标折扣率/某</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投标折扣率×10分</w:t>
            </w:r>
          </w:p>
          <w:p w14:paraId="6DD3411F">
            <w:pPr>
              <w:pStyle w:val="17"/>
              <w:keepNext w:val="0"/>
              <w:keepLines w:val="0"/>
              <w:pageBreakBefore w:val="0"/>
              <w:kinsoku/>
              <w:wordWrap/>
              <w:overflowPunct/>
              <w:topLinePunct w:val="0"/>
              <w:autoSpaceDE/>
              <w:autoSpaceDN/>
              <w:bidi w:val="0"/>
              <w:spacing w:line="38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注：如投标报价明显低于收费标准值，</w:t>
            </w:r>
            <w:r>
              <w:rPr>
                <w:rFonts w:hint="eastAsia" w:hAnsi="宋体" w:cs="宋体"/>
                <w:bCs/>
                <w:color w:val="auto"/>
                <w:kern w:val="2"/>
                <w:sz w:val="21"/>
                <w:szCs w:val="21"/>
                <w:highlight w:val="none"/>
                <w:lang w:eastAsia="zh-CN"/>
              </w:rPr>
              <w:t>磋商供应商</w:t>
            </w:r>
            <w:r>
              <w:rPr>
                <w:rFonts w:hint="eastAsia" w:ascii="宋体" w:hAnsi="宋体" w:eastAsia="宋体" w:cs="宋体"/>
                <w:bCs/>
                <w:color w:val="auto"/>
                <w:kern w:val="2"/>
                <w:sz w:val="21"/>
                <w:szCs w:val="21"/>
                <w:highlight w:val="none"/>
              </w:rPr>
              <w:t>必须提供成本分析报告及详细价格构成说明函原件（包括管理费用、人员成本构成、税收等所有成本和利润）。如不提供或评委认定其资料不能详尽合理说明其成本的，或成本与技术标内容不相匹配的，则视为低于成本价报价，投标无效。</w:t>
            </w:r>
          </w:p>
        </w:tc>
        <w:tc>
          <w:tcPr>
            <w:tcW w:w="964" w:type="dxa"/>
            <w:vAlign w:val="center"/>
          </w:tcPr>
          <w:p w14:paraId="76F8E6AA">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6124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7" w:type="dxa"/>
            <w:vAlign w:val="center"/>
          </w:tcPr>
          <w:p w14:paraId="713173B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99" w:type="dxa"/>
            <w:vAlign w:val="center"/>
          </w:tcPr>
          <w:p w14:paraId="403810AD">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p w14:paraId="20134CA1">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（满分</w:t>
            </w:r>
            <w:r>
              <w:rPr>
                <w:rFonts w:hint="eastAsia" w:ascii="宋体" w:hAnsi="宋体" w:cs="宋体"/>
                <w:b/>
                <w:bCs/>
                <w:color w:val="auto"/>
                <w:kern w:val="0"/>
                <w:sz w:val="21"/>
                <w:szCs w:val="21"/>
                <w:highlight w:val="none"/>
                <w:lang w:val="en-US" w:eastAsia="zh-CN"/>
              </w:rPr>
              <w:t>64</w:t>
            </w:r>
            <w:r>
              <w:rPr>
                <w:rFonts w:hint="eastAsia" w:ascii="宋体" w:hAnsi="宋体" w:eastAsia="宋体" w:cs="宋体"/>
                <w:b/>
                <w:bCs/>
                <w:color w:val="auto"/>
                <w:kern w:val="0"/>
                <w:sz w:val="21"/>
                <w:szCs w:val="21"/>
                <w:highlight w:val="none"/>
              </w:rPr>
              <w:t>分）</w:t>
            </w:r>
          </w:p>
        </w:tc>
        <w:tc>
          <w:tcPr>
            <w:tcW w:w="7984" w:type="dxa"/>
            <w:gridSpan w:val="2"/>
            <w:vAlign w:val="center"/>
          </w:tcPr>
          <w:p w14:paraId="2876D7D4">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3F8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77" w:type="dxa"/>
            <w:vAlign w:val="center"/>
          </w:tcPr>
          <w:p w14:paraId="63A2987D">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p>
        </w:tc>
        <w:tc>
          <w:tcPr>
            <w:tcW w:w="1499" w:type="dxa"/>
            <w:vAlign w:val="center"/>
          </w:tcPr>
          <w:p w14:paraId="5AD8FC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项目实施方案（满分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7020" w:type="dxa"/>
            <w:vAlign w:val="center"/>
          </w:tcPr>
          <w:p w14:paraId="2207CDB1">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磋商小组</w:t>
            </w:r>
            <w:r>
              <w:rPr>
                <w:rFonts w:hint="eastAsia" w:ascii="宋体" w:hAnsi="宋体" w:cs="宋体"/>
                <w:color w:val="auto"/>
                <w:szCs w:val="21"/>
                <w:highlight w:val="none"/>
              </w:rPr>
              <w:t>根据各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文件编写的项目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w:t>
            </w:r>
            <w:r>
              <w:rPr>
                <w:rFonts w:hint="eastAsia" w:ascii="宋体" w:hAnsi="宋体" w:cs="宋体"/>
                <w:color w:val="auto"/>
                <w:kern w:val="0"/>
                <w:szCs w:val="21"/>
                <w:highlight w:val="none"/>
              </w:rPr>
              <w:t>【包括但不限于</w:t>
            </w:r>
            <w:r>
              <w:rPr>
                <w:rFonts w:hint="eastAsia" w:ascii="宋体" w:hAnsi="宋体" w:cs="宋体"/>
                <w:color w:val="auto"/>
                <w:szCs w:val="21"/>
                <w:highlight w:val="none"/>
              </w:rPr>
              <w:t>①服务内容②服务配置③服务流程④项目质量控制措施⑤项目实施进度控制措施⑥</w:t>
            </w:r>
            <w:r>
              <w:rPr>
                <w:rFonts w:hint="eastAsia" w:ascii="宋体" w:hAnsi="宋体" w:eastAsia="宋体" w:cs="宋体"/>
                <w:b w:val="0"/>
                <w:bCs w:val="0"/>
                <w:color w:val="auto"/>
                <w:sz w:val="21"/>
                <w:szCs w:val="21"/>
                <w:highlight w:val="none"/>
              </w:rPr>
              <w:t>应急保障措施</w:t>
            </w:r>
            <w:r>
              <w:rPr>
                <w:rFonts w:hint="eastAsia" w:ascii="宋体" w:hAnsi="宋体" w:cs="宋体"/>
                <w:color w:val="auto"/>
                <w:kern w:val="0"/>
                <w:szCs w:val="21"/>
                <w:highlight w:val="none"/>
              </w:rPr>
              <w:t>等】内容的详尽性、科学性、合理性、针对性进行综合评定，独立打分。</w:t>
            </w:r>
          </w:p>
          <w:p w14:paraId="73AF1A72">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一档（5分）：方案内容存在缺陷，未完全包含以上所列的内容；</w:t>
            </w:r>
          </w:p>
          <w:p w14:paraId="6B9D3859">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二档（10分）：方案内容包含以上所列的内容但不够详尽、不够有针对性，基本满足本项目需求；</w:t>
            </w:r>
          </w:p>
          <w:p w14:paraId="0DA0E0DD">
            <w:pPr>
              <w:widowControl/>
              <w:spacing w:line="410" w:lineRule="exact"/>
              <w:rPr>
                <w:rFonts w:hint="eastAsia" w:ascii="宋体" w:hAnsi="宋体" w:cs="宋体"/>
                <w:color w:val="auto"/>
                <w:szCs w:val="21"/>
                <w:highlight w:val="none"/>
              </w:rPr>
            </w:pPr>
            <w:r>
              <w:rPr>
                <w:rFonts w:hint="eastAsia" w:ascii="宋体" w:hAnsi="宋体" w:cs="宋体"/>
                <w:color w:val="auto"/>
                <w:szCs w:val="21"/>
                <w:highlight w:val="none"/>
              </w:rPr>
              <w:t>三档（15分）：方案内容包含以上所列的内容且相对详尽、有一定针对性满足本项目需求；</w:t>
            </w:r>
          </w:p>
          <w:p w14:paraId="3E6629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eastAsia="zh-CN"/>
              </w:rPr>
            </w:pPr>
            <w:r>
              <w:rPr>
                <w:rFonts w:hint="eastAsia" w:ascii="宋体" w:hAnsi="宋体" w:cs="宋体"/>
                <w:color w:val="auto"/>
                <w:szCs w:val="21"/>
                <w:highlight w:val="none"/>
              </w:rPr>
              <w:t>四档（20分）：方案内容包含以上所列的内容，</w:t>
            </w:r>
            <w:r>
              <w:rPr>
                <w:rFonts w:hint="eastAsia" w:hAnsi="宋体" w:cs="宋体"/>
                <w:color w:val="auto"/>
                <w:highlight w:val="none"/>
              </w:rPr>
              <w:t>且</w:t>
            </w:r>
            <w:r>
              <w:rPr>
                <w:rFonts w:hint="eastAsia" w:ascii="宋体" w:hAnsi="宋体" w:cs="宋体"/>
                <w:color w:val="auto"/>
                <w:szCs w:val="21"/>
                <w:highlight w:val="none"/>
              </w:rPr>
              <w:t>内容</w:t>
            </w:r>
            <w:r>
              <w:rPr>
                <w:rFonts w:hint="eastAsia" w:hAnsi="宋体" w:cs="宋体"/>
                <w:color w:val="auto"/>
                <w:highlight w:val="none"/>
              </w:rPr>
              <w:t>不存在缺陷，</w:t>
            </w: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方案及措施有合理的计划安排，逻辑清晰、科学合理、具体。</w:t>
            </w:r>
          </w:p>
        </w:tc>
        <w:tc>
          <w:tcPr>
            <w:tcW w:w="964" w:type="dxa"/>
            <w:vAlign w:val="center"/>
          </w:tcPr>
          <w:p w14:paraId="1E515A3F">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lang w:val="en-US" w:eastAsia="zh-CN"/>
              </w:rPr>
              <w:t>分</w:t>
            </w:r>
          </w:p>
        </w:tc>
      </w:tr>
      <w:tr w14:paraId="426B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02A2D79B">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499" w:type="dxa"/>
            <w:vAlign w:val="center"/>
          </w:tcPr>
          <w:p w14:paraId="555F5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项目质控方案（满分</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r>
              <w:rPr>
                <w:rFonts w:hint="eastAsia" w:ascii="宋体" w:hAnsi="宋体" w:eastAsia="宋体" w:cs="宋体"/>
                <w:bCs/>
                <w:color w:val="auto"/>
                <w:sz w:val="21"/>
                <w:szCs w:val="21"/>
                <w:highlight w:val="none"/>
              </w:rPr>
              <w:t>）</w:t>
            </w:r>
          </w:p>
        </w:tc>
        <w:tc>
          <w:tcPr>
            <w:tcW w:w="7020" w:type="dxa"/>
            <w:vAlign w:val="center"/>
          </w:tcPr>
          <w:p w14:paraId="1DF65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磋商小组</w:t>
            </w:r>
            <w:r>
              <w:rPr>
                <w:rFonts w:hint="eastAsia" w:ascii="宋体" w:hAnsi="宋体" w:eastAsia="宋体" w:cs="宋体"/>
                <w:color w:val="auto"/>
                <w:sz w:val="21"/>
                <w:szCs w:val="21"/>
                <w:highlight w:val="none"/>
              </w:rPr>
              <w:t>根据各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提供的针对本项目的监测质量控制施方案、对现场质控、实验室质控、监测数据质量保证及其他考查项进行横向对比，综合评定，独立打分。</w:t>
            </w:r>
          </w:p>
          <w:p w14:paraId="74A8637A">
            <w:pPr>
              <w:widowControl/>
              <w:spacing w:line="41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rPr>
              <w:t>方案内容未完全包含以上所列的内容</w:t>
            </w:r>
            <w:r>
              <w:rPr>
                <w:rFonts w:hint="eastAsia" w:ascii="宋体" w:hAnsi="宋体" w:eastAsia="宋体" w:cs="宋体"/>
                <w:color w:val="auto"/>
                <w:sz w:val="21"/>
                <w:szCs w:val="21"/>
                <w:highlight w:val="none"/>
              </w:rPr>
              <w:t>；</w:t>
            </w:r>
          </w:p>
          <w:p w14:paraId="7A9C44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做出的监测质量措施保障基本按照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文件要求进行，符合检测质量保证技术要求；</w:t>
            </w:r>
          </w:p>
          <w:p w14:paraId="52B5A8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做出的监测质量措施保障在满足</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档要求的基础上，有针对性的对本项目的采样、分析、数据审核等方面进行阐述，符合质量保证要求；</w:t>
            </w:r>
          </w:p>
          <w:p w14:paraId="6C5486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做出的监测质量措施保障在满足</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档要求的基础上，对本项目进行全过程质量保证进行阐述，并提供针对性的监测数据支持，数据真实、有效。</w:t>
            </w:r>
          </w:p>
        </w:tc>
        <w:tc>
          <w:tcPr>
            <w:tcW w:w="964" w:type="dxa"/>
            <w:vAlign w:val="center"/>
          </w:tcPr>
          <w:p w14:paraId="1418957C">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分</w:t>
            </w:r>
          </w:p>
        </w:tc>
      </w:tr>
      <w:tr w14:paraId="021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35D70AEA">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99" w:type="dxa"/>
            <w:vAlign w:val="center"/>
          </w:tcPr>
          <w:p w14:paraId="6EC3F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w:t>
            </w:r>
            <w:r>
              <w:rPr>
                <w:rFonts w:hint="eastAsia" w:ascii="宋体" w:hAnsi="宋体" w:eastAsia="宋体" w:cs="宋体"/>
                <w:b w:val="0"/>
                <w:bCs w:val="0"/>
                <w:color w:val="auto"/>
                <w:sz w:val="21"/>
                <w:szCs w:val="21"/>
                <w:highlight w:val="none"/>
              </w:rPr>
              <w:t>项目仪器设备（满分1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020" w:type="dxa"/>
            <w:vAlign w:val="center"/>
          </w:tcPr>
          <w:p w14:paraId="2B67A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提供拟投入本项目的仪器设备配备情况（数量、配置精度等），由评委集体讨论确定各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所属的档次等级后，在等级内由各评委独立打分。</w:t>
            </w:r>
          </w:p>
          <w:p w14:paraId="78CBE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分）：监测设备配置基本充足。实验室分析配备有原子吸收光度计、原子荧光光度计、紫外/可见分光光度计、红外</w:t>
            </w:r>
            <w:r>
              <w:rPr>
                <w:rFonts w:hint="eastAsia" w:ascii="宋体" w:hAnsi="宋体" w:eastAsia="宋体" w:cs="宋体"/>
                <w:color w:val="auto"/>
                <w:sz w:val="21"/>
                <w:szCs w:val="21"/>
                <w:highlight w:val="none"/>
                <w:lang w:val="en-US" w:eastAsia="zh-CN"/>
              </w:rPr>
              <w:t>测油仪</w:t>
            </w:r>
            <w:r>
              <w:rPr>
                <w:rFonts w:hint="eastAsia" w:ascii="宋体" w:hAnsi="宋体" w:eastAsia="宋体" w:cs="宋体"/>
                <w:color w:val="auto"/>
                <w:sz w:val="21"/>
                <w:szCs w:val="21"/>
                <w:highlight w:val="none"/>
              </w:rPr>
              <w:t>、电子天平等主要仪器设备；现场监测采样配备有便携式pH计</w:t>
            </w:r>
            <w:r>
              <w:rPr>
                <w:rFonts w:hint="eastAsia" w:ascii="宋体" w:hAnsi="宋体" w:eastAsia="宋体" w:cs="宋体"/>
                <w:color w:val="auto"/>
                <w:sz w:val="21"/>
                <w:szCs w:val="21"/>
                <w:highlight w:val="none"/>
                <w:lang w:val="en-US" w:eastAsia="zh-CN"/>
              </w:rPr>
              <w:t>至少1台</w:t>
            </w:r>
            <w:r>
              <w:rPr>
                <w:rFonts w:hint="eastAsia" w:ascii="宋体" w:hAnsi="宋体" w:eastAsia="宋体" w:cs="宋体"/>
                <w:color w:val="auto"/>
                <w:sz w:val="21"/>
                <w:szCs w:val="21"/>
                <w:highlight w:val="none"/>
              </w:rPr>
              <w:t>、烟尘（气）测试仪</w:t>
            </w:r>
            <w:r>
              <w:rPr>
                <w:rFonts w:hint="eastAsia" w:ascii="宋体" w:hAnsi="宋体" w:eastAsia="宋体" w:cs="宋体"/>
                <w:color w:val="auto"/>
                <w:sz w:val="21"/>
                <w:szCs w:val="21"/>
                <w:highlight w:val="none"/>
                <w:lang w:val="en-US" w:eastAsia="zh-CN"/>
              </w:rPr>
              <w:t>至少1台</w:t>
            </w:r>
            <w:r>
              <w:rPr>
                <w:rFonts w:hint="eastAsia" w:ascii="宋体" w:hAnsi="宋体" w:eastAsia="宋体" w:cs="宋体"/>
                <w:color w:val="auto"/>
                <w:sz w:val="21"/>
                <w:szCs w:val="21"/>
                <w:highlight w:val="none"/>
              </w:rPr>
              <w:t>、多功能声级计</w:t>
            </w:r>
            <w:r>
              <w:rPr>
                <w:rFonts w:hint="eastAsia" w:ascii="宋体" w:hAnsi="宋体" w:eastAsia="宋体" w:cs="宋体"/>
                <w:color w:val="auto"/>
                <w:sz w:val="21"/>
                <w:szCs w:val="21"/>
                <w:highlight w:val="none"/>
                <w:lang w:val="en-US" w:eastAsia="zh-CN"/>
              </w:rPr>
              <w:t>至少2台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至少6台</w:t>
            </w:r>
            <w:r>
              <w:rPr>
                <w:rFonts w:hint="eastAsia" w:ascii="宋体" w:hAnsi="宋体" w:eastAsia="宋体" w:cs="宋体"/>
                <w:color w:val="auto"/>
                <w:sz w:val="21"/>
                <w:szCs w:val="21"/>
                <w:highlight w:val="none"/>
              </w:rPr>
              <w:t>等主要仪器设备，基本能满足工作要求的。</w:t>
            </w:r>
          </w:p>
          <w:p w14:paraId="22857D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分）：监测设备配置充足。主要仪器设备配备满足一档的基础上，还需配备气相色谱仪；现场监测采样设备数量充足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便捷式pH计</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2台、烟尘（气）测试仪</w:t>
            </w:r>
            <w:r>
              <w:rPr>
                <w:rFonts w:hint="eastAsia" w:ascii="宋体" w:hAnsi="宋体" w:eastAsia="宋体" w:cs="宋体"/>
                <w:color w:val="auto"/>
                <w:sz w:val="21"/>
                <w:szCs w:val="21"/>
                <w:highlight w:val="none"/>
                <w:lang w:val="en-US" w:eastAsia="zh-CN"/>
              </w:rPr>
              <w:t>至少2</w:t>
            </w:r>
            <w:r>
              <w:rPr>
                <w:rFonts w:hint="eastAsia" w:ascii="宋体" w:hAnsi="宋体" w:eastAsia="宋体" w:cs="宋体"/>
                <w:color w:val="auto"/>
                <w:sz w:val="21"/>
                <w:szCs w:val="21"/>
                <w:highlight w:val="none"/>
              </w:rPr>
              <w:t>台、多功能声级计</w:t>
            </w:r>
            <w:r>
              <w:rPr>
                <w:rFonts w:hint="eastAsia" w:ascii="宋体" w:hAnsi="宋体" w:eastAsia="宋体" w:cs="宋体"/>
                <w:color w:val="auto"/>
                <w:sz w:val="21"/>
                <w:szCs w:val="21"/>
                <w:highlight w:val="none"/>
                <w:lang w:val="en-US" w:eastAsia="zh-CN"/>
              </w:rPr>
              <w:t>至少5台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至少8</w:t>
            </w:r>
            <w:r>
              <w:rPr>
                <w:rFonts w:hint="eastAsia" w:ascii="宋体" w:hAnsi="宋体" w:eastAsia="宋体" w:cs="宋体"/>
                <w:color w:val="auto"/>
                <w:sz w:val="21"/>
                <w:szCs w:val="21"/>
                <w:highlight w:val="none"/>
              </w:rPr>
              <w:t>台。</w:t>
            </w:r>
          </w:p>
          <w:p w14:paraId="74CCD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分）：监测设备配置充足。主要仪器设备配备满足</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档的基础上，还需配备电感耦合等离子质谱仪；现场监测采样设备数量充足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便捷式pH计</w:t>
            </w:r>
            <w:r>
              <w:rPr>
                <w:rFonts w:hint="eastAsia" w:ascii="宋体" w:hAnsi="宋体" w:eastAsia="宋体" w:cs="宋体"/>
                <w:color w:val="auto"/>
                <w:sz w:val="21"/>
                <w:szCs w:val="21"/>
                <w:highlight w:val="none"/>
                <w:lang w:val="en-US" w:eastAsia="zh-CN"/>
              </w:rPr>
              <w:t>至少3</w:t>
            </w:r>
            <w:r>
              <w:rPr>
                <w:rFonts w:hint="eastAsia" w:ascii="宋体" w:hAnsi="宋体" w:eastAsia="宋体" w:cs="宋体"/>
                <w:color w:val="auto"/>
                <w:sz w:val="21"/>
                <w:szCs w:val="21"/>
                <w:highlight w:val="none"/>
              </w:rPr>
              <w:t>台、烟尘（气）测试仪</w:t>
            </w:r>
            <w:r>
              <w:rPr>
                <w:rFonts w:hint="eastAsia" w:ascii="宋体" w:hAnsi="宋体" w:eastAsia="宋体" w:cs="宋体"/>
                <w:color w:val="auto"/>
                <w:sz w:val="21"/>
                <w:szCs w:val="21"/>
                <w:highlight w:val="none"/>
                <w:lang w:val="en-US" w:eastAsia="zh-CN"/>
              </w:rPr>
              <w:t>至少3</w:t>
            </w:r>
            <w:r>
              <w:rPr>
                <w:rFonts w:hint="eastAsia" w:ascii="宋体" w:hAnsi="宋体" w:eastAsia="宋体" w:cs="宋体"/>
                <w:color w:val="auto"/>
                <w:sz w:val="21"/>
                <w:szCs w:val="21"/>
                <w:highlight w:val="none"/>
              </w:rPr>
              <w:t>台、多功能声级计</w:t>
            </w:r>
            <w:r>
              <w:rPr>
                <w:rFonts w:hint="eastAsia" w:ascii="宋体" w:hAnsi="宋体" w:eastAsia="宋体" w:cs="宋体"/>
                <w:color w:val="auto"/>
                <w:sz w:val="21"/>
                <w:szCs w:val="21"/>
                <w:highlight w:val="none"/>
                <w:lang w:val="en-US" w:eastAsia="zh-CN"/>
              </w:rPr>
              <w:t>至少6</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气采样器</w:t>
            </w:r>
            <w:r>
              <w:rPr>
                <w:rFonts w:hint="eastAsia" w:ascii="宋体" w:hAnsi="宋体" w:eastAsia="宋体" w:cs="宋体"/>
                <w:color w:val="auto"/>
                <w:sz w:val="21"/>
                <w:szCs w:val="21"/>
                <w:highlight w:val="none"/>
                <w:lang w:val="en-US" w:eastAsia="zh-CN"/>
              </w:rPr>
              <w:t>至少20</w:t>
            </w:r>
            <w:r>
              <w:rPr>
                <w:rFonts w:hint="eastAsia" w:ascii="宋体" w:hAnsi="宋体" w:eastAsia="宋体" w:cs="宋体"/>
                <w:color w:val="auto"/>
                <w:sz w:val="21"/>
                <w:szCs w:val="21"/>
                <w:highlight w:val="none"/>
              </w:rPr>
              <w:t>台。</w:t>
            </w:r>
          </w:p>
          <w:p w14:paraId="28ABBA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提供上述仪器设备检定/校准有效期内合格证书复印件</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，否则不予认可。</w:t>
            </w:r>
          </w:p>
        </w:tc>
        <w:tc>
          <w:tcPr>
            <w:tcW w:w="964" w:type="dxa"/>
            <w:vAlign w:val="center"/>
          </w:tcPr>
          <w:p w14:paraId="7BB1A50E">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分</w:t>
            </w:r>
          </w:p>
        </w:tc>
      </w:tr>
      <w:tr w14:paraId="4848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7" w:type="dxa"/>
            <w:vAlign w:val="center"/>
          </w:tcPr>
          <w:p w14:paraId="442474F4">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499" w:type="dxa"/>
            <w:vAlign w:val="center"/>
          </w:tcPr>
          <w:p w14:paraId="350842C6">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w:t>
            </w:r>
            <w:r>
              <w:rPr>
                <w:rFonts w:hint="eastAsia" w:ascii="宋体" w:hAnsi="宋体" w:eastAsia="宋体" w:cs="宋体"/>
                <w:b w:val="0"/>
                <w:bCs w:val="0"/>
                <w:color w:val="auto"/>
                <w:sz w:val="21"/>
                <w:szCs w:val="21"/>
                <w:highlight w:val="none"/>
              </w:rPr>
              <w:t>项目团队人员（满分1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7020" w:type="dxa"/>
            <w:vAlign w:val="center"/>
          </w:tcPr>
          <w:p w14:paraId="326C6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从事环境监测10年及以上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0414F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从事环境监测10年及以上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，质量监督员从事环境监测</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3C7E5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分）：人员岗位设置及配备包括项目负责人、质量监督员、现场监测采样负责人、监测技术人员，其中监测技术人员数量不少于1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项目负责人</w:t>
            </w:r>
            <w:r>
              <w:rPr>
                <w:rFonts w:hint="eastAsia" w:ascii="宋体" w:hAnsi="宋体" w:eastAsia="宋体" w:cs="宋体"/>
                <w:color w:val="auto"/>
                <w:highlight w:val="none"/>
              </w:rPr>
              <w:t>具有副高级及以上职称</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从事环境监测1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质量监督员从事环境监测</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经验</w:t>
            </w:r>
            <w:r>
              <w:rPr>
                <w:rFonts w:hint="eastAsia" w:ascii="宋体" w:hAnsi="宋体" w:eastAsia="宋体" w:cs="宋体"/>
                <w:color w:val="auto"/>
                <w:sz w:val="21"/>
                <w:szCs w:val="21"/>
                <w:highlight w:val="none"/>
              </w:rPr>
              <w:t>。</w:t>
            </w:r>
          </w:p>
          <w:p w14:paraId="74754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lang w:val="en-US" w:eastAsia="zh-CN"/>
              </w:rPr>
              <w:t>注：以上条件有一项不满足不予计分，须提供相关人员近半年内以来任意1个月社保证明材料。</w:t>
            </w:r>
          </w:p>
        </w:tc>
        <w:tc>
          <w:tcPr>
            <w:tcW w:w="964" w:type="dxa"/>
            <w:vAlign w:val="center"/>
          </w:tcPr>
          <w:p w14:paraId="3D6E566B">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分</w:t>
            </w:r>
          </w:p>
        </w:tc>
      </w:tr>
      <w:tr w14:paraId="2BE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77" w:type="dxa"/>
            <w:vAlign w:val="center"/>
          </w:tcPr>
          <w:p w14:paraId="77291006">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1499" w:type="dxa"/>
            <w:vAlign w:val="center"/>
          </w:tcPr>
          <w:p w14:paraId="4BD255D5">
            <w:pPr>
              <w:keepNext w:val="0"/>
              <w:keepLines w:val="0"/>
              <w:pageBreakBefore w:val="0"/>
              <w:kinsoku/>
              <w:wordWrap/>
              <w:overflowPunct/>
              <w:topLinePunct w:val="0"/>
              <w:autoSpaceDE/>
              <w:autoSpaceDN/>
              <w:bidi w:val="0"/>
              <w:adjustRightInd w:val="0"/>
              <w:snapToGrid w:val="0"/>
              <w:spacing w:line="380" w:lineRule="exact"/>
              <w:ind w:firstLine="105" w:firstLineChars="5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商务</w:t>
            </w:r>
            <w:r>
              <w:rPr>
                <w:rFonts w:hint="eastAsia" w:ascii="宋体" w:hAnsi="宋体" w:eastAsia="宋体" w:cs="宋体"/>
                <w:b/>
                <w:color w:val="auto"/>
                <w:kern w:val="0"/>
                <w:sz w:val="21"/>
                <w:szCs w:val="21"/>
                <w:highlight w:val="none"/>
              </w:rPr>
              <w:t>分</w:t>
            </w:r>
          </w:p>
          <w:p w14:paraId="1FB267B6">
            <w:pPr>
              <w:keepNext w:val="0"/>
              <w:keepLines w:val="0"/>
              <w:pageBreakBefore w:val="0"/>
              <w:kinsoku/>
              <w:wordWrap/>
              <w:overflowPunct/>
              <w:topLinePunct w:val="0"/>
              <w:autoSpaceDE/>
              <w:autoSpaceDN/>
              <w:bidi w:val="0"/>
              <w:adjustRightInd w:val="0"/>
              <w:snapToGrid w:val="0"/>
              <w:spacing w:line="380" w:lineRule="exact"/>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rPr>
              <w:t>（满分</w:t>
            </w:r>
            <w:r>
              <w:rPr>
                <w:rFonts w:hint="eastAsia" w:ascii="宋体" w:hAnsi="宋体" w:cs="宋体"/>
                <w:b/>
                <w:color w:val="auto"/>
                <w:kern w:val="0"/>
                <w:sz w:val="21"/>
                <w:szCs w:val="21"/>
                <w:highlight w:val="none"/>
                <w:lang w:val="en-US" w:eastAsia="zh-CN"/>
              </w:rPr>
              <w:t>26</w:t>
            </w:r>
            <w:r>
              <w:rPr>
                <w:rFonts w:hint="eastAsia" w:ascii="宋体" w:hAnsi="宋体" w:eastAsia="宋体" w:cs="宋体"/>
                <w:b/>
                <w:color w:val="auto"/>
                <w:kern w:val="0"/>
                <w:sz w:val="21"/>
                <w:szCs w:val="21"/>
                <w:highlight w:val="none"/>
              </w:rPr>
              <w:t>分）</w:t>
            </w:r>
          </w:p>
        </w:tc>
        <w:tc>
          <w:tcPr>
            <w:tcW w:w="7984" w:type="dxa"/>
            <w:gridSpan w:val="2"/>
            <w:vAlign w:val="center"/>
          </w:tcPr>
          <w:p w14:paraId="46025BE0">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r>
      <w:tr w14:paraId="0B27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577" w:type="dxa"/>
            <w:vAlign w:val="center"/>
          </w:tcPr>
          <w:p w14:paraId="0C430C40">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w:t>
            </w:r>
          </w:p>
        </w:tc>
        <w:tc>
          <w:tcPr>
            <w:tcW w:w="1499" w:type="dxa"/>
            <w:vAlign w:val="center"/>
          </w:tcPr>
          <w:p w14:paraId="6BECA04D">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综合实</w:t>
            </w:r>
            <w:r>
              <w:rPr>
                <w:rFonts w:hint="eastAsia" w:ascii="宋体" w:hAnsi="宋体" w:eastAsia="宋体" w:cs="宋体"/>
                <w:b w:val="0"/>
                <w:bCs/>
                <w:color w:val="auto"/>
                <w:sz w:val="21"/>
                <w:szCs w:val="21"/>
                <w:highlight w:val="none"/>
                <w:lang w:val="en-US" w:eastAsia="zh-CN"/>
              </w:rPr>
              <w:t>力（</w:t>
            </w:r>
            <w:r>
              <w:rPr>
                <w:rFonts w:hint="eastAsia" w:ascii="宋体" w:hAnsi="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lang w:val="en-US" w:eastAsia="zh-CN"/>
              </w:rPr>
              <w:t>分）</w:t>
            </w:r>
          </w:p>
        </w:tc>
        <w:tc>
          <w:tcPr>
            <w:tcW w:w="7020" w:type="dxa"/>
            <w:vAlign w:val="top"/>
          </w:tcPr>
          <w:p w14:paraId="039C33FA">
            <w:pPr>
              <w:keepNext w:val="0"/>
              <w:keepLines w:val="0"/>
              <w:pageBreakBefore w:val="0"/>
              <w:kinsoku/>
              <w:wordWrap/>
              <w:overflowPunct/>
              <w:topLinePunct w:val="0"/>
              <w:autoSpaceDE/>
              <w:autoSpaceDN/>
              <w:bidi w:val="0"/>
              <w:spacing w:line="380" w:lineRule="exac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具备满足现场采样监测的车辆，每提供一辆得2分，满分6分。</w:t>
            </w:r>
          </w:p>
          <w:p w14:paraId="5C8FE504">
            <w:pPr>
              <w:keepNext w:val="0"/>
              <w:keepLines w:val="0"/>
              <w:pageBreakBefore w:val="0"/>
              <w:kinsoku/>
              <w:wordWrap/>
              <w:overflowPunct/>
              <w:topLinePunct w:val="0"/>
              <w:autoSpaceDE/>
              <w:autoSpaceDN/>
              <w:bidi w:val="0"/>
              <w:spacing w:line="38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须提供本单位车辆行驶证复印件，否则不予计分。</w:t>
            </w:r>
          </w:p>
          <w:p w14:paraId="754169A4">
            <w:pPr>
              <w:keepNext w:val="0"/>
              <w:keepLines w:val="0"/>
              <w:pageBreakBefore w:val="0"/>
              <w:kinsoku/>
              <w:wordWrap/>
              <w:overflowPunct/>
              <w:topLinePunct w:val="0"/>
              <w:autoSpaceDE/>
              <w:autoSpaceDN/>
              <w:bidi w:val="0"/>
              <w:spacing w:line="380" w:lineRule="exact"/>
              <w:rPr>
                <w:rFonts w:hint="eastAsia" w:ascii="宋体" w:hAnsi="宋体" w:eastAsia="宋体" w:cs="宋体"/>
                <w:color w:val="auto"/>
                <w:kern w:val="2"/>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近三年（2022年</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月至今）承担过县（区）级及以上政府生态环境部门相关业绩，每项4分，满分8分。（提供中标/成交通知书复印件，否则不予计分）</w:t>
            </w:r>
          </w:p>
          <w:p w14:paraId="6FC875A3">
            <w:pPr>
              <w:pStyle w:val="49"/>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拟投入人员（除项目负责人）具有中级及以上职称每人得2分，满分8分。（提供相职称复印件，否则不予计分）</w:t>
            </w:r>
          </w:p>
        </w:tc>
        <w:tc>
          <w:tcPr>
            <w:tcW w:w="964" w:type="dxa"/>
            <w:vAlign w:val="center"/>
          </w:tcPr>
          <w:p w14:paraId="727154C5">
            <w:pPr>
              <w:keepNext w:val="0"/>
              <w:keepLines w:val="0"/>
              <w:pageBreakBefore w:val="0"/>
              <w:widowControl/>
              <w:kinsoku/>
              <w:wordWrap/>
              <w:overflowPunct/>
              <w:topLinePunct w:val="0"/>
              <w:autoSpaceDE/>
              <w:autoSpaceDN/>
              <w:bidi w:val="0"/>
              <w:spacing w:line="380" w:lineRule="exact"/>
              <w:jc w:val="center"/>
              <w:rPr>
                <w:rFonts w:hint="eastAsia" w:ascii="宋体" w:hAnsi="宋体" w:eastAsia="宋体" w:cs="宋体"/>
                <w:bCs/>
                <w:color w:val="auto"/>
                <w:kern w:val="0"/>
                <w:sz w:val="21"/>
                <w:szCs w:val="21"/>
                <w:highlight w:val="none"/>
              </w:rPr>
            </w:pPr>
            <w:r>
              <w:rPr>
                <w:rFonts w:hint="eastAsia" w:ascii="宋体" w:hAnsi="宋体" w:cs="宋体"/>
                <w:color w:val="auto"/>
                <w:sz w:val="21"/>
                <w:szCs w:val="21"/>
                <w:highlight w:val="none"/>
                <w:lang w:val="en-US" w:eastAsia="zh-CN"/>
              </w:rPr>
              <w:t>22</w:t>
            </w:r>
            <w:r>
              <w:rPr>
                <w:rFonts w:hint="eastAsia" w:ascii="宋体" w:hAnsi="宋体" w:eastAsia="宋体" w:cs="宋体"/>
                <w:bCs/>
                <w:color w:val="auto"/>
                <w:sz w:val="21"/>
                <w:szCs w:val="21"/>
                <w:highlight w:val="none"/>
              </w:rPr>
              <w:t>分</w:t>
            </w:r>
          </w:p>
        </w:tc>
      </w:tr>
      <w:tr w14:paraId="3C37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77" w:type="dxa"/>
            <w:vAlign w:val="center"/>
          </w:tcPr>
          <w:p w14:paraId="136BE434">
            <w:pPr>
              <w:keepNext w:val="0"/>
              <w:keepLines w:val="0"/>
              <w:pageBreakBefore w:val="0"/>
              <w:kinsoku/>
              <w:wordWrap/>
              <w:overflowPunct/>
              <w:topLinePunct w:val="0"/>
              <w:autoSpaceDE/>
              <w:autoSpaceDN/>
              <w:bidi w:val="0"/>
              <w:adjustRightInd w:val="0"/>
              <w:spacing w:line="380" w:lineRule="exact"/>
              <w:ind w:left="-105" w:leftChars="-50" w:right="-105" w:rightChars="-5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2</w:t>
            </w:r>
          </w:p>
        </w:tc>
        <w:tc>
          <w:tcPr>
            <w:tcW w:w="1499" w:type="dxa"/>
            <w:vAlign w:val="center"/>
          </w:tcPr>
          <w:p w14:paraId="549EC3EA">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020" w:type="dxa"/>
            <w:vAlign w:val="top"/>
          </w:tcPr>
          <w:p w14:paraId="1F04FD13">
            <w:pPr>
              <w:keepNext w:val="0"/>
              <w:keepLines w:val="0"/>
              <w:pageBreakBefore w:val="0"/>
              <w:kinsoku/>
              <w:wordWrap/>
              <w:overflowPunct/>
              <w:topLinePunct w:val="0"/>
              <w:autoSpaceDE/>
              <w:autoSpaceDN/>
              <w:bidi w:val="0"/>
              <w:spacing w:line="38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sz w:val="21"/>
                <w:szCs w:val="21"/>
                <w:highlight w:val="none"/>
                <w:lang w:val="en-US" w:eastAsia="zh-CN"/>
              </w:rPr>
              <w:t>磋商</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近三年（2022年</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月至今）以来参加省级及以上相关环境监测部门组织的实验室能力验证且全部取得满意结果的，每项得1分，满分4分。（提供相关证明材料复印件，否则不予计分）</w:t>
            </w:r>
          </w:p>
        </w:tc>
        <w:tc>
          <w:tcPr>
            <w:tcW w:w="964" w:type="dxa"/>
            <w:vAlign w:val="center"/>
          </w:tcPr>
          <w:p w14:paraId="59F8D0D5">
            <w:pPr>
              <w:pStyle w:val="6"/>
              <w:keepNext w:val="0"/>
              <w:keepLines w:val="0"/>
              <w:pageBreakBefore w:val="0"/>
              <w:kinsoku/>
              <w:wordWrap/>
              <w:overflowPunct/>
              <w:topLinePunct w:val="0"/>
              <w:autoSpaceDE/>
              <w:autoSpaceDN/>
              <w:bidi w:val="0"/>
              <w:spacing w:line="380" w:lineRule="exact"/>
              <w:ind w:left="0"/>
              <w:jc w:val="center"/>
              <w:rPr>
                <w:rFonts w:hint="eastAsia" w:ascii="宋体" w:hAnsi="宋体" w:eastAsia="宋体" w:cs="宋体"/>
                <w:color w:val="auto"/>
                <w:kern w:val="0"/>
                <w:sz w:val="21"/>
                <w:szCs w:val="21"/>
                <w:highlight w:val="none"/>
              </w:rPr>
            </w:pP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r>
      <w:tr w14:paraId="4D18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60" w:type="dxa"/>
            <w:gridSpan w:val="4"/>
          </w:tcPr>
          <w:p w14:paraId="6BBA1DFF">
            <w:pPr>
              <w:keepNext w:val="0"/>
              <w:keepLines w:val="0"/>
              <w:pageBreakBefore w:val="0"/>
              <w:widowControl/>
              <w:kinsoku/>
              <w:wordWrap/>
              <w:overflowPunct/>
              <w:topLinePunct w:val="0"/>
              <w:autoSpaceDE/>
              <w:autoSpaceDN/>
              <w:bidi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rPr>
              <w:t>总得分＝1＋2＋3</w:t>
            </w:r>
          </w:p>
        </w:tc>
      </w:tr>
    </w:tbl>
    <w:p w14:paraId="50E18D0D">
      <w:pPr>
        <w:keepNext w:val="0"/>
        <w:keepLines w:val="0"/>
        <w:pageBreakBefore w:val="0"/>
        <w:kinsoku/>
        <w:wordWrap/>
        <w:overflowPunct/>
        <w:topLinePunct w:val="0"/>
        <w:autoSpaceDE/>
        <w:autoSpaceDN/>
        <w:bidi w:val="0"/>
        <w:spacing w:line="37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7.由磋商小组根据综合评分情况，按照评审</w:t>
      </w:r>
      <w:r>
        <w:rPr>
          <w:rFonts w:hint="eastAsia" w:ascii="宋体" w:hAnsi="宋体" w:eastAsia="宋体" w:cs="宋体"/>
          <w:color w:val="auto"/>
          <w:highlight w:val="none"/>
        </w:rPr>
        <w:t>总得分</w:t>
      </w:r>
      <w:r>
        <w:rPr>
          <w:rFonts w:hint="eastAsia" w:ascii="宋体" w:hAnsi="宋体" w:eastAsia="宋体" w:cs="宋体"/>
          <w:bCs/>
          <w:color w:val="auto"/>
          <w:szCs w:val="21"/>
          <w:highlight w:val="none"/>
        </w:rPr>
        <w:t>由高到低顺序推荐3名以上成交候选供应商，并编写评审报告。符合本章第4.3条情形的，可以推荐2家成交候选供应商。评审得分相同的，按照最终磋商报价（不计算价格折扣）由低到高的顺序推荐。评审得分且</w:t>
      </w:r>
      <w:r>
        <w:rPr>
          <w:rFonts w:hint="eastAsia" w:ascii="宋体" w:hAnsi="宋体" w:eastAsia="宋体" w:cs="宋体"/>
          <w:color w:val="auto"/>
          <w:szCs w:val="21"/>
          <w:highlight w:val="none"/>
        </w:rPr>
        <w:t>最终磋商报价</w:t>
      </w:r>
      <w:r>
        <w:rPr>
          <w:rFonts w:hint="eastAsia" w:ascii="宋体" w:hAnsi="宋体" w:eastAsia="宋体" w:cs="宋体"/>
          <w:bCs/>
          <w:color w:val="auto"/>
          <w:szCs w:val="21"/>
          <w:highlight w:val="none"/>
        </w:rPr>
        <w:t>（不计算价格折扣）相同的，</w:t>
      </w:r>
      <w:r>
        <w:rPr>
          <w:rFonts w:hint="eastAsia" w:ascii="宋体" w:hAnsi="宋体" w:eastAsia="宋体" w:cs="宋体"/>
          <w:color w:val="auto"/>
          <w:highlight w:val="none"/>
        </w:rPr>
        <w:t>依次按照技术分、商务分高优先排名。</w:t>
      </w:r>
      <w:r>
        <w:rPr>
          <w:rFonts w:hint="eastAsia" w:ascii="宋体" w:hAnsi="宋体" w:eastAsia="宋体" w:cs="宋体"/>
          <w:bCs/>
          <w:color w:val="auto"/>
          <w:szCs w:val="21"/>
          <w:highlight w:val="none"/>
        </w:rPr>
        <w:t>评审得分、</w:t>
      </w:r>
      <w:r>
        <w:rPr>
          <w:rFonts w:hint="eastAsia" w:ascii="宋体" w:hAnsi="宋体" w:eastAsia="宋体" w:cs="宋体"/>
          <w:color w:val="auto"/>
          <w:szCs w:val="21"/>
          <w:highlight w:val="none"/>
        </w:rPr>
        <w:t>最终磋商</w:t>
      </w:r>
      <w:r>
        <w:rPr>
          <w:rFonts w:hint="eastAsia" w:ascii="宋体" w:hAnsi="宋体" w:eastAsia="宋体" w:cs="宋体"/>
          <w:color w:val="auto"/>
          <w:highlight w:val="none"/>
        </w:rPr>
        <w:t>报价</w:t>
      </w:r>
      <w:r>
        <w:rPr>
          <w:rFonts w:hint="eastAsia" w:ascii="宋体" w:hAnsi="宋体" w:eastAsia="宋体" w:cs="宋体"/>
          <w:bCs/>
          <w:color w:val="auto"/>
          <w:szCs w:val="21"/>
          <w:highlight w:val="none"/>
        </w:rPr>
        <w:t>（不计算价格折扣）、技术分、商务分均相同的，由磋商小组随机抽取推荐。</w:t>
      </w:r>
      <w:r>
        <w:rPr>
          <w:rFonts w:hint="eastAsia" w:ascii="宋体" w:hAnsi="宋体" w:eastAsia="宋体" w:cs="宋体"/>
          <w:b/>
          <w:bCs w:val="0"/>
          <w:color w:val="auto"/>
          <w:szCs w:val="21"/>
          <w:highlight w:val="none"/>
        </w:rPr>
        <w:t>本项目采购人授权磋商小组直接确定排名第一的成交候选人为成交人。</w:t>
      </w:r>
    </w:p>
    <w:p w14:paraId="244FCF9E">
      <w:pPr>
        <w:rPr>
          <w:rFonts w:hint="eastAsia" w:ascii="宋体" w:hAnsi="宋体" w:eastAsia="宋体" w:cs="宋体"/>
          <w:b/>
          <w:bCs/>
          <w:color w:val="auto"/>
          <w:sz w:val="52"/>
          <w:szCs w:val="72"/>
          <w:highlight w:val="none"/>
        </w:rPr>
      </w:pPr>
      <w:r>
        <w:rPr>
          <w:rFonts w:hint="eastAsia" w:ascii="宋体" w:hAnsi="宋体" w:eastAsia="宋体" w:cs="宋体"/>
          <w:b/>
          <w:bCs/>
          <w:color w:val="auto"/>
          <w:sz w:val="52"/>
          <w:szCs w:val="72"/>
          <w:highlight w:val="none"/>
        </w:rPr>
        <w:br w:type="page"/>
      </w:r>
    </w:p>
    <w:p w14:paraId="1DA32D22">
      <w:pPr>
        <w:pStyle w:val="3"/>
        <w:jc w:val="center"/>
        <w:rPr>
          <w:rFonts w:hint="eastAsia" w:ascii="宋体" w:hAnsi="宋体" w:eastAsia="宋体" w:cs="宋体"/>
          <w:color w:val="auto"/>
          <w:highlight w:val="none"/>
        </w:rPr>
      </w:pPr>
      <w:bookmarkStart w:id="61" w:name="_Toc31512"/>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响应文件格式</w:t>
      </w:r>
      <w:bookmarkEnd w:id="61"/>
    </w:p>
    <w:p w14:paraId="22DBC869">
      <w:pPr>
        <w:spacing w:line="240" w:lineRule="atLeast"/>
        <w:rPr>
          <w:rFonts w:hint="eastAsia" w:ascii="宋体" w:hAnsi="宋体" w:eastAsia="宋体" w:cs="宋体"/>
          <w:b/>
          <w:color w:val="auto"/>
          <w:sz w:val="32"/>
          <w:szCs w:val="32"/>
          <w:highlight w:val="none"/>
        </w:rPr>
      </w:pPr>
    </w:p>
    <w:p w14:paraId="7211E9B5">
      <w:pPr>
        <w:snapToGrid w:val="0"/>
        <w:spacing w:before="50" w:after="50"/>
        <w:rPr>
          <w:rFonts w:hint="eastAsia" w:ascii="宋体" w:hAnsi="宋体" w:eastAsia="宋体" w:cs="宋体"/>
          <w:b/>
          <w:bCs/>
          <w:color w:val="auto"/>
          <w:sz w:val="24"/>
          <w:highlight w:val="none"/>
        </w:rPr>
      </w:pPr>
    </w:p>
    <w:p w14:paraId="28D5A964">
      <w:pPr>
        <w:snapToGrid w:val="0"/>
        <w:spacing w:before="50" w:after="50"/>
        <w:rPr>
          <w:rFonts w:hint="eastAsia" w:ascii="宋体" w:hAnsi="宋体" w:eastAsia="宋体" w:cs="宋体"/>
          <w:b/>
          <w:bCs/>
          <w:color w:val="auto"/>
          <w:sz w:val="32"/>
          <w:szCs w:val="32"/>
          <w:highlight w:val="none"/>
        </w:rPr>
      </w:pPr>
      <w:bookmarkStart w:id="62" w:name="_Toc44229898"/>
      <w:r>
        <w:rPr>
          <w:rFonts w:hint="eastAsia" w:ascii="宋体" w:hAnsi="宋体" w:eastAsia="宋体" w:cs="宋体"/>
          <w:b/>
          <w:color w:val="auto"/>
          <w:sz w:val="32"/>
          <w:szCs w:val="32"/>
          <w:highlight w:val="none"/>
        </w:rPr>
        <w:t>（</w:t>
      </w:r>
      <w:bookmarkStart w:id="63" w:name="_Toc35611515"/>
      <w:bookmarkStart w:id="64" w:name="_Toc35611437"/>
      <w:r>
        <w:rPr>
          <w:rFonts w:hint="eastAsia" w:ascii="宋体" w:hAnsi="宋体" w:eastAsia="宋体" w:cs="宋体"/>
          <w:b/>
          <w:bCs/>
          <w:color w:val="auto"/>
          <w:sz w:val="32"/>
          <w:szCs w:val="32"/>
          <w:highlight w:val="none"/>
        </w:rPr>
        <w:t>响应文件外层包装封面格式</w:t>
      </w:r>
      <w:bookmarkEnd w:id="63"/>
      <w:bookmarkEnd w:id="64"/>
      <w:r>
        <w:rPr>
          <w:rFonts w:hint="eastAsia" w:ascii="宋体" w:hAnsi="宋体" w:eastAsia="宋体" w:cs="宋体"/>
          <w:b/>
          <w:color w:val="auto"/>
          <w:sz w:val="32"/>
          <w:szCs w:val="32"/>
          <w:highlight w:val="none"/>
        </w:rPr>
        <w:t xml:space="preserve"> ）</w:t>
      </w:r>
      <w:bookmarkEnd w:id="62"/>
    </w:p>
    <w:p w14:paraId="7531E862">
      <w:pPr>
        <w:snapToGrid w:val="0"/>
        <w:spacing w:beforeLines="50" w:after="50"/>
        <w:rPr>
          <w:rFonts w:hint="eastAsia" w:ascii="宋体" w:hAnsi="宋体" w:eastAsia="宋体" w:cs="宋体"/>
          <w:color w:val="auto"/>
          <w:sz w:val="24"/>
          <w:szCs w:val="20"/>
          <w:highlight w:val="none"/>
        </w:rPr>
      </w:pPr>
    </w:p>
    <w:p w14:paraId="3CAFE55D">
      <w:pPr>
        <w:snapToGrid w:val="0"/>
        <w:spacing w:beforeLines="50" w:after="50"/>
        <w:jc w:val="center"/>
        <w:rPr>
          <w:rFonts w:hint="eastAsia" w:ascii="宋体" w:hAnsi="宋体" w:eastAsia="宋体" w:cs="宋体"/>
          <w:bCs/>
          <w:color w:val="auto"/>
          <w:sz w:val="24"/>
          <w:szCs w:val="20"/>
          <w:highlight w:val="none"/>
        </w:rPr>
      </w:pPr>
    </w:p>
    <w:p w14:paraId="5DB813AD">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E73AD7E">
      <w:pPr>
        <w:snapToGrid w:val="0"/>
        <w:spacing w:beforeLines="50" w:after="50"/>
        <w:rPr>
          <w:rFonts w:hint="eastAsia" w:ascii="宋体" w:hAnsi="宋体" w:eastAsia="宋体" w:cs="宋体"/>
          <w:bCs/>
          <w:color w:val="auto"/>
          <w:sz w:val="24"/>
          <w:szCs w:val="20"/>
          <w:highlight w:val="none"/>
        </w:rPr>
      </w:pPr>
    </w:p>
    <w:p w14:paraId="1AF86D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w:t>
      </w:r>
    </w:p>
    <w:p w14:paraId="75039343">
      <w:pPr>
        <w:snapToGrid w:val="0"/>
        <w:spacing w:beforeLines="50" w:after="50"/>
        <w:rPr>
          <w:rFonts w:hint="eastAsia" w:ascii="宋体" w:hAnsi="宋体" w:eastAsia="宋体" w:cs="宋体"/>
          <w:bCs/>
          <w:color w:val="auto"/>
          <w:sz w:val="24"/>
          <w:szCs w:val="20"/>
          <w:highlight w:val="none"/>
        </w:rPr>
      </w:pPr>
    </w:p>
    <w:p w14:paraId="42DE479D">
      <w:pPr>
        <w:snapToGrid w:val="0"/>
        <w:spacing w:beforeLines="50" w:after="50"/>
        <w:rPr>
          <w:rFonts w:hint="eastAsia" w:ascii="宋体" w:hAnsi="宋体" w:eastAsia="宋体" w:cs="宋体"/>
          <w:bCs/>
          <w:color w:val="auto"/>
          <w:sz w:val="32"/>
          <w:szCs w:val="32"/>
          <w:highlight w:val="none"/>
        </w:rPr>
      </w:pPr>
    </w:p>
    <w:p w14:paraId="6C1EF7C7">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3F9DE81">
      <w:pPr>
        <w:snapToGrid w:val="0"/>
        <w:spacing w:beforeLines="50" w:after="50"/>
        <w:ind w:firstLine="480" w:firstLineChars="150"/>
        <w:rPr>
          <w:rFonts w:hint="eastAsia" w:ascii="宋体" w:hAnsi="宋体" w:eastAsia="宋体" w:cs="宋体"/>
          <w:bCs/>
          <w:color w:val="auto"/>
          <w:sz w:val="32"/>
          <w:szCs w:val="32"/>
          <w:highlight w:val="none"/>
        </w:rPr>
      </w:pPr>
    </w:p>
    <w:p w14:paraId="30E9B761">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23389F4">
      <w:pPr>
        <w:snapToGrid w:val="0"/>
        <w:spacing w:beforeLines="50" w:after="50"/>
        <w:ind w:firstLine="480" w:firstLineChars="150"/>
        <w:rPr>
          <w:rFonts w:hint="eastAsia" w:ascii="宋体" w:hAnsi="宋体" w:eastAsia="宋体" w:cs="宋体"/>
          <w:bCs/>
          <w:color w:val="auto"/>
          <w:sz w:val="32"/>
          <w:szCs w:val="32"/>
          <w:highlight w:val="none"/>
        </w:rPr>
      </w:pPr>
    </w:p>
    <w:p w14:paraId="5BFFBF85">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0529F9D6">
      <w:pPr>
        <w:snapToGrid w:val="0"/>
        <w:spacing w:beforeLines="50" w:after="50"/>
        <w:rPr>
          <w:rFonts w:hint="eastAsia" w:ascii="宋体" w:hAnsi="宋体" w:eastAsia="宋体" w:cs="宋体"/>
          <w:bCs/>
          <w:color w:val="auto"/>
          <w:sz w:val="32"/>
          <w:szCs w:val="32"/>
          <w:highlight w:val="none"/>
        </w:rPr>
      </w:pPr>
    </w:p>
    <w:p w14:paraId="756C422D">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4E3838">
      <w:pPr>
        <w:snapToGrid w:val="0"/>
        <w:spacing w:beforeLines="50" w:after="50"/>
        <w:rPr>
          <w:rFonts w:hint="eastAsia" w:ascii="宋体" w:hAnsi="宋体" w:eastAsia="宋体" w:cs="宋体"/>
          <w:bCs/>
          <w:color w:val="auto"/>
          <w:sz w:val="32"/>
          <w:szCs w:val="32"/>
          <w:highlight w:val="none"/>
        </w:rPr>
      </w:pPr>
    </w:p>
    <w:p w14:paraId="550F6D5A">
      <w:pPr>
        <w:snapToGrid w:val="0"/>
        <w:spacing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B51B83">
      <w:pPr>
        <w:snapToGrid w:val="0"/>
        <w:spacing w:beforeLines="50" w:after="50"/>
        <w:ind w:firstLine="5440" w:firstLineChars="1700"/>
        <w:jc w:val="center"/>
        <w:rPr>
          <w:rFonts w:hint="eastAsia" w:ascii="宋体" w:hAnsi="宋体" w:eastAsia="宋体" w:cs="宋体"/>
          <w:bCs/>
          <w:color w:val="auto"/>
          <w:sz w:val="32"/>
          <w:szCs w:val="32"/>
          <w:highlight w:val="none"/>
        </w:rPr>
      </w:pPr>
    </w:p>
    <w:p w14:paraId="2ACBC098">
      <w:pPr>
        <w:snapToGrid w:val="0"/>
        <w:spacing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8541E7D">
      <w:pPr>
        <w:spacing w:line="240" w:lineRule="atLeast"/>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756FF76D">
      <w:pPr>
        <w:spacing w:line="240" w:lineRule="atLeast"/>
        <w:jc w:val="center"/>
        <w:rPr>
          <w:rFonts w:hint="eastAsia" w:ascii="宋体" w:hAnsi="宋体" w:eastAsia="宋体" w:cs="宋体"/>
          <w:bCs/>
          <w:color w:val="auto"/>
          <w:sz w:val="24"/>
          <w:highlight w:val="none"/>
        </w:rPr>
      </w:pPr>
    </w:p>
    <w:p w14:paraId="316E26AD">
      <w:pPr>
        <w:spacing w:line="240" w:lineRule="atLeast"/>
        <w:jc w:val="center"/>
        <w:rPr>
          <w:rFonts w:hint="eastAsia" w:ascii="宋体" w:hAnsi="宋体" w:eastAsia="宋体" w:cs="宋体"/>
          <w:bCs/>
          <w:color w:val="auto"/>
          <w:sz w:val="24"/>
          <w:highlight w:val="none"/>
        </w:rPr>
      </w:pPr>
    </w:p>
    <w:p w14:paraId="29DDB04A">
      <w:pPr>
        <w:spacing w:line="240" w:lineRule="atLeast"/>
        <w:jc w:val="center"/>
        <w:rPr>
          <w:rFonts w:hint="eastAsia" w:ascii="宋体" w:hAnsi="宋体" w:eastAsia="宋体" w:cs="宋体"/>
          <w:bCs/>
          <w:color w:val="auto"/>
          <w:sz w:val="24"/>
          <w:highlight w:val="none"/>
        </w:rPr>
      </w:pPr>
    </w:p>
    <w:p w14:paraId="1F662C2C">
      <w:pPr>
        <w:spacing w:line="240" w:lineRule="atLeast"/>
        <w:jc w:val="center"/>
        <w:rPr>
          <w:rFonts w:hint="eastAsia" w:ascii="宋体" w:hAnsi="宋体" w:eastAsia="宋体" w:cs="宋体"/>
          <w:bCs/>
          <w:color w:val="auto"/>
          <w:sz w:val="44"/>
          <w:szCs w:val="44"/>
          <w:highlight w:val="none"/>
        </w:rPr>
      </w:pPr>
    </w:p>
    <w:p w14:paraId="786DF85A">
      <w:pPr>
        <w:spacing w:line="240" w:lineRule="atLeast"/>
        <w:jc w:val="center"/>
        <w:rPr>
          <w:rFonts w:hint="eastAsia" w:ascii="宋体" w:hAnsi="宋体" w:eastAsia="宋体" w:cs="宋体"/>
          <w:bCs/>
          <w:color w:val="auto"/>
          <w:sz w:val="44"/>
          <w:szCs w:val="44"/>
          <w:highlight w:val="none"/>
        </w:rPr>
      </w:pPr>
    </w:p>
    <w:p w14:paraId="071242E0">
      <w:pPr>
        <w:spacing w:line="240" w:lineRule="atLeas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color w:val="auto"/>
          <w:szCs w:val="21"/>
          <w:highlight w:val="none"/>
        </w:rPr>
        <w:t>(封面)</w:t>
      </w:r>
    </w:p>
    <w:p w14:paraId="2E9FDE69">
      <w:pPr>
        <w:spacing w:line="360" w:lineRule="auto"/>
        <w:jc w:val="center"/>
        <w:rPr>
          <w:rFonts w:hint="eastAsia" w:ascii="宋体" w:hAnsi="宋体" w:eastAsia="宋体" w:cs="宋体"/>
          <w:color w:val="auto"/>
          <w:szCs w:val="21"/>
          <w:highlight w:val="none"/>
        </w:rPr>
      </w:pPr>
    </w:p>
    <w:p w14:paraId="444524B4">
      <w:pPr>
        <w:spacing w:line="360" w:lineRule="auto"/>
        <w:jc w:val="center"/>
        <w:rPr>
          <w:rFonts w:hint="eastAsia" w:ascii="宋体" w:hAnsi="宋体" w:eastAsia="宋体" w:cs="宋体"/>
          <w:color w:val="auto"/>
          <w:szCs w:val="21"/>
          <w:highlight w:val="none"/>
        </w:rPr>
      </w:pPr>
    </w:p>
    <w:p w14:paraId="575B9BE4">
      <w:pPr>
        <w:spacing w:line="360" w:lineRule="auto"/>
        <w:jc w:val="center"/>
        <w:rPr>
          <w:rFonts w:hint="eastAsia" w:ascii="宋体" w:hAnsi="宋体" w:eastAsia="宋体" w:cs="宋体"/>
          <w:color w:val="auto"/>
          <w:szCs w:val="21"/>
          <w:highlight w:val="none"/>
        </w:rPr>
      </w:pPr>
    </w:p>
    <w:p w14:paraId="3A62CD10">
      <w:pPr>
        <w:spacing w:line="360" w:lineRule="auto"/>
        <w:jc w:val="center"/>
        <w:rPr>
          <w:rFonts w:hint="eastAsia" w:ascii="宋体" w:hAnsi="宋体" w:eastAsia="宋体" w:cs="宋体"/>
          <w:color w:val="auto"/>
          <w:szCs w:val="21"/>
          <w:highlight w:val="none"/>
        </w:rPr>
      </w:pPr>
    </w:p>
    <w:p w14:paraId="6FE53E52">
      <w:pPr>
        <w:spacing w:line="360" w:lineRule="auto"/>
        <w:jc w:val="left"/>
        <w:rPr>
          <w:rFonts w:hint="eastAsia" w:ascii="宋体" w:hAnsi="宋体" w:eastAsia="宋体" w:cs="宋体"/>
          <w:color w:val="auto"/>
          <w:sz w:val="32"/>
          <w:szCs w:val="32"/>
          <w:highlight w:val="none"/>
        </w:rPr>
      </w:pPr>
    </w:p>
    <w:p w14:paraId="01213F5B">
      <w:pPr>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12894E66">
      <w:pPr>
        <w:spacing w:line="360" w:lineRule="auto"/>
        <w:ind w:firstLine="640" w:firstLineChars="200"/>
        <w:jc w:val="left"/>
        <w:rPr>
          <w:rFonts w:hint="eastAsia" w:ascii="宋体" w:hAnsi="宋体" w:eastAsia="宋体" w:cs="宋体"/>
          <w:color w:val="auto"/>
          <w:sz w:val="32"/>
          <w:szCs w:val="32"/>
          <w:highlight w:val="none"/>
          <w:u w:val="single"/>
        </w:rPr>
      </w:pPr>
    </w:p>
    <w:p w14:paraId="392FA215">
      <w:pPr>
        <w:tabs>
          <w:tab w:val="left" w:pos="3240"/>
        </w:tabs>
        <w:spacing w:line="360" w:lineRule="auto"/>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0B8FDEF4">
      <w:pPr>
        <w:tabs>
          <w:tab w:val="left" w:pos="3240"/>
        </w:tabs>
        <w:spacing w:line="360" w:lineRule="auto"/>
        <w:ind w:firstLine="640" w:firstLineChars="200"/>
        <w:jc w:val="left"/>
        <w:rPr>
          <w:rFonts w:hint="eastAsia" w:ascii="宋体" w:hAnsi="宋体" w:eastAsia="宋体" w:cs="宋体"/>
          <w:color w:val="auto"/>
          <w:sz w:val="32"/>
          <w:szCs w:val="32"/>
          <w:highlight w:val="none"/>
          <w:u w:val="single"/>
        </w:rPr>
      </w:pPr>
    </w:p>
    <w:p w14:paraId="5C3BEC1E">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71869BC0">
      <w:pPr>
        <w:spacing w:line="360" w:lineRule="auto"/>
        <w:ind w:firstLine="640" w:firstLineChars="200"/>
        <w:jc w:val="left"/>
        <w:rPr>
          <w:rFonts w:hint="eastAsia" w:ascii="宋体" w:hAnsi="宋体" w:eastAsia="宋体" w:cs="宋体"/>
          <w:color w:val="auto"/>
          <w:sz w:val="32"/>
          <w:szCs w:val="32"/>
          <w:highlight w:val="none"/>
          <w:u w:val="single"/>
        </w:rPr>
      </w:pPr>
    </w:p>
    <w:p w14:paraId="34C8D4D3">
      <w:pPr>
        <w:spacing w:line="360" w:lineRule="auto"/>
        <w:ind w:firstLine="640" w:firstLineChars="2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供应商名称：</w:t>
      </w:r>
    </w:p>
    <w:p w14:paraId="134EB27F">
      <w:pPr>
        <w:snapToGrid w:val="0"/>
        <w:spacing w:beforeLines="50" w:after="50"/>
        <w:rPr>
          <w:rFonts w:hint="eastAsia" w:ascii="宋体" w:hAnsi="宋体" w:eastAsia="宋体" w:cs="宋体"/>
          <w:color w:val="auto"/>
          <w:sz w:val="32"/>
          <w:szCs w:val="32"/>
          <w:highlight w:val="none"/>
        </w:rPr>
      </w:pPr>
    </w:p>
    <w:p w14:paraId="3A9E1ECC">
      <w:pPr>
        <w:snapToGrid w:val="0"/>
        <w:spacing w:beforeLines="50" w:after="50"/>
        <w:rPr>
          <w:rFonts w:hint="eastAsia" w:ascii="宋体" w:hAnsi="宋体" w:eastAsia="宋体" w:cs="宋体"/>
          <w:color w:val="auto"/>
          <w:sz w:val="32"/>
          <w:szCs w:val="32"/>
          <w:highlight w:val="none"/>
        </w:rPr>
      </w:pPr>
    </w:p>
    <w:p w14:paraId="4B3884BC">
      <w:pPr>
        <w:snapToGrid w:val="0"/>
        <w:spacing w:beforeLines="50" w:after="50"/>
        <w:rPr>
          <w:rFonts w:hint="eastAsia" w:ascii="宋体" w:hAnsi="宋体" w:eastAsia="宋体" w:cs="宋体"/>
          <w:color w:val="auto"/>
          <w:sz w:val="32"/>
          <w:szCs w:val="32"/>
          <w:highlight w:val="none"/>
        </w:rPr>
      </w:pPr>
    </w:p>
    <w:p w14:paraId="4A354112">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F10524C">
      <w:pPr>
        <w:snapToGrid w:val="0"/>
        <w:spacing w:beforeLines="50" w:after="50"/>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E1B31AD">
      <w:pPr>
        <w:snapToGrid w:val="0"/>
        <w:spacing w:beforeLines="50" w:after="50" w:line="360" w:lineRule="auto"/>
        <w:rPr>
          <w:rFonts w:hint="eastAsia" w:ascii="宋体" w:hAnsi="宋体" w:eastAsia="宋体" w:cs="宋体"/>
          <w:b/>
          <w:bCs/>
          <w:color w:val="auto"/>
          <w:sz w:val="32"/>
          <w:szCs w:val="32"/>
          <w:highlight w:val="none"/>
        </w:rPr>
      </w:pPr>
      <w:bookmarkStart w:id="65" w:name="_Toc44229899"/>
      <w:bookmarkStart w:id="66" w:name="_Toc35611438"/>
      <w:bookmarkStart w:id="67" w:name="_Toc31728084"/>
      <w:bookmarkStart w:id="68" w:name="_Toc35611516"/>
      <w:bookmarkStart w:id="69" w:name="_Toc31723070"/>
      <w:r>
        <w:rPr>
          <w:rFonts w:hint="eastAsia" w:ascii="宋体" w:hAnsi="宋体" w:eastAsia="宋体" w:cs="宋体"/>
          <w:b/>
          <w:bCs/>
          <w:color w:val="auto"/>
          <w:sz w:val="32"/>
          <w:szCs w:val="32"/>
          <w:highlight w:val="none"/>
        </w:rPr>
        <w:t>一、资格证明文件格式</w:t>
      </w:r>
      <w:bookmarkEnd w:id="65"/>
      <w:bookmarkEnd w:id="66"/>
      <w:bookmarkEnd w:id="67"/>
      <w:bookmarkEnd w:id="68"/>
      <w:bookmarkEnd w:id="69"/>
    </w:p>
    <w:p w14:paraId="4D99FB26">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p>
    <w:p w14:paraId="143BBA15">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14:paraId="6AEFC2DC">
      <w:pPr>
        <w:snapToGrid w:val="0"/>
        <w:spacing w:beforeLines="50" w:after="50"/>
        <w:rPr>
          <w:rFonts w:hint="eastAsia" w:ascii="宋体" w:hAnsi="宋体" w:eastAsia="宋体" w:cs="宋体"/>
          <w:color w:val="auto"/>
          <w:sz w:val="24"/>
          <w:szCs w:val="20"/>
          <w:highlight w:val="none"/>
        </w:rPr>
      </w:pPr>
    </w:p>
    <w:p w14:paraId="2E3BCEA6">
      <w:pPr>
        <w:snapToGrid w:val="0"/>
        <w:spacing w:beforeLines="50" w:after="50"/>
        <w:rPr>
          <w:rFonts w:hint="eastAsia" w:ascii="宋体" w:hAnsi="宋体" w:eastAsia="宋体" w:cs="宋体"/>
          <w:color w:val="auto"/>
          <w:sz w:val="24"/>
          <w:szCs w:val="20"/>
          <w:highlight w:val="none"/>
        </w:rPr>
      </w:pPr>
    </w:p>
    <w:p w14:paraId="769C2619">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0B153171">
      <w:pPr>
        <w:snapToGrid w:val="0"/>
        <w:spacing w:beforeLines="50" w:after="50"/>
        <w:rPr>
          <w:rFonts w:hint="eastAsia" w:ascii="宋体" w:hAnsi="宋体" w:eastAsia="宋体" w:cs="宋体"/>
          <w:bCs/>
          <w:color w:val="auto"/>
          <w:sz w:val="24"/>
          <w:szCs w:val="20"/>
          <w:highlight w:val="none"/>
        </w:rPr>
      </w:pPr>
    </w:p>
    <w:p w14:paraId="7655620F">
      <w:pPr>
        <w:snapToGrid w:val="0"/>
        <w:spacing w:beforeLines="50" w:after="50"/>
        <w:rPr>
          <w:rFonts w:hint="eastAsia" w:ascii="宋体" w:hAnsi="宋体" w:eastAsia="宋体" w:cs="宋体"/>
          <w:bCs/>
          <w:color w:val="auto"/>
          <w:sz w:val="24"/>
          <w:szCs w:val="20"/>
          <w:highlight w:val="none"/>
        </w:rPr>
      </w:pPr>
    </w:p>
    <w:p w14:paraId="6C096398">
      <w:pPr>
        <w:snapToGrid w:val="0"/>
        <w:spacing w:beforeLines="50" w:after="50"/>
        <w:rPr>
          <w:rFonts w:hint="eastAsia" w:ascii="宋体" w:hAnsi="宋体" w:eastAsia="宋体" w:cs="宋体"/>
          <w:bCs/>
          <w:color w:val="auto"/>
          <w:sz w:val="24"/>
          <w:szCs w:val="20"/>
          <w:highlight w:val="none"/>
        </w:rPr>
      </w:pPr>
    </w:p>
    <w:p w14:paraId="266A1C09">
      <w:pPr>
        <w:snapToGrid w:val="0"/>
        <w:spacing w:beforeLines="50" w:after="50"/>
        <w:rPr>
          <w:rFonts w:hint="eastAsia" w:ascii="宋体" w:hAnsi="宋体" w:eastAsia="宋体" w:cs="宋体"/>
          <w:bCs/>
          <w:color w:val="auto"/>
          <w:sz w:val="24"/>
          <w:szCs w:val="20"/>
          <w:highlight w:val="none"/>
        </w:rPr>
      </w:pPr>
    </w:p>
    <w:p w14:paraId="0AEF3E00">
      <w:pPr>
        <w:snapToGrid w:val="0"/>
        <w:spacing w:beforeLines="50" w:after="50"/>
        <w:rPr>
          <w:rFonts w:hint="eastAsia" w:ascii="宋体" w:hAnsi="宋体" w:eastAsia="宋体" w:cs="宋体"/>
          <w:bCs/>
          <w:color w:val="auto"/>
          <w:sz w:val="24"/>
          <w:szCs w:val="20"/>
          <w:highlight w:val="none"/>
        </w:rPr>
      </w:pPr>
    </w:p>
    <w:p w14:paraId="79A5415F">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2ADF105">
      <w:pPr>
        <w:snapToGrid w:val="0"/>
        <w:spacing w:beforeLines="50" w:after="50"/>
        <w:ind w:firstLine="720" w:firstLineChars="225"/>
        <w:rPr>
          <w:rFonts w:hint="eastAsia" w:ascii="宋体" w:hAnsi="宋体" w:eastAsia="宋体" w:cs="宋体"/>
          <w:bCs/>
          <w:color w:val="auto"/>
          <w:sz w:val="32"/>
          <w:szCs w:val="32"/>
          <w:highlight w:val="none"/>
        </w:rPr>
      </w:pPr>
    </w:p>
    <w:p w14:paraId="47A7F128">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08BE41D7">
      <w:pPr>
        <w:snapToGrid w:val="0"/>
        <w:spacing w:beforeLines="50" w:after="50"/>
        <w:ind w:firstLine="720" w:firstLineChars="225"/>
        <w:rPr>
          <w:rFonts w:hint="eastAsia" w:ascii="宋体" w:hAnsi="宋体" w:eastAsia="宋体" w:cs="宋体"/>
          <w:bCs/>
          <w:color w:val="auto"/>
          <w:sz w:val="32"/>
          <w:szCs w:val="32"/>
          <w:highlight w:val="none"/>
        </w:rPr>
      </w:pPr>
    </w:p>
    <w:p w14:paraId="08EDC534">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single"/>
          <w:lang w:eastAsia="zh-CN"/>
        </w:rPr>
        <w:t xml:space="preserve">     分标</w:t>
      </w:r>
    </w:p>
    <w:p w14:paraId="621A2034">
      <w:pPr>
        <w:snapToGrid w:val="0"/>
        <w:spacing w:beforeLines="50" w:after="50"/>
        <w:ind w:firstLine="720" w:firstLineChars="225"/>
        <w:rPr>
          <w:rFonts w:hint="eastAsia" w:ascii="宋体" w:hAnsi="宋体" w:eastAsia="宋体" w:cs="宋体"/>
          <w:bCs/>
          <w:color w:val="auto"/>
          <w:sz w:val="32"/>
          <w:szCs w:val="32"/>
          <w:highlight w:val="none"/>
        </w:rPr>
      </w:pPr>
    </w:p>
    <w:p w14:paraId="4A6276DA">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411D8C1">
      <w:pPr>
        <w:pStyle w:val="8"/>
        <w:snapToGrid w:val="0"/>
        <w:spacing w:before="50" w:after="50"/>
        <w:ind w:firstLine="720" w:firstLineChars="225"/>
        <w:rPr>
          <w:rFonts w:hint="eastAsia" w:ascii="宋体" w:hAnsi="宋体" w:eastAsia="宋体" w:cs="宋体"/>
          <w:bCs/>
          <w:color w:val="auto"/>
          <w:sz w:val="32"/>
          <w:szCs w:val="32"/>
          <w:highlight w:val="none"/>
        </w:rPr>
      </w:pPr>
    </w:p>
    <w:p w14:paraId="2D5C5B8E">
      <w:pPr>
        <w:pStyle w:val="8"/>
        <w:snapToGrid w:val="0"/>
        <w:spacing w:before="50" w:after="50"/>
        <w:ind w:firstLine="720" w:firstLineChars="225"/>
        <w:rPr>
          <w:rFonts w:hint="eastAsia" w:ascii="宋体" w:hAnsi="宋体" w:eastAsia="宋体" w:cs="宋体"/>
          <w:bCs/>
          <w:color w:val="auto"/>
          <w:sz w:val="32"/>
          <w:szCs w:val="32"/>
          <w:highlight w:val="none"/>
        </w:rPr>
      </w:pPr>
    </w:p>
    <w:p w14:paraId="2DF59F53">
      <w:pPr>
        <w:pStyle w:val="8"/>
        <w:snapToGrid w:val="0"/>
        <w:spacing w:before="50" w:after="50"/>
        <w:ind w:firstLine="720" w:firstLineChars="225"/>
        <w:rPr>
          <w:rFonts w:hint="eastAsia" w:ascii="宋体" w:hAnsi="宋体" w:eastAsia="宋体" w:cs="宋体"/>
          <w:bCs/>
          <w:color w:val="auto"/>
          <w:sz w:val="32"/>
          <w:szCs w:val="32"/>
          <w:highlight w:val="none"/>
        </w:rPr>
      </w:pPr>
    </w:p>
    <w:p w14:paraId="053004DB">
      <w:pPr>
        <w:pStyle w:val="8"/>
        <w:snapToGrid w:val="0"/>
        <w:spacing w:before="50" w:after="50"/>
        <w:ind w:firstLine="1280" w:firstLineChars="400"/>
        <w:rPr>
          <w:rFonts w:hint="eastAsia" w:ascii="宋体" w:hAnsi="宋体" w:eastAsia="宋体" w:cs="宋体"/>
          <w:bCs/>
          <w:color w:val="auto"/>
          <w:sz w:val="32"/>
          <w:szCs w:val="32"/>
          <w:highlight w:val="none"/>
        </w:rPr>
      </w:pPr>
    </w:p>
    <w:p w14:paraId="00EF37E4">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AA173E8">
      <w:pPr>
        <w:snapToGrid w:val="0"/>
        <w:spacing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5CFC7AA4">
      <w:pPr>
        <w:snapToGrid w:val="0"/>
        <w:spacing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006DF4E1">
      <w:pPr>
        <w:snapToGrid w:val="0"/>
        <w:spacing w:beforeLines="50" w:after="50"/>
        <w:rPr>
          <w:rFonts w:hint="eastAsia" w:ascii="宋体" w:hAnsi="宋体" w:eastAsia="宋体" w:cs="宋体"/>
          <w:color w:val="auto"/>
          <w:sz w:val="24"/>
          <w:szCs w:val="20"/>
          <w:highlight w:val="none"/>
        </w:rPr>
      </w:pPr>
    </w:p>
    <w:p w14:paraId="6C70006E">
      <w:pPr>
        <w:spacing w:line="300" w:lineRule="auto"/>
        <w:rPr>
          <w:rFonts w:hint="eastAsia" w:ascii="宋体" w:hAnsi="宋体" w:eastAsia="宋体" w:cs="宋体"/>
          <w:color w:val="auto"/>
          <w:szCs w:val="21"/>
          <w:highlight w:val="none"/>
        </w:rPr>
      </w:pPr>
    </w:p>
    <w:p w14:paraId="1E7517E9">
      <w:pPr>
        <w:spacing w:line="300" w:lineRule="auto"/>
        <w:rPr>
          <w:rFonts w:hint="eastAsia" w:ascii="宋体" w:hAnsi="宋体" w:eastAsia="宋体" w:cs="宋体"/>
          <w:color w:val="auto"/>
          <w:szCs w:val="21"/>
          <w:highlight w:val="none"/>
        </w:rPr>
      </w:pPr>
    </w:p>
    <w:p w14:paraId="482A70F1">
      <w:pPr>
        <w:spacing w:line="300" w:lineRule="auto"/>
        <w:rPr>
          <w:rFonts w:hint="eastAsia" w:ascii="宋体" w:hAnsi="宋体" w:eastAsia="宋体" w:cs="宋体"/>
          <w:color w:val="auto"/>
          <w:szCs w:val="21"/>
          <w:highlight w:val="none"/>
        </w:rPr>
      </w:pPr>
    </w:p>
    <w:p w14:paraId="08C43725">
      <w:pPr>
        <w:spacing w:line="300" w:lineRule="auto"/>
        <w:rPr>
          <w:rFonts w:hint="eastAsia" w:ascii="宋体" w:hAnsi="宋体" w:eastAsia="宋体" w:cs="宋体"/>
          <w:color w:val="auto"/>
          <w:szCs w:val="21"/>
          <w:highlight w:val="none"/>
        </w:rPr>
      </w:pPr>
    </w:p>
    <w:p w14:paraId="08BB8DCF">
      <w:pPr>
        <w:spacing w:line="300" w:lineRule="auto"/>
        <w:rPr>
          <w:rFonts w:hint="eastAsia" w:ascii="宋体" w:hAnsi="宋体" w:eastAsia="宋体" w:cs="宋体"/>
          <w:color w:val="auto"/>
          <w:szCs w:val="21"/>
          <w:highlight w:val="none"/>
        </w:rPr>
      </w:pPr>
    </w:p>
    <w:p w14:paraId="0B1BFBD2">
      <w:pPr>
        <w:spacing w:line="300" w:lineRule="auto"/>
        <w:rPr>
          <w:rFonts w:hint="eastAsia" w:ascii="宋体" w:hAnsi="宋体" w:eastAsia="宋体" w:cs="宋体"/>
          <w:color w:val="auto"/>
          <w:szCs w:val="21"/>
          <w:highlight w:val="none"/>
        </w:rPr>
      </w:pPr>
    </w:p>
    <w:p w14:paraId="719ED461">
      <w:pPr>
        <w:spacing w:line="300" w:lineRule="auto"/>
        <w:rPr>
          <w:rFonts w:hint="eastAsia" w:ascii="宋体" w:hAnsi="宋体" w:eastAsia="宋体" w:cs="宋体"/>
          <w:color w:val="auto"/>
          <w:szCs w:val="21"/>
          <w:highlight w:val="none"/>
        </w:rPr>
      </w:pPr>
    </w:p>
    <w:p w14:paraId="166BD310">
      <w:pPr>
        <w:spacing w:line="300" w:lineRule="auto"/>
        <w:rPr>
          <w:rFonts w:hint="eastAsia" w:ascii="宋体" w:hAnsi="宋体" w:eastAsia="宋体" w:cs="宋体"/>
          <w:color w:val="auto"/>
          <w:szCs w:val="21"/>
          <w:highlight w:val="none"/>
        </w:rPr>
      </w:pPr>
    </w:p>
    <w:p w14:paraId="75B88CAD">
      <w:pPr>
        <w:spacing w:line="300" w:lineRule="auto"/>
        <w:rPr>
          <w:rFonts w:hint="eastAsia" w:ascii="宋体" w:hAnsi="宋体" w:eastAsia="宋体" w:cs="宋体"/>
          <w:color w:val="auto"/>
          <w:szCs w:val="21"/>
          <w:highlight w:val="none"/>
        </w:rPr>
      </w:pPr>
    </w:p>
    <w:p w14:paraId="74666FC0">
      <w:pPr>
        <w:spacing w:line="300" w:lineRule="auto"/>
        <w:rPr>
          <w:rFonts w:hint="eastAsia" w:ascii="宋体" w:hAnsi="宋体" w:eastAsia="宋体" w:cs="宋体"/>
          <w:color w:val="auto"/>
          <w:szCs w:val="21"/>
          <w:highlight w:val="none"/>
        </w:rPr>
      </w:pPr>
    </w:p>
    <w:p w14:paraId="0216F80B">
      <w:pPr>
        <w:spacing w:line="300" w:lineRule="auto"/>
        <w:rPr>
          <w:rFonts w:hint="eastAsia" w:ascii="宋体" w:hAnsi="宋体" w:eastAsia="宋体" w:cs="宋体"/>
          <w:color w:val="auto"/>
          <w:szCs w:val="21"/>
          <w:highlight w:val="none"/>
        </w:rPr>
      </w:pPr>
    </w:p>
    <w:p w14:paraId="1DB33E28">
      <w:pPr>
        <w:spacing w:line="300" w:lineRule="auto"/>
        <w:rPr>
          <w:rFonts w:hint="eastAsia" w:ascii="宋体" w:hAnsi="宋体" w:eastAsia="宋体" w:cs="宋体"/>
          <w:color w:val="auto"/>
          <w:szCs w:val="21"/>
          <w:highlight w:val="none"/>
        </w:rPr>
      </w:pPr>
    </w:p>
    <w:p w14:paraId="1BD02839">
      <w:pPr>
        <w:rPr>
          <w:rFonts w:hint="eastAsia" w:ascii="宋体" w:hAnsi="宋体" w:eastAsia="宋体" w:cs="宋体"/>
          <w:i w:val="0"/>
          <w:caps w:val="0"/>
          <w:color w:val="auto"/>
          <w:spacing w:val="0"/>
          <w:sz w:val="43"/>
          <w:szCs w:val="43"/>
          <w:highlight w:val="none"/>
          <w:shd w:val="clear" w:color="auto" w:fill="FFFFFF"/>
        </w:rPr>
      </w:pPr>
      <w:r>
        <w:rPr>
          <w:rFonts w:hint="eastAsia" w:ascii="宋体" w:hAnsi="宋体" w:eastAsia="宋体" w:cs="宋体"/>
          <w:i w:val="0"/>
          <w:caps w:val="0"/>
          <w:color w:val="auto"/>
          <w:spacing w:val="0"/>
          <w:sz w:val="43"/>
          <w:szCs w:val="43"/>
          <w:highlight w:val="none"/>
          <w:shd w:val="clear" w:color="auto" w:fill="FFFFFF"/>
        </w:rPr>
        <w:br w:type="page"/>
      </w:r>
    </w:p>
    <w:p w14:paraId="4633F08A">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450" w:afterAutospacing="0" w:line="555" w:lineRule="atLeast"/>
        <w:ind w:left="0" w:right="0" w:firstLine="0"/>
        <w:jc w:val="center"/>
        <w:rPr>
          <w:rFonts w:hint="eastAsia" w:ascii="宋体" w:hAnsi="宋体" w:eastAsia="宋体" w:cs="宋体"/>
          <w:b/>
          <w:bCs/>
          <w:i w:val="0"/>
          <w:caps w:val="0"/>
          <w:color w:val="auto"/>
          <w:spacing w:val="0"/>
          <w:sz w:val="32"/>
          <w:szCs w:val="32"/>
          <w:highlight w:val="none"/>
        </w:rPr>
      </w:pPr>
      <w:r>
        <w:rPr>
          <w:rFonts w:hint="eastAsia" w:ascii="宋体" w:hAnsi="宋体" w:eastAsia="宋体" w:cs="宋体"/>
          <w:b/>
          <w:bCs/>
          <w:i w:val="0"/>
          <w:caps w:val="0"/>
          <w:color w:val="auto"/>
          <w:spacing w:val="0"/>
          <w:sz w:val="32"/>
          <w:szCs w:val="32"/>
          <w:highlight w:val="none"/>
          <w:shd w:val="clear" w:color="auto" w:fill="FFFFFF"/>
        </w:rPr>
        <w:t>贺州市政府采购供应商信用承诺函 </w:t>
      </w:r>
    </w:p>
    <w:p w14:paraId="6B7837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w:t>
      </w:r>
    </w:p>
    <w:p w14:paraId="2248B7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664D93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1C31DC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10202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0667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1.我单位具有符合采购文件资格要求独立承担民事责任的能力。</w:t>
      </w:r>
    </w:p>
    <w:p w14:paraId="7916BC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2.我单位具有符合采购文件资格要求的财务状况报告。</w:t>
      </w:r>
    </w:p>
    <w:p w14:paraId="08CF2B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3.我单位具有符合采购文件资格要求的依法缴纳税收和社会保障记录的良好记录。</w:t>
      </w:r>
    </w:p>
    <w:p w14:paraId="7EA32F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4.我单位具有符合采购文件资格要求履行合同所必需的设备和专业技术能力。</w:t>
      </w:r>
    </w:p>
    <w:p w14:paraId="29283A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1EA7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、成交的法律责任。</w:t>
      </w:r>
    </w:p>
    <w:p w14:paraId="388EFA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C1EB13A">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36AF0B81">
      <w:pPr>
        <w:spacing w:line="360" w:lineRule="auto"/>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79D8AC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3326B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91247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1348B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14:paraId="3E118E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2.供应商的法定代表人（其他组织的为负责人）或者授权代表的签名或盖章应真实、有效，如由授权代表签名或盖章的，应提供“法定代表人授权书”。</w:t>
      </w:r>
    </w:p>
    <w:p w14:paraId="198EE64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271189D">
      <w:pPr>
        <w:spacing w:line="360" w:lineRule="auto"/>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7D884742">
      <w:pPr>
        <w:snapToGrid w:val="0"/>
        <w:spacing w:beforeLines="50" w:after="50" w:line="360" w:lineRule="auto"/>
        <w:jc w:val="center"/>
        <w:rPr>
          <w:rFonts w:hint="eastAsia" w:ascii="宋体" w:hAnsi="宋体" w:eastAsia="宋体" w:cs="宋体"/>
          <w:b/>
          <w:color w:val="auto"/>
          <w:sz w:val="24"/>
          <w:highlight w:val="none"/>
        </w:rPr>
      </w:pPr>
    </w:p>
    <w:p w14:paraId="26068E25">
      <w:pPr>
        <w:spacing w:line="36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04B48D84">
      <w:pPr>
        <w:spacing w:line="360" w:lineRule="auto"/>
        <w:contextualSpacing/>
        <w:jc w:val="center"/>
        <w:rPr>
          <w:rFonts w:hint="eastAsia" w:ascii="宋体" w:hAnsi="宋体" w:eastAsia="宋体" w:cs="宋体"/>
          <w:b/>
          <w:color w:val="auto"/>
          <w:sz w:val="24"/>
          <w:highlight w:val="none"/>
        </w:rPr>
      </w:pPr>
    </w:p>
    <w:tbl>
      <w:tblPr>
        <w:tblStyle w:val="3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737917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A26E9A">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C0F5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FB21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918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C9F7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332D1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2D31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5BAD6C">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641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557F8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AA11FB">
            <w:pPr>
              <w:widowControl/>
              <w:spacing w:line="360" w:lineRule="auto"/>
              <w:contextualSpacing/>
              <w:jc w:val="center"/>
              <w:rPr>
                <w:rFonts w:hint="eastAsia" w:ascii="宋体" w:hAnsi="宋体" w:eastAsia="宋体" w:cs="宋体"/>
                <w:color w:val="auto"/>
                <w:kern w:val="0"/>
                <w:sz w:val="24"/>
                <w:highlight w:val="none"/>
              </w:rPr>
            </w:pPr>
          </w:p>
        </w:tc>
      </w:tr>
      <w:tr w14:paraId="681AAAC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66A12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155E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D657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5E32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0034E">
            <w:pPr>
              <w:widowControl/>
              <w:spacing w:line="360" w:lineRule="auto"/>
              <w:contextualSpacing/>
              <w:jc w:val="center"/>
              <w:rPr>
                <w:rFonts w:hint="eastAsia" w:ascii="宋体" w:hAnsi="宋体" w:eastAsia="宋体" w:cs="宋体"/>
                <w:color w:val="auto"/>
                <w:kern w:val="0"/>
                <w:sz w:val="24"/>
                <w:highlight w:val="none"/>
              </w:rPr>
            </w:pPr>
          </w:p>
        </w:tc>
      </w:tr>
      <w:tr w14:paraId="4873BA0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1DB8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B79F8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BF725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AFECA">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057994">
            <w:pPr>
              <w:widowControl/>
              <w:spacing w:line="360" w:lineRule="auto"/>
              <w:contextualSpacing/>
              <w:jc w:val="center"/>
              <w:rPr>
                <w:rFonts w:hint="eastAsia" w:ascii="宋体" w:hAnsi="宋体" w:eastAsia="宋体" w:cs="宋体"/>
                <w:color w:val="auto"/>
                <w:kern w:val="0"/>
                <w:sz w:val="24"/>
                <w:highlight w:val="none"/>
              </w:rPr>
            </w:pPr>
          </w:p>
        </w:tc>
      </w:tr>
      <w:tr w14:paraId="0226420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DC4D4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D6344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3C13A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95E60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A9DBE">
            <w:pPr>
              <w:widowControl/>
              <w:spacing w:line="360" w:lineRule="auto"/>
              <w:contextualSpacing/>
              <w:jc w:val="center"/>
              <w:rPr>
                <w:rFonts w:hint="eastAsia" w:ascii="宋体" w:hAnsi="宋体" w:eastAsia="宋体" w:cs="宋体"/>
                <w:color w:val="auto"/>
                <w:kern w:val="0"/>
                <w:sz w:val="24"/>
                <w:highlight w:val="none"/>
              </w:rPr>
            </w:pPr>
          </w:p>
        </w:tc>
      </w:tr>
    </w:tbl>
    <w:p w14:paraId="6815B6BA">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2CA8A2C">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EEF3F8">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112EC61C">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662E49FC">
      <w:pPr>
        <w:snapToGrid w:val="0"/>
        <w:spacing w:line="360" w:lineRule="auto"/>
        <w:jc w:val="left"/>
        <w:rPr>
          <w:rFonts w:hint="eastAsia" w:ascii="宋体" w:hAnsi="宋体" w:eastAsia="宋体" w:cs="宋体"/>
          <w:color w:val="auto"/>
          <w:sz w:val="24"/>
          <w:highlight w:val="none"/>
        </w:rPr>
      </w:pPr>
    </w:p>
    <w:p w14:paraId="71F56D7A">
      <w:pPr>
        <w:snapToGrid w:val="0"/>
        <w:spacing w:line="360" w:lineRule="auto"/>
        <w:jc w:val="left"/>
        <w:rPr>
          <w:rFonts w:hint="eastAsia" w:ascii="宋体" w:hAnsi="宋体" w:eastAsia="宋体" w:cs="宋体"/>
          <w:color w:val="auto"/>
          <w:sz w:val="24"/>
          <w:highlight w:val="none"/>
        </w:rPr>
      </w:pPr>
    </w:p>
    <w:p w14:paraId="4385CC45">
      <w:pPr>
        <w:snapToGrid w:val="0"/>
        <w:spacing w:line="360" w:lineRule="auto"/>
        <w:jc w:val="left"/>
        <w:rPr>
          <w:rFonts w:hint="eastAsia" w:ascii="宋体" w:hAnsi="宋体" w:eastAsia="宋体" w:cs="宋体"/>
          <w:color w:val="auto"/>
          <w:sz w:val="24"/>
          <w:highlight w:val="none"/>
        </w:rPr>
      </w:pPr>
    </w:p>
    <w:p w14:paraId="532A67B7">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6DEA74FE">
      <w:pPr>
        <w:spacing w:line="360" w:lineRule="auto"/>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241618EA">
      <w:pPr>
        <w:snapToGrid w:val="0"/>
        <w:spacing w:beforeLines="50" w:after="50" w:line="360" w:lineRule="auto"/>
        <w:ind w:right="480" w:firstLine="5280" w:firstLineChars="22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14:paraId="7CFAE22F">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124D3E0">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463082D2">
      <w:pPr>
        <w:snapToGrid w:val="0"/>
        <w:spacing w:line="360" w:lineRule="auto"/>
        <w:jc w:val="center"/>
        <w:rPr>
          <w:rFonts w:hint="eastAsia" w:ascii="宋体" w:hAnsi="宋体" w:eastAsia="宋体" w:cs="宋体"/>
          <w:b/>
          <w:color w:val="auto"/>
          <w:sz w:val="24"/>
          <w:highlight w:val="none"/>
        </w:rPr>
      </w:pPr>
    </w:p>
    <w:tbl>
      <w:tblPr>
        <w:tblStyle w:val="3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597E005">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89F49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130D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0DC1D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B82B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FA337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FBC1A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E50CC">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26DF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0825AB">
            <w:pPr>
              <w:widowControl/>
              <w:spacing w:line="360" w:lineRule="auto"/>
              <w:contextualSpacing/>
              <w:jc w:val="center"/>
              <w:rPr>
                <w:rFonts w:hint="eastAsia" w:ascii="宋体" w:hAnsi="宋体" w:eastAsia="宋体" w:cs="宋体"/>
                <w:color w:val="auto"/>
                <w:kern w:val="0"/>
                <w:sz w:val="24"/>
                <w:highlight w:val="none"/>
              </w:rPr>
            </w:pPr>
          </w:p>
        </w:tc>
      </w:tr>
      <w:tr w14:paraId="275C297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6086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63A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117F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1C2E1">
            <w:pPr>
              <w:widowControl/>
              <w:spacing w:line="360" w:lineRule="auto"/>
              <w:contextualSpacing/>
              <w:jc w:val="center"/>
              <w:rPr>
                <w:rFonts w:hint="eastAsia" w:ascii="宋体" w:hAnsi="宋体" w:eastAsia="宋体" w:cs="宋体"/>
                <w:color w:val="auto"/>
                <w:kern w:val="0"/>
                <w:sz w:val="24"/>
                <w:highlight w:val="none"/>
              </w:rPr>
            </w:pPr>
          </w:p>
        </w:tc>
      </w:tr>
      <w:tr w14:paraId="535864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EC54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EF7FD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240CD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20A04A">
            <w:pPr>
              <w:widowControl/>
              <w:spacing w:line="360" w:lineRule="auto"/>
              <w:contextualSpacing/>
              <w:jc w:val="center"/>
              <w:rPr>
                <w:rFonts w:hint="eastAsia" w:ascii="宋体" w:hAnsi="宋体" w:eastAsia="宋体" w:cs="宋体"/>
                <w:color w:val="auto"/>
                <w:kern w:val="0"/>
                <w:sz w:val="24"/>
                <w:highlight w:val="none"/>
              </w:rPr>
            </w:pPr>
          </w:p>
        </w:tc>
      </w:tr>
      <w:tr w14:paraId="7FCE986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A464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0FADD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938C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D674EE">
            <w:pPr>
              <w:widowControl/>
              <w:spacing w:line="360" w:lineRule="auto"/>
              <w:contextualSpacing/>
              <w:jc w:val="center"/>
              <w:rPr>
                <w:rFonts w:hint="eastAsia" w:ascii="宋体" w:hAnsi="宋体" w:eastAsia="宋体" w:cs="宋体"/>
                <w:color w:val="auto"/>
                <w:kern w:val="0"/>
                <w:sz w:val="24"/>
                <w:highlight w:val="none"/>
              </w:rPr>
            </w:pPr>
          </w:p>
        </w:tc>
      </w:tr>
    </w:tbl>
    <w:p w14:paraId="537B885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C58266F">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79B7AFF9">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10606873">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10CB2C26">
      <w:pPr>
        <w:spacing w:line="360" w:lineRule="auto"/>
        <w:contextualSpacing/>
        <w:jc w:val="left"/>
        <w:rPr>
          <w:rFonts w:hint="eastAsia" w:ascii="宋体" w:hAnsi="宋体" w:eastAsia="宋体" w:cs="宋体"/>
          <w:color w:val="auto"/>
          <w:sz w:val="24"/>
          <w:highlight w:val="none"/>
        </w:rPr>
      </w:pPr>
    </w:p>
    <w:p w14:paraId="7181705F">
      <w:pPr>
        <w:spacing w:line="360" w:lineRule="auto"/>
        <w:contextualSpacing/>
        <w:jc w:val="left"/>
        <w:rPr>
          <w:rFonts w:hint="eastAsia" w:ascii="宋体" w:hAnsi="宋体" w:eastAsia="宋体" w:cs="宋体"/>
          <w:color w:val="auto"/>
          <w:sz w:val="24"/>
          <w:highlight w:val="none"/>
        </w:rPr>
      </w:pPr>
    </w:p>
    <w:p w14:paraId="64EE17D1">
      <w:pPr>
        <w:spacing w:line="360" w:lineRule="auto"/>
        <w:contextualSpacing/>
        <w:jc w:val="left"/>
        <w:rPr>
          <w:rFonts w:hint="eastAsia" w:ascii="宋体" w:hAnsi="宋体" w:eastAsia="宋体" w:cs="宋体"/>
          <w:color w:val="auto"/>
          <w:sz w:val="24"/>
          <w:highlight w:val="none"/>
        </w:rPr>
      </w:pPr>
    </w:p>
    <w:p w14:paraId="269C163E">
      <w:pPr>
        <w:spacing w:line="360" w:lineRule="auto"/>
        <w:contextualSpacing/>
        <w:jc w:val="left"/>
        <w:rPr>
          <w:rFonts w:hint="eastAsia" w:ascii="宋体" w:hAnsi="宋体" w:eastAsia="宋体" w:cs="宋体"/>
          <w:color w:val="auto"/>
          <w:sz w:val="24"/>
          <w:highlight w:val="none"/>
        </w:rPr>
      </w:pPr>
    </w:p>
    <w:p w14:paraId="23C3A5D4">
      <w:pPr>
        <w:spacing w:line="360" w:lineRule="auto"/>
        <w:contextualSpacing/>
        <w:jc w:val="left"/>
        <w:rPr>
          <w:rFonts w:hint="eastAsia" w:ascii="宋体" w:hAnsi="宋体" w:eastAsia="宋体" w:cs="宋体"/>
          <w:color w:val="auto"/>
          <w:sz w:val="24"/>
          <w:highlight w:val="none"/>
        </w:rPr>
      </w:pPr>
    </w:p>
    <w:p w14:paraId="0D30C691">
      <w:pPr>
        <w:spacing w:line="360" w:lineRule="auto"/>
        <w:ind w:firstLine="1440" w:firstLineChars="6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法定代表人或者委托代理人（签字或签章）：</w:t>
      </w:r>
    </w:p>
    <w:p w14:paraId="02C0F83C">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147131F9">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年    月    日</w:t>
      </w:r>
    </w:p>
    <w:p w14:paraId="551C590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195CB7A">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竞标声明</w:t>
      </w:r>
    </w:p>
    <w:p w14:paraId="0970F7BB">
      <w:pPr>
        <w:spacing w:line="320" w:lineRule="exact"/>
        <w:jc w:val="center"/>
        <w:rPr>
          <w:rFonts w:hint="eastAsia" w:ascii="宋体" w:hAnsi="宋体" w:eastAsia="宋体" w:cs="宋体"/>
          <w:color w:val="auto"/>
          <w:sz w:val="24"/>
          <w:szCs w:val="20"/>
          <w:highlight w:val="none"/>
        </w:rPr>
      </w:pPr>
    </w:p>
    <w:p w14:paraId="5B9591C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EE0F4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641064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22AF2F9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333CA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6C839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7E6587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2B95E4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077D61B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6FA6181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2311E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4ACDFE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4F94F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12F82B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CC630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E7CAB5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78F29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AE3D7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B5A7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54B5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299BB21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14:paraId="0D967F4F">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7.与本磋商有关的一切正式往来信函请寄：邮政编号：</w:t>
      </w:r>
    </w:p>
    <w:p w14:paraId="49EB51EA">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 电子函件：</w:t>
      </w:r>
    </w:p>
    <w:p w14:paraId="6A0DE4F3">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帐号：</w:t>
      </w:r>
    </w:p>
    <w:p w14:paraId="74F8530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847A859">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80A2143">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5766D527">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29F05516">
      <w:pPr>
        <w:spacing w:line="360" w:lineRule="auto"/>
        <w:ind w:firstLine="3360" w:firstLineChars="1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p>
    <w:p w14:paraId="690DBC11">
      <w:pPr>
        <w:spacing w:line="360" w:lineRule="auto"/>
        <w:ind w:firstLine="4320" w:firstLineChars="18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供应商(电子签章)：</w:t>
      </w:r>
    </w:p>
    <w:p w14:paraId="2AD07CE0">
      <w:pPr>
        <w:pStyle w:val="8"/>
        <w:overflowPunct w:val="0"/>
        <w:spacing w:line="52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72E50A4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CFC9523">
      <w:pPr>
        <w:pStyle w:val="8"/>
        <w:overflowPunct w:val="0"/>
        <w:spacing w:line="520" w:lineRule="exact"/>
        <w:ind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联合体竞标协议书</w:t>
      </w:r>
    </w:p>
    <w:p w14:paraId="70235A68">
      <w:pPr>
        <w:pStyle w:val="8"/>
        <w:overflowPunct w:val="0"/>
        <w:spacing w:line="360" w:lineRule="auto"/>
        <w:ind w:firstLine="0"/>
        <w:rPr>
          <w:rFonts w:hint="eastAsia" w:ascii="宋体" w:hAnsi="宋体" w:eastAsia="宋体" w:cs="宋体"/>
          <w:color w:val="auto"/>
          <w:sz w:val="24"/>
          <w:szCs w:val="24"/>
          <w:highlight w:val="none"/>
        </w:rPr>
      </w:pPr>
    </w:p>
    <w:p w14:paraId="2D2ACA13">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（项目名称）采购项目竞标。现就联合体竞标事宜订立如下协议。</w:t>
      </w:r>
    </w:p>
    <w:p w14:paraId="00FC4C9A">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1A4FF054">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E131B76">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1A54B627">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77CF4D">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w:t>
      </w:r>
      <w:r>
        <w:rPr>
          <w:rFonts w:hint="eastAsia" w:ascii="宋体" w:hAnsi="宋体" w:eastAsia="宋体" w:cs="宋体"/>
          <w:color w:val="auto"/>
          <w:spacing w:val="-6"/>
          <w:sz w:val="24"/>
          <w:szCs w:val="24"/>
          <w:highlight w:val="none"/>
        </w:rPr>
        <w:t>协议书自所有成员单位法定代表人（单位负责人）或者其委托代理人签字或者盖单位章之日起生效，合同履行完毕后自动失效。</w:t>
      </w:r>
    </w:p>
    <w:p w14:paraId="0A9DD0B5">
      <w:pPr>
        <w:pStyle w:val="8"/>
        <w:overflowPunct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份，联合体成员和采购人各执一份。</w:t>
      </w:r>
    </w:p>
    <w:p w14:paraId="26DBA0E3">
      <w:pPr>
        <w:pStyle w:val="8"/>
        <w:overflowPunct w:val="0"/>
        <w:spacing w:line="360" w:lineRule="auto"/>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注：本协议书由法定代表人（单位负责人）签字的，应附法定代表人（单位负责人）身份证明书；由委托代理人签字的，应附联合体协议签订授权委托书（格式自拟）。</w:t>
      </w:r>
    </w:p>
    <w:p w14:paraId="6B91806E">
      <w:pPr>
        <w:pStyle w:val="8"/>
        <w:overflowPunct w:val="0"/>
        <w:spacing w:line="360" w:lineRule="auto"/>
        <w:ind w:firstLineChars="175"/>
        <w:contextualSpacing/>
        <w:rPr>
          <w:rFonts w:hint="eastAsia" w:ascii="宋体" w:hAnsi="宋体" w:eastAsia="宋体" w:cs="宋体"/>
          <w:color w:val="auto"/>
          <w:sz w:val="24"/>
          <w:szCs w:val="24"/>
          <w:highlight w:val="none"/>
        </w:rPr>
      </w:pPr>
    </w:p>
    <w:p w14:paraId="40471A35">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highlight w:val="none"/>
        </w:rPr>
        <w:t>电子签章</w:t>
      </w:r>
      <w:r>
        <w:rPr>
          <w:rFonts w:hint="eastAsia" w:ascii="宋体" w:hAnsi="宋体" w:eastAsia="宋体" w:cs="宋体"/>
          <w:color w:val="auto"/>
          <w:sz w:val="24"/>
          <w:szCs w:val="24"/>
          <w:highlight w:val="none"/>
        </w:rPr>
        <w:t>）：</w:t>
      </w:r>
    </w:p>
    <w:p w14:paraId="29206A78">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法定代表人（单位负责人）或者其委托代理人（</w:t>
      </w:r>
      <w:r>
        <w:rPr>
          <w:rFonts w:hint="eastAsia" w:ascii="宋体" w:hAnsi="宋体" w:eastAsia="宋体" w:cs="宋体"/>
          <w:color w:val="auto"/>
          <w:sz w:val="24"/>
          <w:highlight w:val="none"/>
        </w:rPr>
        <w:t>签字或签章</w:t>
      </w:r>
      <w:r>
        <w:rPr>
          <w:rFonts w:hint="eastAsia" w:ascii="宋体" w:hAnsi="宋体" w:eastAsia="宋体" w:cs="宋体"/>
          <w:color w:val="auto"/>
          <w:sz w:val="24"/>
          <w:szCs w:val="24"/>
          <w:highlight w:val="none"/>
        </w:rPr>
        <w:t>）：</w:t>
      </w:r>
    </w:p>
    <w:p w14:paraId="3879F938">
      <w:pPr>
        <w:pStyle w:val="8"/>
        <w:overflowPunct w:val="0"/>
        <w:spacing w:line="360" w:lineRule="auto"/>
        <w:ind w:firstLine="0"/>
        <w:contextualSpacing/>
        <w:rPr>
          <w:rFonts w:hint="eastAsia" w:ascii="宋体" w:hAnsi="宋体" w:eastAsia="宋体" w:cs="宋体"/>
          <w:color w:val="auto"/>
          <w:sz w:val="24"/>
          <w:szCs w:val="24"/>
          <w:highlight w:val="none"/>
        </w:rPr>
      </w:pPr>
    </w:p>
    <w:p w14:paraId="2A0B4B6B">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highlight w:val="none"/>
        </w:rPr>
        <w:t>电子签章</w:t>
      </w:r>
      <w:r>
        <w:rPr>
          <w:rFonts w:hint="eastAsia" w:ascii="宋体" w:hAnsi="宋体" w:eastAsia="宋体" w:cs="宋体"/>
          <w:color w:val="auto"/>
          <w:sz w:val="24"/>
          <w:szCs w:val="24"/>
          <w:highlight w:val="none"/>
        </w:rPr>
        <w:t>）：</w:t>
      </w:r>
    </w:p>
    <w:p w14:paraId="68E4F255">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法定代表人（单位负责人）或者其委托代理人（</w:t>
      </w:r>
      <w:r>
        <w:rPr>
          <w:rFonts w:hint="eastAsia" w:ascii="宋体" w:hAnsi="宋体" w:eastAsia="宋体" w:cs="宋体"/>
          <w:color w:val="auto"/>
          <w:sz w:val="24"/>
          <w:highlight w:val="none"/>
        </w:rPr>
        <w:t>签字或签章</w:t>
      </w:r>
      <w:r>
        <w:rPr>
          <w:rFonts w:hint="eastAsia" w:ascii="宋体" w:hAnsi="宋体" w:eastAsia="宋体" w:cs="宋体"/>
          <w:color w:val="auto"/>
          <w:sz w:val="24"/>
          <w:szCs w:val="24"/>
          <w:highlight w:val="none"/>
        </w:rPr>
        <w:t>）：</w:t>
      </w:r>
    </w:p>
    <w:p w14:paraId="2713AA10">
      <w:pPr>
        <w:pStyle w:val="8"/>
        <w:overflowPunct w:val="0"/>
        <w:spacing w:line="360" w:lineRule="auto"/>
        <w:ind w:firstLine="0"/>
        <w:contextualSpacing/>
        <w:rPr>
          <w:rFonts w:hint="eastAsia" w:ascii="宋体" w:hAnsi="宋体" w:eastAsia="宋体" w:cs="宋体"/>
          <w:color w:val="auto"/>
          <w:sz w:val="24"/>
          <w:szCs w:val="24"/>
          <w:highlight w:val="none"/>
        </w:rPr>
      </w:pPr>
    </w:p>
    <w:p w14:paraId="38F4D8DF">
      <w:pPr>
        <w:pStyle w:val="8"/>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04ED636">
      <w:pPr>
        <w:spacing w:line="360" w:lineRule="auto"/>
        <w:ind w:right="480" w:firstLine="240" w:firstLineChars="100"/>
        <w:contextualSpacing/>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063E83B0">
      <w:pPr>
        <w:spacing w:line="360" w:lineRule="auto"/>
        <w:ind w:right="480" w:firstLine="280" w:firstLineChars="100"/>
        <w:contextualSpacing/>
        <w:jc w:val="right"/>
        <w:rPr>
          <w:rFonts w:hint="eastAsia" w:ascii="宋体" w:hAnsi="宋体" w:eastAsia="宋体" w:cs="宋体"/>
          <w:color w:val="auto"/>
          <w:sz w:val="28"/>
          <w:szCs w:val="28"/>
          <w:highlight w:val="none"/>
        </w:rPr>
      </w:pPr>
    </w:p>
    <w:p w14:paraId="0A498540">
      <w:pPr>
        <w:pStyle w:val="8"/>
        <w:overflowPunct w:val="0"/>
        <w:spacing w:line="520" w:lineRule="exact"/>
        <w:ind w:firstLine="0"/>
        <w:rPr>
          <w:rFonts w:hint="eastAsia" w:ascii="宋体" w:hAnsi="宋体" w:eastAsia="宋体" w:cs="宋体"/>
          <w:b/>
          <w:bCs/>
          <w:color w:val="auto"/>
          <w:sz w:val="32"/>
          <w:szCs w:val="32"/>
          <w:highlight w:val="none"/>
        </w:rPr>
      </w:pPr>
    </w:p>
    <w:p w14:paraId="481B125E">
      <w:pPr>
        <w:snapToGrid w:val="0"/>
        <w:spacing w:beforeLines="50" w:after="50" w:line="360" w:lineRule="auto"/>
        <w:ind w:right="480"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报价商务技术文件格式</w:t>
      </w:r>
    </w:p>
    <w:p w14:paraId="5CB2D16C">
      <w:pPr>
        <w:snapToGrid w:val="0"/>
        <w:spacing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14:paraId="1DE70FF5">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电子响应文件</w:t>
      </w:r>
    </w:p>
    <w:p w14:paraId="720C3A8F">
      <w:pPr>
        <w:snapToGrid w:val="0"/>
        <w:spacing w:beforeLines="50" w:after="50"/>
        <w:rPr>
          <w:rFonts w:hint="eastAsia" w:ascii="宋体" w:hAnsi="宋体" w:eastAsia="宋体" w:cs="宋体"/>
          <w:color w:val="auto"/>
          <w:sz w:val="24"/>
          <w:szCs w:val="20"/>
          <w:highlight w:val="none"/>
        </w:rPr>
      </w:pPr>
    </w:p>
    <w:p w14:paraId="3EF929D5">
      <w:pPr>
        <w:snapToGrid w:val="0"/>
        <w:spacing w:beforeLines="50" w:after="50"/>
        <w:rPr>
          <w:rFonts w:hint="eastAsia" w:ascii="宋体" w:hAnsi="宋体" w:eastAsia="宋体" w:cs="宋体"/>
          <w:color w:val="auto"/>
          <w:sz w:val="24"/>
          <w:szCs w:val="20"/>
          <w:highlight w:val="none"/>
        </w:rPr>
      </w:pPr>
    </w:p>
    <w:p w14:paraId="6570467D">
      <w:pPr>
        <w:snapToGrid w:val="0"/>
        <w:spacing w:beforeLines="50" w:after="50"/>
        <w:rPr>
          <w:rFonts w:hint="eastAsia" w:ascii="宋体" w:hAnsi="宋体" w:eastAsia="宋体" w:cs="宋体"/>
          <w:color w:val="auto"/>
          <w:sz w:val="24"/>
          <w:szCs w:val="20"/>
          <w:highlight w:val="none"/>
        </w:rPr>
      </w:pPr>
    </w:p>
    <w:p w14:paraId="37AAACB0">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商  务  技  术  文  件</w:t>
      </w:r>
    </w:p>
    <w:p w14:paraId="4BCD5F8B">
      <w:pPr>
        <w:snapToGrid w:val="0"/>
        <w:spacing w:beforeLines="50" w:after="50"/>
        <w:rPr>
          <w:rFonts w:hint="eastAsia" w:ascii="宋体" w:hAnsi="宋体" w:eastAsia="宋体" w:cs="宋体"/>
          <w:bCs/>
          <w:color w:val="auto"/>
          <w:sz w:val="24"/>
          <w:szCs w:val="20"/>
          <w:highlight w:val="none"/>
        </w:rPr>
      </w:pPr>
    </w:p>
    <w:p w14:paraId="563D6519">
      <w:pPr>
        <w:snapToGrid w:val="0"/>
        <w:spacing w:beforeLines="50" w:after="50"/>
        <w:rPr>
          <w:rFonts w:hint="eastAsia" w:ascii="宋体" w:hAnsi="宋体" w:eastAsia="宋体" w:cs="宋体"/>
          <w:bCs/>
          <w:color w:val="auto"/>
          <w:sz w:val="24"/>
          <w:szCs w:val="20"/>
          <w:highlight w:val="none"/>
        </w:rPr>
      </w:pPr>
    </w:p>
    <w:p w14:paraId="39C3A5FC">
      <w:pPr>
        <w:snapToGrid w:val="0"/>
        <w:spacing w:beforeLines="50" w:after="50"/>
        <w:rPr>
          <w:rFonts w:hint="eastAsia" w:ascii="宋体" w:hAnsi="宋体" w:eastAsia="宋体" w:cs="宋体"/>
          <w:bCs/>
          <w:color w:val="auto"/>
          <w:sz w:val="24"/>
          <w:szCs w:val="20"/>
          <w:highlight w:val="none"/>
        </w:rPr>
      </w:pPr>
    </w:p>
    <w:p w14:paraId="51DA9048">
      <w:pPr>
        <w:snapToGrid w:val="0"/>
        <w:spacing w:beforeLines="50" w:after="50"/>
        <w:rPr>
          <w:rFonts w:hint="eastAsia" w:ascii="宋体" w:hAnsi="宋体" w:eastAsia="宋体" w:cs="宋体"/>
          <w:bCs/>
          <w:color w:val="auto"/>
          <w:sz w:val="24"/>
          <w:szCs w:val="20"/>
          <w:highlight w:val="none"/>
        </w:rPr>
      </w:pPr>
    </w:p>
    <w:p w14:paraId="65FDB199">
      <w:pPr>
        <w:snapToGrid w:val="0"/>
        <w:spacing w:beforeLines="50" w:after="50"/>
        <w:rPr>
          <w:rFonts w:hint="eastAsia" w:ascii="宋体" w:hAnsi="宋体" w:eastAsia="宋体" w:cs="宋体"/>
          <w:bCs/>
          <w:color w:val="auto"/>
          <w:sz w:val="24"/>
          <w:szCs w:val="20"/>
          <w:highlight w:val="none"/>
        </w:rPr>
      </w:pPr>
    </w:p>
    <w:p w14:paraId="15377E43">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D6212A2">
      <w:pPr>
        <w:snapToGrid w:val="0"/>
        <w:spacing w:beforeLines="50" w:after="50"/>
        <w:ind w:firstLine="720" w:firstLineChars="225"/>
        <w:rPr>
          <w:rFonts w:hint="eastAsia" w:ascii="宋体" w:hAnsi="宋体" w:eastAsia="宋体" w:cs="宋体"/>
          <w:bCs/>
          <w:color w:val="auto"/>
          <w:sz w:val="32"/>
          <w:szCs w:val="32"/>
          <w:highlight w:val="none"/>
        </w:rPr>
      </w:pPr>
    </w:p>
    <w:p w14:paraId="19740508">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DE88CDC">
      <w:pPr>
        <w:snapToGrid w:val="0"/>
        <w:spacing w:beforeLines="50" w:after="50"/>
        <w:ind w:firstLine="720" w:firstLineChars="225"/>
        <w:rPr>
          <w:rFonts w:hint="eastAsia" w:ascii="宋体" w:hAnsi="宋体" w:eastAsia="宋体" w:cs="宋体"/>
          <w:bCs/>
          <w:color w:val="auto"/>
          <w:sz w:val="32"/>
          <w:szCs w:val="32"/>
          <w:highlight w:val="none"/>
        </w:rPr>
      </w:pPr>
    </w:p>
    <w:p w14:paraId="4CE4B261">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所竞分标：</w:t>
      </w:r>
      <w:r>
        <w:rPr>
          <w:rFonts w:hint="eastAsia" w:ascii="宋体" w:hAnsi="宋体" w:cs="宋体"/>
          <w:bCs/>
          <w:color w:val="auto"/>
          <w:sz w:val="32"/>
          <w:szCs w:val="32"/>
          <w:highlight w:val="none"/>
          <w:u w:val="none"/>
          <w:lang w:eastAsia="zh-CN"/>
        </w:rPr>
        <w:t xml:space="preserve"> </w:t>
      </w:r>
      <w:r>
        <w:rPr>
          <w:rFonts w:hint="eastAsia" w:ascii="宋体" w:hAnsi="宋体" w:cs="宋体"/>
          <w:bCs/>
          <w:color w:val="auto"/>
          <w:sz w:val="32"/>
          <w:szCs w:val="32"/>
          <w:highlight w:val="none"/>
          <w:u w:val="single"/>
          <w:lang w:eastAsia="zh-CN"/>
        </w:rPr>
        <w:t xml:space="preserve">    </w:t>
      </w:r>
      <w:r>
        <w:rPr>
          <w:rFonts w:hint="eastAsia" w:ascii="宋体" w:hAnsi="宋体" w:cs="宋体"/>
          <w:bCs/>
          <w:color w:val="auto"/>
          <w:sz w:val="32"/>
          <w:szCs w:val="32"/>
          <w:highlight w:val="none"/>
          <w:u w:val="none"/>
          <w:lang w:eastAsia="zh-CN"/>
        </w:rPr>
        <w:t>分标</w:t>
      </w:r>
    </w:p>
    <w:p w14:paraId="28D0DEE2">
      <w:pPr>
        <w:snapToGrid w:val="0"/>
        <w:spacing w:beforeLines="50" w:after="50"/>
        <w:ind w:firstLine="720" w:firstLineChars="225"/>
        <w:rPr>
          <w:rFonts w:hint="eastAsia" w:ascii="宋体" w:hAnsi="宋体" w:eastAsia="宋体" w:cs="宋体"/>
          <w:bCs/>
          <w:color w:val="auto"/>
          <w:sz w:val="32"/>
          <w:szCs w:val="32"/>
          <w:highlight w:val="none"/>
        </w:rPr>
      </w:pPr>
    </w:p>
    <w:p w14:paraId="77065991">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F816840">
      <w:pPr>
        <w:pStyle w:val="8"/>
        <w:snapToGrid w:val="0"/>
        <w:spacing w:before="50" w:after="50"/>
        <w:ind w:firstLine="720" w:firstLineChars="225"/>
        <w:rPr>
          <w:rFonts w:hint="eastAsia" w:ascii="宋体" w:hAnsi="宋体" w:eastAsia="宋体" w:cs="宋体"/>
          <w:bCs/>
          <w:color w:val="auto"/>
          <w:sz w:val="32"/>
          <w:szCs w:val="32"/>
          <w:highlight w:val="none"/>
        </w:rPr>
      </w:pPr>
    </w:p>
    <w:p w14:paraId="31573A80">
      <w:pPr>
        <w:pStyle w:val="8"/>
        <w:snapToGrid w:val="0"/>
        <w:spacing w:before="50" w:after="50"/>
        <w:ind w:firstLine="720" w:firstLineChars="225"/>
        <w:rPr>
          <w:rFonts w:hint="eastAsia" w:ascii="宋体" w:hAnsi="宋体" w:eastAsia="宋体" w:cs="宋体"/>
          <w:bCs/>
          <w:color w:val="auto"/>
          <w:sz w:val="32"/>
          <w:szCs w:val="32"/>
          <w:highlight w:val="none"/>
        </w:rPr>
      </w:pPr>
    </w:p>
    <w:p w14:paraId="718314C6">
      <w:pPr>
        <w:pStyle w:val="8"/>
        <w:snapToGrid w:val="0"/>
        <w:spacing w:before="50" w:after="50"/>
        <w:ind w:firstLine="1280" w:firstLineChars="400"/>
        <w:rPr>
          <w:rFonts w:hint="eastAsia" w:ascii="宋体" w:hAnsi="宋体" w:eastAsia="宋体" w:cs="宋体"/>
          <w:bCs/>
          <w:color w:val="auto"/>
          <w:sz w:val="32"/>
          <w:szCs w:val="32"/>
          <w:highlight w:val="none"/>
        </w:rPr>
      </w:pPr>
    </w:p>
    <w:p w14:paraId="383660BB">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4E2E9B0">
      <w:pPr>
        <w:snapToGrid w:val="0"/>
        <w:spacing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2.报价商务技术文件目录</w:t>
      </w:r>
    </w:p>
    <w:p w14:paraId="68B2231F">
      <w:pPr>
        <w:snapToGrid w:val="0"/>
        <w:spacing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240E2DC">
      <w:pPr>
        <w:spacing w:line="400" w:lineRule="exact"/>
        <w:rPr>
          <w:rFonts w:hint="eastAsia" w:ascii="宋体" w:hAnsi="宋体" w:eastAsia="宋体" w:cs="宋体"/>
          <w:color w:val="auto"/>
          <w:sz w:val="32"/>
          <w:szCs w:val="32"/>
          <w:highlight w:val="none"/>
        </w:rPr>
      </w:pPr>
    </w:p>
    <w:p w14:paraId="7D9CF78C">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448E3A63">
      <w:pPr>
        <w:spacing w:line="360" w:lineRule="auto"/>
        <w:ind w:firstLine="640" w:firstLineChars="200"/>
        <w:contextualSpacing/>
        <w:rPr>
          <w:rFonts w:hint="eastAsia" w:ascii="宋体" w:hAnsi="宋体" w:eastAsia="宋体" w:cs="宋体"/>
          <w:color w:val="auto"/>
          <w:sz w:val="32"/>
          <w:szCs w:val="32"/>
          <w:highlight w:val="none"/>
        </w:rPr>
      </w:pPr>
    </w:p>
    <w:p w14:paraId="4958414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4A5D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9D2754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88BE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162A69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652E14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D191B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2B0DA69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23CD90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960F6E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421AB1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69F49A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142C61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2E2A0B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2E26A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26A25F6">
      <w:pPr>
        <w:spacing w:line="360" w:lineRule="auto"/>
        <w:ind w:firstLine="480" w:firstLineChars="200"/>
        <w:contextualSpacing/>
        <w:rPr>
          <w:rFonts w:hint="eastAsia" w:ascii="宋体" w:hAnsi="宋体" w:eastAsia="宋体" w:cs="宋体"/>
          <w:color w:val="auto"/>
          <w:sz w:val="24"/>
          <w:highlight w:val="none"/>
        </w:rPr>
      </w:pPr>
    </w:p>
    <w:p w14:paraId="6A964F1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64C13A29">
      <w:pPr>
        <w:spacing w:line="360" w:lineRule="auto"/>
        <w:contextualSpacing/>
        <w:rPr>
          <w:rFonts w:hint="eastAsia" w:ascii="宋体" w:hAnsi="宋体" w:eastAsia="宋体" w:cs="宋体"/>
          <w:color w:val="auto"/>
          <w:sz w:val="24"/>
          <w:highlight w:val="none"/>
        </w:rPr>
      </w:pPr>
    </w:p>
    <w:p w14:paraId="0BFBAB74">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36D50B8C">
      <w:pPr>
        <w:spacing w:line="360" w:lineRule="auto"/>
        <w:ind w:firstLine="480" w:firstLineChars="200"/>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年   月   日</w:t>
      </w:r>
    </w:p>
    <w:p w14:paraId="57832045">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竞标报价表</w:t>
      </w:r>
    </w:p>
    <w:p w14:paraId="2D4A9A5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B3DFCF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60ED371C">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分标</w:t>
      </w:r>
    </w:p>
    <w:p w14:paraId="2C9F1CB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263861A2">
      <w:pPr>
        <w:spacing w:line="360" w:lineRule="auto"/>
        <w:contextualSpacing/>
        <w:jc w:val="right"/>
        <w:rPr>
          <w:rFonts w:hint="default" w:ascii="Times New Roman" w:hAnsi="Times New Roman" w:cs="Times New Roman"/>
          <w:color w:val="auto"/>
          <w:sz w:val="28"/>
          <w:szCs w:val="28"/>
          <w:highlight w:val="none"/>
        </w:rPr>
      </w:pPr>
      <w:r>
        <w:rPr>
          <w:rFonts w:hint="eastAsia" w:ascii="宋体" w:hAnsi="宋体" w:eastAsia="宋体" w:cs="宋体"/>
          <w:color w:val="auto"/>
          <w:sz w:val="24"/>
          <w:highlight w:val="none"/>
        </w:rPr>
        <w:t xml:space="preserve">      单位：元</w:t>
      </w:r>
    </w:p>
    <w:tbl>
      <w:tblPr>
        <w:tblStyle w:val="32"/>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37"/>
        <w:gridCol w:w="2122"/>
        <w:gridCol w:w="1162"/>
        <w:gridCol w:w="2057"/>
        <w:gridCol w:w="2336"/>
      </w:tblGrid>
      <w:tr w14:paraId="043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FDAE813">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项号</w:t>
            </w:r>
          </w:p>
        </w:tc>
        <w:tc>
          <w:tcPr>
            <w:tcW w:w="1537" w:type="dxa"/>
            <w:tcBorders>
              <w:top w:val="single" w:color="auto" w:sz="4" w:space="0"/>
              <w:left w:val="single" w:color="auto" w:sz="4" w:space="0"/>
              <w:bottom w:val="single" w:color="auto" w:sz="4" w:space="0"/>
              <w:right w:val="single" w:color="auto" w:sz="4" w:space="0"/>
            </w:tcBorders>
            <w:vAlign w:val="center"/>
          </w:tcPr>
          <w:p w14:paraId="36806DE7">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lang w:val="en-US" w:eastAsia="zh-CN"/>
              </w:rPr>
              <w:t>单位名称</w:t>
            </w:r>
          </w:p>
        </w:tc>
        <w:tc>
          <w:tcPr>
            <w:tcW w:w="2122" w:type="dxa"/>
            <w:tcBorders>
              <w:top w:val="single" w:color="auto" w:sz="4" w:space="0"/>
              <w:left w:val="single" w:color="auto" w:sz="4" w:space="0"/>
              <w:bottom w:val="single" w:color="auto" w:sz="4" w:space="0"/>
              <w:right w:val="single" w:color="auto" w:sz="4" w:space="0"/>
            </w:tcBorders>
            <w:vAlign w:val="center"/>
          </w:tcPr>
          <w:p w14:paraId="2F5F8F29">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监测事项或任务名称</w:t>
            </w:r>
          </w:p>
        </w:tc>
        <w:tc>
          <w:tcPr>
            <w:tcW w:w="1162" w:type="dxa"/>
            <w:tcBorders>
              <w:top w:val="single" w:color="auto" w:sz="4" w:space="0"/>
              <w:left w:val="single" w:color="auto" w:sz="4" w:space="0"/>
              <w:bottom w:val="single" w:color="auto" w:sz="4" w:space="0"/>
              <w:right w:val="single" w:color="auto" w:sz="4" w:space="0"/>
            </w:tcBorders>
            <w:vAlign w:val="center"/>
          </w:tcPr>
          <w:p w14:paraId="021233CC">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2057" w:type="dxa"/>
            <w:tcBorders>
              <w:top w:val="single" w:color="auto" w:sz="4" w:space="0"/>
              <w:left w:val="single" w:color="auto" w:sz="4" w:space="0"/>
              <w:bottom w:val="single" w:color="auto" w:sz="4" w:space="0"/>
              <w:right w:val="single" w:color="auto" w:sz="4" w:space="0"/>
            </w:tcBorders>
            <w:vAlign w:val="center"/>
          </w:tcPr>
          <w:p w14:paraId="189F929D">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监测频次</w:t>
            </w:r>
          </w:p>
        </w:tc>
        <w:tc>
          <w:tcPr>
            <w:tcW w:w="2336" w:type="dxa"/>
            <w:tcBorders>
              <w:top w:val="single" w:color="auto" w:sz="4" w:space="0"/>
              <w:left w:val="single" w:color="auto" w:sz="4" w:space="0"/>
              <w:bottom w:val="single" w:color="auto" w:sz="4" w:space="0"/>
              <w:right w:val="single" w:color="auto" w:sz="4" w:space="0"/>
            </w:tcBorders>
            <w:vAlign w:val="center"/>
          </w:tcPr>
          <w:p w14:paraId="27066FDF">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备注</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是否响应）</w:t>
            </w:r>
          </w:p>
        </w:tc>
      </w:tr>
      <w:tr w14:paraId="73C3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462D10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37" w:type="dxa"/>
            <w:tcBorders>
              <w:top w:val="single" w:color="auto" w:sz="4" w:space="0"/>
              <w:left w:val="single" w:color="auto" w:sz="4" w:space="0"/>
              <w:bottom w:val="single" w:color="auto" w:sz="4" w:space="0"/>
              <w:right w:val="single" w:color="auto" w:sz="4" w:space="0"/>
            </w:tcBorders>
            <w:vAlign w:val="center"/>
          </w:tcPr>
          <w:p w14:paraId="6D9D5D97">
            <w:pPr>
              <w:spacing w:line="360" w:lineRule="auto"/>
              <w:jc w:val="center"/>
              <w:rPr>
                <w:rFonts w:hint="default" w:ascii="Times New Roman" w:hAnsi="Times New Roman" w:eastAsia="宋体" w:cs="Times New Roman"/>
                <w:color w:val="auto"/>
                <w:sz w:val="21"/>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77DED3F9">
            <w:pPr>
              <w:spacing w:line="360" w:lineRule="auto"/>
              <w:jc w:val="center"/>
              <w:rPr>
                <w:rFonts w:hint="default" w:ascii="Times New Roman" w:hAnsi="Times New Roman" w:eastAsia="宋体" w:cs="Times New Roman"/>
                <w:color w:val="auto"/>
                <w:sz w:val="21"/>
                <w:szCs w:val="21"/>
                <w:highlight w:val="none"/>
              </w:rPr>
            </w:pPr>
          </w:p>
        </w:tc>
        <w:tc>
          <w:tcPr>
            <w:tcW w:w="1162" w:type="dxa"/>
            <w:tcBorders>
              <w:top w:val="single" w:color="auto" w:sz="4" w:space="0"/>
              <w:left w:val="single" w:color="auto" w:sz="4" w:space="0"/>
              <w:bottom w:val="single" w:color="auto" w:sz="4" w:space="0"/>
              <w:right w:val="single" w:color="auto" w:sz="4" w:space="0"/>
            </w:tcBorders>
            <w:vAlign w:val="center"/>
          </w:tcPr>
          <w:p w14:paraId="26AD9731">
            <w:pPr>
              <w:spacing w:line="360" w:lineRule="auto"/>
              <w:jc w:val="center"/>
              <w:rPr>
                <w:rFonts w:hint="default" w:ascii="Times New Roman" w:hAnsi="Times New Roman" w:eastAsia="宋体" w:cs="Times New Roman"/>
                <w:color w:val="auto"/>
                <w:sz w:val="21"/>
                <w:szCs w:val="21"/>
                <w:highlight w:val="none"/>
              </w:rPr>
            </w:pPr>
          </w:p>
        </w:tc>
        <w:tc>
          <w:tcPr>
            <w:tcW w:w="2057" w:type="dxa"/>
            <w:tcBorders>
              <w:top w:val="single" w:color="auto" w:sz="4" w:space="0"/>
              <w:left w:val="single" w:color="auto" w:sz="4" w:space="0"/>
              <w:bottom w:val="single" w:color="auto" w:sz="4" w:space="0"/>
              <w:right w:val="single" w:color="auto" w:sz="4" w:space="0"/>
            </w:tcBorders>
            <w:vAlign w:val="center"/>
          </w:tcPr>
          <w:p w14:paraId="43281A34">
            <w:pPr>
              <w:widowControl/>
              <w:jc w:val="center"/>
              <w:rPr>
                <w:rFonts w:hint="default" w:ascii="Times New Roman" w:hAnsi="Times New Roman" w:eastAsia="宋体" w:cs="Times New Roman"/>
                <w:color w:val="auto"/>
                <w:sz w:val="21"/>
                <w:szCs w:val="21"/>
                <w:highlight w:val="none"/>
              </w:rPr>
            </w:pPr>
          </w:p>
        </w:tc>
        <w:tc>
          <w:tcPr>
            <w:tcW w:w="2336" w:type="dxa"/>
            <w:tcBorders>
              <w:top w:val="single" w:color="auto" w:sz="4" w:space="0"/>
              <w:left w:val="single" w:color="auto" w:sz="4" w:space="0"/>
              <w:bottom w:val="single" w:color="auto" w:sz="4" w:space="0"/>
              <w:right w:val="single" w:color="auto" w:sz="4" w:space="0"/>
            </w:tcBorders>
            <w:vAlign w:val="center"/>
          </w:tcPr>
          <w:p w14:paraId="2C2FC2C4">
            <w:pPr>
              <w:widowControl/>
              <w:jc w:val="left"/>
              <w:rPr>
                <w:rFonts w:hint="default" w:ascii="Times New Roman" w:hAnsi="Times New Roman" w:eastAsia="宋体" w:cs="Times New Roman"/>
                <w:color w:val="auto"/>
                <w:sz w:val="21"/>
                <w:szCs w:val="21"/>
                <w:highlight w:val="none"/>
              </w:rPr>
            </w:pPr>
          </w:p>
        </w:tc>
      </w:tr>
      <w:tr w14:paraId="5956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top"/>
          </w:tcPr>
          <w:p w14:paraId="753ED837">
            <w:pPr>
              <w:widowControl/>
              <w:jc w:val="left"/>
              <w:rPr>
                <w:rFonts w:hint="eastAsia" w:cs="Times New Roman"/>
                <w:color w:val="auto"/>
                <w:sz w:val="21"/>
                <w:szCs w:val="21"/>
                <w:highlight w:val="none"/>
                <w:lang w:val="en-US" w:eastAsia="zh-CN"/>
              </w:rPr>
            </w:pPr>
          </w:p>
          <w:p w14:paraId="6D089043">
            <w:pPr>
              <w:widowControl/>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供应商报价折扣率（</w:t>
            </w:r>
            <w:r>
              <w:rPr>
                <w:rFonts w:hint="eastAsia" w:cs="Times New Roman"/>
                <w:color w:val="auto"/>
                <w:sz w:val="21"/>
                <w:szCs w:val="21"/>
                <w:highlight w:val="none"/>
                <w:u w:val="single"/>
                <w:lang w:val="en-US" w:eastAsia="zh-CN"/>
              </w:rPr>
              <w:t xml:space="preserve">         </w:t>
            </w:r>
            <w:r>
              <w:rPr>
                <w:rFonts w:hint="eastAsia" w:cs="Times New Roman"/>
                <w:color w:val="auto"/>
                <w:sz w:val="21"/>
                <w:szCs w:val="21"/>
                <w:highlight w:val="none"/>
                <w:lang w:val="en-US" w:eastAsia="zh-CN"/>
              </w:rPr>
              <w:t>%）</w:t>
            </w:r>
          </w:p>
        </w:tc>
      </w:tr>
      <w:tr w14:paraId="090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top"/>
          </w:tcPr>
          <w:p w14:paraId="4B5BE18A">
            <w:pPr>
              <w:widowControl/>
              <w:jc w:val="left"/>
              <w:rPr>
                <w:rFonts w:hint="default" w:ascii="Times New Roman" w:hAnsi="Times New Roman" w:eastAsia="宋体" w:cs="Times New Roman"/>
                <w:color w:val="auto"/>
                <w:sz w:val="21"/>
                <w:szCs w:val="21"/>
                <w:highlight w:val="none"/>
                <w:lang w:eastAsia="zh-CN"/>
              </w:rPr>
            </w:pPr>
          </w:p>
          <w:p w14:paraId="05576452">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合同履约期限</w:t>
            </w:r>
            <w:r>
              <w:rPr>
                <w:rFonts w:hint="default" w:ascii="Times New Roman" w:hAnsi="Times New Roman" w:eastAsia="宋体" w:cs="Times New Roman"/>
                <w:color w:val="auto"/>
                <w:sz w:val="21"/>
                <w:szCs w:val="21"/>
                <w:highlight w:val="none"/>
              </w:rPr>
              <w:t>：</w:t>
            </w:r>
          </w:p>
        </w:tc>
      </w:tr>
    </w:tbl>
    <w:p w14:paraId="2BF12F51">
      <w:pPr>
        <w:spacing w:line="360" w:lineRule="auto"/>
        <w:contextualSpacing/>
        <w:rPr>
          <w:rFonts w:hint="eastAsia" w:ascii="宋体" w:hAnsi="宋体" w:eastAsia="宋体" w:cs="宋体"/>
          <w:color w:val="auto"/>
          <w:sz w:val="24"/>
          <w:highlight w:val="none"/>
        </w:rPr>
      </w:pPr>
    </w:p>
    <w:p w14:paraId="04878912">
      <w:pPr>
        <w:spacing w:line="34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4557DA5B">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14:paraId="1E159AAA">
      <w:pPr>
        <w:spacing w:line="340" w:lineRule="exact"/>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报价一经涂改，应在涂改处加盖供应商公章或者由法定代表人或者委托代理人签字或者盖章</w:t>
      </w:r>
      <w:r>
        <w:rPr>
          <w:rFonts w:hint="eastAsia" w:ascii="宋体" w:hAnsi="宋体" w:eastAsia="宋体" w:cs="宋体"/>
          <w:b/>
          <w:color w:val="auto"/>
          <w:sz w:val="24"/>
          <w:highlight w:val="none"/>
        </w:rPr>
        <w:t>，否则其响应文件按无效响应处理。</w:t>
      </w:r>
    </w:p>
    <w:p w14:paraId="108572B0">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3.如为联合体竞标，“供应商名称”处必须列明联合体各方名称，标注联合体牵头人名称，</w:t>
      </w:r>
      <w:r>
        <w:rPr>
          <w:rFonts w:hint="eastAsia" w:ascii="宋体" w:hAnsi="宋体" w:eastAsia="宋体" w:cs="宋体"/>
          <w:b/>
          <w:color w:val="auto"/>
          <w:sz w:val="24"/>
          <w:highlight w:val="none"/>
        </w:rPr>
        <w:t>否则其响应文件按无效响应处理。（采购人可根据项目情况自行修改是否需要联合体各方签字盖章）。</w:t>
      </w:r>
    </w:p>
    <w:p w14:paraId="5D0D6479">
      <w:pPr>
        <w:spacing w:line="3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4.如为联合体竞标，盖章处须加盖联合体各方公章，</w:t>
      </w:r>
      <w:bookmarkStart w:id="70" w:name="_Hlk65851776"/>
      <w:r>
        <w:rPr>
          <w:rFonts w:hint="eastAsia" w:ascii="宋体" w:hAnsi="宋体" w:eastAsia="宋体" w:cs="宋体"/>
          <w:b/>
          <w:color w:val="auto"/>
          <w:sz w:val="24"/>
          <w:highlight w:val="none"/>
        </w:rPr>
        <w:t>否则其响应文件按无效响应处理。</w:t>
      </w:r>
      <w:bookmarkEnd w:id="70"/>
      <w:r>
        <w:rPr>
          <w:rFonts w:hint="eastAsia" w:ascii="宋体" w:hAnsi="宋体" w:eastAsia="宋体" w:cs="宋体"/>
          <w:b/>
          <w:color w:val="auto"/>
          <w:sz w:val="24"/>
          <w:highlight w:val="none"/>
        </w:rPr>
        <w:t>（采购人可根据项目情况自行修改是否需要联合体各方签字盖章）。</w:t>
      </w:r>
    </w:p>
    <w:p w14:paraId="345E0083">
      <w:pPr>
        <w:spacing w:line="3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6"/>
          <w:sz w:val="24"/>
          <w:highlight w:val="none"/>
        </w:rPr>
        <w:t>如有多分标，分别列明各分标的报价表，</w:t>
      </w:r>
      <w:r>
        <w:rPr>
          <w:rFonts w:hint="eastAsia" w:ascii="宋体" w:hAnsi="宋体" w:eastAsia="宋体" w:cs="宋体"/>
          <w:b/>
          <w:color w:val="auto"/>
          <w:spacing w:val="-6"/>
          <w:sz w:val="24"/>
          <w:highlight w:val="none"/>
        </w:rPr>
        <w:t>否则其响应文件按无效响应处理。</w:t>
      </w:r>
    </w:p>
    <w:p w14:paraId="27DB7674">
      <w:pPr>
        <w:spacing w:line="340" w:lineRule="exact"/>
        <w:ind w:right="-817" w:rightChars="-389"/>
        <w:contextualSpacing/>
        <w:rPr>
          <w:rFonts w:hint="eastAsia" w:ascii="宋体" w:hAnsi="宋体" w:eastAsia="宋体" w:cs="宋体"/>
          <w:color w:val="auto"/>
          <w:sz w:val="24"/>
          <w:highlight w:val="none"/>
        </w:rPr>
      </w:pPr>
    </w:p>
    <w:p w14:paraId="0D36E7FE">
      <w:pPr>
        <w:spacing w:line="340" w:lineRule="exact"/>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法定代表人或者委托代理人（签字或</w:t>
      </w:r>
      <w:r>
        <w:rPr>
          <w:rFonts w:hint="eastAsia" w:ascii="宋体" w:hAnsi="宋体" w:eastAsia="宋体" w:cs="宋体"/>
          <w:color w:val="auto"/>
          <w:spacing w:val="20"/>
          <w:sz w:val="24"/>
          <w:highlight w:val="none"/>
        </w:rPr>
        <w:t>签章</w:t>
      </w:r>
      <w:r>
        <w:rPr>
          <w:rFonts w:hint="eastAsia" w:ascii="宋体" w:hAnsi="宋体" w:eastAsia="宋体" w:cs="宋体"/>
          <w:color w:val="auto"/>
          <w:sz w:val="24"/>
          <w:highlight w:val="none"/>
        </w:rPr>
        <w:t xml:space="preserve">）：                    </w:t>
      </w:r>
    </w:p>
    <w:p w14:paraId="65E810C9">
      <w:pPr>
        <w:spacing w:line="340" w:lineRule="exact"/>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2C8C0C3E">
      <w:pPr>
        <w:spacing w:line="340" w:lineRule="exact"/>
        <w:ind w:right="-817" w:rightChars="-389" w:firstLine="4080" w:firstLineChars="17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14:paraId="0448335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6F324E7">
      <w:pPr>
        <w:spacing w:beforeLines="10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48699139">
      <w:pPr>
        <w:spacing w:line="360" w:lineRule="auto"/>
        <w:ind w:left="540"/>
        <w:contextualSpacing/>
        <w:rPr>
          <w:rFonts w:hint="eastAsia" w:ascii="宋体" w:hAnsi="宋体" w:eastAsia="宋体" w:cs="宋体"/>
          <w:color w:val="auto"/>
          <w:sz w:val="32"/>
          <w:szCs w:val="32"/>
          <w:highlight w:val="none"/>
        </w:rPr>
      </w:pPr>
    </w:p>
    <w:p w14:paraId="074C847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4467B5A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17447DE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性     别：</w:t>
      </w:r>
    </w:p>
    <w:p w14:paraId="3FCB1590">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职     务：</w:t>
      </w:r>
    </w:p>
    <w:p w14:paraId="57C567A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761E26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06CE14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740924F">
      <w:pPr>
        <w:spacing w:line="360" w:lineRule="auto"/>
        <w:ind w:left="540"/>
        <w:contextualSpacing/>
        <w:rPr>
          <w:rFonts w:hint="eastAsia" w:ascii="宋体" w:hAnsi="宋体" w:eastAsia="宋体" w:cs="宋体"/>
          <w:color w:val="auto"/>
          <w:sz w:val="24"/>
          <w:highlight w:val="none"/>
        </w:rPr>
      </w:pPr>
    </w:p>
    <w:p w14:paraId="6A3DE349">
      <w:pPr>
        <w:spacing w:line="360" w:lineRule="auto"/>
        <w:ind w:left="540"/>
        <w:contextualSpacing/>
        <w:rPr>
          <w:rFonts w:hint="eastAsia" w:ascii="宋体" w:hAnsi="宋体" w:eastAsia="宋体" w:cs="宋体"/>
          <w:color w:val="auto"/>
          <w:sz w:val="24"/>
          <w:highlight w:val="none"/>
        </w:rPr>
      </w:pPr>
    </w:p>
    <w:p w14:paraId="594FD357">
      <w:pPr>
        <w:spacing w:line="360" w:lineRule="auto"/>
        <w:ind w:left="540"/>
        <w:contextualSpacing/>
        <w:rPr>
          <w:rFonts w:hint="eastAsia" w:ascii="宋体" w:hAnsi="宋体" w:eastAsia="宋体" w:cs="宋体"/>
          <w:color w:val="auto"/>
          <w:sz w:val="24"/>
          <w:highlight w:val="none"/>
        </w:rPr>
      </w:pPr>
    </w:p>
    <w:p w14:paraId="61D950E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2639E4A">
      <w:pPr>
        <w:spacing w:line="360" w:lineRule="auto"/>
        <w:ind w:left="540"/>
        <w:contextualSpacing/>
        <w:rPr>
          <w:rFonts w:hint="eastAsia" w:ascii="宋体" w:hAnsi="宋体" w:eastAsia="宋体" w:cs="宋体"/>
          <w:color w:val="auto"/>
          <w:sz w:val="24"/>
          <w:highlight w:val="none"/>
        </w:rPr>
      </w:pPr>
    </w:p>
    <w:p w14:paraId="52B8A1CE">
      <w:pPr>
        <w:spacing w:line="360" w:lineRule="auto"/>
        <w:ind w:left="54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供应商(电子签章)：</w:t>
      </w:r>
    </w:p>
    <w:p w14:paraId="55CA59C6">
      <w:pPr>
        <w:spacing w:line="360" w:lineRule="auto"/>
        <w:ind w:firstLine="4080" w:firstLineChars="170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AF57E41">
      <w:pPr>
        <w:spacing w:line="360" w:lineRule="auto"/>
        <w:contextualSpacing/>
        <w:jc w:val="center"/>
        <w:rPr>
          <w:rFonts w:hint="eastAsia" w:ascii="宋体" w:hAnsi="宋体" w:eastAsia="宋体" w:cs="宋体"/>
          <w:b/>
          <w:color w:val="auto"/>
          <w:sz w:val="24"/>
          <w:highlight w:val="none"/>
        </w:rPr>
      </w:pPr>
    </w:p>
    <w:p w14:paraId="27FF9CB2">
      <w:pPr>
        <w:spacing w:line="360" w:lineRule="auto"/>
        <w:contextualSpacing/>
        <w:jc w:val="left"/>
        <w:rPr>
          <w:rFonts w:hint="eastAsia" w:ascii="宋体" w:hAnsi="宋体" w:eastAsia="宋体" w:cs="宋体"/>
          <w:color w:val="auto"/>
          <w:sz w:val="24"/>
          <w:highlight w:val="none"/>
        </w:rPr>
      </w:pPr>
    </w:p>
    <w:p w14:paraId="75A5BA3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E7A124F">
      <w:pPr>
        <w:spacing w:line="360" w:lineRule="auto"/>
        <w:ind w:firstLine="480"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42F08EE">
      <w:pPr>
        <w:adjustRightInd w:val="0"/>
        <w:snapToGrid w:val="0"/>
        <w:spacing w:line="300" w:lineRule="auto"/>
        <w:jc w:val="left"/>
        <w:rPr>
          <w:rFonts w:hint="eastAsia" w:ascii="宋体" w:hAnsi="宋体" w:eastAsia="宋体" w:cs="宋体"/>
          <w:b/>
          <w:color w:val="auto"/>
          <w:szCs w:val="21"/>
          <w:highlight w:val="none"/>
        </w:rPr>
      </w:pPr>
    </w:p>
    <w:p w14:paraId="758C3CC6">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4A8367D8">
      <w:pPr>
        <w:spacing w:line="520" w:lineRule="exact"/>
        <w:jc w:val="center"/>
        <w:rPr>
          <w:rFonts w:hint="eastAsia" w:ascii="宋体" w:hAnsi="宋体" w:eastAsia="宋体" w:cs="宋体"/>
          <w:color w:val="auto"/>
          <w:sz w:val="44"/>
          <w:szCs w:val="44"/>
          <w:highlight w:val="none"/>
        </w:rPr>
      </w:pPr>
      <w:bookmarkStart w:id="71" w:name="_Hlk65853643"/>
      <w:r>
        <w:rPr>
          <w:rFonts w:hint="eastAsia" w:ascii="宋体" w:hAnsi="宋体" w:eastAsia="宋体" w:cs="宋体"/>
          <w:color w:val="auto"/>
          <w:sz w:val="44"/>
          <w:szCs w:val="44"/>
          <w:highlight w:val="none"/>
        </w:rPr>
        <w:t>授权委托书（如有委托时）</w:t>
      </w:r>
    </w:p>
    <w:p w14:paraId="1CB42CEF">
      <w:pPr>
        <w:spacing w:line="520" w:lineRule="exact"/>
        <w:rPr>
          <w:rFonts w:hint="eastAsia" w:ascii="宋体" w:hAnsi="宋体" w:eastAsia="宋体" w:cs="宋体"/>
          <w:color w:val="auto"/>
          <w:sz w:val="32"/>
          <w:szCs w:val="32"/>
          <w:highlight w:val="none"/>
        </w:rPr>
      </w:pPr>
    </w:p>
    <w:p w14:paraId="37D391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106BBD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（项目名称、项目编号）</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0AC56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5379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7EED2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58493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附：法定代表人身份证及委托代理人有效身份证正反面复印件</w:t>
      </w:r>
    </w:p>
    <w:p w14:paraId="177AA72A">
      <w:pPr>
        <w:spacing w:line="360" w:lineRule="auto"/>
        <w:rPr>
          <w:rFonts w:hint="eastAsia" w:ascii="宋体" w:hAnsi="宋体" w:eastAsia="宋体" w:cs="宋体"/>
          <w:color w:val="auto"/>
          <w:sz w:val="24"/>
          <w:highlight w:val="none"/>
        </w:rPr>
      </w:pPr>
    </w:p>
    <w:p w14:paraId="41D6C2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委托代理人（签字或盖章）：         法定代表人（签字或盖章）：                    </w:t>
      </w:r>
    </w:p>
    <w:p w14:paraId="56F3D9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6C5E9ED">
      <w:pPr>
        <w:spacing w:line="360" w:lineRule="auto"/>
        <w:rPr>
          <w:rFonts w:hint="eastAsia" w:ascii="宋体" w:hAnsi="宋体" w:eastAsia="宋体" w:cs="宋体"/>
          <w:color w:val="auto"/>
          <w:sz w:val="24"/>
          <w:highlight w:val="none"/>
        </w:rPr>
      </w:pPr>
    </w:p>
    <w:p w14:paraId="3E2D81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供应商（电子签章）：                      </w:t>
      </w:r>
    </w:p>
    <w:p w14:paraId="1C418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013D3F7">
      <w:pPr>
        <w:spacing w:line="360" w:lineRule="auto"/>
        <w:rPr>
          <w:rFonts w:hint="eastAsia" w:ascii="宋体" w:hAnsi="宋体" w:eastAsia="宋体" w:cs="宋体"/>
          <w:color w:val="auto"/>
          <w:sz w:val="24"/>
          <w:highlight w:val="none"/>
        </w:rPr>
      </w:pPr>
    </w:p>
    <w:p w14:paraId="13E7A1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E87BC4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2633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72" w:name="_Hlk65853109"/>
      <w:bookmarkStart w:id="73" w:name="_Hlk65853542"/>
      <w:r>
        <w:rPr>
          <w:rFonts w:hint="eastAsia" w:ascii="宋体" w:hAnsi="宋体" w:eastAsia="宋体" w:cs="宋体"/>
          <w:color w:val="auto"/>
          <w:sz w:val="24"/>
          <w:highlight w:val="none"/>
        </w:rPr>
        <w:t>法人、其他组织竞标时“我方”是指“我单位”，自然人竞标时“我方”是指“本人”。</w:t>
      </w:r>
      <w:bookmarkEnd w:id="72"/>
    </w:p>
    <w:bookmarkEnd w:id="73"/>
    <w:p w14:paraId="76A63DD6">
      <w:pPr>
        <w:spacing w:line="360" w:lineRule="auto"/>
        <w:ind w:firstLine="420" w:firstLineChars="200"/>
        <w:jc w:val="left"/>
        <w:rPr>
          <w:rFonts w:hint="eastAsia" w:ascii="宋体" w:hAnsi="宋体" w:eastAsia="宋体" w:cs="宋体"/>
          <w:color w:val="auto"/>
          <w:szCs w:val="21"/>
          <w:highlight w:val="none"/>
        </w:rPr>
      </w:pPr>
    </w:p>
    <w:p w14:paraId="0E109887">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Cs w:val="21"/>
          <w:highlight w:val="none"/>
        </w:rPr>
        <w:br w:type="page"/>
      </w:r>
      <w:bookmarkEnd w:id="71"/>
      <w:r>
        <w:rPr>
          <w:rFonts w:hint="eastAsia" w:ascii="宋体" w:hAnsi="宋体" w:eastAsia="宋体" w:cs="宋体"/>
          <w:bCs/>
          <w:color w:val="auto"/>
          <w:sz w:val="44"/>
          <w:szCs w:val="44"/>
          <w:highlight w:val="none"/>
        </w:rPr>
        <w:t>商务条款偏离表格式</w:t>
      </w:r>
    </w:p>
    <w:p w14:paraId="7A81B7D2">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5B6909E9">
      <w:pPr>
        <w:spacing w:line="360" w:lineRule="auto"/>
        <w:contextualSpacing/>
        <w:jc w:val="left"/>
        <w:rPr>
          <w:rFonts w:hint="eastAsia" w:ascii="宋体" w:hAnsi="宋体" w:eastAsia="宋体" w:cs="宋体"/>
          <w:color w:val="auto"/>
          <w:sz w:val="24"/>
          <w:highlight w:val="none"/>
        </w:rPr>
      </w:pPr>
    </w:p>
    <w:p w14:paraId="23832537">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p>
    <w:p w14:paraId="46F86663">
      <w:pPr>
        <w:spacing w:line="360" w:lineRule="auto"/>
        <w:contextualSpacing/>
        <w:jc w:val="left"/>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A858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5A663031">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D92F984">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6575BC1F">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5752C885">
            <w:pPr>
              <w:spacing w:line="360" w:lineRule="auto"/>
              <w:contextualSpacing/>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F25E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741F760C">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73B8CBC">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C3D9820">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B2FDF4A">
            <w:pPr>
              <w:spacing w:line="360" w:lineRule="auto"/>
              <w:contextualSpacing/>
              <w:jc w:val="center"/>
              <w:rPr>
                <w:rFonts w:hint="eastAsia" w:ascii="宋体" w:hAnsi="宋体" w:eastAsia="宋体" w:cs="宋体"/>
                <w:color w:val="auto"/>
                <w:sz w:val="24"/>
                <w:highlight w:val="none"/>
              </w:rPr>
            </w:pPr>
          </w:p>
        </w:tc>
      </w:tr>
      <w:tr w14:paraId="52F9A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178" w:type="dxa"/>
            <w:tcBorders>
              <w:top w:val="single" w:color="auto" w:sz="4" w:space="0"/>
              <w:bottom w:val="single" w:color="auto" w:sz="4" w:space="0"/>
              <w:right w:val="single" w:color="auto" w:sz="4" w:space="0"/>
            </w:tcBorders>
            <w:vAlign w:val="center"/>
          </w:tcPr>
          <w:p w14:paraId="7C633BF6">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304BDC6">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51F059">
            <w:pPr>
              <w:spacing w:line="360" w:lineRule="auto"/>
              <w:ind w:left="43"/>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5CE26B0A">
            <w:pPr>
              <w:spacing w:line="360" w:lineRule="auto"/>
              <w:ind w:left="43"/>
              <w:contextualSpacing/>
              <w:jc w:val="center"/>
              <w:rPr>
                <w:rFonts w:hint="eastAsia" w:ascii="宋体" w:hAnsi="宋体" w:eastAsia="宋体" w:cs="宋体"/>
                <w:color w:val="auto"/>
                <w:sz w:val="24"/>
                <w:highlight w:val="none"/>
              </w:rPr>
            </w:pPr>
          </w:p>
        </w:tc>
      </w:tr>
      <w:tr w14:paraId="14D2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8" w:type="dxa"/>
            <w:tcBorders>
              <w:top w:val="single" w:color="auto" w:sz="4" w:space="0"/>
              <w:bottom w:val="single" w:color="auto" w:sz="4" w:space="0"/>
              <w:right w:val="single" w:color="auto" w:sz="4" w:space="0"/>
            </w:tcBorders>
            <w:vAlign w:val="center"/>
          </w:tcPr>
          <w:p w14:paraId="1500419C">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val="0"/>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DC0A83">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9780140">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C1C897C">
            <w:pPr>
              <w:spacing w:line="360" w:lineRule="auto"/>
              <w:contextualSpacing/>
              <w:jc w:val="center"/>
              <w:rPr>
                <w:rFonts w:hint="eastAsia" w:ascii="宋体" w:hAnsi="宋体" w:eastAsia="宋体" w:cs="宋体"/>
                <w:color w:val="auto"/>
                <w:sz w:val="24"/>
                <w:highlight w:val="none"/>
              </w:rPr>
            </w:pPr>
          </w:p>
        </w:tc>
      </w:tr>
      <w:tr w14:paraId="5EC93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A1AB340">
            <w:pPr>
              <w:spacing w:line="360" w:lineRule="auto"/>
              <w:contextualSpacing/>
              <w:jc w:val="center"/>
              <w:rPr>
                <w:rFonts w:hint="eastAsia"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4F4B2F61">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C25F2BA">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A3A2767">
            <w:pPr>
              <w:spacing w:line="360" w:lineRule="auto"/>
              <w:contextualSpacing/>
              <w:jc w:val="center"/>
              <w:rPr>
                <w:rFonts w:hint="eastAsia" w:ascii="宋体" w:hAnsi="宋体" w:eastAsia="宋体" w:cs="宋体"/>
                <w:color w:val="auto"/>
                <w:sz w:val="24"/>
                <w:highlight w:val="none"/>
              </w:rPr>
            </w:pPr>
          </w:p>
        </w:tc>
      </w:tr>
      <w:tr w14:paraId="38DA3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5D874DD5">
            <w:pPr>
              <w:spacing w:line="360" w:lineRule="auto"/>
              <w:contextualSpacing/>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17AB47C">
            <w:pPr>
              <w:spacing w:line="360" w:lineRule="auto"/>
              <w:contextualSpacing/>
              <w:jc w:val="center"/>
              <w:rPr>
                <w:rFonts w:hint="eastAsia" w:ascii="宋体" w:hAnsi="宋体" w:eastAsia="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13F66B">
            <w:pPr>
              <w:spacing w:line="360" w:lineRule="auto"/>
              <w:contextualSpacing/>
              <w:jc w:val="center"/>
              <w:rPr>
                <w:rFonts w:hint="eastAsia" w:ascii="宋体" w:hAnsi="宋体" w:eastAsia="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0423814">
            <w:pPr>
              <w:spacing w:line="360" w:lineRule="auto"/>
              <w:contextualSpacing/>
              <w:jc w:val="center"/>
              <w:rPr>
                <w:rFonts w:hint="eastAsia" w:ascii="宋体" w:hAnsi="宋体" w:eastAsia="宋体" w:cs="宋体"/>
                <w:color w:val="auto"/>
                <w:sz w:val="24"/>
                <w:highlight w:val="none"/>
              </w:rPr>
            </w:pPr>
          </w:p>
        </w:tc>
      </w:tr>
    </w:tbl>
    <w:p w14:paraId="6234A850">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CF1B7B6">
      <w:pPr>
        <w:pStyle w:val="12"/>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说明：应对照磋商文件“第三章 采购需求”中的商务条款逐条作出明确响应，并作出偏离说明。</w:t>
      </w:r>
    </w:p>
    <w:p w14:paraId="5201DF1C">
      <w:pPr>
        <w:spacing w:line="360" w:lineRule="auto"/>
        <w:contextualSpacing/>
        <w:jc w:val="lef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w:t>
      </w:r>
    </w:p>
    <w:p w14:paraId="4C579539">
      <w:pPr>
        <w:spacing w:line="360" w:lineRule="auto"/>
        <w:ind w:right="-817" w:rightChars="-389"/>
        <w:contextualSpacing/>
        <w:rPr>
          <w:rFonts w:hint="eastAsia" w:ascii="宋体" w:hAnsi="宋体" w:eastAsia="宋体" w:cs="宋体"/>
          <w:color w:val="auto"/>
          <w:sz w:val="24"/>
          <w:highlight w:val="none"/>
        </w:rPr>
      </w:pPr>
    </w:p>
    <w:p w14:paraId="47EADB30">
      <w:pPr>
        <w:spacing w:line="360" w:lineRule="auto"/>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pacing w:val="20"/>
          <w:sz w:val="24"/>
          <w:highlight w:val="none"/>
        </w:rPr>
        <w:t>或签章</w:t>
      </w:r>
      <w:r>
        <w:rPr>
          <w:rFonts w:hint="eastAsia" w:ascii="宋体" w:hAnsi="宋体" w:eastAsia="宋体" w:cs="宋体"/>
          <w:color w:val="auto"/>
          <w:sz w:val="24"/>
          <w:highlight w:val="none"/>
        </w:rPr>
        <w:t xml:space="preserve">）：                    </w:t>
      </w:r>
    </w:p>
    <w:p w14:paraId="50166C4A">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172F0B81">
      <w:pPr>
        <w:spacing w:line="360" w:lineRule="auto"/>
        <w:ind w:right="-817" w:rightChars="-389" w:firstLine="4080" w:firstLineChars="1700"/>
        <w:contextualSpacing/>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   年   月   日</w:t>
      </w:r>
    </w:p>
    <w:p w14:paraId="06DD321B">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4986C601">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6EE905E9">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4AF1729B">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lang w:val="en-US" w:eastAsia="zh-CN"/>
        </w:rPr>
        <w:t>技术（服务）要求</w:t>
      </w:r>
      <w:r>
        <w:rPr>
          <w:rFonts w:hint="eastAsia" w:ascii="宋体" w:hAnsi="宋体" w:eastAsia="宋体" w:cs="宋体"/>
          <w:bCs/>
          <w:color w:val="auto"/>
          <w:sz w:val="44"/>
          <w:szCs w:val="44"/>
          <w:highlight w:val="none"/>
        </w:rPr>
        <w:t>偏离表</w:t>
      </w:r>
    </w:p>
    <w:p w14:paraId="05FA8E92">
      <w:pPr>
        <w:spacing w:line="520" w:lineRule="exact"/>
        <w:rPr>
          <w:rFonts w:hint="eastAsia" w:ascii="宋体" w:hAnsi="宋体" w:eastAsia="宋体" w:cs="宋体"/>
          <w:color w:val="auto"/>
          <w:sz w:val="32"/>
          <w:szCs w:val="32"/>
          <w:highlight w:val="none"/>
        </w:rPr>
      </w:pPr>
    </w:p>
    <w:p w14:paraId="547AA90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p>
    <w:p w14:paraId="62D8F2D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8154B42">
      <w:pPr>
        <w:spacing w:line="360" w:lineRule="auto"/>
        <w:contextualSpacing/>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分标号：</w:t>
      </w:r>
    </w:p>
    <w:tbl>
      <w:tblPr>
        <w:tblStyle w:val="32"/>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22122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tcBorders>
              <w:top w:val="single" w:color="auto" w:sz="4" w:space="0"/>
            </w:tcBorders>
            <w:vAlign w:val="center"/>
          </w:tcPr>
          <w:p w14:paraId="4BCA4382">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74" w:name="_Toc295404981"/>
            <w:bookmarkStart w:id="75" w:name="_Toc173211900"/>
            <w:bookmarkStart w:id="76" w:name="_Toc173066401"/>
            <w:bookmarkStart w:id="77" w:name="_Toc254970729"/>
            <w:bookmarkStart w:id="78" w:name="_Toc297193185"/>
            <w:bookmarkStart w:id="79" w:name="_Toc383699906"/>
            <w:bookmarkStart w:id="80" w:name="_Toc373333689"/>
            <w:bookmarkStart w:id="81" w:name="_Toc301781611"/>
            <w:bookmarkStart w:id="82" w:name="_Toc254970588"/>
            <w:r>
              <w:rPr>
                <w:rFonts w:hint="eastAsia" w:ascii="宋体" w:hAnsi="宋体" w:eastAsia="宋体" w:cs="宋体"/>
                <w:color w:val="auto"/>
                <w:kern w:val="2"/>
                <w:sz w:val="24"/>
                <w:szCs w:val="24"/>
                <w:highlight w:val="none"/>
              </w:rPr>
              <w:t>序号</w:t>
            </w:r>
            <w:bookmarkEnd w:id="74"/>
            <w:bookmarkEnd w:id="75"/>
            <w:bookmarkEnd w:id="76"/>
            <w:bookmarkEnd w:id="77"/>
            <w:bookmarkEnd w:id="78"/>
            <w:bookmarkEnd w:id="79"/>
            <w:bookmarkEnd w:id="80"/>
            <w:bookmarkEnd w:id="81"/>
            <w:bookmarkEnd w:id="82"/>
          </w:p>
        </w:tc>
        <w:tc>
          <w:tcPr>
            <w:tcW w:w="900" w:type="dxa"/>
            <w:tcBorders>
              <w:top w:val="single" w:color="auto" w:sz="4" w:space="0"/>
              <w:right w:val="single" w:color="auto" w:sz="4" w:space="0"/>
            </w:tcBorders>
            <w:vAlign w:val="center"/>
          </w:tcPr>
          <w:p w14:paraId="6B076B0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6ED52B1F">
            <w:pPr>
              <w:pStyle w:val="14"/>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技术要求</w:t>
            </w:r>
          </w:p>
        </w:tc>
        <w:tc>
          <w:tcPr>
            <w:tcW w:w="2690" w:type="dxa"/>
            <w:tcBorders>
              <w:top w:val="single" w:color="auto" w:sz="4" w:space="0"/>
            </w:tcBorders>
            <w:vAlign w:val="center"/>
          </w:tcPr>
          <w:p w14:paraId="7D839C13">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83" w:name="_Toc373333691"/>
            <w:bookmarkStart w:id="84" w:name="_Toc301781613"/>
            <w:bookmarkStart w:id="85" w:name="_Toc254970731"/>
            <w:bookmarkStart w:id="86" w:name="_Toc254970590"/>
            <w:bookmarkStart w:id="87" w:name="_Toc173211902"/>
            <w:bookmarkStart w:id="88" w:name="_Toc173066403"/>
            <w:bookmarkStart w:id="89" w:name="_Toc295404983"/>
            <w:bookmarkStart w:id="90" w:name="_Toc383699908"/>
            <w:bookmarkStart w:id="91" w:name="_Toc297193187"/>
            <w:r>
              <w:rPr>
                <w:rFonts w:hint="eastAsia" w:ascii="宋体" w:hAnsi="宋体" w:eastAsia="宋体" w:cs="宋体"/>
                <w:color w:val="auto"/>
                <w:kern w:val="2"/>
                <w:sz w:val="24"/>
                <w:szCs w:val="24"/>
                <w:highlight w:val="none"/>
              </w:rPr>
              <w:t>竞标响应</w:t>
            </w:r>
            <w:bookmarkEnd w:id="83"/>
            <w:bookmarkEnd w:id="84"/>
            <w:bookmarkEnd w:id="85"/>
            <w:bookmarkEnd w:id="86"/>
            <w:bookmarkEnd w:id="87"/>
            <w:bookmarkEnd w:id="88"/>
            <w:bookmarkEnd w:id="89"/>
            <w:bookmarkEnd w:id="90"/>
            <w:bookmarkEnd w:id="91"/>
          </w:p>
        </w:tc>
        <w:tc>
          <w:tcPr>
            <w:tcW w:w="1467" w:type="dxa"/>
            <w:tcBorders>
              <w:top w:val="single" w:color="auto" w:sz="4" w:space="0"/>
            </w:tcBorders>
            <w:vAlign w:val="center"/>
          </w:tcPr>
          <w:p w14:paraId="7215D368">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92" w:name="_Toc173211903"/>
            <w:bookmarkStart w:id="93" w:name="_Toc373333692"/>
            <w:bookmarkStart w:id="94" w:name="_Toc383699909"/>
            <w:bookmarkStart w:id="95" w:name="_Toc297193188"/>
            <w:bookmarkStart w:id="96" w:name="_Toc295404984"/>
            <w:bookmarkStart w:id="97" w:name="_Toc254970591"/>
            <w:bookmarkStart w:id="98" w:name="_Toc254970732"/>
            <w:bookmarkStart w:id="99" w:name="_Toc173066404"/>
            <w:bookmarkStart w:id="100" w:name="_Toc301781614"/>
            <w:r>
              <w:rPr>
                <w:rFonts w:hint="eastAsia" w:ascii="宋体" w:hAnsi="宋体" w:eastAsia="宋体" w:cs="宋体"/>
                <w:color w:val="auto"/>
                <w:kern w:val="2"/>
                <w:sz w:val="24"/>
                <w:szCs w:val="24"/>
                <w:highlight w:val="none"/>
              </w:rPr>
              <w:t>偏离</w:t>
            </w:r>
            <w:bookmarkEnd w:id="92"/>
            <w:bookmarkEnd w:id="93"/>
            <w:bookmarkEnd w:id="94"/>
            <w:bookmarkEnd w:id="95"/>
            <w:bookmarkEnd w:id="96"/>
            <w:bookmarkEnd w:id="97"/>
            <w:bookmarkEnd w:id="98"/>
            <w:bookmarkEnd w:id="99"/>
            <w:bookmarkEnd w:id="100"/>
            <w:bookmarkStart w:id="101" w:name="_Toc383699910"/>
            <w:bookmarkStart w:id="102" w:name="_Toc254970733"/>
            <w:bookmarkStart w:id="103" w:name="_Toc373333693"/>
            <w:bookmarkStart w:id="104" w:name="_Toc173211904"/>
            <w:bookmarkStart w:id="105" w:name="_Toc254970592"/>
            <w:bookmarkStart w:id="106" w:name="_Toc297193189"/>
            <w:bookmarkStart w:id="107" w:name="_Toc295404985"/>
            <w:bookmarkStart w:id="108" w:name="_Toc301781615"/>
            <w:bookmarkStart w:id="109" w:name="_Toc173066405"/>
            <w:r>
              <w:rPr>
                <w:rFonts w:hint="eastAsia" w:ascii="宋体" w:hAnsi="宋体" w:eastAsia="宋体" w:cs="宋体"/>
                <w:color w:val="auto"/>
                <w:kern w:val="2"/>
                <w:sz w:val="24"/>
                <w:szCs w:val="24"/>
                <w:highlight w:val="none"/>
              </w:rPr>
              <w:t>说明</w:t>
            </w:r>
            <w:bookmarkEnd w:id="101"/>
            <w:bookmarkEnd w:id="102"/>
            <w:bookmarkEnd w:id="103"/>
            <w:bookmarkEnd w:id="104"/>
            <w:bookmarkEnd w:id="105"/>
            <w:bookmarkEnd w:id="106"/>
            <w:bookmarkEnd w:id="107"/>
            <w:bookmarkEnd w:id="108"/>
            <w:bookmarkEnd w:id="109"/>
          </w:p>
        </w:tc>
      </w:tr>
      <w:tr w14:paraId="459D8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5A4DFD8A">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10" w:name="_Toc254970734"/>
            <w:bookmarkStart w:id="111" w:name="_Toc373333694"/>
            <w:bookmarkStart w:id="112" w:name="_Toc297193190"/>
            <w:bookmarkStart w:id="113" w:name="_Toc295404986"/>
            <w:bookmarkStart w:id="114" w:name="_Toc173211905"/>
            <w:bookmarkStart w:id="115" w:name="_Toc254970593"/>
            <w:bookmarkStart w:id="116" w:name="_Toc301781616"/>
            <w:bookmarkStart w:id="117" w:name="_Toc173066406"/>
            <w:bookmarkStart w:id="118" w:name="_Toc383699911"/>
            <w:r>
              <w:rPr>
                <w:rFonts w:hint="eastAsia" w:ascii="宋体" w:hAnsi="宋体" w:eastAsia="宋体" w:cs="宋体"/>
                <w:color w:val="auto"/>
                <w:kern w:val="2"/>
                <w:sz w:val="24"/>
                <w:szCs w:val="24"/>
                <w:highlight w:val="none"/>
              </w:rPr>
              <w:t>1</w:t>
            </w:r>
            <w:bookmarkEnd w:id="110"/>
            <w:bookmarkEnd w:id="111"/>
            <w:bookmarkEnd w:id="112"/>
            <w:bookmarkEnd w:id="113"/>
            <w:bookmarkEnd w:id="114"/>
            <w:bookmarkEnd w:id="115"/>
            <w:bookmarkEnd w:id="116"/>
            <w:bookmarkEnd w:id="117"/>
            <w:bookmarkEnd w:id="118"/>
          </w:p>
        </w:tc>
        <w:tc>
          <w:tcPr>
            <w:tcW w:w="900" w:type="dxa"/>
            <w:tcBorders>
              <w:right w:val="single" w:color="auto" w:sz="4" w:space="0"/>
            </w:tcBorders>
            <w:vAlign w:val="center"/>
          </w:tcPr>
          <w:p w14:paraId="7D3EC3E6">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013AEB97">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5E0E8B9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3171633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084F4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80C2E86">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19" w:name="_Toc373333695"/>
            <w:bookmarkStart w:id="120" w:name="_Toc254970735"/>
            <w:bookmarkStart w:id="121" w:name="_Toc173066407"/>
            <w:bookmarkStart w:id="122" w:name="_Toc254970594"/>
            <w:bookmarkStart w:id="123" w:name="_Toc297193191"/>
            <w:bookmarkStart w:id="124" w:name="_Toc383699912"/>
            <w:bookmarkStart w:id="125" w:name="_Toc295404987"/>
            <w:bookmarkStart w:id="126" w:name="_Toc301781617"/>
            <w:bookmarkStart w:id="127" w:name="_Toc173211906"/>
            <w:r>
              <w:rPr>
                <w:rFonts w:hint="eastAsia" w:ascii="宋体" w:hAnsi="宋体" w:eastAsia="宋体" w:cs="宋体"/>
                <w:color w:val="auto"/>
                <w:kern w:val="2"/>
                <w:sz w:val="24"/>
                <w:szCs w:val="24"/>
                <w:highlight w:val="none"/>
              </w:rPr>
              <w:t>2</w:t>
            </w:r>
            <w:bookmarkEnd w:id="119"/>
            <w:bookmarkEnd w:id="120"/>
            <w:bookmarkEnd w:id="121"/>
            <w:bookmarkEnd w:id="122"/>
            <w:bookmarkEnd w:id="123"/>
            <w:bookmarkEnd w:id="124"/>
            <w:bookmarkEnd w:id="125"/>
            <w:bookmarkEnd w:id="126"/>
            <w:bookmarkEnd w:id="127"/>
          </w:p>
        </w:tc>
        <w:tc>
          <w:tcPr>
            <w:tcW w:w="900" w:type="dxa"/>
            <w:tcBorders>
              <w:right w:val="single" w:color="auto" w:sz="4" w:space="0"/>
            </w:tcBorders>
            <w:vAlign w:val="center"/>
          </w:tcPr>
          <w:p w14:paraId="0C71835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0C9B519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0230558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1758884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2DA86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6CCA12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28" w:name="_Toc297193192"/>
            <w:bookmarkStart w:id="129" w:name="_Toc295404988"/>
            <w:bookmarkStart w:id="130" w:name="_Toc173066408"/>
            <w:bookmarkStart w:id="131" w:name="_Toc383699913"/>
            <w:bookmarkStart w:id="132" w:name="_Toc254970736"/>
            <w:bookmarkStart w:id="133" w:name="_Toc254970595"/>
            <w:bookmarkStart w:id="134" w:name="_Toc173211907"/>
            <w:bookmarkStart w:id="135" w:name="_Toc301781618"/>
            <w:bookmarkStart w:id="136" w:name="_Toc373333696"/>
            <w:r>
              <w:rPr>
                <w:rFonts w:hint="eastAsia" w:ascii="宋体" w:hAnsi="宋体" w:eastAsia="宋体" w:cs="宋体"/>
                <w:color w:val="auto"/>
                <w:kern w:val="2"/>
                <w:sz w:val="24"/>
                <w:szCs w:val="24"/>
                <w:highlight w:val="none"/>
              </w:rPr>
              <w:t>3</w:t>
            </w:r>
            <w:bookmarkEnd w:id="128"/>
            <w:bookmarkEnd w:id="129"/>
            <w:bookmarkEnd w:id="130"/>
            <w:bookmarkEnd w:id="131"/>
            <w:bookmarkEnd w:id="132"/>
            <w:bookmarkEnd w:id="133"/>
            <w:bookmarkEnd w:id="134"/>
            <w:bookmarkEnd w:id="135"/>
            <w:bookmarkEnd w:id="136"/>
          </w:p>
        </w:tc>
        <w:tc>
          <w:tcPr>
            <w:tcW w:w="900" w:type="dxa"/>
            <w:tcBorders>
              <w:right w:val="single" w:color="auto" w:sz="4" w:space="0"/>
            </w:tcBorders>
            <w:vAlign w:val="center"/>
          </w:tcPr>
          <w:p w14:paraId="5A876D0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3D25471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4BA19B6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69CA766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061FA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CD6913D">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37" w:name="_Toc383699914"/>
            <w:bookmarkStart w:id="138" w:name="_Toc254970596"/>
            <w:bookmarkStart w:id="139" w:name="_Toc173211908"/>
            <w:bookmarkStart w:id="140" w:name="_Toc295404989"/>
            <w:bookmarkStart w:id="141" w:name="_Toc297193193"/>
            <w:bookmarkStart w:id="142" w:name="_Toc301781619"/>
            <w:bookmarkStart w:id="143" w:name="_Toc254970737"/>
            <w:bookmarkStart w:id="144" w:name="_Toc373333697"/>
            <w:bookmarkStart w:id="145" w:name="_Toc173066409"/>
            <w:r>
              <w:rPr>
                <w:rFonts w:hint="eastAsia" w:ascii="宋体" w:hAnsi="宋体" w:eastAsia="宋体" w:cs="宋体"/>
                <w:color w:val="auto"/>
                <w:kern w:val="2"/>
                <w:sz w:val="24"/>
                <w:szCs w:val="24"/>
                <w:highlight w:val="none"/>
              </w:rPr>
              <w:t>4</w:t>
            </w:r>
            <w:bookmarkEnd w:id="137"/>
            <w:bookmarkEnd w:id="138"/>
            <w:bookmarkEnd w:id="139"/>
            <w:bookmarkEnd w:id="140"/>
            <w:bookmarkEnd w:id="141"/>
            <w:bookmarkEnd w:id="142"/>
            <w:bookmarkEnd w:id="143"/>
            <w:bookmarkEnd w:id="144"/>
            <w:bookmarkEnd w:id="145"/>
          </w:p>
        </w:tc>
        <w:tc>
          <w:tcPr>
            <w:tcW w:w="900" w:type="dxa"/>
            <w:tcBorders>
              <w:right w:val="single" w:color="auto" w:sz="4" w:space="0"/>
            </w:tcBorders>
            <w:vAlign w:val="center"/>
          </w:tcPr>
          <w:p w14:paraId="1C40573E">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7180289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77832F9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72A98DD3">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7F97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14D188B">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46" w:name="_Toc173211909"/>
            <w:bookmarkStart w:id="147" w:name="_Toc254970738"/>
            <w:bookmarkStart w:id="148" w:name="_Toc295404990"/>
            <w:bookmarkStart w:id="149" w:name="_Toc173066410"/>
            <w:bookmarkStart w:id="150" w:name="_Toc373333698"/>
            <w:bookmarkStart w:id="151" w:name="_Toc254970597"/>
            <w:bookmarkStart w:id="152" w:name="_Toc383699915"/>
            <w:bookmarkStart w:id="153" w:name="_Toc301781620"/>
            <w:bookmarkStart w:id="154" w:name="_Toc297193194"/>
            <w:r>
              <w:rPr>
                <w:rFonts w:hint="eastAsia" w:ascii="宋体" w:hAnsi="宋体" w:eastAsia="宋体" w:cs="宋体"/>
                <w:color w:val="auto"/>
                <w:kern w:val="2"/>
                <w:sz w:val="24"/>
                <w:szCs w:val="24"/>
                <w:highlight w:val="none"/>
              </w:rPr>
              <w:t>5</w:t>
            </w:r>
            <w:bookmarkEnd w:id="146"/>
            <w:bookmarkEnd w:id="147"/>
            <w:bookmarkEnd w:id="148"/>
            <w:bookmarkEnd w:id="149"/>
            <w:bookmarkEnd w:id="150"/>
            <w:bookmarkEnd w:id="151"/>
            <w:bookmarkEnd w:id="152"/>
            <w:bookmarkEnd w:id="153"/>
            <w:bookmarkEnd w:id="154"/>
          </w:p>
        </w:tc>
        <w:tc>
          <w:tcPr>
            <w:tcW w:w="900" w:type="dxa"/>
            <w:tcBorders>
              <w:right w:val="single" w:color="auto" w:sz="4" w:space="0"/>
            </w:tcBorders>
            <w:vAlign w:val="center"/>
          </w:tcPr>
          <w:p w14:paraId="51591291">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tcBorders>
            <w:vAlign w:val="center"/>
          </w:tcPr>
          <w:p w14:paraId="1AF5A7A7">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vAlign w:val="center"/>
          </w:tcPr>
          <w:p w14:paraId="22805514">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vAlign w:val="center"/>
          </w:tcPr>
          <w:p w14:paraId="28FDBB3F">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r w14:paraId="39CF8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tcBorders>
              <w:bottom w:val="single" w:color="auto" w:sz="4" w:space="0"/>
            </w:tcBorders>
            <w:vAlign w:val="center"/>
          </w:tcPr>
          <w:p w14:paraId="508F4AB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bookmarkStart w:id="155" w:name="_Toc373333699"/>
            <w:bookmarkStart w:id="156" w:name="_Toc297193195"/>
            <w:bookmarkStart w:id="157" w:name="_Toc254970602"/>
            <w:bookmarkStart w:id="158" w:name="_Toc301781621"/>
            <w:bookmarkStart w:id="159" w:name="_Toc254970743"/>
            <w:bookmarkStart w:id="160" w:name="_Toc383699916"/>
            <w:bookmarkStart w:id="161" w:name="_Toc173211914"/>
            <w:bookmarkStart w:id="162" w:name="_Toc295404991"/>
            <w:bookmarkStart w:id="163" w:name="_Toc173066415"/>
            <w:r>
              <w:rPr>
                <w:rFonts w:hint="eastAsia" w:ascii="宋体" w:hAnsi="宋体" w:eastAsia="宋体" w:cs="宋体"/>
                <w:color w:val="auto"/>
                <w:kern w:val="2"/>
                <w:sz w:val="24"/>
                <w:szCs w:val="24"/>
                <w:highlight w:val="none"/>
              </w:rPr>
              <w:t>…</w:t>
            </w:r>
            <w:bookmarkEnd w:id="155"/>
            <w:bookmarkEnd w:id="156"/>
            <w:bookmarkEnd w:id="157"/>
            <w:bookmarkEnd w:id="158"/>
            <w:bookmarkEnd w:id="159"/>
            <w:bookmarkEnd w:id="160"/>
            <w:bookmarkEnd w:id="161"/>
            <w:bookmarkEnd w:id="162"/>
            <w:bookmarkEnd w:id="163"/>
          </w:p>
        </w:tc>
        <w:tc>
          <w:tcPr>
            <w:tcW w:w="900" w:type="dxa"/>
            <w:tcBorders>
              <w:bottom w:val="single" w:color="auto" w:sz="4" w:space="0"/>
              <w:right w:val="single" w:color="auto" w:sz="4" w:space="0"/>
            </w:tcBorders>
            <w:vAlign w:val="center"/>
          </w:tcPr>
          <w:p w14:paraId="4982F91C">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989" w:type="dxa"/>
            <w:tcBorders>
              <w:left w:val="single" w:color="auto" w:sz="4" w:space="0"/>
              <w:bottom w:val="single" w:color="auto" w:sz="4" w:space="0"/>
            </w:tcBorders>
            <w:vAlign w:val="center"/>
          </w:tcPr>
          <w:p w14:paraId="6E213992">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2690" w:type="dxa"/>
            <w:tcBorders>
              <w:bottom w:val="single" w:color="auto" w:sz="4" w:space="0"/>
            </w:tcBorders>
            <w:vAlign w:val="center"/>
          </w:tcPr>
          <w:p w14:paraId="4B3007CA">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c>
          <w:tcPr>
            <w:tcW w:w="1467" w:type="dxa"/>
            <w:tcBorders>
              <w:bottom w:val="single" w:color="auto" w:sz="4" w:space="0"/>
            </w:tcBorders>
            <w:vAlign w:val="center"/>
          </w:tcPr>
          <w:p w14:paraId="789DFDB5">
            <w:pPr>
              <w:pStyle w:val="14"/>
              <w:spacing w:line="360" w:lineRule="auto"/>
              <w:ind w:firstLine="0" w:firstLineChars="0"/>
              <w:contextualSpacing/>
              <w:jc w:val="center"/>
              <w:rPr>
                <w:rFonts w:hint="eastAsia" w:ascii="宋体" w:hAnsi="宋体" w:eastAsia="宋体" w:cs="宋体"/>
                <w:color w:val="auto"/>
                <w:kern w:val="2"/>
                <w:sz w:val="24"/>
                <w:szCs w:val="24"/>
                <w:highlight w:val="none"/>
              </w:rPr>
            </w:pPr>
          </w:p>
        </w:tc>
      </w:tr>
    </w:tbl>
    <w:p w14:paraId="00690851">
      <w:pPr>
        <w:adjustRightInd w:val="0"/>
        <w:spacing w:line="360" w:lineRule="auto"/>
        <w:contextualSpacing/>
        <w:rPr>
          <w:rFonts w:hint="eastAsia" w:ascii="宋体" w:hAnsi="宋体" w:eastAsia="宋体" w:cs="宋体"/>
          <w:color w:val="auto"/>
          <w:sz w:val="24"/>
          <w:highlight w:val="none"/>
        </w:rPr>
      </w:pPr>
    </w:p>
    <w:p w14:paraId="1C869277">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18AB940">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采购需求”中的服务需求逐条作出明确响应，并作出偏离说明。</w:t>
      </w:r>
    </w:p>
    <w:p w14:paraId="4CEC4B7C">
      <w:pPr>
        <w:pStyle w:val="14"/>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7E1B7F34">
      <w:pPr>
        <w:pStyle w:val="17"/>
        <w:spacing w:line="360" w:lineRule="auto"/>
        <w:contextualSpacing/>
        <w:rPr>
          <w:rFonts w:hint="eastAsia" w:ascii="宋体" w:hAnsi="宋体" w:eastAsia="宋体" w:cs="宋体"/>
          <w:color w:val="auto"/>
          <w:sz w:val="24"/>
          <w:szCs w:val="24"/>
          <w:highlight w:val="none"/>
        </w:rPr>
      </w:pPr>
    </w:p>
    <w:p w14:paraId="7AA2E2B9">
      <w:pPr>
        <w:spacing w:line="360" w:lineRule="auto"/>
        <w:ind w:right="-817" w:rightChars="-389"/>
        <w:contextualSpacing/>
        <w:rPr>
          <w:rFonts w:hint="eastAsia" w:ascii="宋体" w:hAnsi="宋体" w:eastAsia="宋体" w:cs="宋体"/>
          <w:color w:val="auto"/>
          <w:sz w:val="24"/>
          <w:highlight w:val="none"/>
        </w:rPr>
      </w:pPr>
    </w:p>
    <w:p w14:paraId="1243E67A">
      <w:pPr>
        <w:spacing w:line="360" w:lineRule="auto"/>
        <w:ind w:right="-817" w:rightChars="-389" w:firstLine="960" w:firstLineChars="4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pacing w:val="20"/>
          <w:sz w:val="24"/>
          <w:highlight w:val="none"/>
        </w:rPr>
        <w:t>或签章</w:t>
      </w:r>
      <w:r>
        <w:rPr>
          <w:rFonts w:hint="eastAsia" w:ascii="宋体" w:hAnsi="宋体" w:eastAsia="宋体" w:cs="宋体"/>
          <w:color w:val="auto"/>
          <w:sz w:val="24"/>
          <w:highlight w:val="none"/>
        </w:rPr>
        <w:t xml:space="preserve">）：                    </w:t>
      </w:r>
    </w:p>
    <w:p w14:paraId="0F57751E">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供应商(电子签章)：      </w:t>
      </w:r>
    </w:p>
    <w:p w14:paraId="6C53A2F3">
      <w:pPr>
        <w:spacing w:line="360" w:lineRule="auto"/>
        <w:ind w:right="-817" w:rightChars="-389"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79AB42E">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项目实施人员一览表格式</w:t>
      </w:r>
    </w:p>
    <w:p w14:paraId="6BA14229">
      <w:pPr>
        <w:snapToGrid w:val="0"/>
        <w:spacing w:beforeLines="50" w:after="50"/>
        <w:ind w:left="142"/>
        <w:jc w:val="left"/>
        <w:rPr>
          <w:rFonts w:hint="eastAsia" w:ascii="宋体" w:hAnsi="宋体" w:eastAsia="宋体" w:cs="宋体"/>
          <w:b/>
          <w:color w:val="auto"/>
          <w:sz w:val="24"/>
          <w:highlight w:val="none"/>
        </w:rPr>
      </w:pPr>
    </w:p>
    <w:p w14:paraId="021AF54C">
      <w:pPr>
        <w:spacing w:line="360" w:lineRule="auto"/>
        <w:ind w:left="142"/>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6CD05061">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分标</w:t>
      </w:r>
    </w:p>
    <w:tbl>
      <w:tblPr>
        <w:tblStyle w:val="3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D74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395B74">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78EAFCFC">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vAlign w:val="center"/>
          </w:tcPr>
          <w:p w14:paraId="7F91D933">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vAlign w:val="center"/>
          </w:tcPr>
          <w:p w14:paraId="36E42085">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vAlign w:val="center"/>
          </w:tcPr>
          <w:p w14:paraId="7542C89A">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737D7F89">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2E32512C">
            <w:pPr>
              <w:spacing w:line="360" w:lineRule="auto"/>
              <w:contextualSpacing/>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380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99959C4">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34DC109C">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2B56CFA3">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6097E342">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1C4DD2EE">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732D6A76">
            <w:pPr>
              <w:spacing w:line="360" w:lineRule="auto"/>
              <w:contextualSpacing/>
              <w:jc w:val="center"/>
              <w:rPr>
                <w:rFonts w:hint="eastAsia" w:ascii="宋体" w:hAnsi="宋体" w:eastAsia="宋体" w:cs="宋体"/>
                <w:color w:val="auto"/>
                <w:sz w:val="24"/>
                <w:szCs w:val="20"/>
                <w:highlight w:val="none"/>
              </w:rPr>
            </w:pPr>
          </w:p>
        </w:tc>
      </w:tr>
      <w:tr w14:paraId="21FE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0C9554A">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76476332">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3BAAF7BA">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100724C7">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55BC7EBF">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276BDA3C">
            <w:pPr>
              <w:spacing w:line="360" w:lineRule="auto"/>
              <w:contextualSpacing/>
              <w:jc w:val="center"/>
              <w:rPr>
                <w:rFonts w:hint="eastAsia" w:ascii="宋体" w:hAnsi="宋体" w:eastAsia="宋体" w:cs="宋体"/>
                <w:color w:val="auto"/>
                <w:sz w:val="24"/>
                <w:szCs w:val="20"/>
                <w:highlight w:val="none"/>
              </w:rPr>
            </w:pPr>
          </w:p>
        </w:tc>
      </w:tr>
      <w:tr w14:paraId="073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AF9D9C">
            <w:pPr>
              <w:spacing w:line="360" w:lineRule="auto"/>
              <w:contextualSpacing/>
              <w:jc w:val="center"/>
              <w:rPr>
                <w:rFonts w:hint="eastAsia" w:ascii="宋体" w:hAnsi="宋体" w:eastAsia="宋体" w:cs="宋体"/>
                <w:color w:val="auto"/>
                <w:sz w:val="24"/>
                <w:szCs w:val="20"/>
                <w:highlight w:val="none"/>
              </w:rPr>
            </w:pPr>
          </w:p>
        </w:tc>
        <w:tc>
          <w:tcPr>
            <w:tcW w:w="709" w:type="dxa"/>
            <w:vAlign w:val="center"/>
          </w:tcPr>
          <w:p w14:paraId="1E946BBC">
            <w:pPr>
              <w:spacing w:line="360" w:lineRule="auto"/>
              <w:contextualSpacing/>
              <w:jc w:val="center"/>
              <w:rPr>
                <w:rFonts w:hint="eastAsia" w:ascii="宋体" w:hAnsi="宋体" w:eastAsia="宋体" w:cs="宋体"/>
                <w:color w:val="auto"/>
                <w:sz w:val="24"/>
                <w:szCs w:val="20"/>
                <w:highlight w:val="none"/>
              </w:rPr>
            </w:pPr>
          </w:p>
        </w:tc>
        <w:tc>
          <w:tcPr>
            <w:tcW w:w="1701" w:type="dxa"/>
            <w:vAlign w:val="center"/>
          </w:tcPr>
          <w:p w14:paraId="422CAE3D">
            <w:pPr>
              <w:spacing w:line="360" w:lineRule="auto"/>
              <w:contextualSpacing/>
              <w:jc w:val="center"/>
              <w:rPr>
                <w:rFonts w:hint="eastAsia" w:ascii="宋体" w:hAnsi="宋体" w:eastAsia="宋体" w:cs="宋体"/>
                <w:color w:val="auto"/>
                <w:sz w:val="24"/>
                <w:szCs w:val="20"/>
                <w:highlight w:val="none"/>
              </w:rPr>
            </w:pPr>
          </w:p>
        </w:tc>
        <w:tc>
          <w:tcPr>
            <w:tcW w:w="1420" w:type="dxa"/>
            <w:vAlign w:val="center"/>
          </w:tcPr>
          <w:p w14:paraId="66B16650">
            <w:pPr>
              <w:spacing w:line="360" w:lineRule="auto"/>
              <w:contextualSpacing/>
              <w:jc w:val="center"/>
              <w:rPr>
                <w:rFonts w:hint="eastAsia" w:ascii="宋体" w:hAnsi="宋体" w:eastAsia="宋体" w:cs="宋体"/>
                <w:color w:val="auto"/>
                <w:sz w:val="24"/>
                <w:szCs w:val="20"/>
                <w:highlight w:val="none"/>
              </w:rPr>
            </w:pPr>
          </w:p>
        </w:tc>
        <w:tc>
          <w:tcPr>
            <w:tcW w:w="1698" w:type="dxa"/>
            <w:vAlign w:val="center"/>
          </w:tcPr>
          <w:p w14:paraId="76E7C174">
            <w:pPr>
              <w:spacing w:line="360" w:lineRule="auto"/>
              <w:contextualSpacing/>
              <w:jc w:val="center"/>
              <w:rPr>
                <w:rFonts w:hint="eastAsia" w:ascii="宋体" w:hAnsi="宋体" w:eastAsia="宋体" w:cs="宋体"/>
                <w:color w:val="auto"/>
                <w:sz w:val="24"/>
                <w:szCs w:val="20"/>
                <w:highlight w:val="none"/>
              </w:rPr>
            </w:pPr>
          </w:p>
        </w:tc>
        <w:tc>
          <w:tcPr>
            <w:tcW w:w="1843" w:type="dxa"/>
            <w:vAlign w:val="center"/>
          </w:tcPr>
          <w:p w14:paraId="7598DE90">
            <w:pPr>
              <w:spacing w:line="360" w:lineRule="auto"/>
              <w:contextualSpacing/>
              <w:jc w:val="center"/>
              <w:rPr>
                <w:rFonts w:hint="eastAsia" w:ascii="宋体" w:hAnsi="宋体" w:eastAsia="宋体" w:cs="宋体"/>
                <w:color w:val="auto"/>
                <w:sz w:val="24"/>
                <w:szCs w:val="20"/>
                <w:highlight w:val="none"/>
              </w:rPr>
            </w:pPr>
          </w:p>
        </w:tc>
      </w:tr>
    </w:tbl>
    <w:p w14:paraId="47027FCF">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注：在填写时，如本表格不适合供应商的实际情况，可根据本表格式自行制表填写。</w:t>
      </w:r>
    </w:p>
    <w:p w14:paraId="6BCCBB9D">
      <w:pPr>
        <w:spacing w:line="360" w:lineRule="auto"/>
        <w:contextualSpacing/>
        <w:rPr>
          <w:rFonts w:hint="eastAsia" w:ascii="宋体" w:hAnsi="宋体" w:eastAsia="宋体" w:cs="宋体"/>
          <w:color w:val="auto"/>
          <w:sz w:val="24"/>
          <w:highlight w:val="none"/>
        </w:rPr>
      </w:pPr>
    </w:p>
    <w:p w14:paraId="0D27B7FC">
      <w:pPr>
        <w:spacing w:line="360" w:lineRule="auto"/>
        <w:contextualSpacing/>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签字或电子签章</w:t>
      </w:r>
      <w:r>
        <w:rPr>
          <w:rFonts w:hint="eastAsia" w:ascii="宋体" w:hAnsi="宋体" w:eastAsia="宋体" w:cs="宋体"/>
          <w:color w:val="auto"/>
          <w:sz w:val="24"/>
          <w:highlight w:val="none"/>
        </w:rPr>
        <w:t>）</w:t>
      </w:r>
      <w:r>
        <w:rPr>
          <w:rFonts w:hint="eastAsia" w:ascii="宋体" w:hAnsi="宋体" w:eastAsia="宋体" w:cs="宋体"/>
          <w:color w:val="auto"/>
          <w:spacing w:val="20"/>
          <w:sz w:val="24"/>
          <w:highlight w:val="none"/>
        </w:rPr>
        <w:t>：</w:t>
      </w:r>
    </w:p>
    <w:p w14:paraId="2F34010E">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供应商(电子签章)：              日 期：</w:t>
      </w:r>
    </w:p>
    <w:p w14:paraId="1F0E7337">
      <w:pPr>
        <w:snapToGrid w:val="0"/>
        <w:spacing w:before="50" w:afterLines="50"/>
        <w:jc w:val="left"/>
        <w:rPr>
          <w:rFonts w:hint="eastAsia" w:ascii="宋体" w:hAnsi="宋体" w:eastAsia="宋体" w:cs="宋体"/>
          <w:color w:val="auto"/>
          <w:sz w:val="24"/>
          <w:szCs w:val="20"/>
          <w:highlight w:val="none"/>
        </w:rPr>
      </w:pPr>
    </w:p>
    <w:p w14:paraId="6A8CB488">
      <w:pPr>
        <w:snapToGrid w:val="0"/>
        <w:spacing w:before="50" w:after="50" w:line="360" w:lineRule="auto"/>
        <w:ind w:right="-817" w:rightChars="-389" w:firstLine="5461" w:firstLineChars="1700"/>
        <w:rPr>
          <w:rFonts w:hint="eastAsia" w:ascii="宋体" w:hAnsi="宋体" w:eastAsia="宋体" w:cs="宋体"/>
          <w:b/>
          <w:color w:val="auto"/>
          <w:sz w:val="32"/>
          <w:szCs w:val="32"/>
          <w:highlight w:val="none"/>
        </w:rPr>
      </w:pPr>
    </w:p>
    <w:p w14:paraId="12C33D75">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其他文书、文件格式</w:t>
      </w:r>
    </w:p>
    <w:p w14:paraId="6E36A549">
      <w:pPr>
        <w:spacing w:before="146" w:line="500" w:lineRule="exact"/>
        <w:ind w:right="14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7C17C903">
      <w:pPr>
        <w:spacing w:before="2" w:line="500" w:lineRule="exact"/>
        <w:ind w:firstLine="708" w:firstLineChars="294"/>
        <w:rPr>
          <w:rFonts w:hint="eastAsia" w:ascii="宋体" w:hAnsi="宋体" w:eastAsia="宋体" w:cs="宋体"/>
          <w:b/>
          <w:bCs/>
          <w:color w:val="auto"/>
          <w:sz w:val="24"/>
          <w:highlight w:val="none"/>
        </w:rPr>
      </w:pPr>
    </w:p>
    <w:p w14:paraId="57F8F669">
      <w:pPr>
        <w:pStyle w:val="13"/>
        <w:spacing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贺州市平桂生态环境局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2025年贺州市平桂生态环境局委托监测事项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636FFAB">
      <w:pPr>
        <w:tabs>
          <w:tab w:val="left" w:pos="1384"/>
          <w:tab w:val="left" w:pos="4562"/>
          <w:tab w:val="left" w:pos="6803"/>
        </w:tabs>
        <w:spacing w:before="13" w:line="440" w:lineRule="exact"/>
        <w:ind w:right="142" w:firstLine="772" w:firstLineChars="32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u w:val="single"/>
          <w:lang w:eastAsia="zh-CN"/>
        </w:rPr>
        <w:t>2025年贺州市平桂生态环境局委托监测事项</w:t>
      </w:r>
      <w:r>
        <w:rPr>
          <w:rFonts w:hint="eastAsia" w:ascii="宋体" w:hAnsi="宋体" w:eastAsia="宋体" w:cs="宋体"/>
          <w:color w:val="auto"/>
          <w:sz w:val="24"/>
          <w:highlight w:val="none"/>
        </w:rPr>
        <w:t>，属于</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FA1EB97">
      <w:pPr>
        <w:pStyle w:val="13"/>
        <w:spacing w:before="34"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17485CD">
      <w:pPr>
        <w:pStyle w:val="13"/>
        <w:spacing w:before="25" w:line="44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274763C">
      <w:pPr>
        <w:pStyle w:val="13"/>
        <w:spacing w:before="56" w:line="440" w:lineRule="exact"/>
        <w:ind w:right="1808" w:firstLine="705" w:firstLineChars="294"/>
        <w:rPr>
          <w:rFonts w:hint="eastAsia" w:ascii="宋体" w:hAnsi="宋体" w:eastAsia="宋体" w:cs="宋体"/>
          <w:color w:val="auto"/>
          <w:sz w:val="24"/>
          <w:highlight w:val="none"/>
        </w:rPr>
      </w:pPr>
    </w:p>
    <w:p w14:paraId="059E86C8">
      <w:pPr>
        <w:pStyle w:val="13"/>
        <w:spacing w:before="56" w:line="440" w:lineRule="exact"/>
        <w:ind w:right="65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r>
        <w:rPr>
          <w:rFonts w:hint="eastAsia" w:ascii="宋体" w:hAnsi="宋体" w:eastAsia="宋体" w:cs="宋体"/>
          <w:color w:val="auto"/>
          <w:spacing w:val="20"/>
          <w:sz w:val="24"/>
          <w:highlight w:val="none"/>
        </w:rPr>
        <w:t>电子签章</w:t>
      </w:r>
      <w:r>
        <w:rPr>
          <w:rFonts w:hint="eastAsia" w:ascii="宋体" w:hAnsi="宋体" w:eastAsia="宋体" w:cs="宋体"/>
          <w:color w:val="auto"/>
          <w:sz w:val="24"/>
          <w:highlight w:val="none"/>
        </w:rPr>
        <w:t xml:space="preserve">）： </w:t>
      </w:r>
    </w:p>
    <w:p w14:paraId="4B271058">
      <w:pPr>
        <w:pStyle w:val="13"/>
        <w:spacing w:before="56" w:line="440" w:lineRule="exact"/>
        <w:ind w:right="1808" w:firstLine="5625" w:firstLineChars="2344"/>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7E8E76D">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32DD1AA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754DDFB">
      <w:pPr>
        <w:jc w:val="center"/>
        <w:rPr>
          <w:rFonts w:hint="eastAsia" w:ascii="宋体" w:hAnsi="宋体" w:eastAsia="宋体" w:cs="宋体"/>
          <w:color w:val="auto"/>
          <w:szCs w:val="21"/>
          <w:highlight w:val="none"/>
        </w:rPr>
      </w:pPr>
      <w:r>
        <w:rPr>
          <w:rFonts w:hint="eastAsia" w:ascii="宋体" w:hAnsi="宋体" w:eastAsia="宋体" w:cs="宋体"/>
          <w:color w:val="auto"/>
          <w:sz w:val="36"/>
          <w:szCs w:val="36"/>
          <w:highlight w:val="none"/>
        </w:rPr>
        <w:t>中小微企业划型标准</w:t>
      </w:r>
    </w:p>
    <w:tbl>
      <w:tblPr>
        <w:tblStyle w:val="32"/>
        <w:tblW w:w="9084" w:type="dxa"/>
        <w:jc w:val="center"/>
        <w:tblLayout w:type="fixed"/>
        <w:tblCellMar>
          <w:top w:w="0" w:type="dxa"/>
          <w:left w:w="108" w:type="dxa"/>
          <w:bottom w:w="0" w:type="dxa"/>
          <w:right w:w="108" w:type="dxa"/>
        </w:tblCellMar>
      </w:tblPr>
      <w:tblGrid>
        <w:gridCol w:w="2157"/>
        <w:gridCol w:w="1384"/>
        <w:gridCol w:w="1090"/>
        <w:gridCol w:w="1581"/>
        <w:gridCol w:w="1561"/>
        <w:gridCol w:w="1311"/>
      </w:tblGrid>
      <w:tr w14:paraId="24AE0868">
        <w:tblPrEx>
          <w:tblCellMar>
            <w:top w:w="0" w:type="dxa"/>
            <w:left w:w="108" w:type="dxa"/>
            <w:bottom w:w="0" w:type="dxa"/>
            <w:right w:w="108" w:type="dxa"/>
          </w:tblCellMar>
        </w:tblPrEx>
        <w:trPr>
          <w:trHeight w:val="285"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7530BC93">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A68CE9D">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指标名称</w:t>
            </w:r>
          </w:p>
        </w:tc>
        <w:tc>
          <w:tcPr>
            <w:tcW w:w="1090" w:type="dxa"/>
            <w:tcBorders>
              <w:top w:val="single" w:color="auto" w:sz="4" w:space="0"/>
              <w:left w:val="nil"/>
              <w:bottom w:val="single" w:color="auto" w:sz="4" w:space="0"/>
              <w:right w:val="single" w:color="auto" w:sz="4" w:space="0"/>
            </w:tcBorders>
            <w:vAlign w:val="center"/>
          </w:tcPr>
          <w:p w14:paraId="6F7C689A">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计量单位</w:t>
            </w:r>
          </w:p>
        </w:tc>
        <w:tc>
          <w:tcPr>
            <w:tcW w:w="1581" w:type="dxa"/>
            <w:tcBorders>
              <w:top w:val="single" w:color="auto" w:sz="4" w:space="0"/>
              <w:left w:val="nil"/>
              <w:bottom w:val="single" w:color="auto" w:sz="4" w:space="0"/>
              <w:right w:val="single" w:color="auto" w:sz="4" w:space="0"/>
            </w:tcBorders>
            <w:vAlign w:val="center"/>
          </w:tcPr>
          <w:p w14:paraId="64E73BF7">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中型</w:t>
            </w:r>
          </w:p>
        </w:tc>
        <w:tc>
          <w:tcPr>
            <w:tcW w:w="1561" w:type="dxa"/>
            <w:tcBorders>
              <w:top w:val="single" w:color="auto" w:sz="4" w:space="0"/>
              <w:left w:val="nil"/>
              <w:bottom w:val="single" w:color="auto" w:sz="4" w:space="0"/>
              <w:right w:val="single" w:color="auto" w:sz="4" w:space="0"/>
            </w:tcBorders>
            <w:vAlign w:val="center"/>
          </w:tcPr>
          <w:p w14:paraId="128A4ABE">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小型</w:t>
            </w:r>
          </w:p>
        </w:tc>
        <w:tc>
          <w:tcPr>
            <w:tcW w:w="1311" w:type="dxa"/>
            <w:tcBorders>
              <w:top w:val="single" w:color="auto" w:sz="4" w:space="0"/>
              <w:left w:val="nil"/>
              <w:bottom w:val="single" w:color="auto" w:sz="4" w:space="0"/>
              <w:right w:val="single" w:color="auto" w:sz="4" w:space="0"/>
            </w:tcBorders>
            <w:vAlign w:val="center"/>
          </w:tcPr>
          <w:p w14:paraId="2F5D318F">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微型</w:t>
            </w:r>
          </w:p>
        </w:tc>
      </w:tr>
      <w:tr w14:paraId="67A02BBF">
        <w:tblPrEx>
          <w:tblCellMar>
            <w:top w:w="0" w:type="dxa"/>
            <w:left w:w="108" w:type="dxa"/>
            <w:bottom w:w="0" w:type="dxa"/>
            <w:right w:w="108" w:type="dxa"/>
          </w:tblCellMar>
        </w:tblPrEx>
        <w:trPr>
          <w:trHeight w:val="225" w:hRule="atLeast"/>
          <w:jc w:val="center"/>
        </w:trPr>
        <w:tc>
          <w:tcPr>
            <w:tcW w:w="2157" w:type="dxa"/>
            <w:tcBorders>
              <w:top w:val="nil"/>
              <w:left w:val="single" w:color="auto" w:sz="4" w:space="0"/>
              <w:bottom w:val="single" w:color="auto" w:sz="4" w:space="0"/>
              <w:right w:val="single" w:color="auto" w:sz="4" w:space="0"/>
            </w:tcBorders>
            <w:vAlign w:val="bottom"/>
          </w:tcPr>
          <w:p w14:paraId="70E3BBFD">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农、林、牧、渔</w:t>
            </w:r>
          </w:p>
        </w:tc>
        <w:tc>
          <w:tcPr>
            <w:tcW w:w="1384" w:type="dxa"/>
            <w:tcBorders>
              <w:top w:val="nil"/>
              <w:left w:val="nil"/>
              <w:bottom w:val="single" w:color="auto" w:sz="4" w:space="0"/>
              <w:right w:val="single" w:color="auto" w:sz="4" w:space="0"/>
            </w:tcBorders>
            <w:vAlign w:val="center"/>
          </w:tcPr>
          <w:p w14:paraId="6C05CAC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9D059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1C673D4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33C8F98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50≤Y＜500</w:t>
            </w:r>
          </w:p>
        </w:tc>
        <w:tc>
          <w:tcPr>
            <w:tcW w:w="1311" w:type="dxa"/>
            <w:tcBorders>
              <w:top w:val="nil"/>
              <w:left w:val="nil"/>
              <w:bottom w:val="single" w:color="auto" w:sz="4" w:space="0"/>
              <w:right w:val="single" w:color="auto" w:sz="4" w:space="0"/>
            </w:tcBorders>
            <w:vAlign w:val="center"/>
          </w:tcPr>
          <w:p w14:paraId="5311EF7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49DA70C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789E3D3">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14:paraId="414E26C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9E797B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A2477D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6B352EB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1ED7512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2ECF5881">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9D299B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131421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8757A9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1E43E50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2000≤Y＜40000</w:t>
            </w:r>
          </w:p>
        </w:tc>
        <w:tc>
          <w:tcPr>
            <w:tcW w:w="1561" w:type="dxa"/>
            <w:tcBorders>
              <w:top w:val="nil"/>
              <w:left w:val="nil"/>
              <w:bottom w:val="single" w:color="auto" w:sz="4" w:space="0"/>
              <w:right w:val="single" w:color="auto" w:sz="4" w:space="0"/>
            </w:tcBorders>
            <w:vAlign w:val="center"/>
          </w:tcPr>
          <w:p w14:paraId="574FD00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300≤Y＜2000</w:t>
            </w:r>
          </w:p>
        </w:tc>
        <w:tc>
          <w:tcPr>
            <w:tcW w:w="1311" w:type="dxa"/>
            <w:tcBorders>
              <w:top w:val="nil"/>
              <w:left w:val="nil"/>
              <w:bottom w:val="single" w:color="auto" w:sz="4" w:space="0"/>
              <w:right w:val="single" w:color="auto" w:sz="4" w:space="0"/>
            </w:tcBorders>
            <w:vAlign w:val="center"/>
          </w:tcPr>
          <w:p w14:paraId="71E63B7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084EDA49">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53CFABC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14:paraId="165ABA3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042D6C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66BED7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6000≤Y＜80000</w:t>
            </w:r>
          </w:p>
        </w:tc>
        <w:tc>
          <w:tcPr>
            <w:tcW w:w="1561" w:type="dxa"/>
            <w:tcBorders>
              <w:top w:val="nil"/>
              <w:left w:val="nil"/>
              <w:bottom w:val="single" w:color="auto" w:sz="4" w:space="0"/>
              <w:right w:val="single" w:color="auto" w:sz="4" w:space="0"/>
            </w:tcBorders>
            <w:vAlign w:val="center"/>
          </w:tcPr>
          <w:p w14:paraId="4DAB6F0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300≤Y＜6000</w:t>
            </w:r>
          </w:p>
        </w:tc>
        <w:tc>
          <w:tcPr>
            <w:tcW w:w="1311" w:type="dxa"/>
            <w:tcBorders>
              <w:top w:val="nil"/>
              <w:left w:val="nil"/>
              <w:bottom w:val="single" w:color="auto" w:sz="4" w:space="0"/>
              <w:right w:val="single" w:color="auto" w:sz="4" w:space="0"/>
            </w:tcBorders>
            <w:vAlign w:val="center"/>
          </w:tcPr>
          <w:p w14:paraId="645BCA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7BD41CA0">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5415D4B6">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1D1986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337FB56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997FCA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5000≤Z＜80000</w:t>
            </w:r>
          </w:p>
        </w:tc>
        <w:tc>
          <w:tcPr>
            <w:tcW w:w="1561" w:type="dxa"/>
            <w:tcBorders>
              <w:top w:val="nil"/>
              <w:left w:val="nil"/>
              <w:bottom w:val="single" w:color="auto" w:sz="4" w:space="0"/>
              <w:right w:val="single" w:color="auto" w:sz="4" w:space="0"/>
            </w:tcBorders>
            <w:vAlign w:val="center"/>
          </w:tcPr>
          <w:p w14:paraId="32E03E7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300≤Z＜5000</w:t>
            </w:r>
          </w:p>
        </w:tc>
        <w:tc>
          <w:tcPr>
            <w:tcW w:w="1311" w:type="dxa"/>
            <w:tcBorders>
              <w:top w:val="nil"/>
              <w:left w:val="nil"/>
              <w:bottom w:val="single" w:color="auto" w:sz="4" w:space="0"/>
              <w:right w:val="single" w:color="auto" w:sz="4" w:space="0"/>
            </w:tcBorders>
            <w:vAlign w:val="center"/>
          </w:tcPr>
          <w:p w14:paraId="5BDFABA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Z＜300</w:t>
            </w:r>
          </w:p>
        </w:tc>
      </w:tr>
      <w:tr w14:paraId="5E7B0607">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134DD92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14:paraId="2C49483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9C2D75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F74A70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20≤X＜200</w:t>
            </w:r>
          </w:p>
        </w:tc>
        <w:tc>
          <w:tcPr>
            <w:tcW w:w="1561" w:type="dxa"/>
            <w:tcBorders>
              <w:top w:val="nil"/>
              <w:left w:val="nil"/>
              <w:bottom w:val="single" w:color="auto" w:sz="4" w:space="0"/>
              <w:right w:val="single" w:color="auto" w:sz="4" w:space="0"/>
            </w:tcBorders>
            <w:vAlign w:val="center"/>
          </w:tcPr>
          <w:p w14:paraId="3B1942C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5≤X＜20</w:t>
            </w:r>
          </w:p>
        </w:tc>
        <w:tc>
          <w:tcPr>
            <w:tcW w:w="1311" w:type="dxa"/>
            <w:tcBorders>
              <w:top w:val="nil"/>
              <w:left w:val="nil"/>
              <w:bottom w:val="single" w:color="auto" w:sz="4" w:space="0"/>
              <w:right w:val="single" w:color="auto" w:sz="4" w:space="0"/>
            </w:tcBorders>
            <w:vAlign w:val="center"/>
          </w:tcPr>
          <w:p w14:paraId="4F5BC28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X＜5</w:t>
            </w:r>
          </w:p>
        </w:tc>
      </w:tr>
      <w:tr w14:paraId="2DA78D80">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CB965D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1885A6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6D1516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D44257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5000≤Y＜40000</w:t>
            </w:r>
          </w:p>
        </w:tc>
        <w:tc>
          <w:tcPr>
            <w:tcW w:w="1561" w:type="dxa"/>
            <w:tcBorders>
              <w:top w:val="nil"/>
              <w:left w:val="nil"/>
              <w:bottom w:val="single" w:color="auto" w:sz="4" w:space="0"/>
              <w:right w:val="single" w:color="auto" w:sz="4" w:space="0"/>
            </w:tcBorders>
            <w:vAlign w:val="center"/>
          </w:tcPr>
          <w:p w14:paraId="537876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311" w:type="dxa"/>
            <w:tcBorders>
              <w:top w:val="nil"/>
              <w:left w:val="nil"/>
              <w:bottom w:val="single" w:color="auto" w:sz="4" w:space="0"/>
              <w:right w:val="single" w:color="auto" w:sz="4" w:space="0"/>
            </w:tcBorders>
            <w:vAlign w:val="center"/>
          </w:tcPr>
          <w:p w14:paraId="110BC86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Y＜1000</w:t>
            </w:r>
          </w:p>
        </w:tc>
      </w:tr>
      <w:tr w14:paraId="01DB2DE3">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74A587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14:paraId="4A4870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324D6C2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0C5666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50≤X＜300</w:t>
            </w:r>
          </w:p>
        </w:tc>
        <w:tc>
          <w:tcPr>
            <w:tcW w:w="1561" w:type="dxa"/>
            <w:tcBorders>
              <w:top w:val="nil"/>
              <w:left w:val="nil"/>
              <w:bottom w:val="single" w:color="auto" w:sz="4" w:space="0"/>
              <w:right w:val="single" w:color="auto" w:sz="4" w:space="0"/>
            </w:tcBorders>
            <w:vAlign w:val="center"/>
          </w:tcPr>
          <w:p w14:paraId="67227C7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10≤X＜50</w:t>
            </w:r>
          </w:p>
        </w:tc>
        <w:tc>
          <w:tcPr>
            <w:tcW w:w="1311" w:type="dxa"/>
            <w:tcBorders>
              <w:top w:val="nil"/>
              <w:left w:val="nil"/>
              <w:bottom w:val="single" w:color="auto" w:sz="4" w:space="0"/>
              <w:right w:val="single" w:color="auto" w:sz="4" w:space="0"/>
            </w:tcBorders>
            <w:vAlign w:val="center"/>
          </w:tcPr>
          <w:p w14:paraId="750F07C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639009E9">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32A50E8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03E0ED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73AC95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454FD7F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6B10C0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100≤Y＜500</w:t>
            </w:r>
          </w:p>
        </w:tc>
        <w:tc>
          <w:tcPr>
            <w:tcW w:w="1311" w:type="dxa"/>
            <w:tcBorders>
              <w:top w:val="nil"/>
              <w:left w:val="nil"/>
              <w:bottom w:val="single" w:color="auto" w:sz="4" w:space="0"/>
              <w:right w:val="single" w:color="auto" w:sz="4" w:space="0"/>
            </w:tcBorders>
            <w:vAlign w:val="center"/>
          </w:tcPr>
          <w:p w14:paraId="27BA69C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872F3F8">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F4CD34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14:paraId="04235BE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951F7A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1103967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23BCD91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14F786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710C9883">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9996C95">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66E1E2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88FB2D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354B84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3000≤Y＜30000</w:t>
            </w:r>
          </w:p>
        </w:tc>
        <w:tc>
          <w:tcPr>
            <w:tcW w:w="1561" w:type="dxa"/>
            <w:tcBorders>
              <w:top w:val="nil"/>
              <w:left w:val="nil"/>
              <w:bottom w:val="single" w:color="auto" w:sz="4" w:space="0"/>
              <w:right w:val="single" w:color="auto" w:sz="4" w:space="0"/>
            </w:tcBorders>
            <w:vAlign w:val="center"/>
          </w:tcPr>
          <w:p w14:paraId="3825221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200≤Y＜3000</w:t>
            </w:r>
          </w:p>
        </w:tc>
        <w:tc>
          <w:tcPr>
            <w:tcW w:w="1311" w:type="dxa"/>
            <w:tcBorders>
              <w:top w:val="nil"/>
              <w:left w:val="nil"/>
              <w:bottom w:val="single" w:color="auto" w:sz="4" w:space="0"/>
              <w:right w:val="single" w:color="auto" w:sz="4" w:space="0"/>
            </w:tcBorders>
            <w:vAlign w:val="center"/>
          </w:tcPr>
          <w:p w14:paraId="2E83185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w:t>
            </w:r>
          </w:p>
        </w:tc>
      </w:tr>
      <w:tr w14:paraId="6F449D4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DE10D0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14:paraId="014787C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0345311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1E8596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w:t>
            </w:r>
          </w:p>
        </w:tc>
        <w:tc>
          <w:tcPr>
            <w:tcW w:w="1561" w:type="dxa"/>
            <w:tcBorders>
              <w:top w:val="nil"/>
              <w:left w:val="nil"/>
              <w:bottom w:val="single" w:color="auto" w:sz="4" w:space="0"/>
              <w:right w:val="single" w:color="auto" w:sz="4" w:space="0"/>
            </w:tcBorders>
            <w:vAlign w:val="center"/>
          </w:tcPr>
          <w:p w14:paraId="0CA7B92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20≤X＜100</w:t>
            </w:r>
          </w:p>
        </w:tc>
        <w:tc>
          <w:tcPr>
            <w:tcW w:w="1311" w:type="dxa"/>
            <w:tcBorders>
              <w:top w:val="nil"/>
              <w:left w:val="nil"/>
              <w:bottom w:val="single" w:color="auto" w:sz="4" w:space="0"/>
              <w:right w:val="single" w:color="auto" w:sz="4" w:space="0"/>
            </w:tcBorders>
            <w:vAlign w:val="center"/>
          </w:tcPr>
          <w:p w14:paraId="3B57342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6093779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31B9A42">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F71C20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78DE37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2D389F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1000≤Y＜30000</w:t>
            </w:r>
          </w:p>
        </w:tc>
        <w:tc>
          <w:tcPr>
            <w:tcW w:w="1561" w:type="dxa"/>
            <w:tcBorders>
              <w:top w:val="nil"/>
              <w:left w:val="nil"/>
              <w:bottom w:val="single" w:color="auto" w:sz="4" w:space="0"/>
              <w:right w:val="single" w:color="auto" w:sz="4" w:space="0"/>
            </w:tcBorders>
            <w:vAlign w:val="center"/>
          </w:tcPr>
          <w:p w14:paraId="6BA7F2C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227808C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566F028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245761F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14:paraId="145261F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06CF6FF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60AE172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3C7879E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4C15BAD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32A48B1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68A9948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143C4C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D8C156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79BA15E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2000≤Y＜30000</w:t>
            </w:r>
          </w:p>
        </w:tc>
        <w:tc>
          <w:tcPr>
            <w:tcW w:w="1561" w:type="dxa"/>
            <w:tcBorders>
              <w:top w:val="nil"/>
              <w:left w:val="nil"/>
              <w:bottom w:val="single" w:color="auto" w:sz="4" w:space="0"/>
              <w:right w:val="single" w:color="auto" w:sz="4" w:space="0"/>
            </w:tcBorders>
            <w:vAlign w:val="center"/>
          </w:tcPr>
          <w:p w14:paraId="5932DCC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457136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06CF7456">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2B98357">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14:paraId="54C4FE3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B559B9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0758429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1FDF27F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0A44DED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BF63C8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575B022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7780D2A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3E9638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26AB2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2D12822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2E3B4CF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75EC37AA">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6CFBF67C">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14:paraId="07EAE3A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61F104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7D26471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D4B3AE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732E386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39D43816">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75C9AD3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E4DCCF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5FA124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A1BB7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0AC6AB4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39E1342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71C0F69">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72DED143">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14:paraId="7DF7C11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14A2C83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438C909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100≤X＜2000</w:t>
            </w:r>
          </w:p>
        </w:tc>
        <w:tc>
          <w:tcPr>
            <w:tcW w:w="1561" w:type="dxa"/>
            <w:tcBorders>
              <w:top w:val="nil"/>
              <w:left w:val="nil"/>
              <w:bottom w:val="single" w:color="auto" w:sz="4" w:space="0"/>
              <w:right w:val="single" w:color="auto" w:sz="4" w:space="0"/>
            </w:tcBorders>
            <w:vAlign w:val="center"/>
          </w:tcPr>
          <w:p w14:paraId="5B6B97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18FDE01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34E548D">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741EC92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8CC49D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7B2AAF5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44BFD52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1000≤Y＜100000</w:t>
            </w:r>
          </w:p>
        </w:tc>
        <w:tc>
          <w:tcPr>
            <w:tcW w:w="1561" w:type="dxa"/>
            <w:tcBorders>
              <w:top w:val="nil"/>
              <w:left w:val="nil"/>
              <w:bottom w:val="single" w:color="auto" w:sz="4" w:space="0"/>
              <w:right w:val="single" w:color="auto" w:sz="4" w:space="0"/>
            </w:tcBorders>
            <w:vAlign w:val="center"/>
          </w:tcPr>
          <w:p w14:paraId="745D42D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06F1C73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70B22B32">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36CB8DE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14:paraId="386E2C5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E29098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BFD858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53DE46C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1DA84E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4830E72F">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0A3491F0">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3BBA5E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1110BC7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C5F4EB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w:t>
            </w:r>
          </w:p>
        </w:tc>
        <w:tc>
          <w:tcPr>
            <w:tcW w:w="1561" w:type="dxa"/>
            <w:tcBorders>
              <w:top w:val="nil"/>
              <w:left w:val="nil"/>
              <w:bottom w:val="single" w:color="auto" w:sz="4" w:space="0"/>
              <w:right w:val="single" w:color="auto" w:sz="4" w:space="0"/>
            </w:tcBorders>
            <w:vAlign w:val="center"/>
          </w:tcPr>
          <w:p w14:paraId="32E961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50≤Y＜1000</w:t>
            </w:r>
          </w:p>
        </w:tc>
        <w:tc>
          <w:tcPr>
            <w:tcW w:w="1311" w:type="dxa"/>
            <w:tcBorders>
              <w:top w:val="nil"/>
              <w:left w:val="nil"/>
              <w:bottom w:val="single" w:color="auto" w:sz="4" w:space="0"/>
              <w:right w:val="single" w:color="auto" w:sz="4" w:space="0"/>
            </w:tcBorders>
            <w:vAlign w:val="center"/>
          </w:tcPr>
          <w:p w14:paraId="5E9D80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6D55BC53">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5BF83925">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14:paraId="31A4F7E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C9D554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FA3391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1000≤Y＜200000</w:t>
            </w:r>
          </w:p>
        </w:tc>
        <w:tc>
          <w:tcPr>
            <w:tcW w:w="1561" w:type="dxa"/>
            <w:tcBorders>
              <w:top w:val="nil"/>
              <w:left w:val="nil"/>
              <w:bottom w:val="single" w:color="auto" w:sz="4" w:space="0"/>
              <w:right w:val="single" w:color="auto" w:sz="4" w:space="0"/>
            </w:tcBorders>
            <w:vAlign w:val="center"/>
          </w:tcPr>
          <w:p w14:paraId="2DB3703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100≤X＜1000</w:t>
            </w:r>
          </w:p>
        </w:tc>
        <w:tc>
          <w:tcPr>
            <w:tcW w:w="1311" w:type="dxa"/>
            <w:tcBorders>
              <w:top w:val="nil"/>
              <w:left w:val="nil"/>
              <w:bottom w:val="single" w:color="auto" w:sz="4" w:space="0"/>
              <w:right w:val="single" w:color="auto" w:sz="4" w:space="0"/>
            </w:tcBorders>
            <w:vAlign w:val="center"/>
          </w:tcPr>
          <w:p w14:paraId="1DF7A1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0446F573">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EFD62F9">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51BE554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0546C8B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0E95F7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5000≤Z＜10000</w:t>
            </w:r>
          </w:p>
        </w:tc>
        <w:tc>
          <w:tcPr>
            <w:tcW w:w="1561" w:type="dxa"/>
            <w:tcBorders>
              <w:top w:val="nil"/>
              <w:left w:val="nil"/>
              <w:bottom w:val="single" w:color="auto" w:sz="4" w:space="0"/>
              <w:right w:val="single" w:color="auto" w:sz="4" w:space="0"/>
            </w:tcBorders>
            <w:vAlign w:val="center"/>
          </w:tcPr>
          <w:p w14:paraId="7FC300A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2000≤Y＜5000</w:t>
            </w:r>
          </w:p>
        </w:tc>
        <w:tc>
          <w:tcPr>
            <w:tcW w:w="1311" w:type="dxa"/>
            <w:tcBorders>
              <w:top w:val="nil"/>
              <w:left w:val="nil"/>
              <w:bottom w:val="single" w:color="auto" w:sz="4" w:space="0"/>
              <w:right w:val="single" w:color="auto" w:sz="4" w:space="0"/>
            </w:tcBorders>
            <w:vAlign w:val="center"/>
          </w:tcPr>
          <w:p w14:paraId="21257DE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Y＜2000</w:t>
            </w:r>
          </w:p>
        </w:tc>
      </w:tr>
      <w:tr w14:paraId="3E0DDB6B">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BBDF27F">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14:paraId="11A9D23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484DFA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0545E0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55761B0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311" w:type="dxa"/>
            <w:tcBorders>
              <w:top w:val="nil"/>
              <w:left w:val="nil"/>
              <w:bottom w:val="single" w:color="auto" w:sz="4" w:space="0"/>
              <w:right w:val="single" w:color="auto" w:sz="4" w:space="0"/>
            </w:tcBorders>
            <w:vAlign w:val="center"/>
          </w:tcPr>
          <w:p w14:paraId="72FC74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6106539E">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272A6CDE">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F00B6B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4091127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7BEE50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61" w:type="dxa"/>
            <w:tcBorders>
              <w:top w:val="nil"/>
              <w:left w:val="nil"/>
              <w:bottom w:val="single" w:color="auto" w:sz="4" w:space="0"/>
              <w:right w:val="single" w:color="auto" w:sz="4" w:space="0"/>
            </w:tcBorders>
            <w:vAlign w:val="center"/>
          </w:tcPr>
          <w:p w14:paraId="66866AE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500≤Y＜1000</w:t>
            </w:r>
          </w:p>
        </w:tc>
        <w:tc>
          <w:tcPr>
            <w:tcW w:w="1311" w:type="dxa"/>
            <w:tcBorders>
              <w:top w:val="nil"/>
              <w:left w:val="nil"/>
              <w:bottom w:val="single" w:color="auto" w:sz="4" w:space="0"/>
              <w:right w:val="single" w:color="auto" w:sz="4" w:space="0"/>
            </w:tcBorders>
            <w:vAlign w:val="center"/>
          </w:tcPr>
          <w:p w14:paraId="48E1D85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Y＜500</w:t>
            </w:r>
          </w:p>
        </w:tc>
      </w:tr>
      <w:tr w14:paraId="12E1F982">
        <w:tblPrEx>
          <w:tblCellMar>
            <w:top w:w="0" w:type="dxa"/>
            <w:left w:w="108" w:type="dxa"/>
            <w:bottom w:w="0" w:type="dxa"/>
            <w:right w:w="108" w:type="dxa"/>
          </w:tblCellMar>
        </w:tblPrEx>
        <w:trPr>
          <w:trHeight w:val="225" w:hRule="atLeast"/>
          <w:jc w:val="center"/>
        </w:trPr>
        <w:tc>
          <w:tcPr>
            <w:tcW w:w="2157" w:type="dxa"/>
            <w:vMerge w:val="restart"/>
            <w:tcBorders>
              <w:top w:val="nil"/>
              <w:left w:val="single" w:color="auto" w:sz="4" w:space="0"/>
              <w:bottom w:val="single" w:color="auto" w:sz="4" w:space="0"/>
              <w:right w:val="single" w:color="auto" w:sz="4" w:space="0"/>
            </w:tcBorders>
            <w:vAlign w:val="bottom"/>
          </w:tcPr>
          <w:p w14:paraId="4E4331A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14:paraId="3CF736B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FBFE9B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4FA1DE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238967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5622548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4288922">
        <w:tblPrEx>
          <w:tblCellMar>
            <w:top w:w="0" w:type="dxa"/>
            <w:left w:w="108" w:type="dxa"/>
            <w:bottom w:w="0" w:type="dxa"/>
            <w:right w:w="108" w:type="dxa"/>
          </w:tblCellMar>
        </w:tblPrEx>
        <w:trPr>
          <w:trHeight w:val="225" w:hRule="atLeast"/>
          <w:jc w:val="center"/>
        </w:trPr>
        <w:tc>
          <w:tcPr>
            <w:tcW w:w="2157" w:type="dxa"/>
            <w:vMerge w:val="continue"/>
            <w:tcBorders>
              <w:top w:val="nil"/>
              <w:left w:val="single" w:color="auto" w:sz="4" w:space="0"/>
              <w:bottom w:val="single" w:color="auto" w:sz="4" w:space="0"/>
              <w:right w:val="single" w:color="auto" w:sz="4" w:space="0"/>
            </w:tcBorders>
            <w:vAlign w:val="center"/>
          </w:tcPr>
          <w:p w14:paraId="668E15E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BF5A9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49F15F4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795D21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8000≤Z＜120000</w:t>
            </w:r>
          </w:p>
        </w:tc>
        <w:tc>
          <w:tcPr>
            <w:tcW w:w="1561" w:type="dxa"/>
            <w:tcBorders>
              <w:top w:val="nil"/>
              <w:left w:val="nil"/>
              <w:bottom w:val="single" w:color="auto" w:sz="4" w:space="0"/>
              <w:right w:val="single" w:color="auto" w:sz="4" w:space="0"/>
            </w:tcBorders>
            <w:vAlign w:val="center"/>
          </w:tcPr>
          <w:p w14:paraId="787A97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100≤Z＜8000</w:t>
            </w:r>
          </w:p>
        </w:tc>
        <w:tc>
          <w:tcPr>
            <w:tcW w:w="1311" w:type="dxa"/>
            <w:tcBorders>
              <w:top w:val="nil"/>
              <w:left w:val="nil"/>
              <w:bottom w:val="single" w:color="auto" w:sz="4" w:space="0"/>
              <w:right w:val="single" w:color="auto" w:sz="4" w:space="0"/>
            </w:tcBorders>
            <w:vAlign w:val="center"/>
          </w:tcPr>
          <w:p w14:paraId="68D9CDA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2B5CC0C4">
        <w:tblPrEx>
          <w:tblCellMar>
            <w:top w:w="0" w:type="dxa"/>
            <w:left w:w="108" w:type="dxa"/>
            <w:bottom w:w="0" w:type="dxa"/>
            <w:right w:w="108" w:type="dxa"/>
          </w:tblCellMar>
        </w:tblPrEx>
        <w:trPr>
          <w:trHeight w:val="225" w:hRule="atLeast"/>
          <w:jc w:val="center"/>
        </w:trPr>
        <w:tc>
          <w:tcPr>
            <w:tcW w:w="2157" w:type="dxa"/>
            <w:tcBorders>
              <w:top w:val="nil"/>
              <w:left w:val="single" w:color="auto" w:sz="4" w:space="0"/>
              <w:bottom w:val="single" w:color="auto" w:sz="4" w:space="0"/>
              <w:right w:val="single" w:color="auto" w:sz="4" w:space="0"/>
            </w:tcBorders>
            <w:vAlign w:val="bottom"/>
          </w:tcPr>
          <w:p w14:paraId="204416F4">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14:paraId="6ACA60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BDEBE0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A592AC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126A179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36A947B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bl>
    <w:p w14:paraId="29E40496">
      <w:pPr>
        <w:spacing w:line="360" w:lineRule="auto"/>
        <w:ind w:firstLine="475" w:firstLineChars="250"/>
        <w:rPr>
          <w:rFonts w:hint="eastAsia" w:ascii="宋体" w:hAnsi="宋体" w:eastAsia="宋体" w:cs="宋体"/>
          <w:color w:val="auto"/>
          <w:sz w:val="19"/>
          <w:szCs w:val="19"/>
          <w:highlight w:val="none"/>
        </w:rPr>
      </w:pPr>
    </w:p>
    <w:p w14:paraId="027477EB">
      <w:pPr>
        <w:pStyle w:val="13"/>
        <w:rPr>
          <w:rFonts w:hint="eastAsia" w:ascii="宋体" w:hAnsi="宋体" w:eastAsia="宋体" w:cs="宋体"/>
          <w:color w:val="auto"/>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CBF84DF">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残疾人福利性单位声明函</w:t>
      </w:r>
    </w:p>
    <w:p w14:paraId="6FA70021">
      <w:pPr>
        <w:spacing w:line="360" w:lineRule="auto"/>
        <w:contextualSpacing/>
        <w:rPr>
          <w:rFonts w:hint="eastAsia" w:ascii="宋体" w:hAnsi="宋体" w:eastAsia="宋体" w:cs="宋体"/>
          <w:color w:val="auto"/>
          <w:sz w:val="32"/>
          <w:szCs w:val="32"/>
          <w:highlight w:val="none"/>
        </w:rPr>
      </w:pPr>
    </w:p>
    <w:p w14:paraId="124459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BF3A6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D8DB969">
      <w:pPr>
        <w:spacing w:line="360" w:lineRule="auto"/>
        <w:contextualSpacing/>
        <w:rPr>
          <w:rFonts w:hint="eastAsia" w:ascii="宋体" w:hAnsi="宋体" w:eastAsia="宋体" w:cs="宋体"/>
          <w:color w:val="auto"/>
          <w:sz w:val="24"/>
          <w:highlight w:val="none"/>
        </w:rPr>
      </w:pPr>
    </w:p>
    <w:p w14:paraId="753ACD11">
      <w:pPr>
        <w:spacing w:line="360" w:lineRule="auto"/>
        <w:contextualSpacing/>
        <w:rPr>
          <w:rFonts w:hint="eastAsia" w:ascii="宋体" w:hAnsi="宋体" w:eastAsia="宋体" w:cs="宋体"/>
          <w:color w:val="auto"/>
          <w:sz w:val="24"/>
          <w:highlight w:val="none"/>
        </w:rPr>
      </w:pPr>
    </w:p>
    <w:p w14:paraId="052BF692">
      <w:pPr>
        <w:spacing w:line="360" w:lineRule="auto"/>
        <w:contextualSpacing/>
        <w:rPr>
          <w:rFonts w:hint="eastAsia" w:ascii="宋体" w:hAnsi="宋体" w:eastAsia="宋体" w:cs="宋体"/>
          <w:color w:val="auto"/>
          <w:sz w:val="24"/>
          <w:highlight w:val="none"/>
        </w:rPr>
      </w:pPr>
    </w:p>
    <w:p w14:paraId="68F28B8F">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单位名称(电子签章)：</w:t>
      </w:r>
    </w:p>
    <w:p w14:paraId="62F0501F">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13D5CD0">
      <w:pPr>
        <w:spacing w:line="360" w:lineRule="auto"/>
        <w:contextualSpacing/>
        <w:rPr>
          <w:rFonts w:hint="eastAsia" w:ascii="宋体" w:hAnsi="宋体" w:eastAsia="宋体" w:cs="宋体"/>
          <w:color w:val="auto"/>
          <w:sz w:val="24"/>
          <w:highlight w:val="none"/>
        </w:rPr>
      </w:pPr>
    </w:p>
    <w:p w14:paraId="7787D75E">
      <w:pPr>
        <w:spacing w:line="360" w:lineRule="auto"/>
        <w:contextualSpacing/>
        <w:rPr>
          <w:rFonts w:hint="eastAsia" w:ascii="宋体" w:hAnsi="宋体" w:eastAsia="宋体" w:cs="宋体"/>
          <w:color w:val="auto"/>
          <w:sz w:val="24"/>
          <w:highlight w:val="none"/>
        </w:rPr>
      </w:pPr>
    </w:p>
    <w:p w14:paraId="247900D1">
      <w:pPr>
        <w:spacing w:line="360" w:lineRule="auto"/>
        <w:contextualSpacing/>
        <w:rPr>
          <w:rFonts w:hint="eastAsia" w:ascii="宋体" w:hAnsi="宋体" w:eastAsia="宋体" w:cs="宋体"/>
          <w:color w:val="auto"/>
          <w:sz w:val="24"/>
          <w:highlight w:val="none"/>
        </w:rPr>
      </w:pPr>
    </w:p>
    <w:p w14:paraId="51287CF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20D2FB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质疑函（格式）</w:t>
      </w:r>
    </w:p>
    <w:p w14:paraId="6C6033CB">
      <w:pPr>
        <w:pStyle w:val="17"/>
        <w:spacing w:line="360" w:lineRule="auto"/>
        <w:ind w:firstLine="422" w:firstLineChars="200"/>
        <w:contextualSpacing/>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一、质疑供应商基本信息：</w:t>
      </w:r>
    </w:p>
    <w:p w14:paraId="278F61AD">
      <w:pPr>
        <w:pStyle w:val="17"/>
        <w:spacing w:line="360" w:lineRule="auto"/>
        <w:ind w:firstLine="420" w:firstLineChars="200"/>
        <w:contextualSpacing/>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质疑供应商：</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70BEC67">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2C1CE83E">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53461A9C">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授权代表：</w:t>
      </w:r>
      <w:r>
        <w:rPr>
          <w:rFonts w:hint="eastAsia" w:ascii="宋体" w:hAnsi="宋体" w:eastAsia="宋体" w:cs="宋体"/>
          <w:bCs/>
          <w:color w:val="auto"/>
          <w:sz w:val="21"/>
          <w:highlight w:val="none"/>
          <w:u w:val="single"/>
        </w:rPr>
        <w:t xml:space="preserve">                      </w:t>
      </w:r>
    </w:p>
    <w:p w14:paraId="58BCD9A7">
      <w:pPr>
        <w:pStyle w:val="17"/>
        <w:spacing w:line="360" w:lineRule="auto"/>
        <w:ind w:firstLine="420" w:firstLineChars="200"/>
        <w:contextualSpacing/>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2CE41438">
      <w:pPr>
        <w:pStyle w:val="17"/>
        <w:spacing w:line="360" w:lineRule="auto"/>
        <w:ind w:firstLine="420" w:firstLineChars="200"/>
        <w:contextualSpacing/>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5293A4A">
      <w:pPr>
        <w:pStyle w:val="17"/>
        <w:spacing w:line="360" w:lineRule="auto"/>
        <w:ind w:firstLine="422" w:firstLineChars="200"/>
        <w:contextualSpacing/>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二、质疑项目基本情况：</w:t>
      </w:r>
    </w:p>
    <w:p w14:paraId="30939A08">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项目的名称：</w:t>
      </w:r>
      <w:r>
        <w:rPr>
          <w:rFonts w:hint="eastAsia" w:ascii="宋体" w:hAnsi="宋体" w:eastAsia="宋体" w:cs="宋体"/>
          <w:bCs/>
          <w:color w:val="auto"/>
          <w:sz w:val="21"/>
          <w:highlight w:val="none"/>
          <w:u w:val="single"/>
        </w:rPr>
        <w:t xml:space="preserve">                                     </w:t>
      </w:r>
    </w:p>
    <w:p w14:paraId="39FAF990">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项目的编号：</w:t>
      </w:r>
      <w:r>
        <w:rPr>
          <w:rFonts w:hint="eastAsia" w:ascii="宋体" w:hAnsi="宋体" w:eastAsia="宋体" w:cs="宋体"/>
          <w:bCs/>
          <w:color w:val="auto"/>
          <w:sz w:val="21"/>
          <w:highlight w:val="none"/>
          <w:u w:val="single"/>
        </w:rPr>
        <w:t xml:space="preserve">                                     </w:t>
      </w:r>
    </w:p>
    <w:p w14:paraId="1C7B494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采购人名称：</w:t>
      </w:r>
      <w:r>
        <w:rPr>
          <w:rFonts w:hint="eastAsia" w:ascii="宋体" w:hAnsi="宋体" w:eastAsia="宋体" w:cs="宋体"/>
          <w:bCs/>
          <w:color w:val="auto"/>
          <w:sz w:val="21"/>
          <w:highlight w:val="none"/>
          <w:u w:val="single"/>
        </w:rPr>
        <w:t xml:space="preserve">                                         </w:t>
      </w:r>
    </w:p>
    <w:p w14:paraId="44CAD337">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w:t>
      </w:r>
    </w:p>
    <w:p w14:paraId="54AAE0FF">
      <w:pPr>
        <w:pStyle w:val="17"/>
        <w:spacing w:line="360" w:lineRule="auto"/>
        <w:ind w:left="25" w:leftChars="12" w:firstLine="308" w:firstLineChars="14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□采购文件   采购文件获取日期：</w:t>
      </w:r>
      <w:r>
        <w:rPr>
          <w:rFonts w:hint="eastAsia" w:ascii="宋体" w:hAnsi="宋体" w:eastAsia="宋体" w:cs="宋体"/>
          <w:bCs/>
          <w:color w:val="auto"/>
          <w:sz w:val="21"/>
          <w:highlight w:val="none"/>
          <w:u w:val="single"/>
        </w:rPr>
        <w:t xml:space="preserve">                                   </w:t>
      </w:r>
    </w:p>
    <w:p w14:paraId="2390A8C6">
      <w:pPr>
        <w:pStyle w:val="17"/>
        <w:spacing w:line="360" w:lineRule="auto"/>
        <w:ind w:left="25" w:leftChars="12" w:firstLine="308" w:firstLineChars="14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□采购过程   </w:t>
      </w:r>
    </w:p>
    <w:p w14:paraId="2FE1AA9C">
      <w:pPr>
        <w:pStyle w:val="17"/>
        <w:spacing w:line="360" w:lineRule="auto"/>
        <w:ind w:left="25" w:leftChars="12" w:firstLine="308" w:firstLineChars="147"/>
        <w:contextualSpacing/>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 xml:space="preserve">□成交结果   </w:t>
      </w:r>
    </w:p>
    <w:p w14:paraId="23F98048">
      <w:pPr>
        <w:pStyle w:val="17"/>
        <w:spacing w:line="360" w:lineRule="auto"/>
        <w:ind w:left="25" w:leftChars="12" w:firstLine="413" w:firstLineChars="196"/>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三、质疑事项具体内容</w:t>
      </w:r>
    </w:p>
    <w:p w14:paraId="437332E9">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质疑事项1：</w:t>
      </w:r>
      <w:r>
        <w:rPr>
          <w:rFonts w:hint="eastAsia" w:ascii="宋体" w:hAnsi="宋体" w:eastAsia="宋体" w:cs="宋体"/>
          <w:bCs/>
          <w:color w:val="auto"/>
          <w:sz w:val="21"/>
          <w:highlight w:val="none"/>
          <w:u w:val="single"/>
        </w:rPr>
        <w:t xml:space="preserve">                                                                    </w:t>
      </w:r>
    </w:p>
    <w:p w14:paraId="7C467EE0">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事实依据：</w:t>
      </w:r>
      <w:r>
        <w:rPr>
          <w:rFonts w:hint="eastAsia" w:ascii="宋体" w:hAnsi="宋体" w:eastAsia="宋体" w:cs="宋体"/>
          <w:bCs/>
          <w:color w:val="auto"/>
          <w:sz w:val="21"/>
          <w:highlight w:val="none"/>
          <w:u w:val="single"/>
        </w:rPr>
        <w:t xml:space="preserve">                                                                      </w:t>
      </w:r>
    </w:p>
    <w:p w14:paraId="01C66A5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法律依据：</w:t>
      </w:r>
      <w:r>
        <w:rPr>
          <w:rFonts w:hint="eastAsia" w:ascii="宋体" w:hAnsi="宋体" w:eastAsia="宋体" w:cs="宋体"/>
          <w:color w:val="auto"/>
          <w:sz w:val="21"/>
          <w:highlight w:val="none"/>
          <w:u w:val="single"/>
        </w:rPr>
        <w:t xml:space="preserve">                                                        </w:t>
      </w:r>
      <w:r>
        <w:rPr>
          <w:rFonts w:hint="eastAsia" w:ascii="宋体" w:hAnsi="宋体" w:eastAsia="宋体" w:cs="宋体"/>
          <w:bCs/>
          <w:color w:val="auto"/>
          <w:sz w:val="21"/>
          <w:highlight w:val="none"/>
          <w:u w:val="single"/>
        </w:rPr>
        <w:t xml:space="preserve">               </w:t>
      </w:r>
    </w:p>
    <w:p w14:paraId="64B99B88">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质疑事项2</w:t>
      </w:r>
    </w:p>
    <w:p w14:paraId="01EC58EA">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78A1A694">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四、与质疑事项相关的质疑请求：</w:t>
      </w:r>
    </w:p>
    <w:p w14:paraId="274C9F8A">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r>
        <w:rPr>
          <w:rFonts w:hint="eastAsia" w:ascii="宋体" w:hAnsi="宋体" w:eastAsia="宋体" w:cs="宋体"/>
          <w:bCs/>
          <w:color w:val="auto"/>
          <w:sz w:val="21"/>
          <w:highlight w:val="none"/>
          <w:u w:val="single"/>
        </w:rPr>
        <w:t xml:space="preserve">                                                                </w:t>
      </w:r>
    </w:p>
    <w:p w14:paraId="27C39616">
      <w:pPr>
        <w:pStyle w:val="17"/>
        <w:spacing w:line="360" w:lineRule="auto"/>
        <w:ind w:left="25" w:leftChars="12" w:firstLine="308" w:firstLineChars="147"/>
        <w:contextualSpacing/>
        <w:rPr>
          <w:rFonts w:hint="eastAsia" w:ascii="宋体" w:hAnsi="宋体" w:eastAsia="宋体" w:cs="宋体"/>
          <w:color w:val="auto"/>
          <w:sz w:val="21"/>
          <w:highlight w:val="none"/>
        </w:rPr>
      </w:pPr>
    </w:p>
    <w:p w14:paraId="5B10A0A7">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70A783E6">
      <w:pPr>
        <w:pStyle w:val="17"/>
        <w:spacing w:line="360" w:lineRule="auto"/>
        <w:ind w:left="25" w:leftChars="12" w:firstLine="308" w:firstLineChars="147"/>
        <w:contextualSpacing/>
        <w:rPr>
          <w:rFonts w:hint="eastAsia" w:ascii="宋体" w:hAnsi="宋体" w:eastAsia="宋体" w:cs="宋体"/>
          <w:color w:val="auto"/>
          <w:sz w:val="21"/>
          <w:highlight w:val="none"/>
        </w:rPr>
      </w:pPr>
    </w:p>
    <w:p w14:paraId="5A09927F">
      <w:pPr>
        <w:pStyle w:val="17"/>
        <w:spacing w:line="360" w:lineRule="auto"/>
        <w:ind w:left="25" w:leftChars="12" w:firstLine="413" w:firstLineChars="197"/>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640B81A8">
      <w:pPr>
        <w:pStyle w:val="17"/>
        <w:spacing w:line="360" w:lineRule="auto"/>
        <w:contextualSpacing/>
        <w:rPr>
          <w:rFonts w:hint="eastAsia" w:ascii="宋体" w:hAnsi="宋体" w:eastAsia="宋体" w:cs="宋体"/>
          <w:b/>
          <w:color w:val="auto"/>
          <w:sz w:val="21"/>
          <w:highlight w:val="none"/>
        </w:rPr>
      </w:pPr>
    </w:p>
    <w:p w14:paraId="66ADFADD">
      <w:pPr>
        <w:pStyle w:val="17"/>
        <w:spacing w:line="360" w:lineRule="auto"/>
        <w:contextualSpacing/>
        <w:rPr>
          <w:rFonts w:hint="eastAsia" w:ascii="宋体" w:hAnsi="宋体" w:eastAsia="宋体" w:cs="宋体"/>
          <w:b/>
          <w:color w:val="auto"/>
          <w:sz w:val="21"/>
          <w:highlight w:val="none"/>
        </w:rPr>
      </w:pPr>
    </w:p>
    <w:p w14:paraId="13FE0CE4">
      <w:pPr>
        <w:pStyle w:val="17"/>
        <w:spacing w:line="360" w:lineRule="auto"/>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5A0F157B">
      <w:pPr>
        <w:pStyle w:val="17"/>
        <w:spacing w:line="360" w:lineRule="auto"/>
        <w:ind w:left="25" w:leftChars="12" w:firstLine="310" w:firstLineChars="147"/>
        <w:contextualSpacing/>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1.供应商提出质疑时，应提交质疑函和必要的证明材料</w:t>
      </w:r>
      <w:r>
        <w:rPr>
          <w:rFonts w:hint="eastAsia" w:ascii="宋体" w:hAnsi="宋体" w:eastAsia="宋体" w:cs="宋体"/>
          <w:b/>
          <w:bCs/>
          <w:color w:val="auto"/>
          <w:sz w:val="21"/>
          <w:highlight w:val="none"/>
        </w:rPr>
        <w:t>。</w:t>
      </w:r>
    </w:p>
    <w:p w14:paraId="125CB829">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872E6">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3.质疑函的质疑事项应具体、明确，并有必要的事实依据和法律依据。</w:t>
      </w:r>
    </w:p>
    <w:p w14:paraId="5FA3E8B6">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4.质疑函的质疑请求应与质疑事项相关。</w:t>
      </w:r>
    </w:p>
    <w:p w14:paraId="1C7FDDC2">
      <w:pPr>
        <w:pStyle w:val="17"/>
        <w:spacing w:line="360" w:lineRule="auto"/>
        <w:ind w:left="25" w:leftChars="12" w:firstLine="310" w:firstLineChars="147"/>
        <w:contextualSpacing/>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5.质疑供应商为法人或者其他组织的，质疑函应由法定代表人、主要负责人，或者其授权代表签字或者盖章，并加盖公章。</w:t>
      </w:r>
    </w:p>
    <w:p w14:paraId="345071D8">
      <w:pPr>
        <w:pStyle w:val="17"/>
        <w:snapToGrid w:val="0"/>
        <w:rPr>
          <w:rFonts w:hint="eastAsia" w:ascii="宋体" w:hAnsi="宋体" w:eastAsia="宋体" w:cs="宋体"/>
          <w:b/>
          <w:color w:val="auto"/>
          <w:sz w:val="24"/>
          <w:szCs w:val="24"/>
          <w:highlight w:val="none"/>
        </w:rPr>
      </w:pPr>
    </w:p>
    <w:p w14:paraId="5160104C">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0D9F66D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BB4E22D">
      <w:pPr>
        <w:pStyle w:val="17"/>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一、投诉相关主体基本情况：</w:t>
      </w:r>
    </w:p>
    <w:p w14:paraId="7ABC82B5">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供应商：</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49F4188B">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F3EF72B">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法定代表人/主要负责人：</w:t>
      </w:r>
      <w:r>
        <w:rPr>
          <w:rFonts w:hint="eastAsia" w:ascii="宋体" w:hAnsi="宋体" w:eastAsia="宋体" w:cs="宋体"/>
          <w:bCs/>
          <w:color w:val="auto"/>
          <w:sz w:val="21"/>
          <w:highlight w:val="none"/>
          <w:u w:val="single"/>
        </w:rPr>
        <w:t xml:space="preserve">                                                         </w:t>
      </w:r>
    </w:p>
    <w:p w14:paraId="51B75724">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734361CF">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授权代表：</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7DFE91F8">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p>
    <w:p w14:paraId="054FA6F9">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26F0349B">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被投诉人1：</w:t>
      </w:r>
    </w:p>
    <w:p w14:paraId="1B09EB3F">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p>
    <w:p w14:paraId="637147FA">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3E4F7B1E">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p>
    <w:p w14:paraId="204CCD3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被投诉人2：</w:t>
      </w:r>
    </w:p>
    <w:p w14:paraId="21EAC8A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3BCB9C06">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相关供应商：</w:t>
      </w:r>
      <w:r>
        <w:rPr>
          <w:rFonts w:hint="eastAsia" w:ascii="宋体" w:hAnsi="宋体" w:eastAsia="宋体" w:cs="宋体"/>
          <w:bCs/>
          <w:color w:val="auto"/>
          <w:sz w:val="21"/>
          <w:highlight w:val="none"/>
          <w:u w:val="single"/>
        </w:rPr>
        <w:t xml:space="preserve">                                                                       </w:t>
      </w:r>
    </w:p>
    <w:p w14:paraId="4E788D3E">
      <w:pPr>
        <w:pStyle w:val="17"/>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邮编：</w:t>
      </w:r>
      <w:r>
        <w:rPr>
          <w:rFonts w:hint="eastAsia" w:ascii="宋体" w:hAnsi="宋体" w:eastAsia="宋体" w:cs="宋体"/>
          <w:bCs/>
          <w:color w:val="auto"/>
          <w:sz w:val="21"/>
          <w:highlight w:val="none"/>
          <w:u w:val="single"/>
        </w:rPr>
        <w:t xml:space="preserve">                         </w:t>
      </w:r>
    </w:p>
    <w:p w14:paraId="1CE2E5F7">
      <w:pPr>
        <w:pStyle w:val="17"/>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联系电话：</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 xml:space="preserve">                </w:t>
      </w:r>
    </w:p>
    <w:p w14:paraId="66BF8E79">
      <w:pPr>
        <w:pStyle w:val="17"/>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二、投诉项目基本情况：</w:t>
      </w:r>
    </w:p>
    <w:p w14:paraId="6C8D18CC">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项目的名称：</w:t>
      </w:r>
      <w:r>
        <w:rPr>
          <w:rFonts w:hint="eastAsia" w:ascii="宋体" w:hAnsi="宋体" w:eastAsia="宋体" w:cs="宋体"/>
          <w:bCs/>
          <w:color w:val="auto"/>
          <w:sz w:val="21"/>
          <w:highlight w:val="none"/>
          <w:u w:val="single"/>
        </w:rPr>
        <w:t xml:space="preserve">                                                                   </w:t>
      </w:r>
    </w:p>
    <w:p w14:paraId="028FA003">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项目的编号：</w:t>
      </w:r>
      <w:r>
        <w:rPr>
          <w:rFonts w:hint="eastAsia" w:ascii="宋体" w:hAnsi="宋体" w:eastAsia="宋体" w:cs="宋体"/>
          <w:bCs/>
          <w:color w:val="auto"/>
          <w:sz w:val="21"/>
          <w:highlight w:val="none"/>
          <w:u w:val="single"/>
        </w:rPr>
        <w:t xml:space="preserve">                                          </w:t>
      </w:r>
    </w:p>
    <w:p w14:paraId="50D7726D">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采购人名称：</w:t>
      </w:r>
      <w:r>
        <w:rPr>
          <w:rFonts w:hint="eastAsia" w:ascii="宋体" w:hAnsi="宋体" w:eastAsia="宋体" w:cs="宋体"/>
          <w:bCs/>
          <w:color w:val="auto"/>
          <w:sz w:val="21"/>
          <w:highlight w:val="none"/>
          <w:u w:val="single"/>
        </w:rPr>
        <w:t xml:space="preserve">                                                                        </w:t>
      </w:r>
    </w:p>
    <w:p w14:paraId="099F8280">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代理机构名称：</w:t>
      </w:r>
      <w:r>
        <w:rPr>
          <w:rFonts w:hint="eastAsia" w:ascii="宋体" w:hAnsi="宋体" w:eastAsia="宋体" w:cs="宋体"/>
          <w:bCs/>
          <w:color w:val="auto"/>
          <w:sz w:val="21"/>
          <w:highlight w:val="none"/>
          <w:u w:val="single"/>
        </w:rPr>
        <w:t xml:space="preserve">                                                                      </w:t>
      </w:r>
    </w:p>
    <w:p w14:paraId="044C1382">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采购文件公告：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r>
        <w:rPr>
          <w:rFonts w:hint="eastAsia" w:ascii="宋体" w:hAnsi="宋体" w:eastAsia="宋体" w:cs="宋体"/>
          <w:bCs/>
          <w:color w:val="auto"/>
          <w:sz w:val="21"/>
          <w:highlight w:val="none"/>
          <w:u w:val="single"/>
        </w:rPr>
        <w:t xml:space="preserve">                                                       </w:t>
      </w:r>
    </w:p>
    <w:p w14:paraId="13D47F1F">
      <w:pPr>
        <w:pStyle w:val="17"/>
        <w:spacing w:line="360" w:lineRule="auto"/>
        <w:ind w:left="25" w:leftChars="12" w:firstLine="413" w:firstLineChars="197"/>
        <w:rPr>
          <w:rFonts w:hint="eastAsia" w:ascii="宋体" w:hAnsi="宋体" w:eastAsia="宋体" w:cs="宋体"/>
          <w:b/>
          <w:color w:val="auto"/>
          <w:sz w:val="21"/>
          <w:highlight w:val="none"/>
        </w:rPr>
      </w:pPr>
      <w:r>
        <w:rPr>
          <w:rFonts w:hint="eastAsia" w:ascii="宋体" w:hAnsi="宋体" w:eastAsia="宋体" w:cs="宋体"/>
          <w:bCs/>
          <w:color w:val="auto"/>
          <w:sz w:val="21"/>
          <w:highlight w:val="none"/>
        </w:rPr>
        <w:t>采购结果公告：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r>
        <w:rPr>
          <w:rFonts w:hint="eastAsia" w:ascii="宋体" w:hAnsi="宋体" w:eastAsia="宋体" w:cs="宋体"/>
          <w:bCs/>
          <w:color w:val="auto"/>
          <w:sz w:val="21"/>
          <w:highlight w:val="none"/>
          <w:u w:val="single"/>
        </w:rPr>
        <w:t xml:space="preserve">                                                       </w:t>
      </w:r>
    </w:p>
    <w:p w14:paraId="6E89241B">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三、质疑基本情况</w:t>
      </w:r>
    </w:p>
    <w:p w14:paraId="3D01569D">
      <w:pPr>
        <w:pStyle w:val="17"/>
        <w:spacing w:line="360" w:lineRule="auto"/>
        <w:ind w:left="23" w:leftChars="11" w:firstLine="472" w:firstLineChars="225"/>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日，向</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提出质疑，质疑事项为：</w:t>
      </w:r>
    </w:p>
    <w:p w14:paraId="0A50E65D">
      <w:pPr>
        <w:pStyle w:val="17"/>
        <w:spacing w:line="360" w:lineRule="auto"/>
        <w:ind w:left="23" w:leftChars="11" w:firstLine="472" w:firstLineChars="225"/>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56C484EA">
      <w:pPr>
        <w:pStyle w:val="17"/>
        <w:spacing w:line="360" w:lineRule="auto"/>
        <w:ind w:left="23" w:leftChars="11" w:firstLine="472" w:firstLineChars="225"/>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 xml:space="preserve">    </w:t>
      </w:r>
      <w:r>
        <w:rPr>
          <w:rFonts w:hint="eastAsia" w:ascii="宋体" w:hAnsi="宋体" w:eastAsia="宋体" w:cs="宋体"/>
          <w:bCs/>
          <w:color w:val="auto"/>
          <w:sz w:val="21"/>
          <w:highlight w:val="none"/>
          <w:u w:val="single"/>
        </w:rPr>
        <w:t xml:space="preserve">                                                                                      </w:t>
      </w:r>
    </w:p>
    <w:p w14:paraId="7D3996EF">
      <w:pPr>
        <w:pStyle w:val="17"/>
        <w:spacing w:line="360" w:lineRule="auto"/>
        <w:ind w:left="23" w:leftChars="11" w:firstLine="472" w:firstLineChars="225"/>
        <w:rPr>
          <w:rFonts w:hint="eastAsia" w:ascii="宋体" w:hAnsi="宋体" w:eastAsia="宋体" w:cs="宋体"/>
          <w:color w:val="auto"/>
          <w:sz w:val="21"/>
          <w:highlight w:val="none"/>
        </w:rPr>
      </w:pPr>
      <w:r>
        <w:rPr>
          <w:rFonts w:hint="eastAsia" w:ascii="宋体" w:hAnsi="宋体" w:eastAsia="宋体" w:cs="宋体"/>
          <w:bCs/>
          <w:color w:val="auto"/>
          <w:sz w:val="21"/>
          <w:highlight w:val="none"/>
          <w:u w:val="single"/>
        </w:rPr>
        <w:t>采购人/代理机构</w:t>
      </w:r>
      <w:r>
        <w:rPr>
          <w:rFonts w:hint="eastAsia" w:ascii="宋体" w:hAnsi="宋体" w:eastAsia="宋体" w:cs="宋体"/>
          <w:bCs/>
          <w:color w:val="auto"/>
          <w:sz w:val="21"/>
          <w:highlight w:val="none"/>
        </w:rPr>
        <w:t>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w:t>
      </w:r>
      <w:r>
        <w:rPr>
          <w:rFonts w:hint="eastAsia" w:ascii="宋体" w:hAnsi="宋体" w:eastAsia="宋体" w:cs="宋体"/>
          <w:bCs/>
          <w:color w:val="auto"/>
          <w:sz w:val="21"/>
          <w:highlight w:val="none"/>
        </w:rPr>
        <w:t xml:space="preserve">就质疑事项作出了答复/没有在法定期限内作出答复。                                                                                             </w:t>
      </w:r>
    </w:p>
    <w:p w14:paraId="41482F2A">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四、投诉事项具体内容</w:t>
      </w:r>
    </w:p>
    <w:p w14:paraId="1D515D90">
      <w:pPr>
        <w:pStyle w:val="17"/>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投诉事项1：</w:t>
      </w:r>
      <w:r>
        <w:rPr>
          <w:rFonts w:hint="eastAsia" w:ascii="宋体" w:hAnsi="宋体" w:eastAsia="宋体" w:cs="宋体"/>
          <w:bCs/>
          <w:color w:val="auto"/>
          <w:sz w:val="21"/>
          <w:highlight w:val="none"/>
          <w:u w:val="single"/>
        </w:rPr>
        <w:t xml:space="preserve">                                                                           </w:t>
      </w:r>
    </w:p>
    <w:p w14:paraId="79E14A77">
      <w:pPr>
        <w:pStyle w:val="17"/>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事实依据：</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04A4D466">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u w:val="single"/>
        </w:rPr>
        <w:t xml:space="preserve">                                                                                        </w:t>
      </w:r>
    </w:p>
    <w:p w14:paraId="462ECDE7">
      <w:pPr>
        <w:pStyle w:val="17"/>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法律依据：</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highlight w:val="none"/>
          <w:u w:val="single"/>
        </w:rPr>
        <w:t xml:space="preserve">                                                                                      </w:t>
      </w:r>
    </w:p>
    <w:p w14:paraId="0CCF03BF">
      <w:pPr>
        <w:pStyle w:val="17"/>
        <w:spacing w:line="360" w:lineRule="auto"/>
        <w:ind w:left="25" w:leftChars="12" w:firstLine="308" w:firstLineChars="147"/>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 xml:space="preserve"> </w:t>
      </w:r>
      <w:r>
        <w:rPr>
          <w:rFonts w:hint="eastAsia" w:ascii="宋体" w:hAnsi="宋体" w:eastAsia="宋体" w:cs="宋体"/>
          <w:bCs/>
          <w:color w:val="auto"/>
          <w:sz w:val="21"/>
          <w:highlight w:val="none"/>
          <w:u w:val="single"/>
        </w:rPr>
        <w:t xml:space="preserve">                                                                                        </w:t>
      </w:r>
    </w:p>
    <w:p w14:paraId="3172E424">
      <w:pPr>
        <w:pStyle w:val="17"/>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投诉事项2  </w:t>
      </w:r>
      <w:r>
        <w:rPr>
          <w:rFonts w:hint="eastAsia" w:ascii="宋体" w:hAnsi="宋体" w:eastAsia="宋体" w:cs="宋体"/>
          <w:bCs/>
          <w:color w:val="auto"/>
          <w:sz w:val="21"/>
          <w:highlight w:val="none"/>
        </w:rPr>
        <w:t xml:space="preserve">   </w:t>
      </w:r>
    </w:p>
    <w:p w14:paraId="5011980B">
      <w:pPr>
        <w:pStyle w:val="17"/>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53E55CDA">
      <w:pPr>
        <w:pStyle w:val="17"/>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五、与投诉事项相关的投诉请求：</w:t>
      </w:r>
    </w:p>
    <w:p w14:paraId="748BBA64">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r>
        <w:rPr>
          <w:rFonts w:hint="eastAsia" w:ascii="宋体" w:hAnsi="宋体" w:eastAsia="宋体" w:cs="宋体"/>
          <w:bCs/>
          <w:color w:val="auto"/>
          <w:sz w:val="21"/>
          <w:highlight w:val="none"/>
          <w:u w:val="single"/>
        </w:rPr>
        <w:t xml:space="preserve">                                                                                 </w:t>
      </w:r>
    </w:p>
    <w:p w14:paraId="0D777FA8">
      <w:pPr>
        <w:pStyle w:val="17"/>
        <w:spacing w:line="360" w:lineRule="auto"/>
        <w:ind w:left="25" w:leftChars="12" w:firstLine="308" w:firstLineChars="147"/>
        <w:rPr>
          <w:rFonts w:hint="eastAsia" w:ascii="宋体" w:hAnsi="宋体" w:eastAsia="宋体" w:cs="宋体"/>
          <w:color w:val="auto"/>
          <w:sz w:val="21"/>
          <w:highlight w:val="none"/>
        </w:rPr>
      </w:pPr>
    </w:p>
    <w:p w14:paraId="05CB1334">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65B89AE3">
      <w:pPr>
        <w:pStyle w:val="17"/>
        <w:spacing w:line="360" w:lineRule="auto"/>
        <w:ind w:left="25" w:leftChars="12" w:firstLine="308" w:firstLineChars="147"/>
        <w:rPr>
          <w:rFonts w:hint="eastAsia" w:ascii="宋体" w:hAnsi="宋体" w:eastAsia="宋体" w:cs="宋体"/>
          <w:color w:val="auto"/>
          <w:sz w:val="21"/>
          <w:highlight w:val="none"/>
        </w:rPr>
      </w:pPr>
    </w:p>
    <w:p w14:paraId="00D75141">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24B83878">
      <w:pPr>
        <w:pStyle w:val="17"/>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 xml:space="preserve">                                                                                 </w:t>
      </w:r>
    </w:p>
    <w:p w14:paraId="4AF723A7">
      <w:pPr>
        <w:pStyle w:val="17"/>
        <w:snapToGrid w:val="0"/>
        <w:spacing w:line="360" w:lineRule="auto"/>
        <w:rPr>
          <w:rFonts w:hint="eastAsia" w:ascii="宋体" w:hAnsi="宋体" w:eastAsia="宋体" w:cs="宋体"/>
          <w:b/>
          <w:color w:val="auto"/>
          <w:sz w:val="21"/>
          <w:highlight w:val="none"/>
        </w:rPr>
      </w:pPr>
    </w:p>
    <w:p w14:paraId="23688EAD">
      <w:pPr>
        <w:pStyle w:val="17"/>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51E0C30B">
      <w:pPr>
        <w:pStyle w:val="17"/>
        <w:spacing w:line="360" w:lineRule="auto"/>
        <w:ind w:left="25" w:leftChars="12" w:firstLine="310" w:firstLineChars="147"/>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highlight w:val="none"/>
        </w:rPr>
        <w:t>。</w:t>
      </w:r>
    </w:p>
    <w:p w14:paraId="08371FBA">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2D28260">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3.投诉书应简要列明质疑事项，质疑函、质疑答复等作为附件材料提供。</w:t>
      </w:r>
    </w:p>
    <w:p w14:paraId="264D30E2">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4.投诉书的投诉事项应具体、明确，并有必要的事实依据和法律依据。</w:t>
      </w:r>
    </w:p>
    <w:p w14:paraId="5C12418A">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5.投诉书的投诉请求应与投诉事项相关。</w:t>
      </w:r>
    </w:p>
    <w:p w14:paraId="64396781">
      <w:pPr>
        <w:pStyle w:val="17"/>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6.投诉人为法人或者其他组织的，投诉书应由法定代表人、主要负责人，或者其授权代表签字或者盖章，并加盖公章。</w:t>
      </w:r>
    </w:p>
    <w:p w14:paraId="282F62D8">
      <w:pPr>
        <w:pStyle w:val="17"/>
        <w:spacing w:line="440" w:lineRule="exact"/>
        <w:ind w:left="25" w:leftChars="12" w:firstLine="294" w:firstLineChars="147"/>
        <w:rPr>
          <w:rFonts w:hint="eastAsia" w:ascii="宋体" w:hAnsi="宋体" w:eastAsia="宋体" w:cs="宋体"/>
          <w:color w:val="auto"/>
          <w:highlight w:val="none"/>
        </w:rPr>
      </w:pPr>
    </w:p>
    <w:p w14:paraId="727A5461">
      <w:pPr>
        <w:pStyle w:val="3"/>
        <w:spacing w:line="5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BDCA6">
      <w:pPr>
        <w:pStyle w:val="3"/>
        <w:spacing w:line="520" w:lineRule="exact"/>
        <w:jc w:val="center"/>
        <w:rPr>
          <w:rFonts w:hint="eastAsia" w:ascii="宋体" w:hAnsi="宋体" w:eastAsia="宋体" w:cs="宋体"/>
          <w:color w:val="auto"/>
          <w:highlight w:val="none"/>
        </w:rPr>
      </w:pPr>
    </w:p>
    <w:p w14:paraId="3410A062">
      <w:pPr>
        <w:pStyle w:val="3"/>
        <w:spacing w:line="520" w:lineRule="exact"/>
        <w:jc w:val="center"/>
        <w:rPr>
          <w:rFonts w:hint="eastAsia" w:ascii="宋体" w:hAnsi="宋体" w:eastAsia="宋体" w:cs="宋体"/>
          <w:color w:val="auto"/>
          <w:highlight w:val="none"/>
        </w:rPr>
      </w:pPr>
      <w:bookmarkStart w:id="164" w:name="_Toc3565"/>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合同文本</w:t>
      </w:r>
      <w:bookmarkEnd w:id="164"/>
    </w:p>
    <w:p w14:paraId="322C9970">
      <w:pPr>
        <w:pStyle w:val="3"/>
        <w:spacing w:line="520" w:lineRule="exact"/>
        <w:jc w:val="center"/>
        <w:rPr>
          <w:rFonts w:hint="eastAsia" w:ascii="宋体" w:hAnsi="宋体" w:eastAsia="宋体" w:cs="宋体"/>
          <w:color w:val="auto"/>
          <w:sz w:val="48"/>
          <w:szCs w:val="48"/>
          <w:highlight w:val="none"/>
        </w:rPr>
      </w:pPr>
    </w:p>
    <w:p w14:paraId="11CE94ED">
      <w:pPr>
        <w:pStyle w:val="3"/>
        <w:spacing w:line="520" w:lineRule="exact"/>
        <w:jc w:val="center"/>
        <w:rPr>
          <w:rFonts w:hint="eastAsia" w:ascii="宋体" w:hAnsi="宋体" w:eastAsia="宋体" w:cs="宋体"/>
          <w:color w:val="auto"/>
          <w:sz w:val="48"/>
          <w:szCs w:val="48"/>
          <w:highlight w:val="none"/>
        </w:rPr>
      </w:pPr>
    </w:p>
    <w:p w14:paraId="1E58FFA6">
      <w:pPr>
        <w:pStyle w:val="3"/>
        <w:spacing w:line="520" w:lineRule="exact"/>
        <w:jc w:val="center"/>
        <w:rPr>
          <w:rFonts w:hint="eastAsia" w:ascii="宋体" w:hAnsi="宋体" w:eastAsia="宋体" w:cs="宋体"/>
          <w:color w:val="auto"/>
          <w:sz w:val="48"/>
          <w:szCs w:val="48"/>
          <w:highlight w:val="none"/>
        </w:rPr>
      </w:pPr>
      <w:bookmarkStart w:id="165" w:name="_Toc13558"/>
      <w:r>
        <w:rPr>
          <w:rFonts w:hint="eastAsia" w:ascii="宋体" w:hAnsi="宋体" w:eastAsia="宋体" w:cs="宋体"/>
          <w:color w:val="auto"/>
          <w:sz w:val="48"/>
          <w:szCs w:val="48"/>
          <w:highlight w:val="none"/>
        </w:rPr>
        <w:t>采购合同</w:t>
      </w:r>
      <w:bookmarkEnd w:id="165"/>
    </w:p>
    <w:p w14:paraId="6A487DBD">
      <w:pPr>
        <w:spacing w:before="104" w:line="246" w:lineRule="auto"/>
        <w:ind w:right="834"/>
        <w:jc w:val="center"/>
        <w:rPr>
          <w:rFonts w:hint="eastAsia" w:ascii="宋体" w:hAnsi="宋体" w:eastAsia="宋体" w:cs="宋体"/>
          <w:color w:val="auto"/>
          <w:spacing w:val="-8"/>
          <w:sz w:val="32"/>
          <w:szCs w:val="32"/>
          <w:highlight w:val="none"/>
        </w:rPr>
      </w:pPr>
    </w:p>
    <w:p w14:paraId="02D623B5">
      <w:pPr>
        <w:spacing w:before="104" w:line="246" w:lineRule="auto"/>
        <w:ind w:right="834"/>
        <w:jc w:val="center"/>
        <w:rPr>
          <w:rFonts w:hint="eastAsia" w:ascii="宋体" w:hAnsi="宋体" w:eastAsia="宋体" w:cs="宋体"/>
          <w:color w:val="auto"/>
          <w:spacing w:val="-8"/>
          <w:sz w:val="32"/>
          <w:szCs w:val="32"/>
          <w:highlight w:val="none"/>
        </w:rPr>
      </w:pPr>
    </w:p>
    <w:p w14:paraId="33EF1480">
      <w:pPr>
        <w:spacing w:before="104" w:line="246" w:lineRule="auto"/>
        <w:ind w:right="834"/>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pacing w:val="-8"/>
          <w:sz w:val="32"/>
          <w:szCs w:val="32"/>
          <w:highlight w:val="none"/>
        </w:rPr>
        <w:t>合</w:t>
      </w:r>
      <w:r>
        <w:rPr>
          <w:rFonts w:hint="eastAsia" w:ascii="宋体" w:hAnsi="宋体" w:eastAsia="宋体" w:cs="宋体"/>
          <w:color w:val="auto"/>
          <w:spacing w:val="-6"/>
          <w:sz w:val="32"/>
          <w:szCs w:val="32"/>
          <w:highlight w:val="none"/>
        </w:rPr>
        <w:t>同名称：</w:t>
      </w:r>
      <w:r>
        <w:rPr>
          <w:rFonts w:hint="eastAsia" w:ascii="宋体" w:hAnsi="宋体" w:cs="宋体"/>
          <w:color w:val="auto"/>
          <w:spacing w:val="-6"/>
          <w:sz w:val="32"/>
          <w:szCs w:val="32"/>
          <w:highlight w:val="none"/>
          <w:u w:val="single"/>
          <w:lang w:eastAsia="zh-CN"/>
        </w:rPr>
        <w:t>2025年贺州市平桂生态环境局委托监测事项</w:t>
      </w:r>
      <w:r>
        <w:rPr>
          <w:rFonts w:hint="eastAsia" w:ascii="宋体" w:hAnsi="宋体" w:cs="宋体"/>
          <w:color w:val="auto"/>
          <w:spacing w:val="-6"/>
          <w:sz w:val="32"/>
          <w:szCs w:val="32"/>
          <w:highlight w:val="none"/>
          <w:u w:val="single"/>
          <w:lang w:val="en-US" w:eastAsia="zh-CN"/>
        </w:rPr>
        <w:t xml:space="preserve">  分标 </w:t>
      </w:r>
      <w:r>
        <w:rPr>
          <w:rFonts w:hint="eastAsia" w:ascii="宋体" w:hAnsi="宋体" w:eastAsia="宋体" w:cs="宋体"/>
          <w:color w:val="auto"/>
          <w:spacing w:val="-6"/>
          <w:sz w:val="32"/>
          <w:szCs w:val="32"/>
          <w:highlight w:val="none"/>
          <w:u w:val="single"/>
          <w:lang w:val="en-US" w:eastAsia="zh-CN"/>
        </w:rPr>
        <w:t xml:space="preserve"> </w:t>
      </w:r>
    </w:p>
    <w:p w14:paraId="7F878D97">
      <w:pPr>
        <w:spacing w:before="104" w:line="246" w:lineRule="auto"/>
        <w:ind w:right="834" w:firstLine="1872" w:firstLineChars="600"/>
        <w:jc w:val="both"/>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pacing w:val="-4"/>
          <w:sz w:val="32"/>
          <w:szCs w:val="32"/>
          <w:highlight w:val="none"/>
        </w:rPr>
        <w:t>项目</w:t>
      </w:r>
      <w:r>
        <w:rPr>
          <w:rFonts w:hint="eastAsia" w:ascii="宋体" w:hAnsi="宋体" w:eastAsia="宋体" w:cs="宋体"/>
          <w:color w:val="auto"/>
          <w:spacing w:val="-2"/>
          <w:sz w:val="32"/>
          <w:szCs w:val="32"/>
          <w:highlight w:val="none"/>
        </w:rPr>
        <w:t>编号：</w:t>
      </w:r>
      <w:r>
        <w:rPr>
          <w:rFonts w:hint="eastAsia" w:ascii="宋体" w:hAnsi="宋体" w:eastAsia="宋体" w:cs="宋体"/>
          <w:color w:val="auto"/>
          <w:spacing w:val="-2"/>
          <w:sz w:val="32"/>
          <w:szCs w:val="32"/>
          <w:highlight w:val="none"/>
          <w:u w:val="single"/>
          <w:lang w:val="en-US" w:eastAsia="zh-CN"/>
        </w:rPr>
        <w:t xml:space="preserve">            </w:t>
      </w:r>
    </w:p>
    <w:p w14:paraId="1257F949">
      <w:pPr>
        <w:spacing w:line="259" w:lineRule="auto"/>
        <w:rPr>
          <w:rFonts w:hint="eastAsia" w:ascii="宋体" w:hAnsi="宋体" w:eastAsia="宋体" w:cs="宋体"/>
          <w:color w:val="auto"/>
          <w:highlight w:val="none"/>
        </w:rPr>
      </w:pPr>
    </w:p>
    <w:p w14:paraId="7B692410">
      <w:pPr>
        <w:spacing w:line="259" w:lineRule="auto"/>
        <w:rPr>
          <w:rFonts w:hint="eastAsia" w:ascii="宋体" w:hAnsi="宋体" w:eastAsia="宋体" w:cs="宋体"/>
          <w:color w:val="auto"/>
          <w:highlight w:val="none"/>
        </w:rPr>
      </w:pPr>
    </w:p>
    <w:p w14:paraId="53C5A5C0">
      <w:pPr>
        <w:spacing w:line="259" w:lineRule="auto"/>
        <w:rPr>
          <w:rFonts w:hint="eastAsia" w:ascii="宋体" w:hAnsi="宋体" w:eastAsia="宋体" w:cs="宋体"/>
          <w:color w:val="auto"/>
          <w:highlight w:val="none"/>
        </w:rPr>
      </w:pPr>
    </w:p>
    <w:p w14:paraId="19B3CCA9">
      <w:pPr>
        <w:spacing w:line="260" w:lineRule="auto"/>
        <w:rPr>
          <w:rFonts w:hint="eastAsia" w:ascii="宋体" w:hAnsi="宋体" w:eastAsia="宋体" w:cs="宋体"/>
          <w:color w:val="auto"/>
          <w:highlight w:val="none"/>
        </w:rPr>
      </w:pPr>
    </w:p>
    <w:p w14:paraId="03C27724">
      <w:pPr>
        <w:spacing w:before="104" w:line="247" w:lineRule="auto"/>
        <w:ind w:left="2100" w:right="831"/>
        <w:rPr>
          <w:rFonts w:hint="eastAsia" w:ascii="宋体" w:hAnsi="宋体" w:eastAsia="宋体" w:cs="宋体"/>
          <w:color w:val="auto"/>
          <w:sz w:val="32"/>
          <w:szCs w:val="32"/>
          <w:highlight w:val="none"/>
        </w:rPr>
      </w:pPr>
      <w:r>
        <w:rPr>
          <w:rFonts w:hint="eastAsia" w:ascii="宋体" w:hAnsi="宋体" w:eastAsia="宋体" w:cs="宋体"/>
          <w:color w:val="auto"/>
          <w:spacing w:val="-6"/>
          <w:sz w:val="32"/>
          <w:szCs w:val="32"/>
          <w:highlight w:val="none"/>
        </w:rPr>
        <w:t>签订合同地点：</w:t>
      </w:r>
      <w:r>
        <w:rPr>
          <w:rFonts w:hint="eastAsia" w:ascii="宋体" w:hAnsi="宋体" w:eastAsia="宋体" w:cs="宋体"/>
          <w:color w:val="auto"/>
          <w:spacing w:val="-6"/>
          <w:sz w:val="32"/>
          <w:szCs w:val="32"/>
          <w:highlight w:val="none"/>
          <w:u w:val="single"/>
        </w:rPr>
        <w:t xml:space="preserve">                  </w:t>
      </w:r>
      <w:r>
        <w:rPr>
          <w:rFonts w:hint="eastAsia" w:ascii="宋体" w:hAnsi="宋体" w:eastAsia="宋体" w:cs="宋体"/>
          <w:color w:val="auto"/>
          <w:spacing w:val="-3"/>
          <w:sz w:val="32"/>
          <w:szCs w:val="32"/>
          <w:highlight w:val="none"/>
          <w:u w:val="single"/>
        </w:rPr>
        <w:t xml:space="preserve"> </w:t>
      </w:r>
      <w:r>
        <w:rPr>
          <w:rFonts w:hint="eastAsia" w:ascii="宋体" w:hAnsi="宋体" w:eastAsia="宋体" w:cs="宋体"/>
          <w:color w:val="auto"/>
          <w:sz w:val="32"/>
          <w:szCs w:val="32"/>
          <w:highlight w:val="none"/>
        </w:rPr>
        <w:t xml:space="preserve"> </w:t>
      </w:r>
    </w:p>
    <w:p w14:paraId="0B80CFBA">
      <w:pPr>
        <w:spacing w:before="104" w:line="247" w:lineRule="auto"/>
        <w:ind w:left="2100" w:right="831"/>
        <w:rPr>
          <w:rFonts w:hint="eastAsia"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rPr>
        <w:t>签订合同时间：</w:t>
      </w:r>
      <w:r>
        <w:rPr>
          <w:rFonts w:hint="eastAsia" w:ascii="宋体" w:hAnsi="宋体" w:eastAsia="宋体" w:cs="宋体"/>
          <w:color w:val="auto"/>
          <w:sz w:val="32"/>
          <w:szCs w:val="32"/>
          <w:highlight w:val="none"/>
          <w:u w:val="single"/>
        </w:rPr>
        <w:t xml:space="preserve">                   </w:t>
      </w:r>
    </w:p>
    <w:p w14:paraId="25B4790D">
      <w:pPr>
        <w:rPr>
          <w:rFonts w:hint="eastAsia" w:ascii="宋体" w:hAnsi="宋体" w:eastAsia="宋体" w:cs="宋体"/>
          <w:color w:val="auto"/>
          <w:sz w:val="24"/>
          <w:szCs w:val="24"/>
          <w:highlight w:val="none"/>
        </w:rPr>
      </w:pPr>
    </w:p>
    <w:p w14:paraId="4464BE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B5D326">
      <w:pPr>
        <w:spacing w:line="360" w:lineRule="auto"/>
        <w:jc w:val="center"/>
        <w:rPr>
          <w:color w:val="auto"/>
          <w:highlight w:val="none"/>
        </w:rPr>
      </w:pPr>
      <w:r>
        <w:rPr>
          <w:rFonts w:hint="eastAsia"/>
          <w:b/>
          <w:color w:val="auto"/>
          <w:sz w:val="30"/>
          <w:szCs w:val="30"/>
          <w:highlight w:val="none"/>
        </w:rPr>
        <w:t>采购合同书</w:t>
      </w:r>
    </w:p>
    <w:p w14:paraId="372DEC4B">
      <w:pPr>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采购人（甲方）：_______________________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rPr>
        <w:t>_______________________</w:t>
      </w:r>
    </w:p>
    <w:p w14:paraId="50BE6634">
      <w:pPr>
        <w:snapToGrid w:val="0"/>
        <w:spacing w:line="36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供应商（乙方）：_______________________    </w:t>
      </w:r>
      <w:r>
        <w:rPr>
          <w:rFonts w:hint="eastAsia" w:ascii="宋体" w:hAnsi="宋体" w:eastAsia="宋体" w:cs="宋体"/>
          <w:color w:val="auto"/>
          <w:spacing w:val="-20"/>
          <w:sz w:val="21"/>
          <w:szCs w:val="21"/>
          <w:highlight w:val="none"/>
        </w:rPr>
        <w:t>招 标 编 号：</w:t>
      </w:r>
      <w:r>
        <w:rPr>
          <w:rFonts w:hint="eastAsia" w:ascii="宋体" w:hAnsi="宋体" w:eastAsia="宋体" w:cs="宋体"/>
          <w:color w:val="auto"/>
          <w:sz w:val="21"/>
          <w:szCs w:val="21"/>
          <w:highlight w:val="none"/>
        </w:rPr>
        <w:t>_______________________</w:t>
      </w:r>
    </w:p>
    <w:p w14:paraId="7313A96B">
      <w:pPr>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签订点：</w:t>
      </w:r>
      <w:r>
        <w:rPr>
          <w:rFonts w:hint="eastAsia" w:ascii="宋体" w:hAnsi="宋体" w:eastAsia="宋体" w:cs="宋体"/>
          <w:color w:val="auto"/>
          <w:sz w:val="21"/>
          <w:szCs w:val="21"/>
          <w:highlight w:val="none"/>
          <w:u w:val="single"/>
        </w:rPr>
        <w:t>采购人所在地</w:t>
      </w:r>
      <w:r>
        <w:rPr>
          <w:rFonts w:hint="eastAsia" w:ascii="宋体" w:hAnsi="宋体" w:eastAsia="宋体" w:cs="宋体"/>
          <w:color w:val="auto"/>
          <w:sz w:val="21"/>
          <w:szCs w:val="21"/>
          <w:highlight w:val="none"/>
        </w:rPr>
        <w:t xml:space="preserve">                       签订时间：</w:t>
      </w:r>
    </w:p>
    <w:p w14:paraId="136BFF2E">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第一章前言</w:t>
      </w:r>
    </w:p>
    <w:p w14:paraId="549F9ED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第一条为了更好的给甲方提供优质、完整的服务，便于双方合作的顺利进行，根据《中华人民共和国</w:t>
      </w:r>
      <w:r>
        <w:rPr>
          <w:rFonts w:hint="eastAsia" w:ascii="宋体" w:hAnsi="宋体" w:eastAsia="宋体" w:cs="宋体"/>
          <w:color w:val="auto"/>
          <w:kern w:val="0"/>
          <w:szCs w:val="21"/>
          <w:highlight w:val="none"/>
          <w:lang w:val="en-US" w:eastAsia="zh-CN"/>
        </w:rPr>
        <w:t>民法典</w:t>
      </w:r>
      <w:r>
        <w:rPr>
          <w:rFonts w:hint="eastAsia" w:ascii="宋体" w:hAnsi="宋体" w:eastAsia="宋体" w:cs="宋体"/>
          <w:color w:val="auto"/>
          <w:kern w:val="0"/>
          <w:szCs w:val="21"/>
          <w:highlight w:val="none"/>
        </w:rPr>
        <w:t>》</w:t>
      </w:r>
    </w:p>
    <w:p w14:paraId="036E40B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及有关法律法规，本着平等互利的原则，通过友好协商，双方同意签订如下协议：</w:t>
      </w:r>
    </w:p>
    <w:p w14:paraId="43F34936">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第二章检测项目内容和费用</w:t>
      </w:r>
    </w:p>
    <w:p w14:paraId="6BD82AA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第二条1.具体检测项目名称：</w:t>
      </w:r>
    </w:p>
    <w:p w14:paraId="62DCD28B">
      <w:pPr>
        <w:spacing w:line="360" w:lineRule="auto"/>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2.具体检测项目内容：共</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项，具体见附件-本次检测方案。总费用为人民币</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3215869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F6394B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第三条如实际检测项目与附件内容不符，经双方协商确认，检测费用应根据实际检测项目进行调整。</w:t>
      </w:r>
    </w:p>
    <w:p w14:paraId="01994D1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第四条合作方式：乙方根据甲方要求及有关规定，协商确认检测项目和采用计划，由乙方进行现场采样和检测，并出具检测报告。</w:t>
      </w:r>
    </w:p>
    <w:p w14:paraId="19F82C1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第五条付款方式：</w:t>
      </w:r>
    </w:p>
    <w:p w14:paraId="4EA5BA8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签订合同后</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日内，采购人向</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lang w:eastAsia="zh-CN"/>
        </w:rPr>
        <w:t>预付</w:t>
      </w:r>
      <w:r>
        <w:rPr>
          <w:rFonts w:hint="eastAsia" w:ascii="宋体" w:hAnsi="宋体" w:eastAsia="宋体" w:cs="宋体"/>
          <w:color w:val="auto"/>
          <w:kern w:val="0"/>
          <w:szCs w:val="21"/>
          <w:highlight w:val="none"/>
        </w:rPr>
        <w:t>合同金额的</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w:t>
      </w:r>
    </w:p>
    <w:p w14:paraId="5A5B3C46">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lang w:val="en-US" w:eastAsia="zh-CN"/>
        </w:rPr>
        <w:t>采购人收到供应商验收申请后5个工作日内组织开展履约验收，每个季度根据成交供应商</w:t>
      </w:r>
      <w:r>
        <w:rPr>
          <w:rFonts w:hint="default" w:ascii="宋体" w:hAnsi="宋体" w:eastAsia="宋体" w:cs="宋体"/>
          <w:color w:val="auto"/>
          <w:szCs w:val="21"/>
          <w:highlight w:val="none"/>
          <w:lang w:val="en-US" w:eastAsia="zh-CN"/>
        </w:rPr>
        <w:t>实际完成</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监测任务</w:t>
      </w:r>
      <w:r>
        <w:rPr>
          <w:rFonts w:hint="eastAsia" w:ascii="宋体" w:hAnsi="宋体" w:eastAsia="宋体" w:cs="宋体"/>
          <w:color w:val="auto"/>
          <w:szCs w:val="21"/>
          <w:highlight w:val="none"/>
          <w:lang w:val="en-US" w:eastAsia="zh-CN"/>
        </w:rPr>
        <w:t>，进行验收</w:t>
      </w:r>
      <w:r>
        <w:rPr>
          <w:rFonts w:hint="default"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en-US" w:eastAsia="zh-CN"/>
        </w:rPr>
        <w:t>，通过验收后，支付当个季度的合同金额。在收到成交供应商</w:t>
      </w:r>
      <w:r>
        <w:rPr>
          <w:rFonts w:hint="default"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付款申请</w:t>
      </w:r>
      <w:r>
        <w:rPr>
          <w:rFonts w:hint="eastAsia" w:ascii="宋体" w:hAnsi="宋体" w:eastAsia="宋体" w:cs="宋体"/>
          <w:color w:val="auto"/>
          <w:szCs w:val="21"/>
          <w:highlight w:val="none"/>
          <w:lang w:val="en-US" w:eastAsia="zh-CN"/>
        </w:rPr>
        <w:t>、发票</w:t>
      </w:r>
      <w:r>
        <w:rPr>
          <w:rFonts w:hint="default" w:ascii="宋体" w:hAnsi="宋体" w:eastAsia="宋体" w:cs="宋体"/>
          <w:color w:val="auto"/>
          <w:szCs w:val="21"/>
          <w:highlight w:val="none"/>
          <w:lang w:val="en-US" w:eastAsia="zh-CN"/>
        </w:rPr>
        <w:t>及相关符合要求的请款材料</w:t>
      </w:r>
      <w:r>
        <w:rPr>
          <w:rFonts w:hint="eastAsia" w:ascii="宋体" w:hAnsi="宋体" w:eastAsia="宋体" w:cs="宋体"/>
          <w:color w:val="auto"/>
          <w:szCs w:val="21"/>
          <w:highlight w:val="none"/>
          <w:lang w:val="en-US" w:eastAsia="zh-CN"/>
        </w:rPr>
        <w:t>后10个工作日内将资金支付到合同约定的供应商账户，</w:t>
      </w:r>
      <w:r>
        <w:rPr>
          <w:rFonts w:hint="eastAsia" w:ascii="宋体" w:hAnsi="宋体" w:eastAsia="宋体" w:cs="宋体"/>
          <w:b/>
          <w:bCs/>
          <w:color w:val="auto"/>
          <w:szCs w:val="21"/>
          <w:highlight w:val="none"/>
          <w:lang w:val="en-US" w:eastAsia="zh-CN"/>
        </w:rPr>
        <w:t>每个季度的结算金额=实际</w:t>
      </w:r>
      <w:r>
        <w:rPr>
          <w:rFonts w:hint="default" w:ascii="宋体" w:hAnsi="宋体" w:eastAsia="宋体" w:cs="宋体"/>
          <w:b/>
          <w:bCs/>
          <w:color w:val="auto"/>
          <w:szCs w:val="21"/>
          <w:highlight w:val="none"/>
          <w:lang w:val="en-US" w:eastAsia="zh-CN"/>
        </w:rPr>
        <w:t>完成</w:t>
      </w:r>
      <w:r>
        <w:rPr>
          <w:rFonts w:hint="eastAsia" w:ascii="宋体" w:hAnsi="宋体" w:eastAsia="宋体" w:cs="宋体"/>
          <w:b/>
          <w:bCs/>
          <w:color w:val="auto"/>
          <w:szCs w:val="21"/>
          <w:highlight w:val="none"/>
          <w:lang w:val="en-US" w:eastAsia="zh-CN"/>
        </w:rPr>
        <w:t>的</w:t>
      </w:r>
      <w:r>
        <w:rPr>
          <w:rFonts w:hint="default" w:ascii="宋体" w:hAnsi="宋体" w:eastAsia="宋体" w:cs="宋体"/>
          <w:b/>
          <w:bCs/>
          <w:color w:val="auto"/>
          <w:szCs w:val="21"/>
          <w:highlight w:val="none"/>
          <w:lang w:val="en-US" w:eastAsia="zh-CN"/>
        </w:rPr>
        <w:t>监测任务</w:t>
      </w:r>
      <w:r>
        <w:rPr>
          <w:rFonts w:hint="eastAsia" w:ascii="宋体" w:hAnsi="宋体" w:eastAsia="宋体" w:cs="宋体"/>
          <w:b/>
          <w:bCs/>
          <w:color w:val="auto"/>
          <w:szCs w:val="21"/>
          <w:highlight w:val="none"/>
          <w:lang w:val="en-US" w:eastAsia="zh-CN"/>
        </w:rPr>
        <w:t>结算金额-10%的预付款。</w:t>
      </w:r>
    </w:p>
    <w:p w14:paraId="170C241C">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3.成交供应商完成本项目所有监测任务后，若结算金额总价超出本项目预算金额，则以本项目的预算金额进行最终结算。具体支付方式经双方协商达成一致，以实际签订的监测采购合同书为准。</w:t>
      </w:r>
    </w:p>
    <w:p w14:paraId="033D5B76">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第三章合作期间双方的权利和义务</w:t>
      </w:r>
    </w:p>
    <w:p w14:paraId="472839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第六条甲方责任：</w:t>
      </w:r>
    </w:p>
    <w:p w14:paraId="0AD7778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1.按照乙方要求，提供一切检测项目资料和参考文件，并保证提供的一切资料应当是真实、完整、合法、有效的，以便乙方有效的提供要求的检测服务。</w:t>
      </w:r>
    </w:p>
    <w:p w14:paraId="4CE1598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约定采用现场采样方式，甲方应：提供必要的设备、资料以保证乙方采样顺利进行，在实施采样前，甲方应明确告知乙方采样人员有关的规章制度，并采取一切必要措施，确保乙方检测、采样的服务过程中的工作条件、场地和装置的安全，必要时并安排一名熟悉委托方情况的人员配合乙方进行现场采样。</w:t>
      </w:r>
    </w:p>
    <w:p w14:paraId="029CE3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3.按本合同约定及时向乙方支付检测费用。</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第七条乙方责任：</w:t>
      </w:r>
    </w:p>
    <w:p w14:paraId="7CD39A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4.采用合适谨慎态度及科学准确的方法，以保证提供优质高效的检测服务。保证采用国家或行业标准方法进行检测， 使用非标准方法检测的项目，应向甲方申明并取得甲方同意。</w:t>
      </w:r>
    </w:p>
    <w:p w14:paraId="140ECD6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5.就检测报告的有关内容，接受甲方的咨询；</w:t>
      </w:r>
    </w:p>
    <w:p w14:paraId="4F544C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出具的检测报告，仅对被送检样品和现场采取的样品负责。在任何情况下，乙方的责任不能超出乙方对样品作出的检测报告的范围。检测结果的使用，使用所产生的直接或间接的损失，乙方不承担任何责任。</w:t>
      </w:r>
    </w:p>
    <w:p w14:paraId="6835CF4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7.乙方采样人员在现场采样过程中应遵守甲方的规章制度，若乙方不遵守甲方的规章制度而导致自身、甲</w:t>
      </w:r>
      <w:bookmarkStart w:id="166" w:name="br1_32"/>
      <w:bookmarkEnd w:id="166"/>
      <w:r>
        <w:rPr>
          <w:rFonts w:hint="eastAsia" w:ascii="宋体" w:hAnsi="宋体" w:eastAsia="宋体" w:cs="宋体"/>
          <w:color w:val="auto"/>
          <w:kern w:val="0"/>
          <w:szCs w:val="21"/>
          <w:highlight w:val="none"/>
        </w:rPr>
        <w:t>方或其他任何第三方人身或财产损失的，由乙方自己承担。</w:t>
      </w:r>
    </w:p>
    <w:p w14:paraId="16D0236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8.承诺现场采样人员在采样过程中严禁以任何形式索取好处费或其他与客户约定之外的行为，保证廉洁检测。</w:t>
      </w:r>
    </w:p>
    <w:p w14:paraId="39B180F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9.承诺让甲方在月日前取得检测报告，有不可抗拒因素、甲方不支付检测费用、不配合开展检测工作的情况除外。</w:t>
      </w:r>
    </w:p>
    <w:p w14:paraId="78EED7B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第八条技术情报和资料的保证</w:t>
      </w:r>
    </w:p>
    <w:p w14:paraId="0BFA2DA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1.甲方应为乙方所提供的技术情报和资料及非正式出版物等承担保密义务。</w:t>
      </w:r>
    </w:p>
    <w:p w14:paraId="4BAB624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2.乙方应为甲方所提供的资料以及环境状况、产品技术等承担保密义务。</w:t>
      </w:r>
    </w:p>
    <w:p w14:paraId="32D4697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3.未经双方书面许可，任何一方不得向第三方泄漏本协议的以下内容：合作范围、内容、方式、费用；双方</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权利、责任；争议处理的方式等。</w:t>
      </w:r>
    </w:p>
    <w:p w14:paraId="3228BC8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4.一旦一方泄密，则泄密方需承担相应的经济和法律责任。</w:t>
      </w:r>
    </w:p>
    <w:p w14:paraId="32D9C1A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第九条免责条款：检测服务的顺利进行，依靠甲乙双方的共同努力和彼此配合。</w:t>
      </w:r>
    </w:p>
    <w:p w14:paraId="46BFBF0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因在乙方控制范围之外的原因造成乙方无法履行协议时，乙方不承担相应责任，情况包括但不限于以下：</w:t>
      </w:r>
    </w:p>
    <w:p w14:paraId="5C4100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1.甲方人员不按照本合约条款履行责任时，如资料没有核实提供乙方；</w:t>
      </w:r>
    </w:p>
    <w:p w14:paraId="30E5B9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2.由于甲方致使乙方未能按协议规定完成检测服务而造成甲方蒙受任何损失或损害时；</w:t>
      </w:r>
    </w:p>
    <w:p w14:paraId="618017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3.甲方单方面更改乙方出具的检测报告，或对乙方出具的检测报告进行取舍，由此造成损失或纠纷时；</w:t>
      </w:r>
    </w:p>
    <w:p w14:paraId="32AE0AA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4.甲方由于其提供的技术文件存在知识产权问题，由此造成损失或纠纷时。</w:t>
      </w:r>
    </w:p>
    <w:p w14:paraId="76B8918E">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第四章争议处理及其他</w:t>
      </w:r>
    </w:p>
    <w:p w14:paraId="4F4F96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第十条其他：</w:t>
      </w:r>
    </w:p>
    <w:p w14:paraId="4E0CEB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任何一方违反任何一个条款项的则按合同总价1%向对方支付违约金，如乙方逾期提交任何一份质量合格的检测报告，延迟一天则按合同总价的千分之三支付违约金，逾期达15日的，甲方有权解除合同，乙方自行承担损失并退回已付款项。</w:t>
      </w:r>
    </w:p>
    <w:p w14:paraId="5DE16E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2.乙方交付的检测报告有以下不合理情形的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甲方有权解除合同并有权要求乙方承担伍万元违约金</w:t>
      </w:r>
      <w:r>
        <w:rPr>
          <w:rFonts w:hint="eastAsia" w:ascii="宋体" w:hAnsi="宋体" w:eastAsia="宋体" w:cs="宋体"/>
          <w:color w:val="auto"/>
          <w:kern w:val="0"/>
          <w:szCs w:val="21"/>
          <w:highlight w:val="none"/>
        </w:rPr>
        <w:t>：</w:t>
      </w:r>
    </w:p>
    <w:p w14:paraId="4510DD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（1）甲方在乙方提交的检测报告中，发现有轻微错误，经更正完善不影响该份检测报告合规性的，乙方应在3个工作日内修改完善并提交给乙方；</w:t>
      </w:r>
    </w:p>
    <w:p w14:paraId="3C80EB90">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（2）在乙方提交的检测报告中，在后续使用过程中发现有轻微错误，按相关法律法规，经更正完善后重新发出，不影响该份检测报告后续使用合规性的，乙方应在10日内修改完善提交给甲方</w:t>
      </w:r>
      <w:r>
        <w:rPr>
          <w:rFonts w:hint="eastAsia" w:ascii="宋体" w:hAnsi="宋体" w:cs="宋体"/>
          <w:color w:val="auto"/>
          <w:kern w:val="0"/>
          <w:szCs w:val="21"/>
          <w:highlight w:val="none"/>
          <w:lang w:eastAsia="zh-CN"/>
        </w:rPr>
        <w:t>。</w:t>
      </w:r>
    </w:p>
    <w:p w14:paraId="3DF2292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（3）在乙方提交的检测报告中，在后续使用过程中发现有违反监测技术规范并无法更正，致使该份检测报告不能作为执法案件等的关键证据使用，造成无法挽回损失的，乙方承担违约金的违约责任。</w:t>
      </w:r>
    </w:p>
    <w:p w14:paraId="6EA1B78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.在合作的过程中，双方如存在未尽事宜，可对本协议进行修改，修改以《补充协议》的协议订立并执行。</w:t>
      </w:r>
    </w:p>
    <w:p w14:paraId="66ACF9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.在协议履行过程中发生争执时，双方应协商解决，若协商不能解决，则向被告所在地法院进行起诉。</w:t>
      </w:r>
    </w:p>
    <w:p w14:paraId="54953E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.本协议自双方签字盖章之日起生效。</w:t>
      </w:r>
    </w:p>
    <w:p w14:paraId="5A63A41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.本协议一式贰份，具有同等的法律效力。</w:t>
      </w:r>
    </w:p>
    <w:tbl>
      <w:tblPr>
        <w:tblStyle w:val="32"/>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5"/>
        <w:gridCol w:w="5056"/>
      </w:tblGrid>
      <w:tr w14:paraId="2CC5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1ECE797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甲方名称及公章：</w:t>
            </w:r>
          </w:p>
        </w:tc>
        <w:tc>
          <w:tcPr>
            <w:tcW w:w="5056" w:type="dxa"/>
            <w:tcBorders>
              <w:top w:val="nil"/>
              <w:left w:val="nil"/>
              <w:bottom w:val="nil"/>
              <w:right w:val="nil"/>
            </w:tcBorders>
            <w:vAlign w:val="center"/>
          </w:tcPr>
          <w:p w14:paraId="4D62C80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乙方名称及公章：</w:t>
            </w:r>
          </w:p>
        </w:tc>
      </w:tr>
      <w:tr w14:paraId="4B0A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705" w:type="dxa"/>
            <w:tcBorders>
              <w:top w:val="nil"/>
              <w:left w:val="nil"/>
              <w:bottom w:val="nil"/>
              <w:right w:val="nil"/>
            </w:tcBorders>
            <w:vAlign w:val="top"/>
          </w:tcPr>
          <w:p w14:paraId="5B545D34">
            <w:pPr>
              <w:keepNext w:val="0"/>
              <w:keepLines w:val="0"/>
              <w:widowControl/>
              <w:suppressLineNumbers w:val="0"/>
              <w:spacing w:line="480" w:lineRule="auto"/>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法定代表人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或委托代理人：</w:t>
            </w:r>
          </w:p>
        </w:tc>
        <w:tc>
          <w:tcPr>
            <w:tcW w:w="5056" w:type="dxa"/>
            <w:tcBorders>
              <w:top w:val="nil"/>
              <w:left w:val="nil"/>
              <w:bottom w:val="nil"/>
              <w:right w:val="nil"/>
            </w:tcBorders>
            <w:vAlign w:val="top"/>
          </w:tcPr>
          <w:p w14:paraId="4889C3A5">
            <w:pPr>
              <w:keepNext w:val="0"/>
              <w:keepLines w:val="0"/>
              <w:widowControl/>
              <w:suppressLineNumbers w:val="0"/>
              <w:spacing w:line="480" w:lineRule="auto"/>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法定代表人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或委托代理人：</w:t>
            </w:r>
          </w:p>
        </w:tc>
      </w:tr>
      <w:tr w14:paraId="0B58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4F7B724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邮政编码：</w:t>
            </w:r>
          </w:p>
        </w:tc>
        <w:tc>
          <w:tcPr>
            <w:tcW w:w="5056" w:type="dxa"/>
            <w:tcBorders>
              <w:top w:val="nil"/>
              <w:left w:val="nil"/>
              <w:bottom w:val="nil"/>
              <w:right w:val="nil"/>
            </w:tcBorders>
            <w:vAlign w:val="center"/>
          </w:tcPr>
          <w:p w14:paraId="6A89F56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邮政编码：</w:t>
            </w:r>
          </w:p>
        </w:tc>
      </w:tr>
      <w:tr w14:paraId="15E5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6FBBC1C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地    址：</w:t>
            </w:r>
          </w:p>
        </w:tc>
        <w:tc>
          <w:tcPr>
            <w:tcW w:w="5056" w:type="dxa"/>
            <w:tcBorders>
              <w:top w:val="nil"/>
              <w:left w:val="nil"/>
              <w:bottom w:val="nil"/>
              <w:right w:val="nil"/>
            </w:tcBorders>
            <w:vAlign w:val="center"/>
          </w:tcPr>
          <w:p w14:paraId="2CF3211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    址：</w:t>
            </w:r>
          </w:p>
        </w:tc>
      </w:tr>
      <w:tr w14:paraId="221E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5A23C8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lang w:val="en-US" w:eastAsia="zh-CN" w:bidi="ar"/>
              </w:rPr>
              <w:t>联系电话：</w:t>
            </w:r>
          </w:p>
        </w:tc>
        <w:tc>
          <w:tcPr>
            <w:tcW w:w="5056" w:type="dxa"/>
            <w:tcBorders>
              <w:top w:val="nil"/>
              <w:left w:val="nil"/>
              <w:bottom w:val="nil"/>
              <w:right w:val="nil"/>
            </w:tcBorders>
            <w:vAlign w:val="center"/>
          </w:tcPr>
          <w:p w14:paraId="3BC7B8F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3EA4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7AEB1AC">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15C4E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开户名称：</w:t>
            </w:r>
          </w:p>
        </w:tc>
      </w:tr>
      <w:tr w14:paraId="25F0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087C7238">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DEB95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开户银行：</w:t>
            </w:r>
          </w:p>
        </w:tc>
      </w:tr>
      <w:tr w14:paraId="445F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5E88EB9A">
            <w:pPr>
              <w:rPr>
                <w:rFonts w:hint="eastAsia" w:ascii="宋体" w:hAnsi="宋体" w:eastAsia="宋体" w:cs="宋体"/>
                <w:i w:val="0"/>
                <w:iCs w:val="0"/>
                <w:color w:val="auto"/>
                <w:sz w:val="22"/>
                <w:szCs w:val="22"/>
                <w:highlight w:val="none"/>
                <w:u w:val="none"/>
              </w:rPr>
            </w:pPr>
          </w:p>
        </w:tc>
        <w:tc>
          <w:tcPr>
            <w:tcW w:w="5056" w:type="dxa"/>
            <w:tcBorders>
              <w:top w:val="nil"/>
              <w:left w:val="nil"/>
              <w:bottom w:val="nil"/>
              <w:right w:val="nil"/>
            </w:tcBorders>
            <w:vAlign w:val="center"/>
          </w:tcPr>
          <w:p w14:paraId="33A98B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银行帐号：</w:t>
            </w:r>
          </w:p>
        </w:tc>
      </w:tr>
      <w:tr w14:paraId="1F76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1A39BC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合同签订时间：    年   月   日</w:t>
            </w:r>
          </w:p>
        </w:tc>
        <w:tc>
          <w:tcPr>
            <w:tcW w:w="5056" w:type="dxa"/>
            <w:tcBorders>
              <w:top w:val="nil"/>
              <w:left w:val="nil"/>
              <w:bottom w:val="nil"/>
              <w:right w:val="nil"/>
            </w:tcBorders>
            <w:vAlign w:val="center"/>
          </w:tcPr>
          <w:p w14:paraId="1FF81B13">
            <w:pPr>
              <w:rPr>
                <w:rFonts w:hint="eastAsia" w:ascii="宋体" w:hAnsi="宋体" w:eastAsia="宋体" w:cs="宋体"/>
                <w:i w:val="0"/>
                <w:iCs w:val="0"/>
                <w:color w:val="auto"/>
                <w:sz w:val="22"/>
                <w:szCs w:val="22"/>
                <w:highlight w:val="none"/>
                <w:u w:val="none"/>
              </w:rPr>
            </w:pPr>
          </w:p>
        </w:tc>
      </w:tr>
      <w:tr w14:paraId="2DE3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5" w:type="dxa"/>
            <w:tcBorders>
              <w:top w:val="nil"/>
              <w:left w:val="nil"/>
              <w:bottom w:val="nil"/>
              <w:right w:val="nil"/>
            </w:tcBorders>
            <w:vAlign w:val="center"/>
          </w:tcPr>
          <w:p w14:paraId="65C492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合同签订地点：</w:t>
            </w:r>
          </w:p>
        </w:tc>
        <w:tc>
          <w:tcPr>
            <w:tcW w:w="5056" w:type="dxa"/>
            <w:tcBorders>
              <w:top w:val="nil"/>
              <w:left w:val="nil"/>
              <w:bottom w:val="nil"/>
              <w:right w:val="nil"/>
            </w:tcBorders>
            <w:vAlign w:val="center"/>
          </w:tcPr>
          <w:p w14:paraId="6F4B4967">
            <w:pPr>
              <w:rPr>
                <w:rFonts w:hint="eastAsia" w:ascii="宋体" w:hAnsi="宋体" w:eastAsia="宋体" w:cs="宋体"/>
                <w:i w:val="0"/>
                <w:iCs w:val="0"/>
                <w:color w:val="auto"/>
                <w:sz w:val="22"/>
                <w:szCs w:val="22"/>
                <w:highlight w:val="none"/>
                <w:u w:val="none"/>
              </w:rPr>
            </w:pPr>
          </w:p>
        </w:tc>
      </w:tr>
    </w:tbl>
    <w:p w14:paraId="620BE26B">
      <w:pPr>
        <w:spacing w:line="360" w:lineRule="exact"/>
        <w:rPr>
          <w:rFonts w:hint="eastAsia" w:ascii="宋体" w:hAnsi="宋体" w:eastAsia="宋体" w:cs="宋体"/>
          <w:color w:val="auto"/>
          <w:highlight w:val="none"/>
        </w:rPr>
      </w:pPr>
    </w:p>
    <w:p w14:paraId="5A9ADA1F">
      <w:pPr>
        <w:rPr>
          <w:rFonts w:hint="eastAsia" w:ascii="宋体" w:hAnsi="宋体" w:eastAsia="宋体" w:cs="宋体"/>
          <w:b w:val="0"/>
          <w:bCs w:val="0"/>
          <w:color w:val="auto"/>
          <w:highlight w:val="none"/>
        </w:rPr>
      </w:pPr>
    </w:p>
    <w:p w14:paraId="2FAB00A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CFCBDA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lang w:val="en-US" w:eastAsia="zh-CN"/>
        </w:rPr>
      </w:pPr>
      <w:bookmarkStart w:id="167" w:name="_Toc22064"/>
      <w:r>
        <w:rPr>
          <w:rFonts w:hint="eastAsia" w:ascii="宋体" w:hAnsi="宋体" w:eastAsia="宋体" w:cs="宋体"/>
          <w:b/>
          <w:bCs/>
          <w:color w:val="auto"/>
          <w:sz w:val="44"/>
          <w:szCs w:val="44"/>
          <w:highlight w:val="none"/>
          <w:lang w:val="en-US" w:eastAsia="zh-CN"/>
        </w:rPr>
        <w:t>“政采贷”政策告知函</w:t>
      </w:r>
      <w:bookmarkEnd w:id="167"/>
    </w:p>
    <w:p w14:paraId="561FA929">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19C523D2">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4AD20523">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（成交）通知书或政府采购合同等在内的相关材料、信息向银行业金融机构申请融资，银行业金融机构依托供应商信用和政府采购信息信誉，为其发放贷款，包括银行业金融机构以供应商的历史</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及履约情况等政府采购信息作为授信参考并发放的贷款。贵公司若成为本次政府采购项目的</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25242692">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290B041A">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43"/>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05983C5E">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2A4B370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1.中国建设银行贺州分行</w:t>
      </w:r>
      <w:r>
        <w:rPr>
          <w:rFonts w:hint="eastAsia" w:ascii="宋体" w:hAnsi="宋体" w:eastAsia="宋体" w:cs="宋体"/>
          <w:color w:val="auto"/>
          <w:sz w:val="28"/>
          <w:szCs w:val="28"/>
          <w:highlight w:val="none"/>
          <w:lang w:val="en-US" w:eastAsia="zh-CN"/>
        </w:rPr>
        <w:tab/>
      </w:r>
    </w:p>
    <w:tbl>
      <w:tblPr>
        <w:tblStyle w:val="33"/>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5489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577213E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4EFB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14:paraId="58E1F9C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vAlign w:val="center"/>
          </w:tcPr>
          <w:p w14:paraId="30C645D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vAlign w:val="center"/>
          </w:tcPr>
          <w:p w14:paraId="19A54E0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vAlign w:val="center"/>
          </w:tcPr>
          <w:p w14:paraId="4097AE83">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vAlign w:val="center"/>
          </w:tcPr>
          <w:p w14:paraId="4577A38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vAlign w:val="center"/>
          </w:tcPr>
          <w:p w14:paraId="28F6E11C">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60B5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vAlign w:val="center"/>
          </w:tcPr>
          <w:p w14:paraId="3A8B54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vAlign w:val="center"/>
          </w:tcPr>
          <w:p w14:paraId="4D8BC88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vAlign w:val="center"/>
          </w:tcPr>
          <w:p w14:paraId="64E1439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vAlign w:val="center"/>
          </w:tcPr>
          <w:p w14:paraId="00BB35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6AC9F2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vAlign w:val="center"/>
          </w:tcPr>
          <w:p w14:paraId="65EF9FC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4DFA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742B8BE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vAlign w:val="center"/>
          </w:tcPr>
          <w:p w14:paraId="1D29728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vAlign w:val="center"/>
          </w:tcPr>
          <w:p w14:paraId="4E1A927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vAlign w:val="center"/>
          </w:tcPr>
          <w:p w14:paraId="0BA445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0F2E401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vAlign w:val="center"/>
          </w:tcPr>
          <w:p w14:paraId="2AC8B6A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4F1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F31FF9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vAlign w:val="center"/>
          </w:tcPr>
          <w:p w14:paraId="0A88E0A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vAlign w:val="center"/>
          </w:tcPr>
          <w:p w14:paraId="017EEC0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vAlign w:val="center"/>
          </w:tcPr>
          <w:p w14:paraId="6F229E0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394B9AF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vAlign w:val="center"/>
          </w:tcPr>
          <w:p w14:paraId="10E489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DDE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6C389E0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vAlign w:val="center"/>
          </w:tcPr>
          <w:p w14:paraId="0B27E2A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vAlign w:val="center"/>
          </w:tcPr>
          <w:p w14:paraId="3071261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vAlign w:val="center"/>
          </w:tcPr>
          <w:p w14:paraId="157EC5E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A03AA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vAlign w:val="center"/>
          </w:tcPr>
          <w:p w14:paraId="336F0EA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35A5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3995751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vAlign w:val="center"/>
          </w:tcPr>
          <w:p w14:paraId="3F9BE13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vAlign w:val="center"/>
          </w:tcPr>
          <w:p w14:paraId="004D1FA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vAlign w:val="center"/>
          </w:tcPr>
          <w:p w14:paraId="39FC722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3CFF64A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vAlign w:val="center"/>
          </w:tcPr>
          <w:p w14:paraId="3D71B54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7C1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1ABD55C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360" w:type="dxa"/>
            <w:vAlign w:val="center"/>
          </w:tcPr>
          <w:p w14:paraId="61D7ADD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vAlign w:val="center"/>
          </w:tcPr>
          <w:p w14:paraId="7A22495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vAlign w:val="center"/>
          </w:tcPr>
          <w:p w14:paraId="5246D86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vAlign w:val="center"/>
          </w:tcPr>
          <w:p w14:paraId="63BF040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vAlign w:val="center"/>
          </w:tcPr>
          <w:p w14:paraId="6B46744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031A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364C38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360" w:type="dxa"/>
            <w:vAlign w:val="center"/>
          </w:tcPr>
          <w:p w14:paraId="3AE98D0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vAlign w:val="center"/>
          </w:tcPr>
          <w:p w14:paraId="55639AB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vAlign w:val="center"/>
          </w:tcPr>
          <w:p w14:paraId="0B95897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14:paraId="7A5030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vAlign w:val="center"/>
          </w:tcPr>
          <w:p w14:paraId="0141AC5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6EF04E90">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2.广西北部湾银行</w:t>
      </w:r>
    </w:p>
    <w:tbl>
      <w:tblPr>
        <w:tblStyle w:val="33"/>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1D10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500BCC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1D7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2CE090D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14:paraId="012E1A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vAlign w:val="center"/>
          </w:tcPr>
          <w:p w14:paraId="710F33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vAlign w:val="center"/>
          </w:tcPr>
          <w:p w14:paraId="5C1A640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vAlign w:val="center"/>
          </w:tcPr>
          <w:p w14:paraId="0CB7EFD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vAlign w:val="center"/>
          </w:tcPr>
          <w:p w14:paraId="4A32BCD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0D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0064A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14:paraId="168350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vAlign w:val="center"/>
          </w:tcPr>
          <w:p w14:paraId="3A50C06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vAlign w:val="center"/>
          </w:tcPr>
          <w:p w14:paraId="039228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vAlign w:val="center"/>
          </w:tcPr>
          <w:p w14:paraId="41B45B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vAlign w:val="center"/>
          </w:tcPr>
          <w:p w14:paraId="08C7D79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0D75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CA548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14:paraId="0EE8B4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vAlign w:val="center"/>
          </w:tcPr>
          <w:p w14:paraId="09A4F0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vAlign w:val="center"/>
          </w:tcPr>
          <w:p w14:paraId="399E7D1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14:paraId="463CFFB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vAlign w:val="center"/>
          </w:tcPr>
          <w:p w14:paraId="3B6BF15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0E0E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3F8E5A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14:paraId="0D9ADE9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vAlign w:val="center"/>
          </w:tcPr>
          <w:p w14:paraId="78F741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vAlign w:val="center"/>
          </w:tcPr>
          <w:p w14:paraId="1890C6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14:paraId="6722E89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vAlign w:val="center"/>
          </w:tcPr>
          <w:p w14:paraId="5FCFA7D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437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56305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14:paraId="44DF759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vAlign w:val="center"/>
          </w:tcPr>
          <w:p w14:paraId="51F7D3F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vAlign w:val="center"/>
          </w:tcPr>
          <w:p w14:paraId="40AA255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vAlign w:val="center"/>
          </w:tcPr>
          <w:p w14:paraId="4629BC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vAlign w:val="center"/>
          </w:tcPr>
          <w:p w14:paraId="0C257E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23F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3E8918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vAlign w:val="center"/>
          </w:tcPr>
          <w:p w14:paraId="43DDC8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vAlign w:val="center"/>
          </w:tcPr>
          <w:p w14:paraId="7BBB39E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vAlign w:val="center"/>
          </w:tcPr>
          <w:p w14:paraId="4D4AE9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vAlign w:val="center"/>
          </w:tcPr>
          <w:p w14:paraId="3D7C9F4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vAlign w:val="center"/>
          </w:tcPr>
          <w:p w14:paraId="6ACA9CA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652A4EBB">
      <w:pPr>
        <w:rPr>
          <w:rFonts w:hint="eastAsia" w:ascii="宋体" w:hAnsi="宋体" w:eastAsia="宋体" w:cs="宋体"/>
          <w:color w:val="auto"/>
          <w:sz w:val="21"/>
          <w:szCs w:val="21"/>
          <w:highlight w:val="none"/>
        </w:rPr>
      </w:pPr>
    </w:p>
    <w:tbl>
      <w:tblPr>
        <w:tblStyle w:val="33"/>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4EB8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1986B198">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8"/>
                <w:szCs w:val="28"/>
                <w:highlight w:val="none"/>
                <w:lang w:val="en-US" w:eastAsia="zh-CN"/>
              </w:rPr>
              <w:t>3.广西贺州桂东农村合作银行</w:t>
            </w: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0F4D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7EDDAA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14:paraId="59245E2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vAlign w:val="center"/>
          </w:tcPr>
          <w:p w14:paraId="0C426EF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vAlign w:val="center"/>
          </w:tcPr>
          <w:p w14:paraId="030234A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vAlign w:val="center"/>
          </w:tcPr>
          <w:p w14:paraId="5A987A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vAlign w:val="center"/>
          </w:tcPr>
          <w:p w14:paraId="632A63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08B6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74B173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14:paraId="11BBB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vAlign w:val="center"/>
          </w:tcPr>
          <w:p w14:paraId="46C0FB6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vAlign w:val="center"/>
          </w:tcPr>
          <w:p w14:paraId="24B246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vAlign w:val="center"/>
          </w:tcPr>
          <w:p w14:paraId="2CD88D4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vAlign w:val="center"/>
          </w:tcPr>
          <w:p w14:paraId="78D2ABD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687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A346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14:paraId="5DC1AF15">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vAlign w:val="center"/>
          </w:tcPr>
          <w:p w14:paraId="510293F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vAlign w:val="center"/>
          </w:tcPr>
          <w:p w14:paraId="75D547E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vAlign w:val="center"/>
          </w:tcPr>
          <w:p w14:paraId="70E183F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vAlign w:val="center"/>
          </w:tcPr>
          <w:p w14:paraId="57FEE19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1950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731436D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14:paraId="5FDD3267">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vAlign w:val="center"/>
          </w:tcPr>
          <w:p w14:paraId="10CCB7C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vAlign w:val="center"/>
          </w:tcPr>
          <w:p w14:paraId="5C6B878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14:paraId="2C0B2D6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vAlign w:val="center"/>
          </w:tcPr>
          <w:p w14:paraId="4E9451B1">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D96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55" w:type="dxa"/>
            <w:vAlign w:val="center"/>
          </w:tcPr>
          <w:p w14:paraId="1AA7C8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14:paraId="5732510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vAlign w:val="center"/>
          </w:tcPr>
          <w:p w14:paraId="79B9BF3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vAlign w:val="center"/>
          </w:tcPr>
          <w:p w14:paraId="250977A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14:paraId="6B87FC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vAlign w:val="center"/>
          </w:tcPr>
          <w:p w14:paraId="1EA3E20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65E26908">
      <w:pPr>
        <w:pStyle w:val="5"/>
        <w:rPr>
          <w:rFonts w:hint="eastAsia" w:ascii="宋体" w:hAnsi="宋体" w:eastAsia="宋体" w:cs="宋体"/>
          <w:color w:val="auto"/>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F4C5">
    <w:pPr>
      <w:pStyle w:val="20"/>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842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2CD9">
    <w:pPr>
      <w:pStyle w:val="20"/>
      <w:tabs>
        <w:tab w:val="center" w:pos="4439"/>
        <w:tab w:val="clear" w:pos="4153"/>
      </w:tabs>
      <w:jc w:val="both"/>
    </w:pPr>
  </w:p>
  <w:p w14:paraId="7CC6AAE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B4F1">
    <w:pPr>
      <w:pStyle w:val="2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409784A8"/>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FT5rQAAAAAwEAAA8AAAAAAAAAAQAgAAAAIgAAAGRycy9k&#10;b3ducmV2LnhtbFBLAQIUABQAAAAIAIdO4kCiRq/40QEAAKUDAAAOAAAAAAAAAAEAIAAAAB8BAABk&#10;cnMvZTJvRG9jLnhtbFBLBQYAAAAABgAGAFkBAABiBQAAAAA=&#10;">
              <v:fill on="f" focussize="0,0"/>
              <v:stroke on="f"/>
              <v:imagedata o:title=""/>
              <o:lock v:ext="edit" aspectratio="f"/>
              <v:textbox inset="0mm,0mm,0mm,0mm" style="mso-fit-shape-to-text:t;">
                <w:txbxContent>
                  <w:p w14:paraId="409784A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D302">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FCBD09F">
                          <w:pPr>
                            <w:pStyle w:val="20"/>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vABY0QAAAAIBAAAPAAAAAAAAAAEA&#10;IAAAACIAAABkcnMvZG93bnJldi54bWxQSwECFAAUAAAACACHTuJASFkz+90BAACuAwAADgAAAAAA&#10;AAABACAAAAAgAQAAZHJzL2Uyb0RvYy54bWxQSwUGAAAAAAYABgBZAQAAbwUAAAAA&#10;">
              <v:fill on="f" focussize="0,0"/>
              <v:stroke on="f" weight="0.5pt"/>
              <v:imagedata o:title=""/>
              <o:lock v:ext="edit" aspectratio="f"/>
              <v:textbox inset="0mm,0mm,0mm,0mm" style="mso-fit-shape-to-text:t;">
                <w:txbxContent>
                  <w:p w14:paraId="3FCBD09F">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19D9">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FC1C5">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uUrXAQAAsQMAAA4AAABkcnMvZTJvRG9jLnhtbK1TwY7TMBC9I/EP&#10;lu80aYFV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yGMycsDfzy4/vl5+/Lr29s&#10;+Srp03usKO3eU2Ic3sJAWzPfI10m2kMbbPoSIUZxUvd8VVcNkcn0aL1ar0sKSYrNDuEXD899wPhO&#10;gWXJqHmg8WVVxekDxjF1TknVHNxpY/IIjWM9cXj5uswPrhECNy7lqrwME0yiNLaerDjsh4nnHpoz&#10;0expIWruaP85M+8d6Z12ZzbCbOxn4+iDPnTU8TJXR//mGKm33HKqMMIS1eTQJDPpaevSqvzt56yH&#10;P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ybLlK1wEAALEDAAAOAAAAAAAAAAEAIAAA&#10;AB8BAABkcnMvZTJvRG9jLnhtbFBLBQYAAAAABgAGAFkBAABoBQAAAAA=&#10;">
              <v:fill on="f" focussize="0,0"/>
              <v:stroke on="f" weight="0.5pt"/>
              <v:imagedata o:title=""/>
              <o:lock v:ext="edit" aspectratio="f"/>
              <v:textbox inset="0mm,0mm,0mm,0mm" style="mso-fit-shape-to-text:t;">
                <w:txbxContent>
                  <w:p w14:paraId="270FC1C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1AB7">
    <w:pPr>
      <w:pStyle w:val="17"/>
      <w:rPr>
        <w:rFonts w:hint="eastAsia" w:ascii="仿宋_GB2312" w:hAnsi="宋体" w:eastAsia="宋体"/>
        <w:sz w:val="18"/>
        <w:szCs w:val="18"/>
        <w:u w:val="single"/>
        <w:lang w:eastAsia="zh-CN"/>
      </w:rPr>
    </w:pPr>
    <w:r>
      <w:rPr>
        <w:rFonts w:hint="eastAsia" w:hAnsi="宋体"/>
      </w:rPr>
      <w:t>项目名称：</w:t>
    </w:r>
    <w:r>
      <w:rPr>
        <w:rFonts w:hAnsi="宋体"/>
      </w:rPr>
      <w:t>2021</w:t>
    </w:r>
    <w:r>
      <w:rPr>
        <w:rFonts w:hint="eastAsia" w:hAnsi="宋体"/>
      </w:rPr>
      <w:t>年贺州市市政桥梁常规性检测和灵峰大桥斜拉索、贺州大桥吊索专业检测项目项目编号：</w:t>
    </w:r>
    <w:r>
      <w:rPr>
        <w:rFonts w:hint="eastAsia" w:hAnsi="宋体"/>
        <w:lang w:eastAsia="zh-CN"/>
      </w:rPr>
      <w:t>HZZC2025-C3-990166-GXWX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CD89">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FE66">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F09B">
    <w:pPr>
      <w:pStyle w:val="21"/>
      <w:pBdr>
        <w:bottom w:val="single" w:color="auto" w:sz="4" w:space="1"/>
      </w:pBdr>
      <w:ind w:left="2380" w:hanging="2380" w:hangingChars="1400"/>
      <w:jc w:val="both"/>
      <w:rPr>
        <w:rFonts w:hint="eastAsia" w:eastAsia="宋体"/>
        <w:sz w:val="17"/>
        <w:szCs w:val="17"/>
        <w:lang w:eastAsia="zh-CN"/>
      </w:rPr>
    </w:pPr>
    <w:r>
      <w:rPr>
        <w:rFonts w:hint="eastAsia" w:ascii="宋体" w:hAnsi="宋体" w:cs="宋体"/>
        <w:color w:val="000000"/>
        <w:sz w:val="17"/>
        <w:szCs w:val="17"/>
      </w:rPr>
      <w:t>项目名称：</w:t>
    </w:r>
    <w:r>
      <w:rPr>
        <w:rFonts w:hint="eastAsia" w:ascii="宋体" w:hAnsi="宋体" w:cs="宋体"/>
        <w:color w:val="000000"/>
        <w:sz w:val="17"/>
        <w:szCs w:val="17"/>
        <w:lang w:eastAsia="zh-CN"/>
      </w:rPr>
      <w:t>2025年贺州市平桂生态环境局委托监测事项</w:t>
    </w:r>
    <w:r>
      <w:rPr>
        <w:rFonts w:hint="eastAsia" w:ascii="宋体" w:hAnsi="宋体" w:cs="宋体"/>
        <w:color w:val="000000"/>
        <w:sz w:val="17"/>
        <w:szCs w:val="17"/>
        <w:lang w:val="en-US" w:eastAsia="zh-CN"/>
      </w:rPr>
      <w:t xml:space="preserve">                       项目编号：HZZC2025-C3-990166-GXWX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5CFF">
    <w:pPr>
      <w:pStyle w:val="21"/>
      <w:pBdr>
        <w:bottom w:val="single" w:color="auto" w:sz="4" w:space="1"/>
      </w:pBdr>
      <w:jc w:val="left"/>
      <w:rPr>
        <w:rFonts w:hint="default" w:eastAsia="宋体"/>
        <w:sz w:val="17"/>
        <w:szCs w:val="17"/>
        <w:lang w:val="en-US" w:eastAsia="zh-CN"/>
      </w:rPr>
    </w:pPr>
    <w:r>
      <w:rPr>
        <w:rFonts w:hint="eastAsia" w:ascii="宋体" w:hAnsi="宋体" w:cs="宋体"/>
        <w:color w:val="000000"/>
        <w:sz w:val="17"/>
        <w:szCs w:val="17"/>
      </w:rPr>
      <w:t>项目名称：</w:t>
    </w:r>
    <w:r>
      <w:rPr>
        <w:rFonts w:hint="eastAsia" w:ascii="宋体" w:hAnsi="宋体" w:cs="宋体"/>
        <w:color w:val="000000"/>
        <w:sz w:val="17"/>
        <w:szCs w:val="17"/>
        <w:lang w:eastAsia="zh-CN"/>
      </w:rPr>
      <w:t>2025年贺州市平桂生态环境局委托监测事项</w:t>
    </w:r>
    <w:r>
      <w:rPr>
        <w:rFonts w:hint="eastAsia" w:ascii="宋体" w:hAnsi="宋体" w:cs="宋体"/>
        <w:color w:val="000000"/>
        <w:sz w:val="17"/>
        <w:szCs w:val="17"/>
        <w:lang w:val="en-US" w:eastAsia="zh-CN"/>
      </w:rPr>
      <w:t xml:space="preserve">                               项目编号：HZZC2025-C3-990166-GXWX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68B00"/>
    <w:multiLevelType w:val="singleLevel"/>
    <w:tmpl w:val="DB368B00"/>
    <w:lvl w:ilvl="0" w:tentative="0">
      <w:start w:val="1"/>
      <w:numFmt w:val="chineseCounting"/>
      <w:suff w:val="space"/>
      <w:lvlText w:val="第%1章"/>
      <w:lvlJc w:val="left"/>
      <w:rPr>
        <w:rFonts w:hint="eastAsia" w:cs="Times New Roman"/>
      </w:rPr>
    </w:lvl>
  </w:abstractNum>
  <w:abstractNum w:abstractNumId="1">
    <w:nsid w:val="EB8CEB78"/>
    <w:multiLevelType w:val="singleLevel"/>
    <w:tmpl w:val="EB8CEB78"/>
    <w:lvl w:ilvl="0" w:tentative="0">
      <w:start w:val="3"/>
      <w:numFmt w:val="chineseCounting"/>
      <w:suff w:val="space"/>
      <w:lvlText w:val="第%1章"/>
      <w:lvlJc w:val="left"/>
      <w:rPr>
        <w:rFonts w:hint="eastAsia" w:cs="Times New Roman"/>
      </w:rPr>
    </w:lvl>
  </w:abstractNum>
  <w:abstractNum w:abstractNumId="2">
    <w:nsid w:val="3BC73028"/>
    <w:multiLevelType w:val="singleLevel"/>
    <w:tmpl w:val="3BC73028"/>
    <w:lvl w:ilvl="0" w:tentative="0">
      <w:start w:val="1"/>
      <w:numFmt w:val="decimal"/>
      <w:pStyle w:val="7"/>
      <w:lvlText w:val="%1."/>
      <w:lvlJc w:val="left"/>
      <w:pPr>
        <w:tabs>
          <w:tab w:val="left" w:pos="360"/>
        </w:tabs>
        <w:ind w:left="360" w:hanging="360"/>
      </w:pPr>
      <w:rPr>
        <w:rFonts w:cs="Times New Roman"/>
      </w:rPr>
    </w:lvl>
  </w:abstractNum>
  <w:abstractNum w:abstractNumId="3">
    <w:nsid w:val="6823FFC6"/>
    <w:multiLevelType w:val="singleLevel"/>
    <w:tmpl w:val="6823FFC6"/>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forms" w:enforcement="1" w:cryptProviderType="rsaFull" w:cryptAlgorithmClass="hash" w:cryptAlgorithmType="typeAny" w:cryptAlgorithmSid="4" w:cryptSpinCount="0" w:hash="GEJmoBBAd0ORLhBGwDebsgmr8qk=" w:salt="RfwcLr7QiPsZVfTuD9xgww=="/>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DdlOTljMzNmZDE1MzFiYjE3NmQzNmRlOWYxOTMifQ=="/>
    <w:docVar w:name="KSO_WPS_MARK_KEY" w:val="21111430-2aa3-4980-b10a-6bfeb8591eb9"/>
  </w:docVars>
  <w:rsids>
    <w:rsidRoot w:val="2A3E728F"/>
    <w:rsid w:val="000009A6"/>
    <w:rsid w:val="00016083"/>
    <w:rsid w:val="00032069"/>
    <w:rsid w:val="00032510"/>
    <w:rsid w:val="0006756C"/>
    <w:rsid w:val="00082E53"/>
    <w:rsid w:val="00096E2F"/>
    <w:rsid w:val="000A72C0"/>
    <w:rsid w:val="000C3FE4"/>
    <w:rsid w:val="00100813"/>
    <w:rsid w:val="001176B3"/>
    <w:rsid w:val="00140789"/>
    <w:rsid w:val="001540B1"/>
    <w:rsid w:val="00171696"/>
    <w:rsid w:val="001C1006"/>
    <w:rsid w:val="00210F50"/>
    <w:rsid w:val="00231AF2"/>
    <w:rsid w:val="002573C9"/>
    <w:rsid w:val="00270987"/>
    <w:rsid w:val="002916FA"/>
    <w:rsid w:val="002B3DF2"/>
    <w:rsid w:val="002C0D6B"/>
    <w:rsid w:val="002D2BF6"/>
    <w:rsid w:val="002E2B80"/>
    <w:rsid w:val="002F2FA8"/>
    <w:rsid w:val="00314829"/>
    <w:rsid w:val="00330FA3"/>
    <w:rsid w:val="00340D7B"/>
    <w:rsid w:val="003463E6"/>
    <w:rsid w:val="00374783"/>
    <w:rsid w:val="003A5FE1"/>
    <w:rsid w:val="003B1F1B"/>
    <w:rsid w:val="003B20A2"/>
    <w:rsid w:val="003D067D"/>
    <w:rsid w:val="003F53CB"/>
    <w:rsid w:val="00470842"/>
    <w:rsid w:val="00475D80"/>
    <w:rsid w:val="00481418"/>
    <w:rsid w:val="00483B7F"/>
    <w:rsid w:val="004A1721"/>
    <w:rsid w:val="004A655D"/>
    <w:rsid w:val="004B5445"/>
    <w:rsid w:val="004D6B12"/>
    <w:rsid w:val="004D7A09"/>
    <w:rsid w:val="004E64DF"/>
    <w:rsid w:val="00502685"/>
    <w:rsid w:val="00525546"/>
    <w:rsid w:val="00526617"/>
    <w:rsid w:val="005305CC"/>
    <w:rsid w:val="005552B0"/>
    <w:rsid w:val="005638EB"/>
    <w:rsid w:val="00563DA7"/>
    <w:rsid w:val="00582092"/>
    <w:rsid w:val="005978E8"/>
    <w:rsid w:val="005B0F5A"/>
    <w:rsid w:val="005B3593"/>
    <w:rsid w:val="005B5F6C"/>
    <w:rsid w:val="005C611E"/>
    <w:rsid w:val="005C6AF4"/>
    <w:rsid w:val="006048E6"/>
    <w:rsid w:val="0063374F"/>
    <w:rsid w:val="00650DB9"/>
    <w:rsid w:val="006611CA"/>
    <w:rsid w:val="00685DA1"/>
    <w:rsid w:val="00696DCE"/>
    <w:rsid w:val="006B05B7"/>
    <w:rsid w:val="006F40C5"/>
    <w:rsid w:val="00732C52"/>
    <w:rsid w:val="007570BA"/>
    <w:rsid w:val="007830F4"/>
    <w:rsid w:val="00794924"/>
    <w:rsid w:val="007B7432"/>
    <w:rsid w:val="007F5587"/>
    <w:rsid w:val="00875823"/>
    <w:rsid w:val="008B0781"/>
    <w:rsid w:val="008E720C"/>
    <w:rsid w:val="008F36C2"/>
    <w:rsid w:val="009033CD"/>
    <w:rsid w:val="009034B0"/>
    <w:rsid w:val="009320D1"/>
    <w:rsid w:val="0093314A"/>
    <w:rsid w:val="00933867"/>
    <w:rsid w:val="00957ACE"/>
    <w:rsid w:val="00960B79"/>
    <w:rsid w:val="0098004F"/>
    <w:rsid w:val="009964FB"/>
    <w:rsid w:val="009B1A9A"/>
    <w:rsid w:val="009C4157"/>
    <w:rsid w:val="009D4CE9"/>
    <w:rsid w:val="009E0D97"/>
    <w:rsid w:val="009E798A"/>
    <w:rsid w:val="009F75F4"/>
    <w:rsid w:val="00A13F3A"/>
    <w:rsid w:val="00A17970"/>
    <w:rsid w:val="00A441C9"/>
    <w:rsid w:val="00A45F86"/>
    <w:rsid w:val="00A54E91"/>
    <w:rsid w:val="00A56771"/>
    <w:rsid w:val="00A650EE"/>
    <w:rsid w:val="00A71890"/>
    <w:rsid w:val="00A97C0B"/>
    <w:rsid w:val="00AA3B08"/>
    <w:rsid w:val="00AD3661"/>
    <w:rsid w:val="00AD6902"/>
    <w:rsid w:val="00AE69E9"/>
    <w:rsid w:val="00AF306F"/>
    <w:rsid w:val="00B3162B"/>
    <w:rsid w:val="00B51971"/>
    <w:rsid w:val="00BA3748"/>
    <w:rsid w:val="00BA7E81"/>
    <w:rsid w:val="00BD0AD5"/>
    <w:rsid w:val="00BD75F1"/>
    <w:rsid w:val="00BE1291"/>
    <w:rsid w:val="00BE63DE"/>
    <w:rsid w:val="00C01F69"/>
    <w:rsid w:val="00C4214D"/>
    <w:rsid w:val="00C73FD5"/>
    <w:rsid w:val="00C82CE3"/>
    <w:rsid w:val="00CC5E77"/>
    <w:rsid w:val="00CE2172"/>
    <w:rsid w:val="00D43991"/>
    <w:rsid w:val="00D512E8"/>
    <w:rsid w:val="00D52C18"/>
    <w:rsid w:val="00D53F99"/>
    <w:rsid w:val="00D6154A"/>
    <w:rsid w:val="00DA730D"/>
    <w:rsid w:val="00DE32E4"/>
    <w:rsid w:val="00DF1A13"/>
    <w:rsid w:val="00E108B9"/>
    <w:rsid w:val="00E3431C"/>
    <w:rsid w:val="00E46136"/>
    <w:rsid w:val="00E51707"/>
    <w:rsid w:val="00E57295"/>
    <w:rsid w:val="00E86305"/>
    <w:rsid w:val="00E9086F"/>
    <w:rsid w:val="00EA49A6"/>
    <w:rsid w:val="00EB2771"/>
    <w:rsid w:val="00ED678A"/>
    <w:rsid w:val="00F03B99"/>
    <w:rsid w:val="00F07621"/>
    <w:rsid w:val="00F36CF1"/>
    <w:rsid w:val="00F4034A"/>
    <w:rsid w:val="00F5271C"/>
    <w:rsid w:val="00F8626F"/>
    <w:rsid w:val="00FB1776"/>
    <w:rsid w:val="00FC446F"/>
    <w:rsid w:val="00FD7B33"/>
    <w:rsid w:val="01172FE5"/>
    <w:rsid w:val="013A2B3D"/>
    <w:rsid w:val="01656BBF"/>
    <w:rsid w:val="016E2F6B"/>
    <w:rsid w:val="018C54BE"/>
    <w:rsid w:val="018F0DCA"/>
    <w:rsid w:val="01A16E8E"/>
    <w:rsid w:val="01B701A0"/>
    <w:rsid w:val="02BC2132"/>
    <w:rsid w:val="03100C8D"/>
    <w:rsid w:val="03226400"/>
    <w:rsid w:val="035A1212"/>
    <w:rsid w:val="03B756B8"/>
    <w:rsid w:val="03BC033A"/>
    <w:rsid w:val="03E868D9"/>
    <w:rsid w:val="041A49BA"/>
    <w:rsid w:val="041B6C06"/>
    <w:rsid w:val="042C4A18"/>
    <w:rsid w:val="04394155"/>
    <w:rsid w:val="045F4F3F"/>
    <w:rsid w:val="046B089F"/>
    <w:rsid w:val="04820FCD"/>
    <w:rsid w:val="051A6CF7"/>
    <w:rsid w:val="055A04CD"/>
    <w:rsid w:val="057C539B"/>
    <w:rsid w:val="05917C10"/>
    <w:rsid w:val="059C0CDF"/>
    <w:rsid w:val="05D76DD5"/>
    <w:rsid w:val="05FA3DEF"/>
    <w:rsid w:val="065D15E0"/>
    <w:rsid w:val="069C402E"/>
    <w:rsid w:val="06AA3674"/>
    <w:rsid w:val="071602A1"/>
    <w:rsid w:val="07E16195"/>
    <w:rsid w:val="07E80342"/>
    <w:rsid w:val="07F13FAE"/>
    <w:rsid w:val="07FB2967"/>
    <w:rsid w:val="08336AD7"/>
    <w:rsid w:val="088F757D"/>
    <w:rsid w:val="089239B9"/>
    <w:rsid w:val="0897545E"/>
    <w:rsid w:val="08A655FC"/>
    <w:rsid w:val="08CC006C"/>
    <w:rsid w:val="091943FA"/>
    <w:rsid w:val="091C4689"/>
    <w:rsid w:val="092E40A1"/>
    <w:rsid w:val="09374774"/>
    <w:rsid w:val="096206D2"/>
    <w:rsid w:val="096B15A3"/>
    <w:rsid w:val="097C4904"/>
    <w:rsid w:val="09916EF4"/>
    <w:rsid w:val="09976DD7"/>
    <w:rsid w:val="09C70928"/>
    <w:rsid w:val="09D73678"/>
    <w:rsid w:val="09D92A31"/>
    <w:rsid w:val="09E7392E"/>
    <w:rsid w:val="0AB15A88"/>
    <w:rsid w:val="0ABC3F90"/>
    <w:rsid w:val="0ABD48D4"/>
    <w:rsid w:val="0AF67049"/>
    <w:rsid w:val="0B352404"/>
    <w:rsid w:val="0B643F1C"/>
    <w:rsid w:val="0B821E6A"/>
    <w:rsid w:val="0BB53001"/>
    <w:rsid w:val="0C031AE1"/>
    <w:rsid w:val="0C312B99"/>
    <w:rsid w:val="0C335579"/>
    <w:rsid w:val="0D064164"/>
    <w:rsid w:val="0D360405"/>
    <w:rsid w:val="0D5D1E24"/>
    <w:rsid w:val="0D7D692A"/>
    <w:rsid w:val="0DC705C1"/>
    <w:rsid w:val="0DCF706C"/>
    <w:rsid w:val="0E120D65"/>
    <w:rsid w:val="0E4D2D8B"/>
    <w:rsid w:val="0E541D54"/>
    <w:rsid w:val="0E724781"/>
    <w:rsid w:val="0E82290E"/>
    <w:rsid w:val="0E8D35AB"/>
    <w:rsid w:val="0E8D504E"/>
    <w:rsid w:val="0EEE3633"/>
    <w:rsid w:val="0EF35889"/>
    <w:rsid w:val="0F2E1A2C"/>
    <w:rsid w:val="0F6E48A1"/>
    <w:rsid w:val="0FEE5277"/>
    <w:rsid w:val="0FF30ADF"/>
    <w:rsid w:val="1018612E"/>
    <w:rsid w:val="10993435"/>
    <w:rsid w:val="10C60151"/>
    <w:rsid w:val="10FF2FE6"/>
    <w:rsid w:val="112F2150"/>
    <w:rsid w:val="114333A1"/>
    <w:rsid w:val="11710488"/>
    <w:rsid w:val="11B3212E"/>
    <w:rsid w:val="11B9349E"/>
    <w:rsid w:val="11BC7019"/>
    <w:rsid w:val="11CC3396"/>
    <w:rsid w:val="121B198F"/>
    <w:rsid w:val="123A4A59"/>
    <w:rsid w:val="123C2A45"/>
    <w:rsid w:val="128929E2"/>
    <w:rsid w:val="129908DA"/>
    <w:rsid w:val="12A06CBB"/>
    <w:rsid w:val="12B64912"/>
    <w:rsid w:val="12C549B5"/>
    <w:rsid w:val="12D55258"/>
    <w:rsid w:val="13590611"/>
    <w:rsid w:val="137623E7"/>
    <w:rsid w:val="13893C82"/>
    <w:rsid w:val="138F10FE"/>
    <w:rsid w:val="13961EAE"/>
    <w:rsid w:val="13B74ED2"/>
    <w:rsid w:val="13D346F0"/>
    <w:rsid w:val="141A663B"/>
    <w:rsid w:val="14423DE3"/>
    <w:rsid w:val="147121BA"/>
    <w:rsid w:val="149A0DC5"/>
    <w:rsid w:val="14D448E0"/>
    <w:rsid w:val="14EA19E8"/>
    <w:rsid w:val="152C05B0"/>
    <w:rsid w:val="15B30AF5"/>
    <w:rsid w:val="15C221FC"/>
    <w:rsid w:val="15F7586B"/>
    <w:rsid w:val="17DD03B6"/>
    <w:rsid w:val="17FD57FE"/>
    <w:rsid w:val="182E34E6"/>
    <w:rsid w:val="18434062"/>
    <w:rsid w:val="18664544"/>
    <w:rsid w:val="18867F27"/>
    <w:rsid w:val="18AC1B3E"/>
    <w:rsid w:val="18B52DD6"/>
    <w:rsid w:val="18C22AF3"/>
    <w:rsid w:val="18ED753E"/>
    <w:rsid w:val="19B117EF"/>
    <w:rsid w:val="1A062EFF"/>
    <w:rsid w:val="1A152B7F"/>
    <w:rsid w:val="1A346552"/>
    <w:rsid w:val="1A5A3651"/>
    <w:rsid w:val="1A884678"/>
    <w:rsid w:val="1AA70A4B"/>
    <w:rsid w:val="1ABC3982"/>
    <w:rsid w:val="1ACD08AB"/>
    <w:rsid w:val="1ACE3676"/>
    <w:rsid w:val="1AF37BE5"/>
    <w:rsid w:val="1B02691D"/>
    <w:rsid w:val="1B522B5E"/>
    <w:rsid w:val="1B823D35"/>
    <w:rsid w:val="1C451885"/>
    <w:rsid w:val="1C87236E"/>
    <w:rsid w:val="1C97789D"/>
    <w:rsid w:val="1D0D3703"/>
    <w:rsid w:val="1D181F30"/>
    <w:rsid w:val="1D2C11D5"/>
    <w:rsid w:val="1D6B06CF"/>
    <w:rsid w:val="1D8C279F"/>
    <w:rsid w:val="1DFF1644"/>
    <w:rsid w:val="1E883E01"/>
    <w:rsid w:val="1E933BB9"/>
    <w:rsid w:val="1EE73D7C"/>
    <w:rsid w:val="1F1C3A6C"/>
    <w:rsid w:val="1F3904EF"/>
    <w:rsid w:val="1F973316"/>
    <w:rsid w:val="1F9A2938"/>
    <w:rsid w:val="1FE339C4"/>
    <w:rsid w:val="1FEA3A40"/>
    <w:rsid w:val="20C25D8F"/>
    <w:rsid w:val="210E39CB"/>
    <w:rsid w:val="215A5EE4"/>
    <w:rsid w:val="216108D7"/>
    <w:rsid w:val="21757B73"/>
    <w:rsid w:val="217D46AD"/>
    <w:rsid w:val="219A525F"/>
    <w:rsid w:val="219C11CE"/>
    <w:rsid w:val="221842D9"/>
    <w:rsid w:val="221A4AD7"/>
    <w:rsid w:val="223659D3"/>
    <w:rsid w:val="223C00C4"/>
    <w:rsid w:val="223C3267"/>
    <w:rsid w:val="2261711B"/>
    <w:rsid w:val="22655CF4"/>
    <w:rsid w:val="22FF011D"/>
    <w:rsid w:val="238E415B"/>
    <w:rsid w:val="23A447C5"/>
    <w:rsid w:val="23A91E97"/>
    <w:rsid w:val="242500FD"/>
    <w:rsid w:val="24305A60"/>
    <w:rsid w:val="244F3473"/>
    <w:rsid w:val="24B93E00"/>
    <w:rsid w:val="25165F9F"/>
    <w:rsid w:val="255C7788"/>
    <w:rsid w:val="25676427"/>
    <w:rsid w:val="25AD37B3"/>
    <w:rsid w:val="25F9409C"/>
    <w:rsid w:val="262C006A"/>
    <w:rsid w:val="26E7632C"/>
    <w:rsid w:val="27027B2E"/>
    <w:rsid w:val="270706E8"/>
    <w:rsid w:val="2739769A"/>
    <w:rsid w:val="2742320C"/>
    <w:rsid w:val="27424F71"/>
    <w:rsid w:val="27495569"/>
    <w:rsid w:val="27897DCC"/>
    <w:rsid w:val="278F28E8"/>
    <w:rsid w:val="27BB15DA"/>
    <w:rsid w:val="28804919"/>
    <w:rsid w:val="289B2C53"/>
    <w:rsid w:val="28A0576B"/>
    <w:rsid w:val="28B554BF"/>
    <w:rsid w:val="28C55632"/>
    <w:rsid w:val="28C60D55"/>
    <w:rsid w:val="28CB58F3"/>
    <w:rsid w:val="29086F52"/>
    <w:rsid w:val="290C09EF"/>
    <w:rsid w:val="2938125A"/>
    <w:rsid w:val="29B81A52"/>
    <w:rsid w:val="2A0B58B5"/>
    <w:rsid w:val="2A2A24C5"/>
    <w:rsid w:val="2A353B5D"/>
    <w:rsid w:val="2A3E728F"/>
    <w:rsid w:val="2A9E5960"/>
    <w:rsid w:val="2ABB299B"/>
    <w:rsid w:val="2AF662ED"/>
    <w:rsid w:val="2B6303A5"/>
    <w:rsid w:val="2B6A2337"/>
    <w:rsid w:val="2BA557A7"/>
    <w:rsid w:val="2BAE0C52"/>
    <w:rsid w:val="2BE05B1D"/>
    <w:rsid w:val="2BFC063C"/>
    <w:rsid w:val="2C051BBF"/>
    <w:rsid w:val="2C2C2F57"/>
    <w:rsid w:val="2C385DA0"/>
    <w:rsid w:val="2C396B4B"/>
    <w:rsid w:val="2C5C13E6"/>
    <w:rsid w:val="2C611C34"/>
    <w:rsid w:val="2C806045"/>
    <w:rsid w:val="2CDD60CB"/>
    <w:rsid w:val="2D3C575E"/>
    <w:rsid w:val="2D9C5EBB"/>
    <w:rsid w:val="2DB930AF"/>
    <w:rsid w:val="2DD55BE9"/>
    <w:rsid w:val="2DF857E7"/>
    <w:rsid w:val="2E580737"/>
    <w:rsid w:val="2E5B73CF"/>
    <w:rsid w:val="2E8218B8"/>
    <w:rsid w:val="2EC127B6"/>
    <w:rsid w:val="2EDD2F8E"/>
    <w:rsid w:val="2EDF3F8E"/>
    <w:rsid w:val="2F0E7DE7"/>
    <w:rsid w:val="2F1E393C"/>
    <w:rsid w:val="2F2C0E88"/>
    <w:rsid w:val="2FAE137D"/>
    <w:rsid w:val="301B2C97"/>
    <w:rsid w:val="30607673"/>
    <w:rsid w:val="30973C35"/>
    <w:rsid w:val="310866AF"/>
    <w:rsid w:val="3120068D"/>
    <w:rsid w:val="312F10B4"/>
    <w:rsid w:val="31475916"/>
    <w:rsid w:val="31AB23C8"/>
    <w:rsid w:val="31F77939"/>
    <w:rsid w:val="32046AB8"/>
    <w:rsid w:val="322C1969"/>
    <w:rsid w:val="32A26E1B"/>
    <w:rsid w:val="32AB3437"/>
    <w:rsid w:val="32C907DA"/>
    <w:rsid w:val="32CD7BEB"/>
    <w:rsid w:val="32D40644"/>
    <w:rsid w:val="332F094D"/>
    <w:rsid w:val="3372564C"/>
    <w:rsid w:val="33A5704C"/>
    <w:rsid w:val="33B85625"/>
    <w:rsid w:val="33C703C5"/>
    <w:rsid w:val="33F03188"/>
    <w:rsid w:val="33F65A6A"/>
    <w:rsid w:val="34843C36"/>
    <w:rsid w:val="34E8697C"/>
    <w:rsid w:val="34F5482E"/>
    <w:rsid w:val="35022968"/>
    <w:rsid w:val="351F3A71"/>
    <w:rsid w:val="3520403A"/>
    <w:rsid w:val="35664564"/>
    <w:rsid w:val="35701382"/>
    <w:rsid w:val="357B66C1"/>
    <w:rsid w:val="35AD4B2C"/>
    <w:rsid w:val="3607298A"/>
    <w:rsid w:val="36221863"/>
    <w:rsid w:val="36684B70"/>
    <w:rsid w:val="368D6CE8"/>
    <w:rsid w:val="36FB7E7D"/>
    <w:rsid w:val="37875C03"/>
    <w:rsid w:val="37932249"/>
    <w:rsid w:val="37B5207F"/>
    <w:rsid w:val="37BE43CE"/>
    <w:rsid w:val="380D7BC0"/>
    <w:rsid w:val="38465297"/>
    <w:rsid w:val="384D2A6D"/>
    <w:rsid w:val="386356C0"/>
    <w:rsid w:val="387A32AC"/>
    <w:rsid w:val="38853FAE"/>
    <w:rsid w:val="3898181D"/>
    <w:rsid w:val="38A909A6"/>
    <w:rsid w:val="38B3678C"/>
    <w:rsid w:val="391446AF"/>
    <w:rsid w:val="394E02C3"/>
    <w:rsid w:val="39653C62"/>
    <w:rsid w:val="39932868"/>
    <w:rsid w:val="39A447ED"/>
    <w:rsid w:val="39B749AA"/>
    <w:rsid w:val="39ED7E71"/>
    <w:rsid w:val="39F94F4B"/>
    <w:rsid w:val="3A1073BF"/>
    <w:rsid w:val="3A184F11"/>
    <w:rsid w:val="3A3234DC"/>
    <w:rsid w:val="3A4E27C0"/>
    <w:rsid w:val="3A751FF8"/>
    <w:rsid w:val="3ADE40AC"/>
    <w:rsid w:val="3AFE1031"/>
    <w:rsid w:val="3B312D6E"/>
    <w:rsid w:val="3B4402BD"/>
    <w:rsid w:val="3BAC552A"/>
    <w:rsid w:val="3BCB5679"/>
    <w:rsid w:val="3BE6560C"/>
    <w:rsid w:val="3C3F394C"/>
    <w:rsid w:val="3C786A2E"/>
    <w:rsid w:val="3CAF1767"/>
    <w:rsid w:val="3CB8675D"/>
    <w:rsid w:val="3CBA1A9A"/>
    <w:rsid w:val="3CDD4FE7"/>
    <w:rsid w:val="3D19014F"/>
    <w:rsid w:val="3D484A54"/>
    <w:rsid w:val="3D983AFE"/>
    <w:rsid w:val="3E3D15D3"/>
    <w:rsid w:val="3E52518D"/>
    <w:rsid w:val="3E6E3EB8"/>
    <w:rsid w:val="3EBC0850"/>
    <w:rsid w:val="3F1F07B4"/>
    <w:rsid w:val="3F557629"/>
    <w:rsid w:val="3F8D69C4"/>
    <w:rsid w:val="3FA16FF5"/>
    <w:rsid w:val="3FD10D74"/>
    <w:rsid w:val="3FEC7999"/>
    <w:rsid w:val="3FF61526"/>
    <w:rsid w:val="403C0379"/>
    <w:rsid w:val="40875A0C"/>
    <w:rsid w:val="40AD7EC7"/>
    <w:rsid w:val="40CB47FE"/>
    <w:rsid w:val="40F1732B"/>
    <w:rsid w:val="41054547"/>
    <w:rsid w:val="41390199"/>
    <w:rsid w:val="417B63BF"/>
    <w:rsid w:val="41C04905"/>
    <w:rsid w:val="41FB7AC5"/>
    <w:rsid w:val="42181742"/>
    <w:rsid w:val="42202F1B"/>
    <w:rsid w:val="42222714"/>
    <w:rsid w:val="422C2EAF"/>
    <w:rsid w:val="42747F31"/>
    <w:rsid w:val="42984A4B"/>
    <w:rsid w:val="42A64AB8"/>
    <w:rsid w:val="42C27D1A"/>
    <w:rsid w:val="432663BC"/>
    <w:rsid w:val="43306A6E"/>
    <w:rsid w:val="4355293C"/>
    <w:rsid w:val="43746A4F"/>
    <w:rsid w:val="437B5C49"/>
    <w:rsid w:val="43B41FAA"/>
    <w:rsid w:val="43C950D6"/>
    <w:rsid w:val="43E653CB"/>
    <w:rsid w:val="441421EC"/>
    <w:rsid w:val="44DC18B0"/>
    <w:rsid w:val="44DF0313"/>
    <w:rsid w:val="4527229D"/>
    <w:rsid w:val="455C6591"/>
    <w:rsid w:val="4645232A"/>
    <w:rsid w:val="468702FB"/>
    <w:rsid w:val="469C741A"/>
    <w:rsid w:val="46A81336"/>
    <w:rsid w:val="46AF41CE"/>
    <w:rsid w:val="46DC4631"/>
    <w:rsid w:val="478741B1"/>
    <w:rsid w:val="47AA78DA"/>
    <w:rsid w:val="47AC4806"/>
    <w:rsid w:val="47CC07A2"/>
    <w:rsid w:val="47D421AE"/>
    <w:rsid w:val="483C1A81"/>
    <w:rsid w:val="484F3F98"/>
    <w:rsid w:val="48753C82"/>
    <w:rsid w:val="48C91ED4"/>
    <w:rsid w:val="48CB6985"/>
    <w:rsid w:val="48F43185"/>
    <w:rsid w:val="49002D14"/>
    <w:rsid w:val="4917003B"/>
    <w:rsid w:val="497C0C22"/>
    <w:rsid w:val="49834C72"/>
    <w:rsid w:val="49865F45"/>
    <w:rsid w:val="49D5246A"/>
    <w:rsid w:val="49E03D09"/>
    <w:rsid w:val="49F87EE7"/>
    <w:rsid w:val="4A162E25"/>
    <w:rsid w:val="4A75554A"/>
    <w:rsid w:val="4AE313EE"/>
    <w:rsid w:val="4B3537EA"/>
    <w:rsid w:val="4B707823"/>
    <w:rsid w:val="4B8E399E"/>
    <w:rsid w:val="4B906C07"/>
    <w:rsid w:val="4BCC36DF"/>
    <w:rsid w:val="4C2E2C87"/>
    <w:rsid w:val="4C474860"/>
    <w:rsid w:val="4C987F91"/>
    <w:rsid w:val="4D196336"/>
    <w:rsid w:val="4D2E5687"/>
    <w:rsid w:val="4DC85BF6"/>
    <w:rsid w:val="4E6271F0"/>
    <w:rsid w:val="4EB329FB"/>
    <w:rsid w:val="4ECD3167"/>
    <w:rsid w:val="4EFD1998"/>
    <w:rsid w:val="4F811208"/>
    <w:rsid w:val="4F8B162E"/>
    <w:rsid w:val="4FAC1BA4"/>
    <w:rsid w:val="4FAD422B"/>
    <w:rsid w:val="4FB045C9"/>
    <w:rsid w:val="4FB15936"/>
    <w:rsid w:val="501600FC"/>
    <w:rsid w:val="508A5BB7"/>
    <w:rsid w:val="52274366"/>
    <w:rsid w:val="525766D1"/>
    <w:rsid w:val="52CB6777"/>
    <w:rsid w:val="53083527"/>
    <w:rsid w:val="53396D55"/>
    <w:rsid w:val="53852453"/>
    <w:rsid w:val="53A714C3"/>
    <w:rsid w:val="54F02C09"/>
    <w:rsid w:val="55302AF5"/>
    <w:rsid w:val="558F26A2"/>
    <w:rsid w:val="55D846C8"/>
    <w:rsid w:val="5664057D"/>
    <w:rsid w:val="567A43CB"/>
    <w:rsid w:val="56A96DCF"/>
    <w:rsid w:val="56B85264"/>
    <w:rsid w:val="56BC60DE"/>
    <w:rsid w:val="56C55FB2"/>
    <w:rsid w:val="56F779F3"/>
    <w:rsid w:val="57144B90"/>
    <w:rsid w:val="578069A1"/>
    <w:rsid w:val="579E26AC"/>
    <w:rsid w:val="57C8774C"/>
    <w:rsid w:val="57D34D5D"/>
    <w:rsid w:val="57E36F8D"/>
    <w:rsid w:val="582A198A"/>
    <w:rsid w:val="58723F6E"/>
    <w:rsid w:val="588720B9"/>
    <w:rsid w:val="588912AD"/>
    <w:rsid w:val="588A0EA3"/>
    <w:rsid w:val="58C01B20"/>
    <w:rsid w:val="58D945AF"/>
    <w:rsid w:val="58E0451E"/>
    <w:rsid w:val="59254E31"/>
    <w:rsid w:val="592C2C48"/>
    <w:rsid w:val="593A66A2"/>
    <w:rsid w:val="596A77F3"/>
    <w:rsid w:val="597B1C21"/>
    <w:rsid w:val="59986E33"/>
    <w:rsid w:val="59C04B5B"/>
    <w:rsid w:val="59D525E5"/>
    <w:rsid w:val="59F57C91"/>
    <w:rsid w:val="59F9285D"/>
    <w:rsid w:val="5A027AD7"/>
    <w:rsid w:val="5A032C9A"/>
    <w:rsid w:val="5A6F3206"/>
    <w:rsid w:val="5B1410F6"/>
    <w:rsid w:val="5B1E28BA"/>
    <w:rsid w:val="5B423D09"/>
    <w:rsid w:val="5B4D0671"/>
    <w:rsid w:val="5B865931"/>
    <w:rsid w:val="5B8C05D2"/>
    <w:rsid w:val="5C1C4CA2"/>
    <w:rsid w:val="5C24258B"/>
    <w:rsid w:val="5C2F5FC8"/>
    <w:rsid w:val="5C3A6E47"/>
    <w:rsid w:val="5C783F8D"/>
    <w:rsid w:val="5C7A1B5B"/>
    <w:rsid w:val="5CA52D1D"/>
    <w:rsid w:val="5CCE0AD6"/>
    <w:rsid w:val="5CDA23D8"/>
    <w:rsid w:val="5D021C70"/>
    <w:rsid w:val="5D7719D5"/>
    <w:rsid w:val="5DA44B2B"/>
    <w:rsid w:val="5DBA6C18"/>
    <w:rsid w:val="5E224037"/>
    <w:rsid w:val="5E345B18"/>
    <w:rsid w:val="5E594D0A"/>
    <w:rsid w:val="5E6D42B8"/>
    <w:rsid w:val="5E9A21FB"/>
    <w:rsid w:val="5EA92062"/>
    <w:rsid w:val="5EB41AEF"/>
    <w:rsid w:val="5F1B47A0"/>
    <w:rsid w:val="60527B17"/>
    <w:rsid w:val="60AF794D"/>
    <w:rsid w:val="60DC3411"/>
    <w:rsid w:val="60F67932"/>
    <w:rsid w:val="6158044D"/>
    <w:rsid w:val="616D6A24"/>
    <w:rsid w:val="61CD612A"/>
    <w:rsid w:val="61F31663"/>
    <w:rsid w:val="61F66531"/>
    <w:rsid w:val="620B4DE2"/>
    <w:rsid w:val="621B7165"/>
    <w:rsid w:val="62735D51"/>
    <w:rsid w:val="62F06813"/>
    <w:rsid w:val="63314310"/>
    <w:rsid w:val="636547A3"/>
    <w:rsid w:val="637C0DDC"/>
    <w:rsid w:val="639130C5"/>
    <w:rsid w:val="63EA4C21"/>
    <w:rsid w:val="640A3839"/>
    <w:rsid w:val="64357EF4"/>
    <w:rsid w:val="64471B1E"/>
    <w:rsid w:val="64746C6E"/>
    <w:rsid w:val="648E2FA8"/>
    <w:rsid w:val="64C01A88"/>
    <w:rsid w:val="64CA2D32"/>
    <w:rsid w:val="64CC0566"/>
    <w:rsid w:val="64D92F66"/>
    <w:rsid w:val="64E82AFA"/>
    <w:rsid w:val="65595B42"/>
    <w:rsid w:val="658264F0"/>
    <w:rsid w:val="664F1741"/>
    <w:rsid w:val="665C20B0"/>
    <w:rsid w:val="665D7998"/>
    <w:rsid w:val="66976B52"/>
    <w:rsid w:val="6702148B"/>
    <w:rsid w:val="673C6F44"/>
    <w:rsid w:val="67A0331C"/>
    <w:rsid w:val="68065982"/>
    <w:rsid w:val="68482257"/>
    <w:rsid w:val="684B64F2"/>
    <w:rsid w:val="68615433"/>
    <w:rsid w:val="68BC5D17"/>
    <w:rsid w:val="68DC16F1"/>
    <w:rsid w:val="69243EBE"/>
    <w:rsid w:val="697B3165"/>
    <w:rsid w:val="69F720F6"/>
    <w:rsid w:val="6A794FDE"/>
    <w:rsid w:val="6AB44268"/>
    <w:rsid w:val="6ABD1D7E"/>
    <w:rsid w:val="6B297532"/>
    <w:rsid w:val="6B342914"/>
    <w:rsid w:val="6B3D49F0"/>
    <w:rsid w:val="6B560E7C"/>
    <w:rsid w:val="6BA8042D"/>
    <w:rsid w:val="6BAC4F3F"/>
    <w:rsid w:val="6BB6010C"/>
    <w:rsid w:val="6BD3183F"/>
    <w:rsid w:val="6C1825D5"/>
    <w:rsid w:val="6CFE672F"/>
    <w:rsid w:val="6D155AAA"/>
    <w:rsid w:val="6D1A2F7C"/>
    <w:rsid w:val="6D336388"/>
    <w:rsid w:val="6D6D09D1"/>
    <w:rsid w:val="6D835A7D"/>
    <w:rsid w:val="6D852F69"/>
    <w:rsid w:val="6DD24D22"/>
    <w:rsid w:val="6E6A2423"/>
    <w:rsid w:val="6EA0463D"/>
    <w:rsid w:val="6EA83E1C"/>
    <w:rsid w:val="6EAE7221"/>
    <w:rsid w:val="6EE511B5"/>
    <w:rsid w:val="6F434B44"/>
    <w:rsid w:val="6F691D8F"/>
    <w:rsid w:val="702B1923"/>
    <w:rsid w:val="7075167E"/>
    <w:rsid w:val="70972202"/>
    <w:rsid w:val="70BD7D07"/>
    <w:rsid w:val="71401840"/>
    <w:rsid w:val="71547B7D"/>
    <w:rsid w:val="71BD478B"/>
    <w:rsid w:val="71DD2D3A"/>
    <w:rsid w:val="72174DCA"/>
    <w:rsid w:val="722E70A1"/>
    <w:rsid w:val="724D20AF"/>
    <w:rsid w:val="72664B86"/>
    <w:rsid w:val="72B271B1"/>
    <w:rsid w:val="72CF006A"/>
    <w:rsid w:val="72E724BD"/>
    <w:rsid w:val="72F1592E"/>
    <w:rsid w:val="72FA15DA"/>
    <w:rsid w:val="731D0CD1"/>
    <w:rsid w:val="73522CE9"/>
    <w:rsid w:val="736251C1"/>
    <w:rsid w:val="739836CB"/>
    <w:rsid w:val="739E2885"/>
    <w:rsid w:val="74324CAB"/>
    <w:rsid w:val="743C572B"/>
    <w:rsid w:val="743E6BEA"/>
    <w:rsid w:val="74680B75"/>
    <w:rsid w:val="748F14BA"/>
    <w:rsid w:val="74E16177"/>
    <w:rsid w:val="750563EE"/>
    <w:rsid w:val="75492412"/>
    <w:rsid w:val="756415FE"/>
    <w:rsid w:val="757A60AE"/>
    <w:rsid w:val="75CD5593"/>
    <w:rsid w:val="761568C8"/>
    <w:rsid w:val="76287A1C"/>
    <w:rsid w:val="763149BF"/>
    <w:rsid w:val="76513F3F"/>
    <w:rsid w:val="765406AD"/>
    <w:rsid w:val="772B3B51"/>
    <w:rsid w:val="774F6A81"/>
    <w:rsid w:val="7789082B"/>
    <w:rsid w:val="77B804DD"/>
    <w:rsid w:val="77F318C0"/>
    <w:rsid w:val="781B5E53"/>
    <w:rsid w:val="78367856"/>
    <w:rsid w:val="78694EE1"/>
    <w:rsid w:val="78883832"/>
    <w:rsid w:val="78894B95"/>
    <w:rsid w:val="78FD209D"/>
    <w:rsid w:val="793B7A02"/>
    <w:rsid w:val="79717914"/>
    <w:rsid w:val="79FC4D31"/>
    <w:rsid w:val="7A794B87"/>
    <w:rsid w:val="7A842B47"/>
    <w:rsid w:val="7A9D0E80"/>
    <w:rsid w:val="7AA31233"/>
    <w:rsid w:val="7B48067D"/>
    <w:rsid w:val="7B6E5C1B"/>
    <w:rsid w:val="7B937D3E"/>
    <w:rsid w:val="7BA73281"/>
    <w:rsid w:val="7BAB60BE"/>
    <w:rsid w:val="7BBF34FA"/>
    <w:rsid w:val="7BCE49DD"/>
    <w:rsid w:val="7C062679"/>
    <w:rsid w:val="7C15251A"/>
    <w:rsid w:val="7C201F7E"/>
    <w:rsid w:val="7C6C464D"/>
    <w:rsid w:val="7C763015"/>
    <w:rsid w:val="7C80067D"/>
    <w:rsid w:val="7CA11E8A"/>
    <w:rsid w:val="7CAA1288"/>
    <w:rsid w:val="7CE427E1"/>
    <w:rsid w:val="7D6F2271"/>
    <w:rsid w:val="7D771421"/>
    <w:rsid w:val="7DC45C1B"/>
    <w:rsid w:val="7DD22D5B"/>
    <w:rsid w:val="7E264D70"/>
    <w:rsid w:val="7E866458"/>
    <w:rsid w:val="7ED04A65"/>
    <w:rsid w:val="7ED418CC"/>
    <w:rsid w:val="7F3E592D"/>
    <w:rsid w:val="7F6E4DC0"/>
    <w:rsid w:val="7FE773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99"/>
    <w:pPr>
      <w:keepNext/>
      <w:keepLines/>
      <w:spacing w:line="600" w:lineRule="exact"/>
      <w:ind w:firstLine="643" w:firstLineChars="200"/>
      <w:outlineLvl w:val="2"/>
    </w:pPr>
    <w:rPr>
      <w:b/>
      <w:bCs/>
      <w:sz w:val="32"/>
      <w:szCs w:val="32"/>
    </w:rPr>
  </w:style>
  <w:style w:type="paragraph" w:styleId="5">
    <w:name w:val="heading 4"/>
    <w:basedOn w:val="1"/>
    <w:next w:val="1"/>
    <w:qFormat/>
    <w:locked/>
    <w:uiPriority w:val="0"/>
    <w:pPr>
      <w:keepNext/>
      <w:keepLines/>
      <w:spacing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List Number"/>
    <w:basedOn w:val="1"/>
    <w:qFormat/>
    <w:uiPriority w:val="99"/>
    <w:pPr>
      <w:numPr>
        <w:ilvl w:val="0"/>
        <w:numId w:val="1"/>
      </w:numPr>
    </w:pPr>
  </w:style>
  <w:style w:type="paragraph" w:styleId="8">
    <w:name w:val="Normal Indent"/>
    <w:basedOn w:val="1"/>
    <w:qFormat/>
    <w:uiPriority w:val="99"/>
    <w:pPr>
      <w:ind w:firstLine="420"/>
    </w:pPr>
    <w:rPr>
      <w:szCs w:val="20"/>
    </w:rPr>
  </w:style>
  <w:style w:type="paragraph" w:styleId="9">
    <w:name w:val="Document Map"/>
    <w:basedOn w:val="1"/>
    <w:link w:val="76"/>
    <w:qFormat/>
    <w:uiPriority w:val="0"/>
    <w:rPr>
      <w:rFonts w:ascii="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8"/>
    <w:qFormat/>
    <w:uiPriority w:val="99"/>
    <w:pPr>
      <w:jc w:val="left"/>
    </w:pPr>
  </w:style>
  <w:style w:type="paragraph" w:styleId="12">
    <w:name w:val="Body Text 3"/>
    <w:basedOn w:val="1"/>
    <w:link w:val="59"/>
    <w:qFormat/>
    <w:uiPriority w:val="99"/>
    <w:pPr>
      <w:spacing w:after="120"/>
    </w:pPr>
    <w:rPr>
      <w:sz w:val="16"/>
      <w:szCs w:val="16"/>
    </w:rPr>
  </w:style>
  <w:style w:type="paragraph" w:styleId="13">
    <w:name w:val="Body Text"/>
    <w:basedOn w:val="1"/>
    <w:next w:val="1"/>
    <w:link w:val="60"/>
    <w:qFormat/>
    <w:uiPriority w:val="99"/>
    <w:pPr>
      <w:spacing w:after="120"/>
    </w:pPr>
  </w:style>
  <w:style w:type="paragraph" w:styleId="14">
    <w:name w:val="Body Text Indent"/>
    <w:basedOn w:val="1"/>
    <w:link w:val="56"/>
    <w:qFormat/>
    <w:uiPriority w:val="99"/>
    <w:pPr>
      <w:ind w:firstLine="830" w:firstLineChars="352"/>
    </w:pPr>
    <w:rPr>
      <w:rFonts w:ascii="仿宋_GB2312" w:eastAsia="仿宋_GB2312"/>
      <w:kern w:val="0"/>
      <w:sz w:val="32"/>
      <w:szCs w:val="20"/>
    </w:rPr>
  </w:style>
  <w:style w:type="paragraph" w:styleId="15">
    <w:name w:val="List 2"/>
    <w:basedOn w:val="1"/>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next w:val="1"/>
    <w:link w:val="61"/>
    <w:qFormat/>
    <w:uiPriority w:val="99"/>
    <w:rPr>
      <w:rFonts w:ascii="宋体" w:hAnsi="Courier New"/>
      <w:kern w:val="0"/>
      <w:sz w:val="20"/>
      <w:szCs w:val="21"/>
    </w:rPr>
  </w:style>
  <w:style w:type="paragraph" w:styleId="18">
    <w:name w:val="Date"/>
    <w:basedOn w:val="1"/>
    <w:next w:val="1"/>
    <w:qFormat/>
    <w:uiPriority w:val="0"/>
    <w:pPr>
      <w:ind w:left="100" w:leftChars="2500"/>
    </w:pPr>
    <w:rPr>
      <w:rFonts w:ascii="宋体" w:hAnsi="Courier New"/>
      <w:bCs/>
      <w:kern w:val="0"/>
      <w:sz w:val="24"/>
      <w:szCs w:val="20"/>
    </w:rPr>
  </w:style>
  <w:style w:type="paragraph" w:styleId="19">
    <w:name w:val="Balloon Text"/>
    <w:basedOn w:val="1"/>
    <w:link w:val="62"/>
    <w:qFormat/>
    <w:uiPriority w:val="99"/>
    <w:rPr>
      <w:sz w:val="18"/>
      <w:szCs w:val="18"/>
    </w:rPr>
  </w:style>
  <w:style w:type="paragraph" w:styleId="20">
    <w:name w:val="footer"/>
    <w:basedOn w:val="1"/>
    <w:next w:val="1"/>
    <w:link w:val="63"/>
    <w:qFormat/>
    <w:uiPriority w:val="99"/>
    <w:pPr>
      <w:tabs>
        <w:tab w:val="center" w:pos="4153"/>
        <w:tab w:val="right" w:pos="8306"/>
      </w:tabs>
      <w:snapToGrid w:val="0"/>
      <w:jc w:val="left"/>
    </w:pPr>
    <w:rPr>
      <w:kern w:val="0"/>
      <w:sz w:val="18"/>
      <w:szCs w:val="18"/>
    </w:rPr>
  </w:style>
  <w:style w:type="paragraph" w:styleId="21">
    <w:name w:val="header"/>
    <w:basedOn w:val="1"/>
    <w:link w:val="64"/>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99"/>
    <w:rPr>
      <w:sz w:val="28"/>
    </w:rPr>
  </w:style>
  <w:style w:type="paragraph" w:styleId="23">
    <w:name w:val="toc 2"/>
    <w:basedOn w:val="1"/>
    <w:next w:val="1"/>
    <w:qFormat/>
    <w:uiPriority w:val="99"/>
    <w:pPr>
      <w:tabs>
        <w:tab w:val="right" w:leader="dot" w:pos="8296"/>
      </w:tabs>
      <w:ind w:left="420" w:leftChars="200"/>
    </w:pPr>
  </w:style>
  <w:style w:type="paragraph" w:styleId="24">
    <w:name w:val="Body Text 2"/>
    <w:basedOn w:val="1"/>
    <w:qFormat/>
    <w:uiPriority w:val="0"/>
    <w:pPr>
      <w:spacing w:after="50" w:line="500" w:lineRule="atLeast"/>
    </w:pPr>
    <w:rPr>
      <w:rFonts w:ascii="Calibri" w:hAnsi="Calibri"/>
      <w:sz w:val="24"/>
      <w:szCs w:val="22"/>
    </w:rPr>
  </w:style>
  <w:style w:type="paragraph" w:styleId="25">
    <w:name w:val="List 4"/>
    <w:basedOn w:val="1"/>
    <w:qFormat/>
    <w:uiPriority w:val="0"/>
    <w:pPr>
      <w:ind w:left="100" w:leftChars="600" w:hanging="200" w:hangingChars="200"/>
    </w:p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qFormat/>
    <w:uiPriority w:val="0"/>
    <w:pPr>
      <w:spacing w:beforeAutospacing="1" w:afterAutospacing="1"/>
      <w:jc w:val="left"/>
    </w:pPr>
    <w:rPr>
      <w:kern w:val="0"/>
      <w:sz w:val="24"/>
    </w:rPr>
  </w:style>
  <w:style w:type="paragraph" w:styleId="28">
    <w:name w:val="Title"/>
    <w:basedOn w:val="1"/>
    <w:next w:val="1"/>
    <w:qFormat/>
    <w:locked/>
    <w:uiPriority w:val="0"/>
    <w:pPr>
      <w:spacing w:before="240" w:after="60"/>
      <w:jc w:val="center"/>
      <w:outlineLvl w:val="0"/>
    </w:pPr>
    <w:rPr>
      <w:rFonts w:ascii="Cambria" w:hAnsi="Cambria"/>
      <w:b/>
      <w:bCs/>
      <w:sz w:val="32"/>
      <w:szCs w:val="32"/>
    </w:rPr>
  </w:style>
  <w:style w:type="paragraph" w:styleId="29">
    <w:name w:val="annotation subject"/>
    <w:basedOn w:val="11"/>
    <w:next w:val="11"/>
    <w:link w:val="65"/>
    <w:qFormat/>
    <w:uiPriority w:val="99"/>
    <w:rPr>
      <w:b/>
      <w:bCs/>
    </w:rPr>
  </w:style>
  <w:style w:type="paragraph" w:styleId="30">
    <w:name w:val="Body Text First Indent"/>
    <w:basedOn w:val="13"/>
    <w:qFormat/>
    <w:uiPriority w:val="0"/>
    <w:pPr>
      <w:ind w:firstLine="420" w:firstLineChars="100"/>
    </w:pPr>
    <w:rPr>
      <w:rFonts w:ascii="宋体"/>
      <w:lang w:val="zh-CN"/>
    </w:rPr>
  </w:style>
  <w:style w:type="paragraph" w:styleId="31">
    <w:name w:val="Body Text First Indent 2"/>
    <w:basedOn w:val="14"/>
    <w:link w:val="57"/>
    <w:qFormat/>
    <w:uiPriority w:val="99"/>
    <w:pPr>
      <w:spacing w:after="120"/>
      <w:ind w:left="420" w:leftChars="200" w:firstLine="420" w:firstLineChars="200"/>
    </w:pPr>
    <w:rPr>
      <w:rFonts w:ascii="Times New Roman"/>
      <w:sz w:val="21"/>
      <w:szCs w:val="24"/>
    </w:rPr>
  </w:style>
  <w:style w:type="table" w:styleId="33">
    <w:name w:val="Table Grid"/>
    <w:basedOn w:val="32"/>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22"/>
    <w:rPr>
      <w:b/>
      <w:bCs/>
    </w:rPr>
  </w:style>
  <w:style w:type="character" w:styleId="36">
    <w:name w:val="page number"/>
    <w:basedOn w:val="34"/>
    <w:qFormat/>
    <w:uiPriority w:val="99"/>
    <w:rPr>
      <w:rFonts w:cs="Times New Roman"/>
    </w:rPr>
  </w:style>
  <w:style w:type="character" w:styleId="37">
    <w:name w:val="FollowedHyperlink"/>
    <w:basedOn w:val="34"/>
    <w:qFormat/>
    <w:uiPriority w:val="0"/>
    <w:rPr>
      <w:color w:val="800080"/>
      <w:u w:val="none"/>
    </w:rPr>
  </w:style>
  <w:style w:type="character" w:styleId="38">
    <w:name w:val="Emphasis"/>
    <w:basedOn w:val="34"/>
    <w:qFormat/>
    <w:locked/>
    <w:uiPriority w:val="20"/>
    <w:rPr>
      <w:b/>
      <w:bCs/>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99"/>
    <w:rPr>
      <w:rFonts w:cs="Times New Roman"/>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99"/>
    <w:rPr>
      <w:rFonts w:cs="Times New Roman"/>
      <w:sz w:val="21"/>
      <w:szCs w:val="21"/>
    </w:rPr>
  </w:style>
  <w:style w:type="character" w:styleId="46">
    <w:name w:val="HTML Cite"/>
    <w:basedOn w:val="34"/>
    <w:qFormat/>
    <w:uiPriority w:val="0"/>
  </w:style>
  <w:style w:type="character" w:styleId="47">
    <w:name w:val="HTML Keyboard"/>
    <w:basedOn w:val="34"/>
    <w:qFormat/>
    <w:uiPriority w:val="0"/>
    <w:rPr>
      <w:rFonts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列出段落1"/>
    <w:basedOn w:val="1"/>
    <w:qFormat/>
    <w:uiPriority w:val="34"/>
    <w:pPr>
      <w:ind w:firstLine="420"/>
    </w:pPr>
  </w:style>
  <w:style w:type="paragraph" w:customStyle="1" w:styleId="50">
    <w:name w:val="表格文字"/>
    <w:basedOn w:val="14"/>
    <w:next w:val="13"/>
    <w:qFormat/>
    <w:uiPriority w:val="0"/>
    <w:pPr>
      <w:jc w:val="left"/>
    </w:pPr>
    <w:rPr>
      <w:bCs/>
      <w:spacing w:val="10"/>
      <w:kern w:val="0"/>
      <w:sz w:val="24"/>
      <w:szCs w:val="20"/>
    </w:rPr>
  </w:style>
  <w:style w:type="paragraph" w:customStyle="1" w:styleId="51">
    <w:name w:val="Default"/>
    <w:next w:val="1"/>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52">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character" w:customStyle="1" w:styleId="53">
    <w:name w:val="标题 1 Char"/>
    <w:link w:val="2"/>
    <w:qFormat/>
    <w:uiPriority w:val="9"/>
    <w:rPr>
      <w:b/>
      <w:bCs/>
      <w:kern w:val="44"/>
      <w:sz w:val="44"/>
      <w:szCs w:val="44"/>
    </w:rPr>
  </w:style>
  <w:style w:type="character" w:customStyle="1" w:styleId="54">
    <w:name w:val="标题 2 Char"/>
    <w:link w:val="3"/>
    <w:semiHidden/>
    <w:qFormat/>
    <w:uiPriority w:val="9"/>
    <w:rPr>
      <w:rFonts w:ascii="Cambria" w:hAnsi="Cambria" w:eastAsia="宋体" w:cs="Times New Roman"/>
      <w:b/>
      <w:bCs/>
      <w:sz w:val="32"/>
      <w:szCs w:val="32"/>
    </w:rPr>
  </w:style>
  <w:style w:type="character" w:customStyle="1" w:styleId="55">
    <w:name w:val="标题 3 Char"/>
    <w:link w:val="4"/>
    <w:semiHidden/>
    <w:qFormat/>
    <w:uiPriority w:val="9"/>
    <w:rPr>
      <w:b/>
      <w:bCs/>
      <w:sz w:val="32"/>
      <w:szCs w:val="32"/>
    </w:rPr>
  </w:style>
  <w:style w:type="character" w:customStyle="1" w:styleId="56">
    <w:name w:val="正文文本缩进 Char"/>
    <w:link w:val="14"/>
    <w:semiHidden/>
    <w:qFormat/>
    <w:uiPriority w:val="99"/>
    <w:rPr>
      <w:szCs w:val="24"/>
    </w:rPr>
  </w:style>
  <w:style w:type="character" w:customStyle="1" w:styleId="57">
    <w:name w:val="正文首行缩进 2 Char"/>
    <w:link w:val="31"/>
    <w:semiHidden/>
    <w:qFormat/>
    <w:uiPriority w:val="99"/>
    <w:rPr>
      <w:szCs w:val="24"/>
    </w:rPr>
  </w:style>
  <w:style w:type="character" w:customStyle="1" w:styleId="58">
    <w:name w:val="批注文字 Char"/>
    <w:link w:val="11"/>
    <w:qFormat/>
    <w:locked/>
    <w:uiPriority w:val="99"/>
    <w:rPr>
      <w:rFonts w:cs="Times New Roman"/>
      <w:kern w:val="2"/>
      <w:sz w:val="24"/>
      <w:szCs w:val="24"/>
    </w:rPr>
  </w:style>
  <w:style w:type="character" w:customStyle="1" w:styleId="59">
    <w:name w:val="正文文本 3 Char"/>
    <w:link w:val="12"/>
    <w:semiHidden/>
    <w:qFormat/>
    <w:uiPriority w:val="99"/>
    <w:rPr>
      <w:sz w:val="16"/>
      <w:szCs w:val="16"/>
    </w:rPr>
  </w:style>
  <w:style w:type="character" w:customStyle="1" w:styleId="60">
    <w:name w:val="正文文本 Char"/>
    <w:link w:val="13"/>
    <w:semiHidden/>
    <w:qFormat/>
    <w:uiPriority w:val="99"/>
    <w:rPr>
      <w:szCs w:val="24"/>
    </w:rPr>
  </w:style>
  <w:style w:type="character" w:customStyle="1" w:styleId="61">
    <w:name w:val="纯文本 Char"/>
    <w:link w:val="17"/>
    <w:qFormat/>
    <w:locked/>
    <w:uiPriority w:val="99"/>
    <w:rPr>
      <w:rFonts w:ascii="宋体" w:hAnsi="Courier New"/>
      <w:sz w:val="21"/>
    </w:rPr>
  </w:style>
  <w:style w:type="character" w:customStyle="1" w:styleId="62">
    <w:name w:val="批注框文本 Char"/>
    <w:link w:val="19"/>
    <w:qFormat/>
    <w:locked/>
    <w:uiPriority w:val="99"/>
    <w:rPr>
      <w:rFonts w:cs="Times New Roman"/>
      <w:kern w:val="2"/>
      <w:sz w:val="18"/>
      <w:szCs w:val="18"/>
    </w:rPr>
  </w:style>
  <w:style w:type="character" w:customStyle="1" w:styleId="63">
    <w:name w:val="页脚 Char"/>
    <w:link w:val="20"/>
    <w:semiHidden/>
    <w:qFormat/>
    <w:uiPriority w:val="99"/>
    <w:rPr>
      <w:sz w:val="18"/>
      <w:szCs w:val="18"/>
    </w:rPr>
  </w:style>
  <w:style w:type="character" w:customStyle="1" w:styleId="64">
    <w:name w:val="页眉 Char"/>
    <w:link w:val="21"/>
    <w:semiHidden/>
    <w:qFormat/>
    <w:uiPriority w:val="99"/>
    <w:rPr>
      <w:sz w:val="18"/>
      <w:szCs w:val="18"/>
    </w:rPr>
  </w:style>
  <w:style w:type="character" w:customStyle="1" w:styleId="65">
    <w:name w:val="批注主题 Char"/>
    <w:link w:val="29"/>
    <w:qFormat/>
    <w:locked/>
    <w:uiPriority w:val="99"/>
    <w:rPr>
      <w:rFonts w:cs="Times New Roman"/>
      <w:b/>
      <w:bCs/>
      <w:kern w:val="2"/>
      <w:sz w:val="24"/>
      <w:szCs w:val="24"/>
    </w:rPr>
  </w:style>
  <w:style w:type="paragraph" w:customStyle="1" w:styleId="66">
    <w:name w:val="font10"/>
    <w:basedOn w:val="1"/>
    <w:qFormat/>
    <w:uiPriority w:val="99"/>
    <w:pPr>
      <w:widowControl/>
      <w:spacing w:before="100" w:beforeAutospacing="1" w:after="100" w:afterAutospacing="1"/>
      <w:jc w:val="left"/>
    </w:pPr>
    <w:rPr>
      <w:rFonts w:ascii="宋体" w:hAnsi="宋体" w:cs="宋体"/>
      <w:b/>
      <w:bCs/>
      <w:szCs w:val="21"/>
    </w:rPr>
  </w:style>
  <w:style w:type="paragraph" w:customStyle="1" w:styleId="67">
    <w:name w:val="正文2"/>
    <w:basedOn w:val="1"/>
    <w:qFormat/>
    <w:uiPriority w:val="99"/>
    <w:pPr>
      <w:adjustRightInd w:val="0"/>
      <w:spacing w:before="156" w:line="360" w:lineRule="auto"/>
      <w:ind w:firstLine="510" w:firstLineChars="200"/>
    </w:pPr>
    <w:rPr>
      <w:sz w:val="24"/>
      <w:szCs w:val="20"/>
    </w:rPr>
  </w:style>
  <w:style w:type="paragraph" w:customStyle="1" w:styleId="68">
    <w:name w:val="正文1"/>
    <w:basedOn w:val="1"/>
    <w:qFormat/>
    <w:uiPriority w:val="99"/>
    <w:pPr>
      <w:adjustRightInd w:val="0"/>
      <w:spacing w:line="318" w:lineRule="atLeast"/>
      <w:ind w:left="369" w:firstLine="369"/>
      <w:textAlignment w:val="baseline"/>
    </w:pPr>
    <w:rPr>
      <w:rFonts w:ascii="宋体"/>
      <w:szCs w:val="20"/>
    </w:rPr>
  </w:style>
  <w:style w:type="paragraph" w:styleId="69">
    <w:name w:val="List Paragraph"/>
    <w:basedOn w:val="1"/>
    <w:qFormat/>
    <w:uiPriority w:val="99"/>
    <w:pPr>
      <w:ind w:firstLine="420" w:firstLineChars="200"/>
    </w:pPr>
  </w:style>
  <w:style w:type="paragraph" w:customStyle="1" w:styleId="70">
    <w:name w:val="正文3"/>
    <w:basedOn w:val="1"/>
    <w:qFormat/>
    <w:uiPriority w:val="99"/>
    <w:pPr>
      <w:adjustRightInd w:val="0"/>
      <w:spacing w:line="318" w:lineRule="atLeast"/>
      <w:ind w:left="369" w:firstLine="369"/>
      <w:textAlignment w:val="baseline"/>
    </w:pPr>
    <w:rPr>
      <w:rFonts w:ascii="宋体"/>
      <w:szCs w:val="20"/>
    </w:rPr>
  </w:style>
  <w:style w:type="paragraph" w:customStyle="1" w:styleId="71">
    <w:name w:val="Table Paragraph"/>
    <w:basedOn w:val="1"/>
    <w:qFormat/>
    <w:uiPriority w:val="99"/>
    <w:rPr>
      <w:rFonts w:ascii="宋体" w:hAnsi="宋体" w:cs="宋体"/>
      <w:lang w:val="zh-CN"/>
    </w:rPr>
  </w:style>
  <w:style w:type="paragraph" w:customStyle="1" w:styleId="72">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3">
    <w:name w:val="hover1"/>
    <w:basedOn w:val="34"/>
    <w:qFormat/>
    <w:uiPriority w:val="0"/>
    <w:rPr>
      <w:color w:val="2590EB"/>
    </w:rPr>
  </w:style>
  <w:style w:type="character" w:customStyle="1" w:styleId="74">
    <w:name w:val="hover2"/>
    <w:basedOn w:val="34"/>
    <w:qFormat/>
    <w:uiPriority w:val="0"/>
    <w:rPr>
      <w:color w:val="2590EB"/>
    </w:rPr>
  </w:style>
  <w:style w:type="character" w:customStyle="1" w:styleId="75">
    <w:name w:val="hover3"/>
    <w:basedOn w:val="34"/>
    <w:qFormat/>
    <w:uiPriority w:val="0"/>
  </w:style>
  <w:style w:type="character" w:customStyle="1" w:styleId="76">
    <w:name w:val="文档结构图 Char"/>
    <w:basedOn w:val="34"/>
    <w:link w:val="9"/>
    <w:qFormat/>
    <w:uiPriority w:val="0"/>
    <w:rPr>
      <w:rFonts w:ascii="宋体"/>
      <w:kern w:val="2"/>
      <w:sz w:val="18"/>
      <w:szCs w:val="18"/>
    </w:rPr>
  </w:style>
  <w:style w:type="character" w:customStyle="1" w:styleId="77">
    <w:name w:val="hover"/>
    <w:basedOn w:val="34"/>
    <w:qFormat/>
    <w:uiPriority w:val="0"/>
    <w:rPr>
      <w:color w:val="2590EB"/>
    </w:rPr>
  </w:style>
  <w:style w:type="paragraph" w:customStyle="1" w:styleId="78">
    <w:name w:val="首行缩进"/>
    <w:basedOn w:val="1"/>
    <w:qFormat/>
    <w:uiPriority w:val="0"/>
    <w:pPr>
      <w:spacing w:line="360" w:lineRule="auto"/>
      <w:ind w:firstLine="480" w:firstLineChars="200"/>
      <w:jc w:val="left"/>
    </w:pPr>
    <w:rPr>
      <w:rFonts w:ascii="宋体" w:hAnsi="宋体"/>
      <w:sz w:val="24"/>
    </w:rPr>
  </w:style>
  <w:style w:type="paragraph" w:customStyle="1" w:styleId="79">
    <w:name w:val="Heading2"/>
    <w:basedOn w:val="1"/>
    <w:next w:val="1"/>
    <w:qFormat/>
    <w:uiPriority w:val="0"/>
    <w:pPr>
      <w:keepNext/>
      <w:keepLines/>
      <w:spacing w:before="260" w:after="260" w:line="416" w:lineRule="auto"/>
    </w:pPr>
    <w:rPr>
      <w:rFonts w:ascii="Cambria" w:hAnsi="Cambria"/>
      <w:sz w:val="32"/>
      <w:szCs w:val="32"/>
    </w:rPr>
  </w:style>
  <w:style w:type="paragraph" w:customStyle="1" w:styleId="80">
    <w:name w:val="引用1"/>
    <w:basedOn w:val="1"/>
    <w:next w:val="1"/>
    <w:qFormat/>
    <w:uiPriority w:val="99"/>
    <w:pPr>
      <w:widowControl/>
      <w:spacing w:after="200" w:line="276" w:lineRule="auto"/>
      <w:jc w:val="left"/>
    </w:pPr>
    <w:rPr>
      <w:i/>
      <w:iCs/>
      <w:color w:val="000000"/>
      <w:kern w:val="0"/>
      <w:sz w:val="22"/>
    </w:rPr>
  </w:style>
  <w:style w:type="paragraph" w:customStyle="1" w:styleId="81">
    <w:name w:val="列出段落2"/>
    <w:basedOn w:val="1"/>
    <w:qFormat/>
    <w:uiPriority w:val="99"/>
    <w:pPr>
      <w:ind w:firstLine="420" w:firstLineChars="200"/>
    </w:pPr>
  </w:style>
  <w:style w:type="character" w:customStyle="1" w:styleId="82">
    <w:name w:val="trans"/>
    <w:basedOn w:val="34"/>
    <w:qFormat/>
    <w:uiPriority w:val="0"/>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Table Text"/>
    <w:basedOn w:val="1"/>
    <w:semiHidden/>
    <w:qFormat/>
    <w:uiPriority w:val="0"/>
    <w:rPr>
      <w:rFonts w:ascii="宋体" w:hAnsi="宋体" w:eastAsia="宋体" w:cs="宋体"/>
      <w:sz w:val="20"/>
      <w:szCs w:val="20"/>
      <w:lang w:val="en-US" w:eastAsia="en-US" w:bidi="ar-SA"/>
    </w:rPr>
  </w:style>
  <w:style w:type="character" w:customStyle="1" w:styleId="85">
    <w:name w:val="font11"/>
    <w:basedOn w:val="3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17473</Words>
  <Characters>18763</Characters>
  <Lines>310</Lines>
  <Paragraphs>87</Paragraphs>
  <TotalTime>1</TotalTime>
  <ScaleCrop>false</ScaleCrop>
  <LinksUpToDate>false</LinksUpToDate>
  <CharactersWithSpaces>19047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2023-11-30T02:48:00Z</dcterms:created>
  <dc:creator>qzh</dc:creator>
  <cp:lastModifiedBy>小珍子</cp:lastModifiedBy>
  <cp:lastPrinted>2025-08-05T03:33:00Z</cp:lastPrinted>
  <dcterms:modified xsi:type="dcterms:W3CDTF">2025-08-18T07:37:52Z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431A9E283C524CB188C20954D0CA54D9</vt:lpwstr>
  </property>
  <property fmtid="{D5CDD505-2E9C-101B-9397-08002B2CF9AE}" pid="4" name="KSOTemplateDocerSaveRecord">
    <vt:lpwstr>eyJoZGlkIjoiYThlNWRjYjliNmRjZWE3Yjk5OTdkMDM4YWI3ZjFjYTAiLCJ1c2VySWQiOiIxOTY2NTM3NjMifQ==</vt:lpwstr>
  </property>
</Properties>
</file>