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D9A6">
      <w:pPr>
        <w:autoSpaceDE w:val="0"/>
        <w:autoSpaceDN w:val="0"/>
        <w:spacing w:line="360" w:lineRule="auto"/>
        <w:jc w:val="center"/>
        <w:rPr>
          <w:rFonts w:hint="eastAsia" w:ascii="宋体" w:hAnsi="宋体" w:eastAsia="宋体" w:cs="宋体"/>
          <w:b/>
          <w:bCs/>
          <w:color w:val="auto"/>
          <w:sz w:val="90"/>
          <w:highlight w:val="none"/>
        </w:rPr>
      </w:pPr>
      <w:r>
        <w:rPr>
          <w:rFonts w:hint="eastAsia" w:hAnsi="宋体" w:cs="宋体"/>
          <w:color w:val="auto"/>
          <w:sz w:val="32"/>
          <w:highlight w:val="none"/>
        </w:rPr>
        <w:drawing>
          <wp:inline distT="0" distB="0" distL="114300" distR="114300">
            <wp:extent cx="1369060" cy="1348740"/>
            <wp:effectExtent l="0" t="0" r="2540" b="3810"/>
            <wp:docPr id="1" name="图片 1" descr="003838bb567ad4db658ca6a05c2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838bb567ad4db658ca6a05c2e123"/>
                    <pic:cNvPicPr>
                      <a:picLocks noChangeAspect="1"/>
                    </pic:cNvPicPr>
                  </pic:nvPicPr>
                  <pic:blipFill>
                    <a:blip r:embed="rId8"/>
                    <a:stretch>
                      <a:fillRect/>
                    </a:stretch>
                  </pic:blipFill>
                  <pic:spPr>
                    <a:xfrm>
                      <a:off x="0" y="0"/>
                      <a:ext cx="1369060" cy="1348740"/>
                    </a:xfrm>
                    <a:prstGeom prst="rect">
                      <a:avLst/>
                    </a:prstGeom>
                    <a:noFill/>
                    <a:ln>
                      <a:noFill/>
                    </a:ln>
                  </pic:spPr>
                </pic:pic>
              </a:graphicData>
            </a:graphic>
          </wp:inline>
        </w:drawing>
      </w:r>
    </w:p>
    <w:p w14:paraId="40592A3B">
      <w:pPr>
        <w:spacing w:before="156" w:beforeLines="50"/>
        <w:jc w:val="center"/>
        <w:rPr>
          <w:rFonts w:hint="eastAsia" w:ascii="宋体" w:hAnsi="宋体" w:eastAsia="宋体" w:cs="宋体"/>
          <w:b/>
          <w:bCs/>
          <w:color w:val="auto"/>
          <w:sz w:val="90"/>
          <w:highlight w:val="none"/>
        </w:rPr>
      </w:pPr>
      <w:bookmarkStart w:id="280" w:name="_GoBack"/>
      <w:r>
        <w:rPr>
          <w:rFonts w:hint="eastAsia" w:ascii="微软雅黑" w:hAnsi="微软雅黑" w:eastAsia="微软雅黑" w:cs="微软雅黑"/>
          <w:color w:val="auto"/>
          <w:spacing w:val="-23"/>
          <w:sz w:val="71"/>
          <w:szCs w:val="71"/>
          <w:highlight w:val="none"/>
        </w:rPr>
        <w:t>广西建采项目管理有限公司</w:t>
      </w:r>
    </w:p>
    <w:p w14:paraId="4F8A141A">
      <w:pPr>
        <w:autoSpaceDE w:val="0"/>
        <w:autoSpaceDN w:val="0"/>
        <w:spacing w:line="360" w:lineRule="auto"/>
        <w:jc w:val="center"/>
        <w:rPr>
          <w:rFonts w:hint="eastAsia" w:ascii="宋体" w:hAnsi="宋体" w:eastAsia="宋体" w:cs="宋体"/>
          <w:b/>
          <w:bCs/>
          <w:color w:val="auto"/>
          <w:sz w:val="90"/>
          <w:highlight w:val="none"/>
        </w:rPr>
      </w:pPr>
    </w:p>
    <w:p w14:paraId="7DAFD38D">
      <w:pPr>
        <w:autoSpaceDE w:val="0"/>
        <w:autoSpaceDN w:val="0"/>
        <w:spacing w:line="360" w:lineRule="auto"/>
        <w:jc w:val="center"/>
        <w:rPr>
          <w:rFonts w:hint="eastAsia" w:ascii="宋体" w:hAnsi="宋体" w:eastAsia="宋体" w:cs="宋体"/>
          <w:b/>
          <w:bCs/>
          <w:color w:val="auto"/>
          <w:sz w:val="90"/>
          <w:highlight w:val="none"/>
        </w:rPr>
      </w:pPr>
      <w:r>
        <w:rPr>
          <w:rFonts w:hint="eastAsia" w:ascii="宋体" w:hAnsi="宋体" w:eastAsia="宋体" w:cs="宋体"/>
          <w:b/>
          <w:bCs/>
          <w:color w:val="auto"/>
          <w:sz w:val="90"/>
          <w:highlight w:val="none"/>
        </w:rPr>
        <w:t>竞争性</w:t>
      </w:r>
      <w:r>
        <w:rPr>
          <w:rFonts w:hint="eastAsia" w:ascii="宋体" w:hAnsi="宋体" w:eastAsia="宋体" w:cs="宋体"/>
          <w:b/>
          <w:bCs/>
          <w:color w:val="auto"/>
          <w:sz w:val="90"/>
          <w:highlight w:val="none"/>
          <w:lang w:val="en-US" w:eastAsia="zh-CN"/>
        </w:rPr>
        <w:t>磋商</w:t>
      </w:r>
      <w:r>
        <w:rPr>
          <w:rFonts w:hint="eastAsia" w:ascii="宋体" w:hAnsi="宋体" w:eastAsia="宋体" w:cs="宋体"/>
          <w:b/>
          <w:bCs/>
          <w:color w:val="auto"/>
          <w:sz w:val="90"/>
          <w:highlight w:val="none"/>
        </w:rPr>
        <w:t>采购文件</w:t>
      </w:r>
    </w:p>
    <w:p w14:paraId="4FFCCA45">
      <w:pPr>
        <w:spacing w:line="360" w:lineRule="auto"/>
        <w:rPr>
          <w:rFonts w:hint="eastAsia" w:ascii="宋体" w:hAnsi="宋体" w:eastAsia="宋体" w:cs="宋体"/>
          <w:b/>
          <w:color w:val="auto"/>
          <w:sz w:val="32"/>
          <w:szCs w:val="32"/>
          <w:highlight w:val="none"/>
        </w:rPr>
      </w:pPr>
    </w:p>
    <w:p w14:paraId="3FF14791">
      <w:pPr>
        <w:spacing w:line="360" w:lineRule="auto"/>
        <w:ind w:left="840" w:leftChars="400"/>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lang w:val="en-US" w:eastAsia="zh-CN"/>
        </w:rPr>
        <w:t>羊头镇龙山村水渠三面光工程</w:t>
      </w:r>
    </w:p>
    <w:p w14:paraId="05FBFD5E">
      <w:pPr>
        <w:spacing w:line="360" w:lineRule="auto"/>
        <w:ind w:left="840" w:left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bookmarkStart w:id="0" w:name="OLE_LINK9"/>
      <w:r>
        <w:rPr>
          <w:rFonts w:hint="eastAsia" w:ascii="宋体" w:hAnsi="宋体" w:cs="宋体"/>
          <w:b/>
          <w:bCs/>
          <w:color w:val="auto"/>
          <w:sz w:val="28"/>
          <w:szCs w:val="28"/>
          <w:highlight w:val="none"/>
          <w:lang w:val="en-US" w:eastAsia="zh-CN"/>
        </w:rPr>
        <w:t>HZZC2025-C2-030046-JCXM</w:t>
      </w:r>
    </w:p>
    <w:p w14:paraId="3602F456">
      <w:pPr>
        <w:pStyle w:val="8"/>
        <w:rPr>
          <w:rFonts w:hint="eastAsia" w:ascii="宋体" w:hAnsi="宋体" w:eastAsia="宋体" w:cs="宋体"/>
          <w:b/>
          <w:color w:val="auto"/>
          <w:sz w:val="32"/>
          <w:szCs w:val="32"/>
          <w:highlight w:val="none"/>
          <w:lang w:eastAsia="zh-CN"/>
        </w:rPr>
      </w:pPr>
    </w:p>
    <w:p w14:paraId="05DB0FE7">
      <w:pPr>
        <w:rPr>
          <w:rFonts w:hint="eastAsia" w:ascii="宋体" w:hAnsi="宋体" w:eastAsia="宋体" w:cs="宋体"/>
          <w:b/>
          <w:color w:val="auto"/>
          <w:sz w:val="32"/>
          <w:szCs w:val="32"/>
          <w:highlight w:val="none"/>
          <w:lang w:eastAsia="zh-CN"/>
        </w:rPr>
      </w:pPr>
    </w:p>
    <w:bookmarkEnd w:id="0"/>
    <w:p w14:paraId="263EB15D">
      <w:pPr>
        <w:spacing w:line="360" w:lineRule="auto"/>
        <w:ind w:left="840" w:leftChars="400"/>
        <w:jc w:val="left"/>
        <w:rPr>
          <w:rFonts w:hint="eastAsia" w:ascii="宋体" w:hAnsi="宋体" w:eastAsia="宋体" w:cs="宋体"/>
          <w:b/>
          <w:color w:val="auto"/>
          <w:sz w:val="32"/>
          <w:szCs w:val="32"/>
          <w:highlight w:val="none"/>
        </w:rPr>
      </w:pPr>
    </w:p>
    <w:p w14:paraId="55C73552">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贺州市平桂区羊头镇人民政府</w:t>
      </w:r>
    </w:p>
    <w:p w14:paraId="0F06EA6E">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cs="宋体"/>
          <w:b/>
          <w:bCs/>
          <w:color w:val="auto"/>
          <w:sz w:val="32"/>
          <w:szCs w:val="32"/>
          <w:highlight w:val="none"/>
          <w:lang w:eastAsia="zh-CN"/>
        </w:rPr>
      </w:pPr>
      <w:r>
        <w:rPr>
          <w:rFonts w:hint="eastAsia" w:ascii="宋体" w:hAnsi="宋体" w:eastAsia="宋体" w:cs="宋体"/>
          <w:b/>
          <w:bCs/>
          <w:color w:val="auto"/>
          <w:sz w:val="32"/>
          <w:szCs w:val="32"/>
          <w:highlight w:val="none"/>
        </w:rPr>
        <w:t xml:space="preserve">采购代理单位: </w:t>
      </w:r>
      <w:r>
        <w:rPr>
          <w:rFonts w:hint="eastAsia" w:ascii="宋体" w:hAnsi="宋体" w:cs="宋体"/>
          <w:b/>
          <w:bCs/>
          <w:color w:val="auto"/>
          <w:sz w:val="32"/>
          <w:szCs w:val="32"/>
          <w:highlight w:val="none"/>
          <w:lang w:eastAsia="zh-CN"/>
        </w:rPr>
        <w:t>广西建采项目管理有限公司</w:t>
      </w:r>
    </w:p>
    <w:p w14:paraId="4F261363">
      <w:pPr>
        <w:pStyle w:val="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日期：2025年6月</w:t>
      </w:r>
    </w:p>
    <w:p w14:paraId="12A40F20">
      <w:pPr>
        <w:pStyle w:val="13"/>
        <w:spacing w:line="600" w:lineRule="auto"/>
        <w:jc w:val="center"/>
        <w:rPr>
          <w:rFonts w:hint="eastAsia" w:ascii="宋体" w:hAnsi="宋体" w:eastAsia="宋体" w:cs="宋体"/>
          <w:b/>
          <w:color w:val="auto"/>
          <w:sz w:val="32"/>
          <w:szCs w:val="32"/>
          <w:highlight w:val="none"/>
        </w:rPr>
      </w:pPr>
    </w:p>
    <w:p w14:paraId="65E2D6BA">
      <w:pPr>
        <w:pStyle w:val="13"/>
        <w:spacing w:line="600" w:lineRule="auto"/>
        <w:jc w:val="center"/>
        <w:rPr>
          <w:rFonts w:hint="eastAsia" w:ascii="宋体" w:hAnsi="宋体" w:eastAsia="宋体" w:cs="宋体"/>
          <w:b/>
          <w:color w:val="auto"/>
          <w:sz w:val="44"/>
          <w:szCs w:val="44"/>
          <w:highlight w:val="none"/>
        </w:rPr>
        <w:sectPr>
          <w:pgSz w:w="11907" w:h="16840"/>
          <w:pgMar w:top="1134" w:right="1247" w:bottom="1134" w:left="1247" w:header="680" w:footer="680" w:gutter="0"/>
          <w:pgNumType w:fmt="numberInDash" w:start="1"/>
          <w:cols w:space="0" w:num="1"/>
          <w:rtlGutter w:val="0"/>
          <w:docGrid w:linePitch="312" w:charSpace="0"/>
        </w:sectPr>
      </w:pPr>
    </w:p>
    <w:p w14:paraId="45B86802">
      <w:pPr>
        <w:pStyle w:val="13"/>
        <w:spacing w:line="60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D4D195A">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4E8F1845">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 xml:space="preserve">第一章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_Toc26466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C8F72A1">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磋商供应商</w:t>
      </w:r>
      <w:r>
        <w:rPr>
          <w:rFonts w:hint="eastAsia" w:ascii="宋体" w:hAnsi="宋体" w:eastAsia="宋体" w:cs="宋体"/>
          <w:color w:val="auto"/>
          <w:sz w:val="28"/>
          <w:szCs w:val="28"/>
          <w:highlight w:val="none"/>
        </w:rPr>
        <w:t>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_Toc29766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63655C">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_Toc26631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_Toc26631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E660E0">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_Toc21357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lang w:val="en-US" w:eastAsia="zh-CN" w:bidi="ar-SA"/>
        </w:rPr>
        <w:t>第四章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_Toc21357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E9634D">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_Toc15213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 xml:space="preserve">第五章 </w:t>
      </w:r>
      <w:r>
        <w:rPr>
          <w:rFonts w:hint="eastAsia" w:ascii="宋体" w:hAnsi="宋体" w:eastAsia="宋体" w:cs="宋体"/>
          <w:color w:val="auto"/>
          <w:sz w:val="28"/>
          <w:szCs w:val="28"/>
          <w:highlight w:val="none"/>
        </w:rPr>
        <w:t xml:space="preserve"> 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_Toc15213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7920BF">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F711B">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_Toc14562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_Toc14562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40E2685">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第八章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05BC8B">
      <w:pPr>
        <w:pStyle w:val="2"/>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_Toc8279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第九章  “政采贷”政策告知函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_Toc8279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33AC0F">
      <w:pPr>
        <w:pStyle w:val="14"/>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21BD63D4">
      <w:pPr>
        <w:spacing w:line="400" w:lineRule="exact"/>
        <w:jc w:val="center"/>
        <w:rPr>
          <w:rFonts w:hint="eastAsia" w:ascii="宋体" w:hAnsi="宋体" w:eastAsia="宋体" w:cs="宋体"/>
          <w:b/>
          <w:bCs/>
          <w:color w:val="auto"/>
          <w:sz w:val="28"/>
          <w:szCs w:val="28"/>
          <w:highlight w:val="none"/>
          <w:lang w:eastAsia="zh-CN"/>
        </w:rPr>
      </w:pPr>
      <w:bookmarkStart w:id="1" w:name="_Toc459103897"/>
    </w:p>
    <w:p w14:paraId="31FC4FF6">
      <w:pPr>
        <w:spacing w:line="400" w:lineRule="exact"/>
        <w:jc w:val="center"/>
        <w:rPr>
          <w:rFonts w:hint="eastAsia" w:ascii="宋体" w:hAnsi="宋体" w:eastAsia="宋体" w:cs="宋体"/>
          <w:b/>
          <w:bCs/>
          <w:color w:val="auto"/>
          <w:sz w:val="28"/>
          <w:szCs w:val="28"/>
          <w:highlight w:val="none"/>
          <w:lang w:eastAsia="zh-CN"/>
        </w:rPr>
      </w:pPr>
    </w:p>
    <w:p w14:paraId="7C34F7DD">
      <w:pPr>
        <w:spacing w:line="400" w:lineRule="exact"/>
        <w:jc w:val="center"/>
        <w:rPr>
          <w:rFonts w:hint="eastAsia" w:ascii="宋体" w:hAnsi="宋体" w:eastAsia="宋体" w:cs="宋体"/>
          <w:b/>
          <w:bCs/>
          <w:color w:val="auto"/>
          <w:sz w:val="28"/>
          <w:szCs w:val="28"/>
          <w:highlight w:val="none"/>
          <w:lang w:eastAsia="zh-CN"/>
        </w:rPr>
      </w:pPr>
    </w:p>
    <w:p w14:paraId="1FF38117">
      <w:pPr>
        <w:spacing w:line="400" w:lineRule="exact"/>
        <w:jc w:val="center"/>
        <w:rPr>
          <w:rFonts w:hint="eastAsia" w:ascii="宋体" w:hAnsi="宋体" w:eastAsia="宋体" w:cs="宋体"/>
          <w:b/>
          <w:bCs/>
          <w:color w:val="auto"/>
          <w:sz w:val="28"/>
          <w:szCs w:val="28"/>
          <w:highlight w:val="none"/>
          <w:lang w:eastAsia="zh-CN"/>
        </w:rPr>
      </w:pPr>
    </w:p>
    <w:p w14:paraId="1ECB347D">
      <w:pPr>
        <w:spacing w:line="400" w:lineRule="exact"/>
        <w:jc w:val="center"/>
        <w:rPr>
          <w:rFonts w:hint="eastAsia" w:ascii="宋体" w:hAnsi="宋体" w:eastAsia="宋体" w:cs="宋体"/>
          <w:b/>
          <w:bCs/>
          <w:color w:val="auto"/>
          <w:sz w:val="28"/>
          <w:szCs w:val="28"/>
          <w:highlight w:val="none"/>
          <w:lang w:eastAsia="zh-CN"/>
        </w:rPr>
      </w:pPr>
    </w:p>
    <w:p w14:paraId="10E4DCDA">
      <w:pPr>
        <w:spacing w:line="400" w:lineRule="exact"/>
        <w:jc w:val="center"/>
        <w:rPr>
          <w:rFonts w:hint="eastAsia" w:ascii="宋体" w:hAnsi="宋体" w:eastAsia="宋体" w:cs="宋体"/>
          <w:b/>
          <w:bCs/>
          <w:color w:val="auto"/>
          <w:sz w:val="28"/>
          <w:szCs w:val="28"/>
          <w:highlight w:val="none"/>
          <w:lang w:eastAsia="zh-CN"/>
        </w:rPr>
        <w:sectPr>
          <w:footerReference r:id="rId3" w:type="default"/>
          <w:pgSz w:w="11907" w:h="16840"/>
          <w:pgMar w:top="1247" w:right="1247" w:bottom="1247" w:left="1247" w:header="680" w:footer="680" w:gutter="0"/>
          <w:pgNumType w:fmt="numberInDash" w:start="1"/>
          <w:cols w:space="0" w:num="1"/>
          <w:rtlGutter w:val="0"/>
          <w:docGrid w:linePitch="312" w:charSpace="0"/>
        </w:sectPr>
      </w:pPr>
    </w:p>
    <w:p w14:paraId="1A46D286">
      <w:pPr>
        <w:pStyle w:val="13"/>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color w:val="auto"/>
          <w:sz w:val="32"/>
          <w:szCs w:val="32"/>
          <w:highlight w:val="none"/>
        </w:rPr>
      </w:pPr>
      <w:bookmarkStart w:id="2" w:name="_Toc26466"/>
      <w:r>
        <w:rPr>
          <w:rFonts w:hint="eastAsia" w:ascii="宋体" w:hAnsi="宋体" w:eastAsia="宋体" w:cs="宋体"/>
          <w:b/>
          <w:color w:val="auto"/>
          <w:kern w:val="2"/>
          <w:sz w:val="44"/>
          <w:szCs w:val="44"/>
          <w:highlight w:val="none"/>
          <w:lang w:val="en-US" w:eastAsia="zh-CN" w:bidi="ar-SA"/>
        </w:rPr>
        <w:t>第一章</w:t>
      </w:r>
      <w:r>
        <w:rPr>
          <w:rFonts w:hint="eastAsia" w:hAnsi="宋体" w:cs="宋体"/>
          <w:b/>
          <w:color w:val="auto"/>
          <w:kern w:val="2"/>
          <w:sz w:val="44"/>
          <w:szCs w:val="44"/>
          <w:highlight w:val="none"/>
          <w:lang w:val="en-US" w:eastAsia="zh-CN" w:bidi="ar-SA"/>
        </w:rPr>
        <w:t xml:space="preserve">  </w:t>
      </w:r>
      <w:r>
        <w:rPr>
          <w:rFonts w:hint="eastAsia" w:ascii="宋体" w:hAnsi="宋体" w:eastAsia="宋体" w:cs="宋体"/>
          <w:b/>
          <w:color w:val="auto"/>
          <w:sz w:val="44"/>
          <w:szCs w:val="44"/>
          <w:highlight w:val="none"/>
        </w:rPr>
        <w:t>竞争性磋商公告</w:t>
      </w:r>
      <w:bookmarkEnd w:id="2"/>
    </w:p>
    <w:p w14:paraId="457764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b/>
          <w:bCs/>
          <w:color w:val="auto"/>
          <w:sz w:val="28"/>
          <w:szCs w:val="28"/>
          <w:highlight w:val="none"/>
          <w:lang w:eastAsia="zh-CN"/>
        </w:rPr>
      </w:pPr>
    </w:p>
    <w:p w14:paraId="697BAD1A">
      <w:pPr>
        <w:spacing w:line="400" w:lineRule="exact"/>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广西建采项目管理有限公司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羊头镇龙山村水渠三面光工程</w:t>
      </w:r>
      <w:r>
        <w:rPr>
          <w:rFonts w:hint="eastAsia" w:ascii="宋体" w:hAnsi="宋体" w:eastAsia="宋体" w:cs="宋体"/>
          <w:b/>
          <w:bCs/>
          <w:color w:val="auto"/>
          <w:sz w:val="28"/>
          <w:szCs w:val="28"/>
          <w:highlight w:val="none"/>
          <w:u w:val="none"/>
          <w:lang w:val="en-US" w:eastAsia="zh-CN"/>
        </w:rPr>
        <w:t>（项</w:t>
      </w:r>
      <w:r>
        <w:rPr>
          <w:rFonts w:hint="eastAsia" w:ascii="宋体" w:hAnsi="宋体" w:eastAsia="宋体" w:cs="宋体"/>
          <w:b/>
          <w:bCs/>
          <w:color w:val="auto"/>
          <w:sz w:val="28"/>
          <w:szCs w:val="28"/>
          <w:highlight w:val="none"/>
          <w:lang w:val="en-US" w:eastAsia="zh-CN"/>
        </w:rPr>
        <w:t>目编号：</w:t>
      </w:r>
      <w:r>
        <w:rPr>
          <w:rFonts w:hint="eastAsia" w:ascii="宋体" w:hAnsi="宋体" w:cs="宋体"/>
          <w:b/>
          <w:bCs/>
          <w:color w:val="auto"/>
          <w:sz w:val="28"/>
          <w:szCs w:val="28"/>
          <w:highlight w:val="none"/>
          <w:lang w:val="en-US" w:eastAsia="zh-CN"/>
        </w:rPr>
        <w:t>HZZC2025-C2-030046-JCXM</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竞争性磋商公告（远程异地评标）</w:t>
      </w:r>
    </w:p>
    <w:p w14:paraId="29C10E8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lang w:eastAsia="zh-CN"/>
        </w:rPr>
        <w:t>：</w:t>
      </w:r>
    </w:p>
    <w:p w14:paraId="2944E0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羊头镇龙山村水渠三面光工程</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color w:val="auto"/>
          <w:sz w:val="21"/>
          <w:szCs w:val="21"/>
          <w:highlight w:val="none"/>
          <w:u w:val="single"/>
          <w:lang w:val="en-US" w:eastAsia="zh-CN"/>
        </w:rPr>
        <w:t>广西政府采购云平台（https://www.gcy.zfcg.gxzf.gov.cn/）</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文件，并于</w:t>
      </w:r>
      <w:r>
        <w:rPr>
          <w:rFonts w:hint="eastAsia" w:ascii="宋体" w:hAnsi="宋体" w:cs="宋体"/>
          <w:color w:val="auto"/>
          <w:sz w:val="21"/>
          <w:szCs w:val="21"/>
          <w:highlight w:val="none"/>
          <w:u w:val="single"/>
          <w:lang w:val="en-US" w:eastAsia="zh-CN"/>
        </w:rPr>
        <w:t>2025年6</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16日15时30分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393EB1FE">
      <w:pPr>
        <w:pStyle w:val="4"/>
        <w:pageBreakBefore w:val="0"/>
        <w:widowControl w:val="0"/>
        <w:tabs>
          <w:tab w:val="left" w:pos="6188"/>
        </w:tabs>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lang w:eastAsia="zh-CN"/>
        </w:rPr>
      </w:pPr>
      <w:bookmarkStart w:id="3" w:name="_Toc28359089"/>
      <w:bookmarkStart w:id="4" w:name="_Toc35393629"/>
      <w:bookmarkStart w:id="5" w:name="_Toc28359012"/>
      <w:bookmarkStart w:id="6" w:name="_Toc35393798"/>
      <w:r>
        <w:rPr>
          <w:rFonts w:hint="eastAsia" w:ascii="宋体" w:hAnsi="宋体" w:eastAsia="宋体" w:cs="宋体"/>
          <w:b/>
          <w:bCs w:val="0"/>
          <w:color w:val="auto"/>
          <w:sz w:val="21"/>
          <w:szCs w:val="21"/>
          <w:highlight w:val="none"/>
        </w:rPr>
        <w:t>一、项目基本情况</w:t>
      </w:r>
      <w:bookmarkEnd w:id="3"/>
      <w:bookmarkEnd w:id="4"/>
      <w:bookmarkEnd w:id="5"/>
      <w:bookmarkEnd w:id="6"/>
      <w:r>
        <w:rPr>
          <w:rFonts w:hint="eastAsia" w:ascii="宋体" w:hAnsi="宋体" w:eastAsia="宋体" w:cs="宋体"/>
          <w:b/>
          <w:bCs w:val="0"/>
          <w:color w:val="auto"/>
          <w:sz w:val="21"/>
          <w:szCs w:val="21"/>
          <w:highlight w:val="none"/>
          <w:lang w:eastAsia="zh-CN"/>
        </w:rPr>
        <w:tab/>
      </w:r>
    </w:p>
    <w:p w14:paraId="2E076BCD">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HZZC2025-C2-030046-JCXM</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DF7BD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羊头镇龙山村水渠三面光工程</w:t>
      </w:r>
    </w:p>
    <w:p w14:paraId="38F97B7F">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采购方式</w:t>
      </w:r>
      <w:r>
        <w:rPr>
          <w:rFonts w:hint="eastAsia" w:ascii="宋体" w:hAnsi="宋体" w:eastAsia="宋体" w:cs="宋体"/>
          <w:color w:val="auto"/>
          <w:sz w:val="21"/>
          <w:szCs w:val="21"/>
          <w:highlight w:val="none"/>
        </w:rPr>
        <w:t>：竞争性磋商</w:t>
      </w:r>
    </w:p>
    <w:p w14:paraId="07416462">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rPr>
        <w:t>预算金额</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eastAsia="zh-CN"/>
        </w:rPr>
        <w:t>陆拾肆万贰仟壹佰叁拾叁元陆角柒分（¥642133.67）</w:t>
      </w:r>
    </w:p>
    <w:p w14:paraId="1A9856E1">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none"/>
        </w:rPr>
        <w:t>最高限价</w:t>
      </w:r>
      <w:r>
        <w:rPr>
          <w:rFonts w:hint="eastAsia" w:ascii="宋体" w:hAnsi="宋体" w:eastAsia="宋体" w:cs="宋体"/>
          <w:b w:val="0"/>
          <w:bCs w:val="0"/>
          <w:color w:val="auto"/>
          <w:sz w:val="21"/>
          <w:szCs w:val="21"/>
          <w:highlight w:val="none"/>
          <w:u w:val="none"/>
        </w:rPr>
        <w:t>：人民币</w:t>
      </w:r>
      <w:r>
        <w:rPr>
          <w:rFonts w:hint="eastAsia" w:ascii="宋体" w:hAnsi="宋体" w:cs="宋体"/>
          <w:b w:val="0"/>
          <w:bCs w:val="0"/>
          <w:color w:val="auto"/>
          <w:sz w:val="21"/>
          <w:szCs w:val="21"/>
          <w:highlight w:val="none"/>
          <w:u w:val="none"/>
          <w:lang w:eastAsia="zh-CN"/>
        </w:rPr>
        <w:t>陆拾肆万贰仟壹佰叁拾叁元陆角柒分（¥642133.67）</w:t>
      </w:r>
    </w:p>
    <w:p w14:paraId="597E398C">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采购项目的采购范围描述或项目基本概况介绍：</w:t>
      </w:r>
      <w:r>
        <w:rPr>
          <w:rFonts w:hint="eastAsia" w:ascii="宋体" w:hAnsi="宋体" w:cs="宋体"/>
          <w:color w:val="auto"/>
          <w:sz w:val="21"/>
          <w:szCs w:val="21"/>
          <w:highlight w:val="none"/>
          <w:lang w:val="en-US" w:eastAsia="zh-CN"/>
        </w:rPr>
        <w:t>羊头镇龙山村水渠三面光工程采购，</w:t>
      </w:r>
      <w:r>
        <w:rPr>
          <w:rFonts w:hint="eastAsia" w:ascii="宋体" w:hAnsi="宋体" w:eastAsia="宋体" w:cs="宋体"/>
          <w:color w:val="auto"/>
          <w:sz w:val="21"/>
          <w:szCs w:val="21"/>
          <w:highlight w:val="none"/>
          <w:lang w:val="en-US" w:eastAsia="zh-CN"/>
        </w:rPr>
        <w:t>具体详见经财政投资评审的《工程量清单》内容及相关设计图纸要求范围内所有工程内容。</w:t>
      </w:r>
    </w:p>
    <w:p w14:paraId="6296EC8F">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合同履行期限</w:t>
      </w:r>
      <w:r>
        <w:rPr>
          <w:rFonts w:hint="eastAsia" w:ascii="宋体" w:hAnsi="宋体" w:eastAsia="宋体" w:cs="宋体"/>
          <w:color w:val="auto"/>
          <w:sz w:val="21"/>
          <w:szCs w:val="21"/>
          <w:highlight w:val="none"/>
        </w:rPr>
        <w:t>：以开工令为准，工期为</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日历天。</w:t>
      </w:r>
    </w:p>
    <w:p w14:paraId="512195C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本项目不接受联合体磋商。</w:t>
      </w:r>
    </w:p>
    <w:p w14:paraId="37809B6C">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7" w:name="_Toc28359090"/>
      <w:bookmarkStart w:id="8" w:name="_Toc35393799"/>
      <w:bookmarkStart w:id="9" w:name="_Toc35393630"/>
      <w:bookmarkStart w:id="10" w:name="_Toc28359013"/>
      <w:r>
        <w:rPr>
          <w:rFonts w:hint="eastAsia" w:ascii="宋体" w:hAnsi="宋体" w:eastAsia="宋体" w:cs="宋体"/>
          <w:b/>
          <w:bCs w:val="0"/>
          <w:color w:val="auto"/>
          <w:sz w:val="21"/>
          <w:szCs w:val="21"/>
          <w:highlight w:val="none"/>
        </w:rPr>
        <w:t>二、申请人的资格要求：</w:t>
      </w:r>
      <w:bookmarkEnd w:id="7"/>
      <w:bookmarkEnd w:id="8"/>
      <w:bookmarkEnd w:id="9"/>
      <w:bookmarkEnd w:id="10"/>
    </w:p>
    <w:p w14:paraId="19EABBFF">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11" w:name="_Toc35393800"/>
      <w:bookmarkStart w:id="12" w:name="_Toc28359014"/>
      <w:bookmarkStart w:id="13" w:name="_Toc28359091"/>
      <w:bookmarkStart w:id="14" w:name="_Toc35393631"/>
      <w:r>
        <w:rPr>
          <w:rFonts w:hint="eastAsia" w:ascii="宋体" w:hAnsi="宋体" w:eastAsia="宋体" w:cs="宋体"/>
          <w:color w:val="auto"/>
          <w:sz w:val="21"/>
          <w:szCs w:val="21"/>
          <w:highlight w:val="none"/>
        </w:rPr>
        <w:t>1.满足《中华人民共和国政府采购法》第二十二条规定；</w:t>
      </w:r>
    </w:p>
    <w:p w14:paraId="154B2412">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2.落实政府采购政策需满足的资格要求：本项目属于专门面向中小企业采购的项目，供应商应为中小企业、监狱企业、残疾人福利性单位；</w:t>
      </w:r>
    </w:p>
    <w:p w14:paraId="62732F05">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231091BD">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3.1竞标单位资质应具备有效的</w:t>
      </w:r>
      <w:r>
        <w:rPr>
          <w:rFonts w:hint="eastAsia" w:ascii="宋体" w:hAnsi="宋体" w:cs="宋体"/>
          <w:color w:val="auto"/>
          <w:sz w:val="21"/>
          <w:szCs w:val="21"/>
          <w:highlight w:val="none"/>
          <w:lang w:val="en-US" w:eastAsia="zh-CN"/>
        </w:rPr>
        <w:t>水利水电</w:t>
      </w:r>
      <w:r>
        <w:rPr>
          <w:rFonts w:hint="eastAsia" w:ascii="宋体" w:hAnsi="宋体" w:eastAsia="宋体" w:cs="宋体"/>
          <w:color w:val="auto"/>
          <w:sz w:val="21"/>
          <w:szCs w:val="21"/>
          <w:highlight w:val="none"/>
          <w:lang w:val="en-US" w:eastAsia="zh-CN"/>
        </w:rPr>
        <w:t>工程施工总承包</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级</w:t>
      </w:r>
      <w:r>
        <w:rPr>
          <w:rFonts w:hint="eastAsia" w:ascii="宋体" w:hAnsi="宋体" w:cs="Courier New"/>
          <w:color w:val="auto"/>
          <w:highlight w:val="none"/>
        </w:rPr>
        <w:t>（含三级）</w:t>
      </w:r>
      <w:r>
        <w:rPr>
          <w:rFonts w:hint="eastAsia" w:ascii="宋体" w:hAnsi="宋体" w:eastAsia="宋体" w:cs="宋体"/>
          <w:color w:val="auto"/>
          <w:sz w:val="21"/>
          <w:szCs w:val="21"/>
          <w:highlight w:val="none"/>
          <w:lang w:val="en-US" w:eastAsia="zh-CN"/>
        </w:rPr>
        <w:t>以上资质</w:t>
      </w:r>
      <w:r>
        <w:rPr>
          <w:rFonts w:hint="eastAsia" w:ascii="宋体" w:hAnsi="宋体" w:cs="宋体"/>
          <w:color w:val="auto"/>
          <w:sz w:val="21"/>
          <w:szCs w:val="21"/>
          <w:highlight w:val="none"/>
          <w:lang w:val="en-US" w:eastAsia="zh-CN"/>
        </w:rPr>
        <w:t>，并在人员、设备、资金等方面具备相应的施工能力；</w:t>
      </w:r>
    </w:p>
    <w:p w14:paraId="7153AA53">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项目经理资格：拟投入的项目经理须具备</w:t>
      </w:r>
      <w:r>
        <w:rPr>
          <w:rFonts w:hint="eastAsia" w:ascii="宋体" w:hAnsi="宋体" w:cs="宋体"/>
          <w:color w:val="auto"/>
          <w:sz w:val="21"/>
          <w:szCs w:val="21"/>
          <w:highlight w:val="none"/>
          <w:lang w:val="en-US" w:eastAsia="zh-CN"/>
        </w:rPr>
        <w:t>水利水电</w:t>
      </w:r>
      <w:r>
        <w:rPr>
          <w:rFonts w:hint="eastAsia" w:ascii="宋体" w:hAnsi="宋体" w:eastAsia="宋体" w:cs="宋体"/>
          <w:color w:val="auto"/>
          <w:sz w:val="21"/>
          <w:szCs w:val="21"/>
          <w:highlight w:val="none"/>
          <w:lang w:val="en-US" w:eastAsia="zh-CN"/>
        </w:rPr>
        <w:t>工程专业二级（含二级）以上注册建造师资格，持有有效的B类安全生产考核合格证；</w:t>
      </w:r>
    </w:p>
    <w:p w14:paraId="16DFD956">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专职安全员要求：拟投入本项目的专职安全员须具备有效的安全生产考核合格证书（C类），且不少于1人。</w:t>
      </w:r>
    </w:p>
    <w:p w14:paraId="35591DC6">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三、获取采购文件</w:t>
      </w:r>
      <w:bookmarkEnd w:id="11"/>
      <w:bookmarkEnd w:id="12"/>
      <w:bookmarkEnd w:id="13"/>
      <w:bookmarkEnd w:id="14"/>
    </w:p>
    <w:p w14:paraId="39495D5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时间：</w:t>
      </w:r>
      <w:r>
        <w:rPr>
          <w:rFonts w:hint="eastAsia" w:ascii="宋体" w:hAnsi="宋体" w:cs="宋体"/>
          <w:bCs/>
          <w:color w:val="auto"/>
          <w:sz w:val="21"/>
          <w:szCs w:val="21"/>
          <w:highlight w:val="none"/>
          <w:u w:val="single"/>
          <w:lang w:val="en-US" w:eastAsia="zh-CN"/>
        </w:rPr>
        <w:t>2025年6月5日</w:t>
      </w:r>
      <w:r>
        <w:rPr>
          <w:rFonts w:hint="eastAsia" w:ascii="宋体" w:hAnsi="宋体" w:eastAsia="宋体" w:cs="宋体"/>
          <w:bCs/>
          <w:color w:val="auto"/>
          <w:sz w:val="21"/>
          <w:szCs w:val="21"/>
          <w:highlight w:val="none"/>
          <w:u w:val="single"/>
          <w:lang w:val="en-US" w:eastAsia="zh-CN"/>
        </w:rPr>
        <w:t>至</w:t>
      </w:r>
      <w:r>
        <w:rPr>
          <w:rFonts w:hint="eastAsia" w:ascii="宋体" w:hAnsi="宋体" w:cs="宋体"/>
          <w:bCs/>
          <w:color w:val="auto"/>
          <w:sz w:val="21"/>
          <w:szCs w:val="21"/>
          <w:highlight w:val="none"/>
          <w:u w:val="single"/>
          <w:lang w:val="en-US" w:eastAsia="zh-CN"/>
        </w:rPr>
        <w:t>2025年6</w:t>
      </w:r>
      <w:r>
        <w:rPr>
          <w:rFonts w:hint="eastAsia" w:ascii="宋体" w:hAnsi="宋体" w:eastAsia="宋体" w:cs="宋体"/>
          <w:bCs/>
          <w:color w:val="auto"/>
          <w:sz w:val="21"/>
          <w:szCs w:val="21"/>
          <w:highlight w:val="none"/>
          <w:u w:val="single"/>
          <w:lang w:val="en-US" w:eastAsia="zh-CN"/>
        </w:rPr>
        <w:t>月</w:t>
      </w:r>
      <w:r>
        <w:rPr>
          <w:rFonts w:hint="eastAsia" w:ascii="宋体" w:hAnsi="宋体" w:cs="宋体"/>
          <w:bCs/>
          <w:color w:val="auto"/>
          <w:sz w:val="21"/>
          <w:szCs w:val="21"/>
          <w:highlight w:val="none"/>
          <w:u w:val="single"/>
          <w:lang w:val="en-US" w:eastAsia="zh-CN"/>
        </w:rPr>
        <w:t>12</w:t>
      </w:r>
      <w:r>
        <w:rPr>
          <w:rFonts w:hint="eastAsia" w:ascii="宋体" w:hAnsi="宋体" w:eastAsia="宋体" w:cs="宋体"/>
          <w:bCs/>
          <w:color w:val="auto"/>
          <w:sz w:val="21"/>
          <w:szCs w:val="21"/>
          <w:highlight w:val="none"/>
          <w:u w:val="single"/>
          <w:lang w:val="en-US" w:eastAsia="zh-CN"/>
        </w:rPr>
        <w:t>日</w:t>
      </w:r>
      <w:r>
        <w:rPr>
          <w:rFonts w:hint="eastAsia" w:ascii="宋体" w:hAnsi="宋体" w:eastAsia="宋体" w:cs="宋体"/>
          <w:bCs/>
          <w:color w:val="auto"/>
          <w:sz w:val="21"/>
          <w:szCs w:val="21"/>
          <w:highlight w:val="none"/>
          <w:lang w:val="en-US" w:eastAsia="zh-CN"/>
        </w:rPr>
        <w:t>，</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eastAsia="宋体" w:cs="宋体"/>
          <w:bCs/>
          <w:color w:val="auto"/>
          <w:sz w:val="21"/>
          <w:szCs w:val="21"/>
          <w:highlight w:val="none"/>
          <w:lang w:val="en-US" w:eastAsia="zh-CN"/>
        </w:rPr>
        <w:t>（北京时间，法定节假日除外）；</w:t>
      </w:r>
    </w:p>
    <w:p w14:paraId="0E14CB3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地点：“广西政府采购云平台”（https://www.gcy.zfcg.gxzf.gov.cn/）；</w:t>
      </w:r>
    </w:p>
    <w:p w14:paraId="27861FC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3BB56D5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售价：0元。</w:t>
      </w:r>
    </w:p>
    <w:p w14:paraId="7E4E1F2B">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15" w:name="_Toc35393801"/>
      <w:bookmarkStart w:id="16" w:name="_Toc35393632"/>
      <w:bookmarkStart w:id="17" w:name="_Toc28359015"/>
      <w:bookmarkStart w:id="18" w:name="_Toc28359092"/>
      <w:r>
        <w:rPr>
          <w:rFonts w:hint="eastAsia" w:ascii="宋体" w:hAnsi="宋体" w:eastAsia="宋体" w:cs="宋体"/>
          <w:b/>
          <w:bCs w:val="0"/>
          <w:color w:val="auto"/>
          <w:sz w:val="21"/>
          <w:szCs w:val="21"/>
          <w:highlight w:val="none"/>
        </w:rPr>
        <w:t>四、响应文件提交</w:t>
      </w:r>
      <w:bookmarkEnd w:id="15"/>
      <w:bookmarkEnd w:id="16"/>
      <w:bookmarkEnd w:id="17"/>
      <w:bookmarkEnd w:id="18"/>
    </w:p>
    <w:p w14:paraId="0AA47FE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2025年6</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16日15时30分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14:paraId="7B77B6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地点：本项目为贺州市电子化项目，通过“广西政府采购云平台”（https://www.gcy.zfcg.gxzf.gov.cn/） 实行在线电子投标，供应商应先安装““广西政府采购云平台电子交易客户端”（请自行前往广西政府采购网（访问地址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eastAsia="宋体" w:cs="宋体"/>
          <w:b/>
          <w:bCs/>
          <w:color w:val="auto"/>
          <w:sz w:val="21"/>
          <w:szCs w:val="21"/>
          <w:highlight w:val="none"/>
        </w:rPr>
        <w:t>供应商在“广西政府采购云平台”提交电子版响应文件时，请填写参加远程开标活动经办人联系方式，如在操作过程中遇到问题或需技术支持，请致电广西政府采购云平台客服热线：95763。</w:t>
      </w:r>
    </w:p>
    <w:p w14:paraId="606350EE">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lang w:val="en-US" w:eastAsia="zh-CN"/>
        </w:rPr>
      </w:pPr>
      <w:bookmarkStart w:id="19" w:name="_Toc28359093"/>
      <w:bookmarkStart w:id="20" w:name="_Toc35393802"/>
      <w:bookmarkStart w:id="21" w:name="_Toc28359016"/>
      <w:bookmarkStart w:id="22" w:name="_Toc35393633"/>
      <w:r>
        <w:rPr>
          <w:rFonts w:hint="eastAsia" w:ascii="宋体" w:hAnsi="宋体" w:eastAsia="宋体" w:cs="宋体"/>
          <w:b/>
          <w:bCs w:val="0"/>
          <w:color w:val="auto"/>
          <w:sz w:val="21"/>
          <w:szCs w:val="21"/>
          <w:highlight w:val="none"/>
          <w:lang w:val="en-US" w:eastAsia="zh-CN"/>
        </w:rPr>
        <w:t>五、开启</w:t>
      </w:r>
      <w:bookmarkEnd w:id="19"/>
      <w:bookmarkEnd w:id="20"/>
      <w:bookmarkEnd w:id="21"/>
      <w:bookmarkEnd w:id="22"/>
    </w:p>
    <w:p w14:paraId="15BE45AD">
      <w:pPr>
        <w:pStyle w:val="4"/>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时间：</w:t>
      </w:r>
      <w:r>
        <w:rPr>
          <w:rFonts w:hint="eastAsia" w:ascii="宋体" w:hAnsi="宋体" w:eastAsia="宋体" w:cs="宋体"/>
          <w:b w:val="0"/>
          <w:bCs/>
          <w:color w:val="auto"/>
          <w:sz w:val="21"/>
          <w:szCs w:val="21"/>
          <w:highlight w:val="none"/>
          <w:u w:val="single"/>
          <w:lang w:val="en-US" w:eastAsia="zh-CN"/>
        </w:rPr>
        <w:t xml:space="preserve">2025年6月16日15时30分 </w:t>
      </w:r>
      <w:r>
        <w:rPr>
          <w:rFonts w:hint="eastAsia" w:ascii="宋体" w:hAnsi="宋体" w:eastAsia="宋体" w:cs="宋体"/>
          <w:b w:val="0"/>
          <w:bCs/>
          <w:color w:val="auto"/>
          <w:sz w:val="21"/>
          <w:szCs w:val="21"/>
          <w:highlight w:val="none"/>
        </w:rPr>
        <w:t>（北京时间）</w:t>
      </w:r>
      <w:r>
        <w:rPr>
          <w:rFonts w:hint="eastAsia" w:ascii="宋体" w:hAnsi="宋体" w:eastAsia="宋体" w:cs="宋体"/>
          <w:b w:val="0"/>
          <w:bCs/>
          <w:color w:val="auto"/>
          <w:sz w:val="21"/>
          <w:szCs w:val="21"/>
          <w:highlight w:val="none"/>
          <w:lang w:eastAsia="zh-CN"/>
        </w:rPr>
        <w:t>；</w:t>
      </w:r>
    </w:p>
    <w:p w14:paraId="280AE5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地点：“广西政府采购云平台”（https://www.gcy.zfcg.gxzf.gov.cn/）</w:t>
      </w:r>
    </w:p>
    <w:p w14:paraId="269F6E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360" w:lineRule="auto"/>
        <w:ind w:righ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rPr>
        <w:t>（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2307B41D">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3" w:name="_Toc35393634"/>
      <w:bookmarkStart w:id="24" w:name="_Toc28359017"/>
      <w:bookmarkStart w:id="25" w:name="_Toc28359094"/>
      <w:bookmarkStart w:id="26" w:name="_Toc35393803"/>
      <w:r>
        <w:rPr>
          <w:rFonts w:hint="eastAsia" w:ascii="宋体" w:hAnsi="宋体" w:eastAsia="宋体" w:cs="宋体"/>
          <w:b/>
          <w:bCs w:val="0"/>
          <w:color w:val="auto"/>
          <w:sz w:val="21"/>
          <w:szCs w:val="21"/>
          <w:highlight w:val="none"/>
        </w:rPr>
        <w:t>六、公告期限</w:t>
      </w:r>
      <w:bookmarkEnd w:id="23"/>
      <w:bookmarkEnd w:id="24"/>
      <w:bookmarkEnd w:id="25"/>
      <w:bookmarkEnd w:id="26"/>
    </w:p>
    <w:p w14:paraId="657B825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7340921C">
      <w:pPr>
        <w:pStyle w:val="4"/>
        <w:pageBreakBefore w:val="0"/>
        <w:widowControl w:val="0"/>
        <w:numPr>
          <w:ilvl w:val="0"/>
          <w:numId w:val="2"/>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7" w:name="_Toc35393804"/>
      <w:bookmarkStart w:id="28" w:name="_Toc35393635"/>
      <w:r>
        <w:rPr>
          <w:rFonts w:hint="eastAsia" w:ascii="宋体" w:hAnsi="宋体" w:eastAsia="宋体" w:cs="宋体"/>
          <w:b/>
          <w:bCs w:val="0"/>
          <w:color w:val="auto"/>
          <w:sz w:val="21"/>
          <w:szCs w:val="21"/>
          <w:highlight w:val="none"/>
        </w:rPr>
        <w:t>其他补充事宜</w:t>
      </w:r>
      <w:bookmarkEnd w:id="27"/>
      <w:bookmarkEnd w:id="28"/>
    </w:p>
    <w:p w14:paraId="6A16D505">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宋体" w:hAnsi="宋体" w:eastAsia="宋体" w:cs="宋体"/>
          <w:b w:val="0"/>
          <w:bCs/>
          <w:color w:val="auto"/>
          <w:kern w:val="2"/>
          <w:sz w:val="21"/>
          <w:szCs w:val="21"/>
          <w:highlight w:val="none"/>
          <w:lang w:val="en-US" w:eastAsia="zh-CN" w:bidi="ar-SA"/>
        </w:rPr>
        <w:t>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B35DAE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2.磋商保证金（人民币）：陆仟肆佰元整（¥6400.00）。</w:t>
      </w:r>
    </w:p>
    <w:p w14:paraId="45F1AAC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分标号。</w:t>
      </w:r>
    </w:p>
    <w:p w14:paraId="32124D3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 xml:space="preserve">账户名称： 广西建采项目管理有限公司  </w:t>
      </w:r>
    </w:p>
    <w:p w14:paraId="4FE8036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 xml:space="preserve">开户银行： 中国建设银行贺州城东支行             </w:t>
      </w:r>
    </w:p>
    <w:p w14:paraId="3BA358E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银行账号： 45050164740200001325</w:t>
      </w:r>
    </w:p>
    <w:p w14:paraId="3A6AE4A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注：若成交供应商以电子保函形式提交投标保证金的，推广使用在“广西政府采购金融服务平台”通过在线方式完成保函申请、递交等全流程电子化操作。</w:t>
      </w:r>
      <w:r>
        <w:rPr>
          <w:rFonts w:hint="eastAsia" w:ascii="宋体" w:hAnsi="宋体" w:eastAsia="宋体" w:cs="宋体"/>
          <w:b w:val="0"/>
          <w:bCs/>
          <w:color w:val="auto"/>
          <w:kern w:val="2"/>
          <w:sz w:val="21"/>
          <w:szCs w:val="21"/>
          <w:highlight w:val="none"/>
          <w:lang w:val="en-US" w:eastAsia="zh-CN" w:bidi="ar-SA"/>
        </w:rPr>
        <w:tab/>
      </w:r>
    </w:p>
    <w:p w14:paraId="335A00AC">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w:t>
      </w:r>
      <w:r>
        <w:rPr>
          <w:rFonts w:hint="eastAsia" w:ascii="宋体" w:hAnsi="宋体" w:eastAsia="宋体" w:cs="宋体"/>
          <w:b w:val="0"/>
          <w:bCs/>
          <w:color w:val="auto"/>
          <w:kern w:val="2"/>
          <w:sz w:val="21"/>
          <w:szCs w:val="21"/>
          <w:highlight w:val="none"/>
          <w:lang w:val="en-US" w:eastAsia="zh-CN" w:bidi="ar-S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47B3F2">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b w:val="0"/>
          <w:bCs/>
          <w:color w:val="auto"/>
          <w:kern w:val="2"/>
          <w:sz w:val="21"/>
          <w:szCs w:val="21"/>
          <w:highlight w:val="none"/>
          <w:lang w:val="en-US" w:eastAsia="zh-CN" w:bidi="ar-SA"/>
        </w:rPr>
        <w:t>重大税收违法失信主体</w:t>
      </w:r>
      <w:r>
        <w:rPr>
          <w:rFonts w:hint="eastAsia" w:ascii="宋体" w:hAnsi="宋体" w:eastAsia="宋体" w:cs="宋体"/>
          <w:b w:val="0"/>
          <w:bCs/>
          <w:color w:val="auto"/>
          <w:kern w:val="2"/>
          <w:sz w:val="21"/>
          <w:szCs w:val="21"/>
          <w:highlight w:val="none"/>
          <w:lang w:val="en-US" w:eastAsia="zh-CN" w:bidi="ar-SA"/>
        </w:rPr>
        <w:t>、政府采购严重违法失信行为记录名单及其他不符合《中华人民共和国政府采购法》第二十二条规定条件的供应商，不得参与政府采购活动。</w:t>
      </w:r>
    </w:p>
    <w:p w14:paraId="10EA3AB1">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w:t>
      </w:r>
      <w:r>
        <w:rPr>
          <w:rFonts w:hint="eastAsia" w:ascii="宋体" w:hAnsi="宋体" w:eastAsia="宋体" w:cs="宋体"/>
          <w:b w:val="0"/>
          <w:bCs/>
          <w:color w:val="auto"/>
          <w:kern w:val="2"/>
          <w:sz w:val="21"/>
          <w:szCs w:val="21"/>
          <w:highlight w:val="none"/>
          <w:lang w:val="en-US" w:eastAsia="zh-CN" w:bidi="ar-SA"/>
        </w:rPr>
        <w:t>发布公告的媒介：</w:t>
      </w:r>
    </w:p>
    <w:p w14:paraId="1EDEDEE3">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本次公告同时在中国政府采购网www.ccgp.gov.cn、广西壮族自治区政府采购网zfcg.gxzf.gov.cn发布。</w:t>
      </w:r>
    </w:p>
    <w:p w14:paraId="6F7AC53A">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color w:val="auto"/>
          <w:kern w:val="2"/>
          <w:sz w:val="21"/>
          <w:szCs w:val="21"/>
          <w:highlight w:val="none"/>
          <w:lang w:val="en-US" w:eastAsia="zh-CN" w:bidi="ar-SA"/>
        </w:rPr>
        <w:t>监督部门：</w:t>
      </w:r>
    </w:p>
    <w:p w14:paraId="1E952A2B">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贺州市平桂区政府采购管理办公室，联系电话：0774-8832896</w:t>
      </w:r>
    </w:p>
    <w:p w14:paraId="714063AF">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7.在线投标响应（电子投标）说明：</w:t>
      </w:r>
    </w:p>
    <w:p w14:paraId="162FF67E">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本项目实行电子标，供应商应按照本项目采购文件和广西政府采购云平台的要求编制、加密并提交竞标响应文件。供应商在使用系统参与竞标过程中遇到涉及平台使用的任何问题，可致电广西政府采购云平台技术支持热线咨询，联系方式：95763。</w:t>
      </w:r>
    </w:p>
    <w:p w14:paraId="76DD9505">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（2）供应商应及时熟悉掌握电子标系统操作指南（见广西政府采购云平台电子卖场首页右上角—服务中心—帮助中心—项目采购）：https://helpcenter.zcygov.cn/document/#/document/dashboard?siteCode=gx。</w:t>
      </w:r>
    </w:p>
    <w:p w14:paraId="2417A5AB">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（3）供应商应及时完成CA申领和绑定（见广西政府采购网—办事服务—下载专区-广西政府采购云平台CA证书办理操作指南）</w:t>
      </w:r>
    </w:p>
    <w:p w14:paraId="05BDDB01">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4）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14:paraId="299A26CA">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注：进入新平台后（https://www.gcy.zfcg.gxzf.gov.cn/），新用户可以通过该路径申请入驻，完成入驻的用户/老用户需要下载客户端才能制作投标文件。</w:t>
      </w:r>
    </w:p>
    <w:p w14:paraId="5F7E9970">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（5）因未注册入库、未办理CA数字证书、CA证书故障、操作不当等原因造成无法参与或磋商失败等后果由供应商自行承担。</w:t>
      </w:r>
    </w:p>
    <w:p w14:paraId="6751BE8E">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公司开启响应文件；供应商超过解密时限的，系统默认自动放弃。</w:t>
      </w:r>
    </w:p>
    <w:p w14:paraId="1DEEFC06">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7）未进行网上注册并办理数字证书（CA认证）的供应商将无法参与本项目政府采购活动，潜在供应商应当在投标截止时间前，完成电子交易平台上的CA数字证书办理（如在操作过程中遇到问题或需技术支持，请致电广西政府采购云平台客服热线：95763）及投标文件的提交。完成CA数字证书办理预计7日左右，供应商只需办理其中一家CA数字证书及签章，建议各供应商抓紧时间办理。</w:t>
      </w:r>
    </w:p>
    <w:p w14:paraId="22787F9A">
      <w:pPr>
        <w:pageBreakBefore w:val="0"/>
        <w:kinsoku/>
        <w:wordWrap/>
        <w:overflowPunct/>
        <w:topLinePunct w:val="0"/>
        <w:autoSpaceDE/>
        <w:autoSpaceDN/>
        <w:bidi w:val="0"/>
        <w:snapToGrid/>
        <w:spacing w:line="360" w:lineRule="auto"/>
        <w:ind w:firstLine="420" w:firstLineChars="20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（8）为确保网上操作合法、有效和安全，请投标供应商确保在电子投标过程中能够对相关数据电文进行加密和使用电子签章，妥善保管CA数字证书并使用有效的CA数字证书参与整个招标活动。</w:t>
      </w:r>
    </w:p>
    <w:p w14:paraId="3536F5FC">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注：投标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eastAsia="宋体" w:cs="宋体"/>
          <w:b w:val="0"/>
          <w:bCs/>
          <w:color w:val="auto"/>
          <w:kern w:val="2"/>
          <w:sz w:val="21"/>
          <w:szCs w:val="21"/>
          <w:highlight w:val="none"/>
          <w:lang w:val="en-US" w:eastAsia="zh-CN" w:bidi="ar-SA"/>
        </w:rPr>
        <w:t xml:space="preserve"> </w:t>
      </w:r>
    </w:p>
    <w:p w14:paraId="28F81E70">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9" w:name="_Toc35393805"/>
      <w:bookmarkStart w:id="30" w:name="_Toc28359018"/>
      <w:bookmarkStart w:id="31" w:name="_Toc35393636"/>
      <w:bookmarkStart w:id="32" w:name="_Toc28359095"/>
      <w:r>
        <w:rPr>
          <w:rFonts w:hint="eastAsia" w:ascii="宋体" w:hAnsi="宋体" w:eastAsia="宋体" w:cs="宋体"/>
          <w:b/>
          <w:bCs w:val="0"/>
          <w:color w:val="auto"/>
          <w:sz w:val="21"/>
          <w:szCs w:val="21"/>
          <w:highlight w:val="none"/>
        </w:rPr>
        <w:t>八、凡对本次采购提出询问，请按以下方式联系。</w:t>
      </w:r>
      <w:bookmarkEnd w:id="29"/>
      <w:bookmarkEnd w:id="30"/>
      <w:bookmarkEnd w:id="31"/>
      <w:bookmarkEnd w:id="32"/>
    </w:p>
    <w:p w14:paraId="496C5554">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33" w:name="_Toc35393637"/>
      <w:bookmarkStart w:id="34" w:name="_Toc35393806"/>
      <w:bookmarkStart w:id="35" w:name="_Toc28359096"/>
      <w:bookmarkStart w:id="36" w:name="_Toc28359019"/>
      <w:r>
        <w:rPr>
          <w:rFonts w:hint="eastAsia" w:ascii="宋体" w:hAnsi="宋体" w:eastAsia="宋体" w:cs="宋体"/>
          <w:color w:val="auto"/>
          <w:sz w:val="21"/>
          <w:szCs w:val="21"/>
          <w:highlight w:val="none"/>
        </w:rPr>
        <w:t>1.采购人信息</w:t>
      </w:r>
      <w:bookmarkEnd w:id="33"/>
      <w:bookmarkEnd w:id="34"/>
      <w:bookmarkEnd w:id="35"/>
      <w:bookmarkEnd w:id="36"/>
    </w:p>
    <w:p w14:paraId="023996CC">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贺州市平桂区羊头镇人民政府</w:t>
      </w:r>
    </w:p>
    <w:p w14:paraId="1030B63C">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址：贺州市平桂区羊头镇羊头新街4号</w:t>
      </w:r>
    </w:p>
    <w:p w14:paraId="1FBCE4DA">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 xml:space="preserve">0774-8860026       </w:t>
      </w:r>
    </w:p>
    <w:p w14:paraId="44FC6CBC">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 w:val="21"/>
          <w:szCs w:val="21"/>
          <w:highlight w:val="none"/>
        </w:rPr>
      </w:pPr>
      <w:bookmarkStart w:id="37" w:name="_Toc28359097"/>
      <w:bookmarkStart w:id="38" w:name="_Toc28359020"/>
      <w:bookmarkStart w:id="39" w:name="_Toc35393638"/>
      <w:bookmarkStart w:id="40" w:name="_Toc35393807"/>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37"/>
      <w:bookmarkEnd w:id="38"/>
      <w:bookmarkEnd w:id="39"/>
      <w:bookmarkEnd w:id="40"/>
    </w:p>
    <w:p w14:paraId="219AA6EC">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Cs w:val="21"/>
          <w:highlight w:val="none"/>
          <w:lang w:eastAsia="zh-CN"/>
        </w:rPr>
        <w:t>广西建采项目管理有限公司</w:t>
      </w:r>
    </w:p>
    <w:p w14:paraId="28ADDA4B">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Cs w:val="21"/>
          <w:highlight w:val="none"/>
          <w:lang w:eastAsia="zh-CN"/>
        </w:rPr>
        <w:t>贺州市平安东路绿洲家园B区B-2栋5号商铺2F</w:t>
      </w:r>
    </w:p>
    <w:p w14:paraId="3BDBC9FF">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0774-5081968</w:t>
      </w:r>
    </w:p>
    <w:p w14:paraId="57EB069D">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1" w:name="_Toc28359098"/>
      <w:bookmarkStart w:id="42" w:name="_Toc35393639"/>
      <w:bookmarkStart w:id="43" w:name="_Toc28359021"/>
      <w:bookmarkStart w:id="44" w:name="_Toc35393808"/>
      <w:r>
        <w:rPr>
          <w:rFonts w:hint="eastAsia" w:ascii="宋体" w:hAnsi="宋体" w:eastAsia="宋体" w:cs="宋体"/>
          <w:color w:val="auto"/>
          <w:sz w:val="21"/>
          <w:szCs w:val="21"/>
          <w:highlight w:val="none"/>
        </w:rPr>
        <w:t>3.项目联系方式</w:t>
      </w:r>
      <w:bookmarkEnd w:id="41"/>
      <w:bookmarkEnd w:id="42"/>
      <w:bookmarkEnd w:id="43"/>
      <w:bookmarkEnd w:id="44"/>
    </w:p>
    <w:p w14:paraId="382B20FA">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Cs w:val="21"/>
          <w:highlight w:val="none"/>
          <w:lang w:val="en-US" w:eastAsia="zh-CN"/>
        </w:rPr>
        <w:t>刘宇倩</w:t>
      </w:r>
    </w:p>
    <w:p w14:paraId="00A69E7F">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0774-5081968</w:t>
      </w:r>
    </w:p>
    <w:p w14:paraId="519E057C">
      <w:pPr>
        <w:pStyle w:val="2"/>
        <w:jc w:val="right"/>
        <w:rPr>
          <w:rFonts w:hint="eastAsia" w:ascii="宋体" w:hAnsi="宋体" w:cs="宋体"/>
          <w:color w:val="auto"/>
          <w:highlight w:val="none"/>
          <w:lang w:val="en-US" w:eastAsia="zh-CN"/>
        </w:rPr>
      </w:pPr>
    </w:p>
    <w:p w14:paraId="7378BD37">
      <w:pPr>
        <w:pStyle w:val="2"/>
        <w:jc w:val="right"/>
        <w:rPr>
          <w:rFonts w:hint="eastAsia" w:eastAsia="宋体"/>
          <w:color w:val="auto"/>
          <w:highlight w:val="none"/>
          <w:lang w:val="en-US" w:eastAsia="zh-CN"/>
        </w:rPr>
      </w:pPr>
      <w:r>
        <w:rPr>
          <w:rFonts w:hint="eastAsia" w:ascii="宋体" w:hAnsi="宋体" w:cs="宋体"/>
          <w:color w:val="auto"/>
          <w:highlight w:val="none"/>
          <w:lang w:val="en-US" w:eastAsia="zh-CN"/>
        </w:rPr>
        <w:t>采购人：</w:t>
      </w:r>
      <w:r>
        <w:rPr>
          <w:rFonts w:hint="eastAsia" w:ascii="宋体" w:hAnsi="宋体" w:cs="宋体"/>
          <w:color w:val="auto"/>
          <w:sz w:val="21"/>
          <w:szCs w:val="21"/>
          <w:highlight w:val="none"/>
          <w:lang w:eastAsia="zh-CN"/>
        </w:rPr>
        <w:t>贺州市平桂区羊头镇人民政府</w:t>
      </w:r>
    </w:p>
    <w:p w14:paraId="7C2CD3A3">
      <w:pPr>
        <w:pageBreakBefore w:val="0"/>
        <w:kinsoku/>
        <w:wordWrap/>
        <w:overflowPunct/>
        <w:topLinePunct w:val="0"/>
        <w:autoSpaceDE/>
        <w:autoSpaceDN/>
        <w:bidi w:val="0"/>
        <w:snapToGrid/>
        <w:spacing w:line="360" w:lineRule="auto"/>
        <w:ind w:left="0" w:leftChars="0" w:right="0" w:righ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DD820EC">
      <w:pPr>
        <w:pageBreakBefore w:val="0"/>
        <w:kinsoku/>
        <w:wordWrap/>
        <w:overflowPunct/>
        <w:topLinePunct w:val="0"/>
        <w:autoSpaceDE/>
        <w:autoSpaceDN/>
        <w:bidi w:val="0"/>
        <w:snapToGrid/>
        <w:spacing w:line="360" w:lineRule="auto"/>
        <w:ind w:left="0" w:leftChars="0" w:right="0" w:rightChars="0" w:firstLine="420" w:firstLineChars="200"/>
        <w:jc w:val="right"/>
        <w:rPr>
          <w:rFonts w:hint="eastAsia" w:ascii="宋体" w:hAnsi="宋体" w:eastAsia="宋体" w:cs="宋体"/>
          <w:color w:val="auto"/>
          <w:sz w:val="21"/>
          <w:szCs w:val="21"/>
          <w:highlight w:val="none"/>
          <w:lang w:val="en-US" w:eastAsia="zh-CN"/>
        </w:rPr>
      </w:pPr>
    </w:p>
    <w:p w14:paraId="3CDF0C86">
      <w:pPr>
        <w:pageBreakBefore w:val="0"/>
        <w:kinsoku/>
        <w:wordWrap/>
        <w:overflowPunct/>
        <w:topLinePunct w:val="0"/>
        <w:autoSpaceDE/>
        <w:autoSpaceDN/>
        <w:bidi w:val="0"/>
        <w:snapToGrid/>
        <w:spacing w:line="360" w:lineRule="auto"/>
        <w:ind w:left="0" w:leftChars="0" w:right="0" w:rightChars="0"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cs="宋体"/>
          <w:color w:val="auto"/>
          <w:szCs w:val="21"/>
          <w:highlight w:val="none"/>
          <w:lang w:eastAsia="zh-CN"/>
        </w:rPr>
        <w:t>广西建采项目管理有限公司</w:t>
      </w:r>
      <w:r>
        <w:rPr>
          <w:rFonts w:hint="eastAsia" w:ascii="宋体" w:hAnsi="宋体" w:eastAsia="宋体" w:cs="宋体"/>
          <w:color w:val="auto"/>
          <w:sz w:val="21"/>
          <w:szCs w:val="21"/>
          <w:highlight w:val="none"/>
        </w:rPr>
        <w:t xml:space="preserve">  </w:t>
      </w:r>
    </w:p>
    <w:p w14:paraId="306F78DA">
      <w:pPr>
        <w:pageBreakBefore w:val="0"/>
        <w:kinsoku/>
        <w:wordWrap/>
        <w:overflowPunct/>
        <w:topLinePunct w:val="0"/>
        <w:autoSpaceDE/>
        <w:autoSpaceDN/>
        <w:bidi w:val="0"/>
        <w:snapToGrid/>
        <w:spacing w:line="360" w:lineRule="auto"/>
        <w:ind w:left="0" w:leftChars="0" w:right="0" w:rightChars="0" w:firstLine="420" w:firstLineChars="200"/>
        <w:jc w:val="right"/>
        <w:rPr>
          <w:rFonts w:hint="eastAsia" w:ascii="宋体" w:hAnsi="宋体" w:eastAsia="宋体" w:cs="宋体"/>
          <w:color w:val="auto"/>
          <w:sz w:val="24"/>
          <w:szCs w:val="24"/>
          <w:highlight w:val="none"/>
          <w:lang w:val="en-US"/>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日</w:t>
      </w:r>
    </w:p>
    <w:p w14:paraId="66CCF717">
      <w:pPr>
        <w:pStyle w:val="13"/>
        <w:spacing w:line="276"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B0B4DB6">
      <w:pPr>
        <w:pStyle w:val="13"/>
        <w:spacing w:line="276" w:lineRule="auto"/>
        <w:jc w:val="center"/>
        <w:outlineLvl w:val="0"/>
        <w:rPr>
          <w:rFonts w:hint="eastAsia" w:ascii="宋体" w:hAnsi="宋体" w:eastAsia="宋体" w:cs="宋体"/>
          <w:b/>
          <w:color w:val="auto"/>
          <w:sz w:val="44"/>
          <w:szCs w:val="44"/>
          <w:highlight w:val="none"/>
        </w:rPr>
      </w:pPr>
      <w:bookmarkStart w:id="45" w:name="_Toc29766"/>
      <w:r>
        <w:rPr>
          <w:rFonts w:hint="eastAsia" w:ascii="宋体" w:hAnsi="宋体" w:eastAsia="宋体" w:cs="宋体"/>
          <w:b/>
          <w:color w:val="auto"/>
          <w:sz w:val="44"/>
          <w:szCs w:val="44"/>
          <w:highlight w:val="none"/>
        </w:rPr>
        <w:t>第二章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磋商供应商</w:t>
      </w:r>
      <w:r>
        <w:rPr>
          <w:rFonts w:hint="eastAsia" w:ascii="宋体" w:hAnsi="宋体" w:eastAsia="宋体" w:cs="宋体"/>
          <w:b/>
          <w:color w:val="auto"/>
          <w:sz w:val="44"/>
          <w:szCs w:val="44"/>
          <w:highlight w:val="none"/>
        </w:rPr>
        <w:t>须知及前附表</w:t>
      </w:r>
      <w:bookmarkEnd w:id="1"/>
      <w:bookmarkEnd w:id="45"/>
    </w:p>
    <w:p w14:paraId="44F47269">
      <w:pPr>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磋商供应商</w:t>
      </w:r>
      <w:r>
        <w:rPr>
          <w:rFonts w:hint="eastAsia" w:ascii="宋体" w:hAnsi="宋体" w:eastAsia="宋体" w:cs="宋体"/>
          <w:b/>
          <w:color w:val="auto"/>
          <w:sz w:val="28"/>
          <w:szCs w:val="28"/>
          <w:highlight w:val="none"/>
        </w:rPr>
        <w:t>须知前附表</w:t>
      </w:r>
    </w:p>
    <w:tbl>
      <w:tblPr>
        <w:tblStyle w:val="23"/>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1CDF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6" w:type="dxa"/>
            <w:tcMar>
              <w:top w:w="0" w:type="dxa"/>
              <w:left w:w="57" w:type="dxa"/>
              <w:bottom w:w="0" w:type="dxa"/>
              <w:right w:w="57" w:type="dxa"/>
            </w:tcMar>
            <w:vAlign w:val="center"/>
          </w:tcPr>
          <w:p w14:paraId="0845C98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65" w:type="dxa"/>
            <w:tcMar>
              <w:top w:w="0" w:type="dxa"/>
              <w:left w:w="57" w:type="dxa"/>
              <w:bottom w:w="0" w:type="dxa"/>
              <w:right w:w="57" w:type="dxa"/>
            </w:tcMar>
            <w:vAlign w:val="center"/>
          </w:tcPr>
          <w:p w14:paraId="74E7E37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名称</w:t>
            </w:r>
          </w:p>
        </w:tc>
        <w:tc>
          <w:tcPr>
            <w:tcW w:w="7133" w:type="dxa"/>
            <w:tcMar>
              <w:top w:w="0" w:type="dxa"/>
              <w:left w:w="57" w:type="dxa"/>
              <w:bottom w:w="0" w:type="dxa"/>
              <w:right w:w="57" w:type="dxa"/>
            </w:tcMar>
            <w:vAlign w:val="center"/>
          </w:tcPr>
          <w:p w14:paraId="0128930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1CF3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37F73109">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65" w:type="dxa"/>
            <w:tcMar>
              <w:top w:w="0" w:type="dxa"/>
              <w:left w:w="57" w:type="dxa"/>
              <w:bottom w:w="0" w:type="dxa"/>
              <w:right w:w="57" w:type="dxa"/>
            </w:tcMar>
            <w:vAlign w:val="center"/>
          </w:tcPr>
          <w:p w14:paraId="47A04E16">
            <w:pPr>
              <w:tabs>
                <w:tab w:val="left" w:pos="1680"/>
              </w:tabs>
              <w:spacing w:line="360" w:lineRule="auto"/>
              <w:ind w:right="-192"/>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lang w:eastAsia="zh-CN"/>
              </w:rPr>
              <w:t>及</w:t>
            </w:r>
          </w:p>
          <w:p w14:paraId="5A935A75">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项目编号</w:t>
            </w:r>
          </w:p>
        </w:tc>
        <w:tc>
          <w:tcPr>
            <w:tcW w:w="7133" w:type="dxa"/>
            <w:vAlign w:val="center"/>
          </w:tcPr>
          <w:p w14:paraId="03D5DF6F">
            <w:pPr>
              <w:tabs>
                <w:tab w:val="left" w:pos="1680"/>
              </w:tabs>
              <w:spacing w:line="360" w:lineRule="auto"/>
              <w:ind w:right="69" w:rightChars="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lang w:eastAsia="zh-CN"/>
              </w:rPr>
              <w:t>：</w:t>
            </w:r>
            <w:r>
              <w:rPr>
                <w:rFonts w:hint="eastAsia" w:ascii="宋体" w:hAnsi="宋体" w:cs="宋体"/>
                <w:b w:val="0"/>
                <w:bCs w:val="0"/>
                <w:color w:val="auto"/>
                <w:sz w:val="21"/>
                <w:szCs w:val="21"/>
                <w:highlight w:val="none"/>
                <w:lang w:val="en-US" w:eastAsia="zh-CN"/>
              </w:rPr>
              <w:t>羊头镇龙山村水渠三面光工程</w:t>
            </w:r>
          </w:p>
          <w:p w14:paraId="43CC484C">
            <w:pPr>
              <w:tabs>
                <w:tab w:val="left" w:pos="1680"/>
              </w:tabs>
              <w:spacing w:line="360" w:lineRule="auto"/>
              <w:ind w:right="-192"/>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HZZC2025-C2-030046-JCXM</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 xml:space="preserve"> </w:t>
            </w:r>
            <w:r>
              <w:rPr>
                <w:rFonts w:hint="eastAsia" w:ascii="宋体" w:hAnsi="宋体" w:eastAsia="宋体" w:cs="宋体"/>
                <w:color w:val="auto"/>
                <w:sz w:val="21"/>
                <w:szCs w:val="21"/>
                <w:highlight w:val="none"/>
                <w:lang w:eastAsia="zh-CN"/>
              </w:rPr>
              <w:t xml:space="preserve">  </w:t>
            </w:r>
          </w:p>
        </w:tc>
      </w:tr>
      <w:tr w14:paraId="4DF9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06" w:type="dxa"/>
            <w:tcMar>
              <w:top w:w="0" w:type="dxa"/>
              <w:left w:w="57" w:type="dxa"/>
              <w:bottom w:w="0" w:type="dxa"/>
              <w:right w:w="57" w:type="dxa"/>
            </w:tcMar>
            <w:vAlign w:val="center"/>
          </w:tcPr>
          <w:p w14:paraId="7D0A5CFB">
            <w:pPr>
              <w:tabs>
                <w:tab w:val="left" w:pos="1680"/>
              </w:tabs>
              <w:spacing w:line="360" w:lineRule="auto"/>
              <w:ind w:right="-19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965" w:type="dxa"/>
            <w:tcMar>
              <w:top w:w="0" w:type="dxa"/>
              <w:left w:w="57" w:type="dxa"/>
              <w:bottom w:w="0" w:type="dxa"/>
              <w:right w:w="57" w:type="dxa"/>
            </w:tcMar>
            <w:vAlign w:val="center"/>
          </w:tcPr>
          <w:p w14:paraId="458B57F5">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采购项目的采购</w:t>
            </w:r>
          </w:p>
          <w:p w14:paraId="727883B8">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范围描述或项目</w:t>
            </w:r>
          </w:p>
          <w:p w14:paraId="5E96AE06">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基本概况介绍</w:t>
            </w:r>
          </w:p>
        </w:tc>
        <w:tc>
          <w:tcPr>
            <w:tcW w:w="7133" w:type="dxa"/>
            <w:vAlign w:val="center"/>
          </w:tcPr>
          <w:p w14:paraId="48FBF60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羊头镇龙山村水渠三面光工程采购，</w:t>
            </w:r>
            <w:r>
              <w:rPr>
                <w:rFonts w:hint="eastAsia" w:ascii="宋体" w:hAnsi="宋体" w:eastAsia="宋体" w:cs="宋体"/>
                <w:color w:val="auto"/>
                <w:sz w:val="21"/>
                <w:szCs w:val="21"/>
                <w:highlight w:val="none"/>
                <w:lang w:val="en-US" w:eastAsia="zh-CN"/>
              </w:rPr>
              <w:t>具体详见经财政投资评审的《工程量清单》内容及相关设计图纸要求范围内所有工程内容。</w:t>
            </w:r>
          </w:p>
        </w:tc>
      </w:tr>
      <w:tr w14:paraId="77A0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69F422DA">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65" w:type="dxa"/>
            <w:tcMar>
              <w:top w:w="0" w:type="dxa"/>
              <w:left w:w="57" w:type="dxa"/>
              <w:bottom w:w="0" w:type="dxa"/>
              <w:right w:w="57" w:type="dxa"/>
            </w:tcMar>
            <w:vAlign w:val="center"/>
          </w:tcPr>
          <w:p w14:paraId="2E6CF0B9">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资金来源</w:t>
            </w:r>
          </w:p>
        </w:tc>
        <w:tc>
          <w:tcPr>
            <w:tcW w:w="7133" w:type="dxa"/>
            <w:vAlign w:val="center"/>
          </w:tcPr>
          <w:p w14:paraId="58306EA4">
            <w:pPr>
              <w:tabs>
                <w:tab w:val="left" w:pos="1680"/>
              </w:tabs>
              <w:spacing w:line="360" w:lineRule="auto"/>
              <w:ind w:right="-74"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财政资金</w:t>
            </w:r>
          </w:p>
          <w:p w14:paraId="50FF0F75">
            <w:pPr>
              <w:tabs>
                <w:tab w:val="left" w:pos="1680"/>
              </w:tabs>
              <w:spacing w:line="360" w:lineRule="auto"/>
              <w:ind w:right="-74"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出资比例：100%，已落实</w:t>
            </w:r>
          </w:p>
        </w:tc>
      </w:tr>
      <w:tr w14:paraId="0F5B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294DD538">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65" w:type="dxa"/>
            <w:tcMar>
              <w:top w:w="0" w:type="dxa"/>
              <w:left w:w="57" w:type="dxa"/>
              <w:bottom w:w="0" w:type="dxa"/>
              <w:right w:w="57" w:type="dxa"/>
            </w:tcMar>
            <w:vAlign w:val="center"/>
          </w:tcPr>
          <w:p w14:paraId="7DC11E22">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工期要求</w:t>
            </w:r>
          </w:p>
        </w:tc>
        <w:tc>
          <w:tcPr>
            <w:tcW w:w="7133" w:type="dxa"/>
            <w:tcMar>
              <w:top w:w="0" w:type="dxa"/>
              <w:left w:w="57" w:type="dxa"/>
              <w:bottom w:w="0" w:type="dxa"/>
              <w:right w:w="57" w:type="dxa"/>
            </w:tcMar>
            <w:vAlign w:val="center"/>
          </w:tcPr>
          <w:p w14:paraId="55BCE2FD">
            <w:pPr>
              <w:tabs>
                <w:tab w:val="left" w:pos="1680"/>
              </w:tabs>
              <w:spacing w:line="360" w:lineRule="auto"/>
              <w:ind w:right="-192"/>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以开工令为准，工期为</w:t>
            </w:r>
            <w:r>
              <w:rPr>
                <w:rFonts w:hint="eastAsia" w:ascii="宋体" w:hAnsi="宋体" w:cs="宋体"/>
                <w:b/>
                <w:bCs/>
                <w:color w:val="auto"/>
                <w:sz w:val="21"/>
                <w:szCs w:val="21"/>
                <w:highlight w:val="none"/>
                <w:u w:val="single"/>
                <w:lang w:val="en-US" w:eastAsia="zh-CN"/>
              </w:rPr>
              <w:t>60</w:t>
            </w:r>
            <w:r>
              <w:rPr>
                <w:rFonts w:hint="eastAsia" w:ascii="宋体" w:hAnsi="宋体" w:eastAsia="宋体" w:cs="宋体"/>
                <w:b/>
                <w:bCs/>
                <w:color w:val="auto"/>
                <w:sz w:val="21"/>
                <w:szCs w:val="21"/>
                <w:highlight w:val="none"/>
                <w:lang w:eastAsia="zh-CN"/>
              </w:rPr>
              <w:t>日历天。</w:t>
            </w:r>
          </w:p>
        </w:tc>
      </w:tr>
      <w:tr w14:paraId="344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4F0C1ACF">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65" w:type="dxa"/>
            <w:tcMar>
              <w:top w:w="0" w:type="dxa"/>
              <w:left w:w="57" w:type="dxa"/>
              <w:bottom w:w="0" w:type="dxa"/>
              <w:right w:w="57" w:type="dxa"/>
            </w:tcMar>
            <w:vAlign w:val="center"/>
          </w:tcPr>
          <w:p w14:paraId="26449F25">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质量要求</w:t>
            </w:r>
          </w:p>
        </w:tc>
        <w:tc>
          <w:tcPr>
            <w:tcW w:w="7133" w:type="dxa"/>
            <w:tcMar>
              <w:top w:w="0" w:type="dxa"/>
              <w:left w:w="57" w:type="dxa"/>
              <w:bottom w:w="0" w:type="dxa"/>
              <w:right w:w="57" w:type="dxa"/>
            </w:tcMar>
            <w:vAlign w:val="center"/>
          </w:tcPr>
          <w:p w14:paraId="0B2C36BE">
            <w:pPr>
              <w:tabs>
                <w:tab w:val="left" w:pos="1680"/>
              </w:tabs>
              <w:spacing w:line="360" w:lineRule="auto"/>
              <w:ind w:right="-192"/>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达到现行国家竣工验收规范合格标准</w:t>
            </w:r>
          </w:p>
        </w:tc>
      </w:tr>
      <w:tr w14:paraId="089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6E830289">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65" w:type="dxa"/>
            <w:tcMar>
              <w:top w:w="0" w:type="dxa"/>
              <w:left w:w="57" w:type="dxa"/>
              <w:bottom w:w="0" w:type="dxa"/>
              <w:right w:w="57" w:type="dxa"/>
            </w:tcMar>
            <w:vAlign w:val="center"/>
          </w:tcPr>
          <w:p w14:paraId="343DB10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资格要求</w:t>
            </w:r>
          </w:p>
          <w:p w14:paraId="121F9763">
            <w:pPr>
              <w:spacing w:line="360" w:lineRule="auto"/>
              <w:jc w:val="center"/>
              <w:rPr>
                <w:rFonts w:hint="eastAsia" w:ascii="宋体" w:hAnsi="宋体" w:eastAsia="宋体" w:cs="宋体"/>
                <w:color w:val="auto"/>
                <w:sz w:val="21"/>
                <w:szCs w:val="21"/>
                <w:highlight w:val="none"/>
              </w:rPr>
            </w:pPr>
          </w:p>
        </w:tc>
        <w:tc>
          <w:tcPr>
            <w:tcW w:w="7133" w:type="dxa"/>
            <w:tcMar>
              <w:top w:w="0" w:type="dxa"/>
              <w:left w:w="57" w:type="dxa"/>
              <w:bottom w:w="0" w:type="dxa"/>
              <w:right w:w="57" w:type="dxa"/>
            </w:tcMar>
            <w:vAlign w:val="center"/>
          </w:tcPr>
          <w:p w14:paraId="051BF097">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60CD5F7">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2.落实政府采购政策需满足的资格要求：本项目属于专门面向中小企业采购的项目，供应商应为中小企业、监狱企业、残疾人福利性单位；</w:t>
            </w:r>
          </w:p>
          <w:p w14:paraId="5B32D763">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76816C16">
            <w:pPr>
              <w:pageBreakBefore w:val="0"/>
              <w:widowControl w:val="0"/>
              <w:kinsoku/>
              <w:wordWrap/>
              <w:overflowPunct/>
              <w:topLinePunct w:val="0"/>
              <w:autoSpaceDE/>
              <w:autoSpaceDN/>
              <w:bidi w:val="0"/>
              <w:adjustRightInd/>
              <w:snapToGrid/>
              <w:spacing w:line="360" w:lineRule="auto"/>
              <w:ind w:right="0" w:rightChars="0"/>
              <w:textAlignment w:val="auto"/>
              <w:rPr>
                <w:rFonts w:hint="eastAsia"/>
                <w:color w:val="auto"/>
                <w:highlight w:val="none"/>
              </w:rPr>
            </w:pPr>
            <w:r>
              <w:rPr>
                <w:rFonts w:hint="eastAsia"/>
                <w:color w:val="auto"/>
                <w:highlight w:val="none"/>
              </w:rPr>
              <w:t>3.1竞标单位资质应具备有效的水利水电工程施工总承包三级</w:t>
            </w:r>
            <w:r>
              <w:rPr>
                <w:rFonts w:hint="eastAsia" w:ascii="宋体" w:hAnsi="宋体" w:cs="Courier New"/>
                <w:color w:val="auto"/>
                <w:highlight w:val="none"/>
              </w:rPr>
              <w:t>（含三级）</w:t>
            </w:r>
            <w:r>
              <w:rPr>
                <w:rFonts w:hint="eastAsia"/>
                <w:color w:val="auto"/>
                <w:highlight w:val="none"/>
              </w:rPr>
              <w:t>以上资质，并在人员、设备、资金等方面具备相应的施工能力；</w:t>
            </w:r>
          </w:p>
          <w:p w14:paraId="42576E2B">
            <w:pPr>
              <w:pageBreakBefore w:val="0"/>
              <w:widowControl w:val="0"/>
              <w:kinsoku/>
              <w:wordWrap/>
              <w:overflowPunct/>
              <w:topLinePunct w:val="0"/>
              <w:autoSpaceDE/>
              <w:autoSpaceDN/>
              <w:bidi w:val="0"/>
              <w:adjustRightInd/>
              <w:snapToGrid/>
              <w:spacing w:line="360" w:lineRule="auto"/>
              <w:ind w:right="0" w:rightChars="0"/>
              <w:textAlignment w:val="auto"/>
              <w:rPr>
                <w:rFonts w:hint="eastAsia"/>
                <w:color w:val="auto"/>
                <w:highlight w:val="none"/>
              </w:rPr>
            </w:pPr>
            <w:r>
              <w:rPr>
                <w:rFonts w:hint="eastAsia"/>
                <w:color w:val="auto"/>
                <w:highlight w:val="none"/>
              </w:rPr>
              <w:t>3.2项目经理资格：拟投入的项目经理须具备水利水电工程专业二级（含二级）以上注册建造师资格，持有有效的B类安全生产考核合格证；</w:t>
            </w:r>
          </w:p>
          <w:p w14:paraId="7C02DB76">
            <w:pPr>
              <w:pageBreakBefore w:val="0"/>
              <w:widowControl w:val="0"/>
              <w:kinsoku/>
              <w:wordWrap/>
              <w:overflowPunct/>
              <w:topLinePunct w:val="0"/>
              <w:autoSpaceDE/>
              <w:autoSpaceDN/>
              <w:bidi w:val="0"/>
              <w:adjustRightInd/>
              <w:snapToGrid/>
              <w:spacing w:line="360" w:lineRule="auto"/>
              <w:ind w:right="0" w:rightChars="0"/>
              <w:textAlignment w:val="auto"/>
              <w:rPr>
                <w:rFonts w:hint="eastAsia"/>
                <w:color w:val="auto"/>
                <w:highlight w:val="none"/>
              </w:rPr>
            </w:pPr>
            <w:r>
              <w:rPr>
                <w:rFonts w:hint="eastAsia"/>
                <w:color w:val="auto"/>
                <w:highlight w:val="none"/>
              </w:rPr>
              <w:t>3.3专职安全员要求：拟投入本项目的专职安全员须具备有效的安全生产考核合格证书（C类），且不少于1人。</w:t>
            </w:r>
          </w:p>
        </w:tc>
      </w:tr>
      <w:tr w14:paraId="441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31EFB15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965" w:type="dxa"/>
            <w:tcMar>
              <w:top w:w="0" w:type="dxa"/>
              <w:left w:w="57" w:type="dxa"/>
              <w:bottom w:w="0" w:type="dxa"/>
              <w:right w:w="57" w:type="dxa"/>
            </w:tcMar>
            <w:vAlign w:val="center"/>
          </w:tcPr>
          <w:p w14:paraId="6EECBE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增值税计税方法</w:t>
            </w:r>
          </w:p>
        </w:tc>
        <w:tc>
          <w:tcPr>
            <w:tcW w:w="7133" w:type="dxa"/>
            <w:tcMar>
              <w:top w:w="0" w:type="dxa"/>
              <w:left w:w="57" w:type="dxa"/>
              <w:bottom w:w="0" w:type="dxa"/>
              <w:right w:w="57" w:type="dxa"/>
            </w:tcMar>
            <w:vAlign w:val="center"/>
          </w:tcPr>
          <w:p w14:paraId="1E980620">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简易计税法</w:t>
            </w:r>
          </w:p>
        </w:tc>
      </w:tr>
      <w:tr w14:paraId="2762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5E1DCD7C">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965" w:type="dxa"/>
            <w:tcMar>
              <w:top w:w="0" w:type="dxa"/>
              <w:left w:w="57" w:type="dxa"/>
              <w:bottom w:w="0" w:type="dxa"/>
              <w:right w:w="57" w:type="dxa"/>
            </w:tcMar>
            <w:vAlign w:val="center"/>
          </w:tcPr>
          <w:p w14:paraId="7A3151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磋商有效期</w:t>
            </w:r>
          </w:p>
        </w:tc>
        <w:tc>
          <w:tcPr>
            <w:tcW w:w="7133" w:type="dxa"/>
            <w:tcMar>
              <w:top w:w="0" w:type="dxa"/>
              <w:left w:w="57" w:type="dxa"/>
              <w:bottom w:w="0" w:type="dxa"/>
              <w:right w:w="57" w:type="dxa"/>
            </w:tcMar>
            <w:vAlign w:val="center"/>
          </w:tcPr>
          <w:p w14:paraId="753ED9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磋商截止日期后</w:t>
            </w:r>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rPr>
              <w:t>天。</w:t>
            </w:r>
          </w:p>
        </w:tc>
      </w:tr>
      <w:tr w14:paraId="2895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tcMar>
              <w:top w:w="0" w:type="dxa"/>
              <w:left w:w="57" w:type="dxa"/>
              <w:bottom w:w="0" w:type="dxa"/>
              <w:right w:w="57" w:type="dxa"/>
            </w:tcMar>
            <w:vAlign w:val="center"/>
          </w:tcPr>
          <w:p w14:paraId="30E497B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65" w:type="dxa"/>
            <w:tcMar>
              <w:top w:w="0" w:type="dxa"/>
              <w:left w:w="57" w:type="dxa"/>
              <w:bottom w:w="0" w:type="dxa"/>
              <w:right w:w="57" w:type="dxa"/>
            </w:tcMar>
            <w:vAlign w:val="center"/>
          </w:tcPr>
          <w:p w14:paraId="4642860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响应文件电子版要求</w:t>
            </w:r>
          </w:p>
        </w:tc>
        <w:tc>
          <w:tcPr>
            <w:tcW w:w="7133" w:type="dxa"/>
            <w:tcMar>
              <w:top w:w="0" w:type="dxa"/>
              <w:left w:w="57" w:type="dxa"/>
              <w:bottom w:w="0" w:type="dxa"/>
              <w:right w:w="57" w:type="dxa"/>
            </w:tcMar>
            <w:vAlign w:val="center"/>
          </w:tcPr>
          <w:p w14:paraId="413ADD66">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响应文件电子版要求：</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val="en-US" w:eastAsia="zh-CN"/>
              </w:rPr>
              <w:t>进行编写，按</w:t>
            </w:r>
            <w:r>
              <w:rPr>
                <w:rFonts w:hint="eastAsia" w:ascii="宋体" w:hAnsi="宋体" w:eastAsia="宋体" w:cs="宋体"/>
                <w:color w:val="auto"/>
                <w:sz w:val="21"/>
                <w:szCs w:val="21"/>
                <w:highlight w:val="none"/>
              </w:rPr>
              <w:t>要求在规定位置进行签署、盖章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未附格式的，由供应商自行拟定。</w:t>
            </w:r>
          </w:p>
          <w:p w14:paraId="4E0215C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响应文件电子版密封方式：电子响应文件通过平台有效 CA 加密后在广西政府采购云平台</w:t>
            </w:r>
            <w:r>
              <w:rPr>
                <w:rFonts w:hint="eastAsia" w:ascii="宋体" w:hAnsi="宋体" w:cs="宋体"/>
                <w:color w:val="auto"/>
                <w:sz w:val="21"/>
                <w:szCs w:val="21"/>
                <w:highlight w:val="none"/>
                <w:lang w:val="en-US" w:eastAsia="zh-CN"/>
              </w:rPr>
              <w:t>上传</w:t>
            </w:r>
            <w:r>
              <w:rPr>
                <w:rFonts w:hint="eastAsia" w:ascii="宋体" w:hAnsi="宋体" w:eastAsia="宋体" w:cs="宋体"/>
                <w:color w:val="auto"/>
                <w:sz w:val="21"/>
                <w:szCs w:val="21"/>
                <w:highlight w:val="none"/>
                <w:lang w:val="en-US" w:eastAsia="zh-CN"/>
              </w:rPr>
              <w:t>。</w:t>
            </w:r>
          </w:p>
          <w:p w14:paraId="7854BB2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val="en-US" w:eastAsia="zh-CN"/>
              </w:rPr>
              <w:t>上传</w:t>
            </w:r>
            <w:r>
              <w:rPr>
                <w:rFonts w:hint="eastAsia" w:ascii="宋体" w:hAnsi="宋体" w:eastAsia="宋体" w:cs="宋体"/>
                <w:b/>
                <w:color w:val="auto"/>
                <w:sz w:val="21"/>
                <w:szCs w:val="21"/>
                <w:highlight w:val="none"/>
                <w:u w:val="single"/>
              </w:rPr>
              <w:t>电子版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文件方式</w:t>
            </w:r>
            <w:r>
              <w:rPr>
                <w:rFonts w:hint="eastAsia" w:ascii="宋体" w:hAnsi="宋体" w:eastAsia="宋体" w:cs="宋体"/>
                <w:b/>
                <w:color w:val="auto"/>
                <w:sz w:val="21"/>
                <w:szCs w:val="21"/>
                <w:highlight w:val="none"/>
                <w:u w:val="single"/>
                <w:lang w:val="en-US" w:eastAsia="zh-CN"/>
              </w:rPr>
              <w:t>详</w:t>
            </w:r>
            <w:r>
              <w:rPr>
                <w:rFonts w:hint="eastAsia" w:ascii="宋体" w:hAnsi="宋体" w:eastAsia="宋体" w:cs="宋体"/>
                <w:b/>
                <w:color w:val="auto"/>
                <w:sz w:val="21"/>
                <w:szCs w:val="21"/>
                <w:highlight w:val="none"/>
                <w:u w:val="single"/>
              </w:rPr>
              <w:t>见</w:t>
            </w:r>
            <w:r>
              <w:rPr>
                <w:rFonts w:hint="eastAsia" w:ascii="宋体" w:hAnsi="宋体" w:eastAsia="宋体" w:cs="宋体"/>
                <w:b/>
                <w:color w:val="auto"/>
                <w:sz w:val="21"/>
                <w:szCs w:val="21"/>
                <w:highlight w:val="none"/>
                <w:u w:val="single"/>
                <w:lang w:eastAsia="zh-CN"/>
              </w:rPr>
              <w:t>磋商公告</w:t>
            </w:r>
            <w:r>
              <w:rPr>
                <w:rFonts w:hint="eastAsia" w:ascii="宋体" w:hAnsi="宋体" w:eastAsia="宋体" w:cs="宋体"/>
                <w:b/>
                <w:color w:val="auto"/>
                <w:sz w:val="21"/>
                <w:szCs w:val="21"/>
                <w:highlight w:val="none"/>
                <w:u w:val="single"/>
              </w:rPr>
              <w:t>附件</w:t>
            </w:r>
            <w:r>
              <w:rPr>
                <w:rFonts w:hint="eastAsia" w:ascii="宋体" w:hAnsi="宋体" w:eastAsia="宋体" w:cs="宋体"/>
                <w:b/>
                <w:color w:val="auto"/>
                <w:sz w:val="21"/>
                <w:szCs w:val="21"/>
                <w:highlight w:val="none"/>
                <w:u w:val="single"/>
                <w:lang w:eastAsia="zh-CN"/>
              </w:rPr>
              <w:t>。</w:t>
            </w:r>
          </w:p>
        </w:tc>
      </w:tr>
      <w:tr w14:paraId="181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14:paraId="087E3AA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65" w:type="dxa"/>
            <w:tcMar>
              <w:top w:w="0" w:type="dxa"/>
              <w:left w:w="57" w:type="dxa"/>
              <w:bottom w:w="0" w:type="dxa"/>
              <w:right w:w="57" w:type="dxa"/>
            </w:tcMar>
            <w:vAlign w:val="center"/>
          </w:tcPr>
          <w:p w14:paraId="10D7D7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磋商保证金</w:t>
            </w:r>
          </w:p>
        </w:tc>
        <w:tc>
          <w:tcPr>
            <w:tcW w:w="7133" w:type="dxa"/>
            <w:tcMar>
              <w:top w:w="0" w:type="dxa"/>
              <w:left w:w="57" w:type="dxa"/>
              <w:bottom w:w="0" w:type="dxa"/>
              <w:right w:w="57" w:type="dxa"/>
            </w:tcMar>
            <w:vAlign w:val="top"/>
          </w:tcPr>
          <w:p w14:paraId="4E8AFF0F">
            <w:pPr>
              <w:pageBreakBefore w:val="0"/>
              <w:kinsoku/>
              <w:wordWrap/>
              <w:overflowPunct/>
              <w:topLinePunct w:val="0"/>
              <w:autoSpaceDE/>
              <w:autoSpaceDN/>
              <w:bidi w:val="0"/>
              <w:snapToGrid/>
              <w:spacing w:line="360" w:lineRule="auto"/>
              <w:ind w:right="69" w:rightChars="3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磋商保证金（人民币）：</w:t>
            </w:r>
            <w:r>
              <w:rPr>
                <w:rFonts w:hint="eastAsia" w:ascii="宋体" w:hAnsi="宋体" w:cs="宋体"/>
                <w:b w:val="0"/>
                <w:bCs/>
                <w:color w:val="auto"/>
                <w:kern w:val="2"/>
                <w:sz w:val="21"/>
                <w:szCs w:val="21"/>
                <w:highlight w:val="none"/>
                <w:lang w:val="en-US" w:eastAsia="zh-CN" w:bidi="ar-SA"/>
              </w:rPr>
              <w:t>陆仟肆佰元整（¥6400.00）</w:t>
            </w:r>
            <w:r>
              <w:rPr>
                <w:rFonts w:hint="eastAsia" w:ascii="宋体" w:hAnsi="宋体" w:eastAsia="宋体" w:cs="宋体"/>
                <w:b w:val="0"/>
                <w:bCs/>
                <w:color w:val="auto"/>
                <w:kern w:val="2"/>
                <w:sz w:val="21"/>
                <w:szCs w:val="21"/>
                <w:highlight w:val="none"/>
                <w:lang w:val="en-US" w:eastAsia="zh-CN" w:bidi="ar-SA"/>
              </w:rPr>
              <w:t>。</w:t>
            </w:r>
          </w:p>
          <w:p w14:paraId="77E5D689">
            <w:pPr>
              <w:pageBreakBefore w:val="0"/>
              <w:kinsoku/>
              <w:wordWrap/>
              <w:overflowPunct/>
              <w:topLinePunct w:val="0"/>
              <w:autoSpaceDE/>
              <w:autoSpaceDN/>
              <w:bidi w:val="0"/>
              <w:snapToGrid/>
              <w:spacing w:line="360" w:lineRule="auto"/>
              <w:ind w:right="69" w:rightChars="3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分标号。</w:t>
            </w:r>
          </w:p>
          <w:p w14:paraId="0911EA04">
            <w:pPr>
              <w:pageBreakBefore w:val="0"/>
              <w:kinsoku/>
              <w:wordWrap/>
              <w:overflowPunct/>
              <w:topLinePunct w:val="0"/>
              <w:autoSpaceDE/>
              <w:autoSpaceDN/>
              <w:bidi w:val="0"/>
              <w:snapToGrid/>
              <w:spacing w:line="360" w:lineRule="auto"/>
              <w:ind w:right="69" w:rightChars="3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账户名称： 广西建采项目管理有限公司  </w:t>
            </w:r>
          </w:p>
          <w:p w14:paraId="7306B762">
            <w:pPr>
              <w:pageBreakBefore w:val="0"/>
              <w:kinsoku/>
              <w:wordWrap/>
              <w:overflowPunct/>
              <w:topLinePunct w:val="0"/>
              <w:autoSpaceDE/>
              <w:autoSpaceDN/>
              <w:bidi w:val="0"/>
              <w:snapToGrid/>
              <w:spacing w:line="360" w:lineRule="auto"/>
              <w:ind w:right="69" w:rightChars="3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开户银行： 中国建设银行贺州城东支行             </w:t>
            </w:r>
          </w:p>
          <w:p w14:paraId="0D44C46E">
            <w:pPr>
              <w:pageBreakBefore w:val="0"/>
              <w:kinsoku/>
              <w:wordWrap/>
              <w:overflowPunct/>
              <w:topLinePunct w:val="0"/>
              <w:autoSpaceDE/>
              <w:autoSpaceDN/>
              <w:bidi w:val="0"/>
              <w:snapToGrid/>
              <w:spacing w:line="360" w:lineRule="auto"/>
              <w:ind w:right="69" w:rightChars="33"/>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银行账号： 45050164740200001325</w:t>
            </w:r>
          </w:p>
          <w:p w14:paraId="4E7BEDE5">
            <w:pPr>
              <w:pageBreakBefore w:val="0"/>
              <w:kinsoku/>
              <w:wordWrap/>
              <w:overflowPunct/>
              <w:topLinePunct w:val="0"/>
              <w:autoSpaceDE/>
              <w:autoSpaceDN/>
              <w:bidi w:val="0"/>
              <w:snapToGrid/>
              <w:spacing w:line="360" w:lineRule="auto"/>
              <w:ind w:right="69" w:rightChars="33"/>
              <w:rPr>
                <w:rFonts w:hint="default" w:ascii="宋体" w:hAnsi="宋体" w:eastAsia="宋体" w:cs="宋体"/>
                <w:color w:val="auto"/>
                <w:sz w:val="21"/>
                <w:szCs w:val="21"/>
                <w:highlight w:val="none"/>
                <w:lang w:val="en-US"/>
              </w:rPr>
            </w:pPr>
            <w:r>
              <w:rPr>
                <w:rFonts w:hint="eastAsia" w:ascii="宋体" w:hAnsi="宋体" w:eastAsia="宋体" w:cs="宋体"/>
                <w:b w:val="0"/>
                <w:bCs/>
                <w:color w:val="auto"/>
                <w:kern w:val="2"/>
                <w:sz w:val="21"/>
                <w:szCs w:val="21"/>
                <w:highlight w:val="none"/>
                <w:lang w:val="en-US" w:eastAsia="zh-CN" w:bidi="ar-SA"/>
              </w:rPr>
              <w:t>注：若成交供应商以电子保函形式提交投标保证金的，推广使用在“广西政府采购金融服务平台”通过在线方式完成保函申请、递交等全流程电子化操作</w:t>
            </w:r>
            <w:r>
              <w:rPr>
                <w:rFonts w:hint="eastAsia" w:ascii="宋体" w:hAnsi="宋体" w:cs="宋体"/>
                <w:b w:val="0"/>
                <w:bCs/>
                <w:color w:val="auto"/>
                <w:kern w:val="2"/>
                <w:sz w:val="21"/>
                <w:szCs w:val="21"/>
                <w:highlight w:val="none"/>
                <w:lang w:val="en-US" w:eastAsia="zh-CN" w:bidi="ar-SA"/>
              </w:rPr>
              <w:t>。</w:t>
            </w:r>
          </w:p>
        </w:tc>
      </w:tr>
      <w:tr w14:paraId="14C3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tcMar>
              <w:top w:w="0" w:type="dxa"/>
              <w:left w:w="57" w:type="dxa"/>
              <w:bottom w:w="0" w:type="dxa"/>
              <w:right w:w="57" w:type="dxa"/>
            </w:tcMar>
            <w:vAlign w:val="center"/>
          </w:tcPr>
          <w:p w14:paraId="75E3239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65" w:type="dxa"/>
            <w:vMerge w:val="restart"/>
            <w:tcMar>
              <w:top w:w="0" w:type="dxa"/>
              <w:left w:w="57" w:type="dxa"/>
              <w:bottom w:w="0" w:type="dxa"/>
              <w:right w:w="57" w:type="dxa"/>
            </w:tcMar>
            <w:vAlign w:val="center"/>
          </w:tcPr>
          <w:p w14:paraId="4F802287">
            <w:pPr>
              <w:spacing w:line="360" w:lineRule="auto"/>
              <w:jc w:val="center"/>
              <w:rPr>
                <w:rFonts w:hint="eastAsia" w:ascii="宋体" w:hAnsi="宋体" w:eastAsia="宋体" w:cs="宋体"/>
                <w:b/>
                <w:bCs/>
                <w:color w:val="auto"/>
                <w:sz w:val="21"/>
                <w:szCs w:val="21"/>
                <w:highlight w:val="none"/>
                <w:lang w:val="en-US" w:eastAsia="zh-CN"/>
              </w:rPr>
            </w:pPr>
          </w:p>
          <w:p w14:paraId="7010628B">
            <w:pPr>
              <w:spacing w:line="360" w:lineRule="auto"/>
              <w:jc w:val="center"/>
              <w:rPr>
                <w:rFonts w:hint="eastAsia" w:ascii="宋体" w:hAnsi="宋体" w:eastAsia="宋体" w:cs="宋体"/>
                <w:b/>
                <w:bCs/>
                <w:color w:val="auto"/>
                <w:sz w:val="21"/>
                <w:szCs w:val="21"/>
                <w:highlight w:val="none"/>
                <w:lang w:val="en-US" w:eastAsia="zh-CN"/>
              </w:rPr>
            </w:pPr>
          </w:p>
          <w:p w14:paraId="71E7052D">
            <w:pPr>
              <w:spacing w:line="360" w:lineRule="auto"/>
              <w:jc w:val="center"/>
              <w:rPr>
                <w:rFonts w:hint="eastAsia" w:ascii="宋体" w:hAnsi="宋体" w:eastAsia="宋体" w:cs="宋体"/>
                <w:b/>
                <w:bCs/>
                <w:color w:val="auto"/>
                <w:sz w:val="21"/>
                <w:szCs w:val="21"/>
                <w:highlight w:val="none"/>
                <w:lang w:val="en-US" w:eastAsia="zh-CN"/>
              </w:rPr>
            </w:pPr>
          </w:p>
          <w:p w14:paraId="23C56E85">
            <w:pPr>
              <w:spacing w:line="360" w:lineRule="auto"/>
              <w:jc w:val="center"/>
              <w:rPr>
                <w:rFonts w:hint="eastAsia" w:ascii="宋体" w:hAnsi="宋体" w:eastAsia="宋体" w:cs="宋体"/>
                <w:b/>
                <w:bCs/>
                <w:color w:val="auto"/>
                <w:sz w:val="21"/>
                <w:szCs w:val="21"/>
                <w:highlight w:val="none"/>
                <w:lang w:val="en-US" w:eastAsia="zh-CN"/>
              </w:rPr>
            </w:pPr>
          </w:p>
          <w:p w14:paraId="443142E5">
            <w:pPr>
              <w:spacing w:line="360" w:lineRule="auto"/>
              <w:jc w:val="center"/>
              <w:rPr>
                <w:rFonts w:hint="eastAsia" w:ascii="宋体" w:hAnsi="宋体" w:eastAsia="宋体" w:cs="宋体"/>
                <w:b/>
                <w:bCs/>
                <w:color w:val="auto"/>
                <w:sz w:val="21"/>
                <w:szCs w:val="21"/>
                <w:highlight w:val="none"/>
                <w:lang w:val="en-US" w:eastAsia="zh-CN"/>
              </w:rPr>
            </w:pPr>
          </w:p>
          <w:p w14:paraId="7C796080">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响应文件的构成（分为资格证明文件、报价文件、商务技术文件三部分组成）</w:t>
            </w:r>
          </w:p>
        </w:tc>
        <w:tc>
          <w:tcPr>
            <w:tcW w:w="7133" w:type="dxa"/>
            <w:tcMar>
              <w:top w:w="0" w:type="dxa"/>
              <w:left w:w="57" w:type="dxa"/>
              <w:bottom w:w="0" w:type="dxa"/>
              <w:right w:w="57" w:type="dxa"/>
            </w:tcMar>
            <w:vAlign w:val="top"/>
          </w:tcPr>
          <w:p w14:paraId="15515A2C">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证明文件：</w:t>
            </w:r>
          </w:p>
          <w:p w14:paraId="7B892D25">
            <w:pPr>
              <w:pStyle w:val="13"/>
              <w:keepNext w:val="0"/>
              <w:keepLines w:val="0"/>
              <w:pageBreakBefore w:val="0"/>
              <w:kinsoku/>
              <w:wordWrap/>
              <w:overflowPunct/>
              <w:topLinePunct w:val="0"/>
              <w:bidi w:val="0"/>
              <w:adjustRightInd/>
              <w:spacing w:line="360" w:lineRule="auto"/>
              <w:textAlignment w:val="auto"/>
              <w:outlineLvl w:val="9"/>
              <w:rPr>
                <w:rFonts w:hint="default"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）贺州市平桂区政府采购供应商信用</w:t>
            </w:r>
            <w:r>
              <w:rPr>
                <w:rFonts w:hint="eastAsia" w:hAnsi="宋体" w:cs="宋体"/>
                <w:color w:val="auto"/>
                <w:highlight w:val="none"/>
                <w:lang w:val="en-US" w:eastAsia="zh-CN"/>
              </w:rPr>
              <w:t>承诺函</w:t>
            </w:r>
            <w:r>
              <w:rPr>
                <w:rFonts w:hint="eastAsia" w:ascii="宋体" w:hAnsi="宋体" w:eastAsia="宋体" w:cs="宋体"/>
                <w:b/>
                <w:bCs/>
                <w:color w:val="auto"/>
                <w:highlight w:val="none"/>
              </w:rPr>
              <w:t>（必须提供，否则响应文件按无效响应处理）</w:t>
            </w:r>
            <w:r>
              <w:rPr>
                <w:rFonts w:hint="eastAsia" w:ascii="宋体" w:hAnsi="宋体" w:eastAsia="宋体" w:cs="宋体"/>
                <w:color w:val="auto"/>
                <w:highlight w:val="none"/>
              </w:rPr>
              <w:t xml:space="preserve">； </w:t>
            </w:r>
          </w:p>
          <w:p w14:paraId="78281B7D">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2</w:t>
            </w:r>
            <w:r>
              <w:rPr>
                <w:rFonts w:hint="eastAsia" w:ascii="宋体" w:hAnsi="宋体" w:eastAsia="宋体" w:cs="宋体"/>
                <w:color w:val="auto"/>
                <w:highlight w:val="none"/>
              </w:rPr>
              <w:t>）</w:t>
            </w:r>
            <w:r>
              <w:rPr>
                <w:rFonts w:hint="eastAsia" w:hAnsi="宋体" w:cs="宋体"/>
                <w:color w:val="auto"/>
                <w:highlight w:val="none"/>
                <w:lang w:val="en-US" w:eastAsia="zh-CN"/>
              </w:rPr>
              <w:t>竞标人基本情况表（附</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有效的营业执照副本</w:t>
            </w:r>
            <w:r>
              <w:rPr>
                <w:rFonts w:hint="eastAsia" w:hAnsi="宋体" w:cs="宋体"/>
                <w:color w:val="auto"/>
                <w:highlight w:val="none"/>
                <w:lang w:eastAsia="zh-CN"/>
              </w:rPr>
              <w:t>、</w:t>
            </w:r>
            <w:r>
              <w:rPr>
                <w:rFonts w:hint="eastAsia" w:ascii="宋体" w:hAnsi="宋体" w:eastAsia="宋体" w:cs="宋体"/>
                <w:b w:val="0"/>
                <w:bCs/>
                <w:color w:val="auto"/>
                <w:spacing w:val="-3"/>
                <w:sz w:val="21"/>
                <w:highlight w:val="none"/>
                <w:lang w:eastAsia="zh-CN"/>
              </w:rPr>
              <w:t>资质</w:t>
            </w:r>
            <w:r>
              <w:rPr>
                <w:rFonts w:hint="eastAsia" w:ascii="宋体" w:hAnsi="宋体" w:eastAsia="宋体" w:cs="宋体"/>
                <w:color w:val="auto"/>
                <w:highlight w:val="none"/>
                <w:lang w:eastAsia="zh-CN"/>
              </w:rPr>
              <w:t>证书</w:t>
            </w:r>
            <w:r>
              <w:rPr>
                <w:rFonts w:hint="eastAsia" w:hAnsi="宋体" w:cs="宋体"/>
                <w:color w:val="auto"/>
                <w:highlight w:val="none"/>
                <w:lang w:val="en-US" w:eastAsia="zh-CN"/>
              </w:rPr>
              <w:t>副本</w:t>
            </w:r>
            <w:r>
              <w:rPr>
                <w:rFonts w:hint="eastAsia" w:hAnsi="宋体" w:cs="宋体"/>
                <w:color w:val="auto"/>
                <w:highlight w:val="none"/>
                <w:lang w:eastAsia="zh-CN"/>
              </w:rPr>
              <w:t>、</w:t>
            </w:r>
            <w:r>
              <w:rPr>
                <w:rFonts w:hint="eastAsia" w:ascii="宋体" w:hAnsi="宋体" w:eastAsia="宋体" w:cs="宋体"/>
                <w:color w:val="auto"/>
                <w:highlight w:val="none"/>
              </w:rPr>
              <w:t>安全生产许可证</w:t>
            </w:r>
            <w:r>
              <w:rPr>
                <w:rFonts w:hint="eastAsia" w:ascii="宋体" w:hAnsi="宋体" w:eastAsia="宋体" w:cs="宋体"/>
                <w:color w:val="auto"/>
                <w:highlight w:val="none"/>
                <w:lang w:eastAsia="zh-CN"/>
              </w:rPr>
              <w:t>副本</w:t>
            </w:r>
            <w:r>
              <w:rPr>
                <w:rFonts w:hint="eastAsia" w:hAnsi="宋体" w:cs="宋体"/>
                <w:color w:val="auto"/>
                <w:highlight w:val="none"/>
                <w:lang w:val="en-US" w:eastAsia="zh-CN"/>
              </w:rPr>
              <w:t>的</w:t>
            </w:r>
            <w:r>
              <w:rPr>
                <w:rFonts w:hint="eastAsia" w:ascii="宋体" w:hAnsi="宋体" w:eastAsia="宋体" w:cs="宋体"/>
                <w:color w:val="auto"/>
                <w:highlight w:val="none"/>
              </w:rPr>
              <w:t>复印件</w:t>
            </w:r>
            <w:r>
              <w:rPr>
                <w:rFonts w:hint="eastAsia" w:hAnsi="宋体" w:cs="宋体"/>
                <w:color w:val="auto"/>
                <w:highlight w:val="none"/>
                <w:lang w:eastAsia="zh-CN"/>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 xml:space="preserve">； </w:t>
            </w:r>
          </w:p>
          <w:p w14:paraId="5E47C970">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w:t>
            </w:r>
          </w:p>
          <w:p w14:paraId="4E34A874">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hAnsi="宋体" w:cs="宋体"/>
                <w:color w:val="auto"/>
                <w:highlight w:val="none"/>
                <w:lang w:val="en-US" w:eastAsia="zh-CN"/>
              </w:rPr>
              <w:t>4</w:t>
            </w:r>
            <w:r>
              <w:rPr>
                <w:rFonts w:hint="eastAsia" w:ascii="宋体" w:hAnsi="宋体" w:eastAsia="宋体" w:cs="宋体"/>
                <w:color w:val="auto"/>
                <w:highlight w:val="none"/>
              </w:rPr>
              <w:t>）法定代表人授权委托书原件和委托代理人身份证复印件</w:t>
            </w:r>
            <w:r>
              <w:rPr>
                <w:rFonts w:hint="eastAsia" w:ascii="宋体" w:hAnsi="宋体" w:eastAsia="宋体" w:cs="宋体"/>
                <w:b/>
                <w:bCs/>
                <w:color w:val="auto"/>
                <w:highlight w:val="none"/>
              </w:rPr>
              <w:t>（委托代理时必须提供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highlight w:val="none"/>
              </w:rPr>
              <w:t>）</w:t>
            </w:r>
            <w:r>
              <w:rPr>
                <w:rFonts w:hint="eastAsia" w:ascii="宋体" w:hAnsi="宋体" w:eastAsia="宋体" w:cs="宋体"/>
                <w:color w:val="auto"/>
                <w:highlight w:val="none"/>
                <w:lang w:eastAsia="zh-CN"/>
              </w:rPr>
              <w:t>；</w:t>
            </w:r>
          </w:p>
          <w:p w14:paraId="3F105216">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hAnsi="宋体" w:cs="宋体"/>
                <w:color w:val="auto"/>
                <w:highlight w:val="none"/>
                <w:lang w:val="en-US" w:eastAsia="zh-CN"/>
              </w:rPr>
              <w:t>5</w:t>
            </w:r>
            <w:r>
              <w:rPr>
                <w:rFonts w:hint="eastAsia" w:ascii="宋体" w:hAnsi="宋体" w:eastAsia="宋体" w:cs="宋体"/>
                <w:color w:val="auto"/>
                <w:highlight w:val="none"/>
              </w:rPr>
              <w:t>）拟投入本项目的</w:t>
            </w:r>
            <w:r>
              <w:rPr>
                <w:rFonts w:hint="eastAsia" w:hAnsi="宋体" w:cs="宋体"/>
                <w:color w:val="auto"/>
                <w:highlight w:val="none"/>
                <w:lang w:val="en-US" w:eastAsia="zh-CN"/>
              </w:rPr>
              <w:t>项目经理有效的注册</w:t>
            </w:r>
            <w:r>
              <w:rPr>
                <w:rFonts w:hint="eastAsia" w:ascii="宋体" w:hAnsi="宋体" w:eastAsia="宋体" w:cs="宋体"/>
                <w:color w:val="auto"/>
                <w:highlight w:val="none"/>
              </w:rPr>
              <w:t>建造师证书及</w:t>
            </w:r>
            <w:r>
              <w:rPr>
                <w:rFonts w:hint="eastAsia" w:ascii="宋体" w:hAnsi="宋体" w:eastAsia="宋体" w:cs="宋体"/>
                <w:color w:val="auto"/>
                <w:sz w:val="21"/>
                <w:szCs w:val="21"/>
                <w:highlight w:val="none"/>
                <w:lang w:val="en-US" w:eastAsia="zh-CN"/>
              </w:rPr>
              <w:t>安全生产考核合格证</w:t>
            </w:r>
            <w:r>
              <w:rPr>
                <w:rFonts w:hint="eastAsia" w:hAnsi="宋体"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（B类）</w:t>
            </w:r>
            <w:r>
              <w:rPr>
                <w:rFonts w:hint="eastAsia" w:hAnsi="宋体" w:cs="宋体"/>
                <w:color w:val="auto"/>
                <w:sz w:val="21"/>
                <w:szCs w:val="21"/>
                <w:highlight w:val="none"/>
                <w:lang w:val="en-US" w:eastAsia="zh-CN"/>
              </w:rPr>
              <w:t>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w:t>
            </w:r>
          </w:p>
          <w:p w14:paraId="3BEB8014">
            <w:pPr>
              <w:keepNext w:val="0"/>
              <w:keepLines w:val="0"/>
              <w:pageBreakBefore w:val="0"/>
              <w:kinsoku/>
              <w:wordWrap/>
              <w:overflowPunct/>
              <w:topLinePunct w:val="0"/>
              <w:autoSpaceDE w:val="0"/>
              <w:autoSpaceDN w:val="0"/>
              <w:bidi w:val="0"/>
              <w:adjustRightInd/>
              <w:spacing w:line="360" w:lineRule="auto"/>
              <w:ind w:left="0" w:leftChars="0" w:firstLine="0" w:firstLineChars="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cs="宋体"/>
                <w:b/>
                <w:bCs/>
                <w:color w:val="auto"/>
                <w:sz w:val="21"/>
                <w:szCs w:val="21"/>
                <w:highlight w:val="none"/>
                <w:lang w:eastAsia="zh-CN"/>
              </w:rPr>
              <w:t>；</w:t>
            </w:r>
          </w:p>
          <w:p w14:paraId="6DC9BEA6">
            <w:pPr>
              <w:spacing w:line="360" w:lineRule="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w:t>
            </w:r>
            <w:r>
              <w:rPr>
                <w:rFonts w:hint="eastAsia" w:ascii="宋体" w:hAnsi="宋体" w:cs="宋体"/>
                <w:color w:val="auto"/>
                <w:kern w:val="2"/>
                <w:sz w:val="21"/>
                <w:szCs w:val="20"/>
                <w:highlight w:val="none"/>
                <w:lang w:val="en-US" w:eastAsia="zh-CN" w:bidi="ar-SA"/>
              </w:rPr>
              <w:t>7</w:t>
            </w:r>
            <w:r>
              <w:rPr>
                <w:rFonts w:hint="eastAsia" w:ascii="宋体" w:hAnsi="宋体" w:eastAsia="宋体" w:cs="宋体"/>
                <w:color w:val="auto"/>
                <w:kern w:val="2"/>
                <w:sz w:val="21"/>
                <w:szCs w:val="20"/>
                <w:highlight w:val="none"/>
                <w:lang w:val="en-US" w:eastAsia="zh-CN" w:bidi="ar-SA"/>
              </w:rPr>
              <w:t>）中小企业声明函：提供《中小企业声明函》或监狱企业的证明文件或《残疾人福利性单位声明函》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kern w:val="2"/>
                <w:sz w:val="21"/>
                <w:szCs w:val="20"/>
                <w:highlight w:val="none"/>
                <w:lang w:val="en-US" w:eastAsia="zh-CN" w:bidi="ar-SA"/>
              </w:rPr>
              <w:t>；</w:t>
            </w:r>
          </w:p>
          <w:p w14:paraId="52AA58CD">
            <w:pPr>
              <w:pStyle w:val="6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认为必要提供的声明及其它资料。</w:t>
            </w:r>
          </w:p>
          <w:p w14:paraId="5F11ADE8">
            <w:pPr>
              <w:pStyle w:val="13"/>
              <w:spacing w:line="360" w:lineRule="auto"/>
              <w:ind w:firstLine="422"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hAnsi="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hAnsi="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val="en-US" w:eastAsia="zh-CN"/>
              </w:rPr>
              <w:t>以上材料</w:t>
            </w:r>
            <w:r>
              <w:rPr>
                <w:rFonts w:hint="eastAsia" w:hAnsi="宋体" w:cs="宋体"/>
                <w:b/>
                <w:color w:val="auto"/>
                <w:sz w:val="21"/>
                <w:szCs w:val="21"/>
                <w:highlight w:val="none"/>
                <w:u w:val="single"/>
                <w:lang w:val="en-US" w:eastAsia="zh-CN"/>
              </w:rPr>
              <w:t>必须</w:t>
            </w:r>
            <w:r>
              <w:rPr>
                <w:rFonts w:hint="eastAsia" w:ascii="宋体" w:hAnsi="宋体" w:eastAsia="宋体" w:cs="宋体"/>
                <w:b/>
                <w:color w:val="auto"/>
                <w:sz w:val="21"/>
                <w:szCs w:val="21"/>
                <w:highlight w:val="none"/>
                <w:u w:val="single"/>
                <w:lang w:val="en-US" w:eastAsia="zh-CN"/>
              </w:rPr>
              <w:t>加盖供应商公章，否则响应文件按无效响应处理</w:t>
            </w:r>
            <w:r>
              <w:rPr>
                <w:rFonts w:hint="eastAsia" w:ascii="宋体" w:hAnsi="宋体" w:eastAsia="宋体" w:cs="宋体"/>
                <w:b/>
                <w:color w:val="auto"/>
                <w:sz w:val="21"/>
                <w:szCs w:val="21"/>
                <w:highlight w:val="none"/>
                <w:u w:val="none"/>
              </w:rPr>
              <w:t>。</w:t>
            </w:r>
          </w:p>
        </w:tc>
      </w:tr>
      <w:tr w14:paraId="4FCF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tcMar>
              <w:top w:w="0" w:type="dxa"/>
              <w:left w:w="57" w:type="dxa"/>
              <w:bottom w:w="0" w:type="dxa"/>
              <w:right w:w="57" w:type="dxa"/>
            </w:tcMar>
            <w:vAlign w:val="center"/>
          </w:tcPr>
          <w:p w14:paraId="0F53ECCE">
            <w:pPr>
              <w:spacing w:line="360" w:lineRule="auto"/>
              <w:jc w:val="center"/>
              <w:rPr>
                <w:rFonts w:hint="eastAsia" w:ascii="宋体" w:hAnsi="宋体" w:eastAsia="宋体" w:cs="宋体"/>
                <w:color w:val="auto"/>
                <w:sz w:val="21"/>
                <w:szCs w:val="21"/>
                <w:highlight w:val="none"/>
                <w:lang w:val="en-US" w:eastAsia="zh-CN"/>
              </w:rPr>
            </w:pPr>
          </w:p>
        </w:tc>
        <w:tc>
          <w:tcPr>
            <w:tcW w:w="1965" w:type="dxa"/>
            <w:vMerge w:val="continue"/>
            <w:tcMar>
              <w:top w:w="0" w:type="dxa"/>
              <w:left w:w="57" w:type="dxa"/>
              <w:bottom w:w="0" w:type="dxa"/>
              <w:right w:w="57" w:type="dxa"/>
            </w:tcMar>
            <w:vAlign w:val="center"/>
          </w:tcPr>
          <w:p w14:paraId="1C9FB47F">
            <w:pPr>
              <w:spacing w:line="360" w:lineRule="auto"/>
              <w:jc w:val="center"/>
              <w:rPr>
                <w:rFonts w:hint="eastAsia" w:ascii="宋体" w:hAnsi="宋体" w:eastAsia="宋体" w:cs="宋体"/>
                <w:b/>
                <w:bCs/>
                <w:color w:val="auto"/>
                <w:sz w:val="21"/>
                <w:szCs w:val="21"/>
                <w:highlight w:val="none"/>
                <w:lang w:val="en-US" w:eastAsia="zh-CN"/>
              </w:rPr>
            </w:pPr>
          </w:p>
        </w:tc>
        <w:tc>
          <w:tcPr>
            <w:tcW w:w="7133" w:type="dxa"/>
            <w:tcMar>
              <w:top w:w="0" w:type="dxa"/>
              <w:left w:w="57" w:type="dxa"/>
              <w:bottom w:w="0" w:type="dxa"/>
              <w:right w:w="57" w:type="dxa"/>
            </w:tcMar>
            <w:vAlign w:val="top"/>
          </w:tcPr>
          <w:p w14:paraId="7A117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报价文件</w:t>
            </w:r>
          </w:p>
          <w:p w14:paraId="2514DC92">
            <w:pPr>
              <w:pStyle w:val="41"/>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（1）磋商函及磋商函附录</w:t>
            </w:r>
            <w:r>
              <w:rPr>
                <w:rFonts w:hint="eastAsia" w:ascii="宋体" w:hAnsi="宋体" w:eastAsia="宋体" w:cs="宋体"/>
                <w:b/>
                <w:bCs/>
                <w:color w:val="auto"/>
                <w:sz w:val="21"/>
                <w:szCs w:val="21"/>
                <w:highlight w:val="none"/>
              </w:rPr>
              <w:t>（必须提供，否则响应文件按无效响应处理）</w:t>
            </w:r>
            <w:r>
              <w:rPr>
                <w:rFonts w:hint="eastAsia"/>
                <w:color w:val="auto"/>
                <w:sz w:val="21"/>
                <w:szCs w:val="21"/>
                <w:highlight w:val="none"/>
                <w:lang w:val="en-US" w:eastAsia="zh-CN"/>
              </w:rPr>
              <w:t>；</w:t>
            </w:r>
          </w:p>
          <w:p w14:paraId="2FAAECD8">
            <w:pPr>
              <w:pStyle w:val="41"/>
              <w:spacing w:line="360" w:lineRule="auto"/>
              <w:ind w:firstLine="420" w:firstLineChars="200"/>
              <w:rPr>
                <w:rFonts w:hint="eastAsia"/>
                <w:color w:val="auto"/>
                <w:highlight w:val="none"/>
                <w:lang w:val="en-US" w:eastAsia="zh-CN"/>
              </w:rPr>
            </w:pPr>
            <w:r>
              <w:rPr>
                <w:rFonts w:hint="eastAsia"/>
                <w:color w:val="auto"/>
                <w:sz w:val="21"/>
                <w:szCs w:val="21"/>
                <w:highlight w:val="none"/>
                <w:lang w:val="en-US" w:eastAsia="zh-CN"/>
              </w:rPr>
              <w:t>（2）已标价工程量清单</w:t>
            </w:r>
            <w:r>
              <w:rPr>
                <w:rFonts w:hint="eastAsia" w:ascii="宋体" w:hAnsi="宋体" w:eastAsia="宋体" w:cs="宋体"/>
                <w:b/>
                <w:bCs/>
                <w:color w:val="auto"/>
                <w:sz w:val="21"/>
                <w:szCs w:val="21"/>
                <w:highlight w:val="none"/>
              </w:rPr>
              <w:t>（必须提供，否则响应文件按无效响应处理）</w:t>
            </w:r>
            <w:r>
              <w:rPr>
                <w:rFonts w:hint="eastAsia"/>
                <w:color w:val="auto"/>
                <w:sz w:val="21"/>
                <w:szCs w:val="21"/>
                <w:highlight w:val="none"/>
                <w:lang w:val="en-US" w:eastAsia="zh-CN"/>
              </w:rPr>
              <w:t>。</w:t>
            </w:r>
          </w:p>
          <w:p w14:paraId="4CC779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w:t>
            </w:r>
            <w:r>
              <w:rPr>
                <w:rFonts w:hint="eastAsia" w:hAnsi="宋体" w:cs="宋体"/>
                <w:b/>
                <w:color w:val="auto"/>
                <w:sz w:val="21"/>
                <w:szCs w:val="21"/>
                <w:highlight w:val="none"/>
                <w:u w:val="single"/>
                <w:lang w:val="en-US" w:eastAsia="zh-CN"/>
              </w:rPr>
              <w:t>必须</w:t>
            </w:r>
            <w:r>
              <w:rPr>
                <w:rFonts w:hint="eastAsia" w:ascii="宋体" w:hAnsi="宋体" w:eastAsia="宋体" w:cs="宋体"/>
                <w:b/>
                <w:color w:val="auto"/>
                <w:sz w:val="21"/>
                <w:szCs w:val="21"/>
                <w:highlight w:val="none"/>
                <w:u w:val="single"/>
                <w:lang w:val="en-US" w:eastAsia="zh-CN"/>
              </w:rPr>
              <w:t>加盖供应商公章，否则响应文件按无效响应处理</w:t>
            </w:r>
            <w:r>
              <w:rPr>
                <w:rFonts w:hint="eastAsia" w:ascii="宋体" w:hAnsi="宋体" w:cs="宋体"/>
                <w:b/>
                <w:color w:val="auto"/>
                <w:sz w:val="21"/>
                <w:szCs w:val="21"/>
                <w:highlight w:val="none"/>
                <w:u w:val="single"/>
                <w:lang w:val="en-US" w:eastAsia="zh-CN"/>
              </w:rPr>
              <w:t>。</w:t>
            </w:r>
          </w:p>
        </w:tc>
      </w:tr>
      <w:tr w14:paraId="0F24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06" w:type="dxa"/>
            <w:vMerge w:val="continue"/>
            <w:tcMar>
              <w:top w:w="0" w:type="dxa"/>
              <w:left w:w="57" w:type="dxa"/>
              <w:bottom w:w="0" w:type="dxa"/>
              <w:right w:w="57" w:type="dxa"/>
            </w:tcMar>
            <w:vAlign w:val="center"/>
          </w:tcPr>
          <w:p w14:paraId="03BD31EF">
            <w:pPr>
              <w:spacing w:line="360" w:lineRule="auto"/>
              <w:jc w:val="center"/>
              <w:rPr>
                <w:rFonts w:hint="eastAsia" w:ascii="宋体" w:hAnsi="宋体" w:eastAsia="宋体" w:cs="宋体"/>
                <w:color w:val="auto"/>
                <w:sz w:val="21"/>
                <w:szCs w:val="21"/>
                <w:highlight w:val="none"/>
                <w:lang w:val="en-US" w:eastAsia="zh-CN"/>
              </w:rPr>
            </w:pPr>
          </w:p>
        </w:tc>
        <w:tc>
          <w:tcPr>
            <w:tcW w:w="1965" w:type="dxa"/>
            <w:vMerge w:val="continue"/>
            <w:tcMar>
              <w:top w:w="0" w:type="dxa"/>
              <w:left w:w="57" w:type="dxa"/>
              <w:bottom w:w="0" w:type="dxa"/>
              <w:right w:w="57" w:type="dxa"/>
            </w:tcMar>
            <w:vAlign w:val="center"/>
          </w:tcPr>
          <w:p w14:paraId="2A20747C">
            <w:pPr>
              <w:spacing w:line="360" w:lineRule="auto"/>
              <w:jc w:val="center"/>
              <w:rPr>
                <w:rFonts w:hint="eastAsia" w:ascii="宋体" w:hAnsi="宋体" w:eastAsia="宋体" w:cs="宋体"/>
                <w:b/>
                <w:bCs/>
                <w:color w:val="auto"/>
                <w:sz w:val="21"/>
                <w:szCs w:val="21"/>
                <w:highlight w:val="none"/>
                <w:lang w:val="en-US" w:eastAsia="zh-CN"/>
              </w:rPr>
            </w:pPr>
          </w:p>
        </w:tc>
        <w:tc>
          <w:tcPr>
            <w:tcW w:w="7133" w:type="dxa"/>
            <w:tcMar>
              <w:top w:w="0" w:type="dxa"/>
              <w:left w:w="57" w:type="dxa"/>
              <w:bottom w:w="0" w:type="dxa"/>
              <w:right w:w="57" w:type="dxa"/>
            </w:tcMar>
            <w:vAlign w:val="top"/>
          </w:tcPr>
          <w:p w14:paraId="43FD0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商务技术文件</w:t>
            </w:r>
          </w:p>
          <w:p w14:paraId="256C15C2">
            <w:pPr>
              <w:pStyle w:val="13"/>
              <w:spacing w:line="360" w:lineRule="auto"/>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主要管理人员表</w:t>
            </w:r>
            <w:r>
              <w:rPr>
                <w:rFonts w:hint="eastAsia" w:ascii="宋体" w:hAnsi="宋体" w:eastAsia="宋体" w:cs="宋体"/>
                <w:b/>
                <w:bCs/>
                <w:color w:val="auto"/>
                <w:sz w:val="21"/>
                <w:szCs w:val="21"/>
                <w:highlight w:val="none"/>
              </w:rPr>
              <w:t>（必须提供，否则响应文件按无效响应处理）</w:t>
            </w:r>
            <w:r>
              <w:rPr>
                <w:rFonts w:hint="eastAsia"/>
                <w:color w:val="auto"/>
                <w:highlight w:val="none"/>
                <w:lang w:val="en-US" w:eastAsia="zh-CN"/>
              </w:rPr>
              <w:t>；</w:t>
            </w:r>
          </w:p>
          <w:p w14:paraId="179B5980">
            <w:pPr>
              <w:pStyle w:val="13"/>
              <w:spacing w:line="360" w:lineRule="auto"/>
              <w:ind w:firstLine="420" w:firstLineChars="200"/>
              <w:rPr>
                <w:rFonts w:hint="eastAsia"/>
                <w:color w:val="auto"/>
                <w:highlight w:val="none"/>
                <w:lang w:eastAsia="zh-CN"/>
              </w:rPr>
            </w:pPr>
            <w:r>
              <w:rPr>
                <w:rFonts w:hint="eastAsia"/>
                <w:color w:val="auto"/>
                <w:highlight w:val="none"/>
                <w:lang w:val="en-US" w:eastAsia="zh-CN"/>
              </w:rPr>
              <w:t>（2）</w:t>
            </w:r>
            <w:r>
              <w:rPr>
                <w:rFonts w:hint="eastAsia"/>
                <w:color w:val="auto"/>
                <w:highlight w:val="none"/>
              </w:rPr>
              <w:t>施工组织设计</w:t>
            </w:r>
            <w:r>
              <w:rPr>
                <w:rFonts w:hint="eastAsia"/>
                <w:color w:val="auto"/>
                <w:highlight w:val="none"/>
                <w:lang w:eastAsia="zh-CN"/>
              </w:rPr>
              <w:t>；</w:t>
            </w:r>
          </w:p>
          <w:p w14:paraId="576957EF">
            <w:pPr>
              <w:pStyle w:val="13"/>
              <w:spacing w:line="360" w:lineRule="auto"/>
              <w:ind w:firstLine="42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业绩（如有）；</w:t>
            </w:r>
          </w:p>
          <w:p w14:paraId="271042EA">
            <w:pPr>
              <w:pStyle w:val="13"/>
              <w:spacing w:line="360" w:lineRule="auto"/>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hAnsi="宋体" w:cs="宋体"/>
                <w:color w:val="auto"/>
                <w:highlight w:val="none"/>
                <w:lang w:eastAsia="zh-CN"/>
              </w:rPr>
              <w:t>磋商保证金</w:t>
            </w:r>
            <w:r>
              <w:rPr>
                <w:rFonts w:hint="eastAsia" w:hAnsi="宋体" w:cs="宋体"/>
                <w:color w:val="auto"/>
                <w:highlight w:val="none"/>
                <w:lang w:val="en-US" w:eastAsia="zh-CN"/>
              </w:rPr>
              <w:t>缴纳凭证</w:t>
            </w:r>
            <w:r>
              <w:rPr>
                <w:rFonts w:hint="eastAsia" w:hAnsi="宋体" w:cs="宋体"/>
                <w:b/>
                <w:bCs/>
                <w:color w:val="auto"/>
                <w:highlight w:val="none"/>
                <w:lang w:eastAsia="zh-CN"/>
              </w:rPr>
              <w:t>（</w:t>
            </w:r>
            <w:r>
              <w:rPr>
                <w:rFonts w:hint="eastAsia" w:ascii="宋体" w:hAnsi="宋体" w:eastAsia="宋体" w:cs="宋体"/>
                <w:b/>
                <w:bCs/>
                <w:color w:val="auto"/>
                <w:sz w:val="21"/>
                <w:szCs w:val="21"/>
                <w:highlight w:val="none"/>
                <w:lang w:eastAsia="zh-CN"/>
              </w:rPr>
              <w:t>如要求提交</w:t>
            </w:r>
            <w:r>
              <w:rPr>
                <w:rFonts w:hint="eastAsia"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lang w:eastAsia="zh-CN"/>
              </w:rPr>
              <w:t>保证金的则必须提供，否则按无效投标处理</w:t>
            </w:r>
            <w:r>
              <w:rPr>
                <w:rFonts w:hint="eastAsia" w:hAnsi="宋体" w:cs="宋体"/>
                <w:b/>
                <w:bCs/>
                <w:color w:val="auto"/>
                <w:highlight w:val="none"/>
                <w:lang w:eastAsia="zh-CN"/>
              </w:rPr>
              <w:t>）；</w:t>
            </w:r>
          </w:p>
          <w:p w14:paraId="593EBB23">
            <w:pPr>
              <w:pStyle w:val="13"/>
              <w:spacing w:line="360" w:lineRule="auto"/>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）磋商供应商</w:t>
            </w:r>
            <w:r>
              <w:rPr>
                <w:rFonts w:hint="eastAsia"/>
                <w:color w:val="auto"/>
                <w:highlight w:val="none"/>
              </w:rPr>
              <w:t>认为必要提供的声明及其它资料</w:t>
            </w:r>
            <w:r>
              <w:rPr>
                <w:rFonts w:hint="eastAsia"/>
                <w:color w:val="auto"/>
                <w:highlight w:val="none"/>
                <w:lang w:eastAsia="zh-CN"/>
              </w:rPr>
              <w:t>。</w:t>
            </w:r>
          </w:p>
          <w:p w14:paraId="0ECECA89">
            <w:pPr>
              <w:ind w:firstLine="422" w:firstLineChars="200"/>
              <w:rPr>
                <w:rFonts w:hint="eastAsia"/>
                <w:color w:val="auto"/>
                <w:highlight w:val="none"/>
                <w:lang w:val="en-US" w:eastAsia="zh-CN"/>
              </w:rPr>
            </w:pPr>
            <w:r>
              <w:rPr>
                <w:rFonts w:hint="eastAsia"/>
                <w:b/>
                <w:bCs/>
                <w:color w:val="auto"/>
                <w:highlight w:val="none"/>
              </w:rPr>
              <w:t>注：</w:t>
            </w:r>
            <w:r>
              <w:rPr>
                <w:rFonts w:hint="eastAsia"/>
                <w:b/>
                <w:bCs/>
                <w:color w:val="auto"/>
                <w:highlight w:val="none"/>
                <w:u w:val="single"/>
                <w:lang w:val="en-US" w:eastAsia="zh-CN"/>
              </w:rPr>
              <w:t>以上材料必须加盖供应商公章，否则响应文件按无效响应处理</w:t>
            </w:r>
            <w:r>
              <w:rPr>
                <w:rFonts w:hint="eastAsia"/>
                <w:b/>
                <w:bCs/>
                <w:color w:val="auto"/>
                <w:highlight w:val="none"/>
                <w:lang w:val="en-US" w:eastAsia="zh-CN"/>
              </w:rPr>
              <w:t>。</w:t>
            </w:r>
          </w:p>
        </w:tc>
      </w:tr>
      <w:tr w14:paraId="446B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19D27A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65" w:type="dxa"/>
            <w:tcMar>
              <w:top w:w="0" w:type="dxa"/>
              <w:left w:w="57" w:type="dxa"/>
              <w:bottom w:w="0" w:type="dxa"/>
              <w:right w:w="57" w:type="dxa"/>
            </w:tcMar>
            <w:vAlign w:val="center"/>
          </w:tcPr>
          <w:p w14:paraId="51934CA1">
            <w:pPr>
              <w:spacing w:line="360" w:lineRule="auto"/>
              <w:ind w:firstLine="211" w:firstLineChars="10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《响应文件》的递交</w:t>
            </w:r>
          </w:p>
        </w:tc>
        <w:tc>
          <w:tcPr>
            <w:tcW w:w="7133" w:type="dxa"/>
            <w:tcMar>
              <w:top w:w="0" w:type="dxa"/>
              <w:left w:w="57" w:type="dxa"/>
              <w:bottom w:w="0" w:type="dxa"/>
              <w:right w:w="57" w:type="dxa"/>
            </w:tcMar>
            <w:vAlign w:val="top"/>
          </w:tcPr>
          <w:p w14:paraId="75EF3AEA">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lang w:eastAsia="zh-CN"/>
              </w:rPr>
              <w:t>地点：本项目为贺州市电子化项目，通过“广西政府采购云平台”（https://www.gcy.zfcg.gxzf.gov.cn/） 实行在线电子投标，供应商应先安装““广西政府采购云平台电子交易客户端”（请自行前往广西政府采购网（访问地址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eastAsia="宋体" w:cs="宋体"/>
                <w:b/>
                <w:bCs/>
                <w:color w:val="auto"/>
                <w:sz w:val="21"/>
                <w:szCs w:val="21"/>
                <w:highlight w:val="none"/>
                <w:lang w:eastAsia="zh-CN"/>
              </w:rPr>
              <w:t>供应商在“广西政府采购云平台”提交电子版响应文件时，请填写参加远程开标活动经办人联系方式，如在操作过程中遇到问题或需技术支持，请致电广西政府采购云平台客服热线：95763。</w:t>
            </w:r>
          </w:p>
          <w:p w14:paraId="03A78AF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w:t>
            </w:r>
            <w:r>
              <w:rPr>
                <w:rFonts w:hint="eastAsia" w:ascii="宋体" w:hAnsi="宋体" w:cs="宋体"/>
                <w:color w:val="auto"/>
                <w:sz w:val="21"/>
                <w:szCs w:val="21"/>
                <w:highlight w:val="none"/>
                <w:u w:val="single"/>
                <w:lang w:val="en-US" w:eastAsia="zh-CN"/>
              </w:rPr>
              <w:t>2025年6月16日15时30分</w:t>
            </w:r>
            <w:r>
              <w:rPr>
                <w:rFonts w:hint="eastAsia" w:ascii="宋体" w:hAnsi="宋体" w:eastAsia="宋体" w:cs="宋体"/>
                <w:color w:val="auto"/>
                <w:sz w:val="21"/>
                <w:szCs w:val="21"/>
                <w:highlight w:val="none"/>
                <w:u w:val="single"/>
                <w:lang w:val="en-US" w:eastAsia="zh-CN"/>
              </w:rPr>
              <w:t xml:space="preserve"> </w:t>
            </w:r>
          </w:p>
        </w:tc>
      </w:tr>
      <w:tr w14:paraId="5A0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1306945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965" w:type="dxa"/>
            <w:tcMar>
              <w:top w:w="0" w:type="dxa"/>
              <w:left w:w="57" w:type="dxa"/>
              <w:bottom w:w="0" w:type="dxa"/>
              <w:right w:w="57" w:type="dxa"/>
            </w:tcMar>
            <w:vAlign w:val="center"/>
          </w:tcPr>
          <w:p w14:paraId="0DF0C99B">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开标时间</w:t>
            </w:r>
          </w:p>
        </w:tc>
        <w:tc>
          <w:tcPr>
            <w:tcW w:w="7133" w:type="dxa"/>
            <w:tcMar>
              <w:top w:w="0" w:type="dxa"/>
              <w:left w:w="57" w:type="dxa"/>
              <w:bottom w:w="0" w:type="dxa"/>
              <w:right w:w="57" w:type="dxa"/>
            </w:tcMar>
            <w:vAlign w:val="top"/>
          </w:tcPr>
          <w:p w14:paraId="45863E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cs="宋体"/>
                <w:color w:val="auto"/>
                <w:sz w:val="21"/>
                <w:szCs w:val="21"/>
                <w:highlight w:val="none"/>
                <w:u w:val="single"/>
                <w:lang w:val="en-US" w:eastAsia="zh-CN"/>
              </w:rPr>
              <w:t>2025年6月16日15时30分</w:t>
            </w:r>
            <w:r>
              <w:rPr>
                <w:rFonts w:hint="eastAsia" w:ascii="宋体" w:hAnsi="宋体" w:eastAsia="宋体" w:cs="宋体"/>
                <w:color w:val="auto"/>
                <w:sz w:val="21"/>
                <w:szCs w:val="21"/>
                <w:highlight w:val="none"/>
              </w:rPr>
              <w:t>截标后</w:t>
            </w:r>
          </w:p>
          <w:p w14:paraId="074CE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开标地点：广西建采项目管理有限公司开标室（广西壮族自治区贺州市八步区贺州市平安东路绿洲家园B区B-2栋5号商铺3F）</w:t>
            </w:r>
          </w:p>
          <w:p w14:paraId="4E3EB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本项目不要求磋商供应商到达开标现场，但供应商应派法定代表人或委托代理人准时在线出席电子开评标会议，随时关注开评标进度，如在开评标过程中有电子询标，应在规定的时间内对电子询标函进行澄清回复。）</w:t>
            </w:r>
          </w:p>
        </w:tc>
      </w:tr>
      <w:tr w14:paraId="2F81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1A4F167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65" w:type="dxa"/>
            <w:tcMar>
              <w:top w:w="0" w:type="dxa"/>
              <w:left w:w="57" w:type="dxa"/>
              <w:bottom w:w="0" w:type="dxa"/>
              <w:right w:w="57" w:type="dxa"/>
            </w:tcMar>
            <w:vAlign w:val="center"/>
          </w:tcPr>
          <w:p w14:paraId="061C0E1B">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开标程序</w:t>
            </w:r>
          </w:p>
        </w:tc>
        <w:tc>
          <w:tcPr>
            <w:tcW w:w="7133" w:type="dxa"/>
            <w:tcMar>
              <w:top w:w="0" w:type="dxa"/>
              <w:left w:w="57" w:type="dxa"/>
              <w:bottom w:w="0" w:type="dxa"/>
              <w:right w:w="57" w:type="dxa"/>
            </w:tcMar>
            <w:vAlign w:val="top"/>
          </w:tcPr>
          <w:p w14:paraId="53F387E4">
            <w:pPr>
              <w:keepNext w:val="0"/>
              <w:keepLines w:val="0"/>
              <w:pageBreakBefore w:val="0"/>
              <w:widowControl w:val="0"/>
              <w:numPr>
                <w:ilvl w:val="0"/>
                <w:numId w:val="4"/>
              </w:numPr>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签收、</w:t>
            </w:r>
            <w:r>
              <w:rPr>
                <w:rFonts w:hint="eastAsia" w:ascii="宋体" w:hAnsi="宋体" w:eastAsia="宋体" w:cs="宋体"/>
                <w:color w:val="auto"/>
                <w:sz w:val="21"/>
                <w:szCs w:val="21"/>
                <w:highlight w:val="none"/>
                <w:lang w:eastAsia="zh-CN"/>
              </w:rPr>
              <w:t>解密电子投标文件。</w:t>
            </w:r>
            <w:r>
              <w:rPr>
                <w:rFonts w:hint="eastAsia" w:ascii="宋体" w:hAnsi="宋体" w:eastAsia="宋体" w:cs="宋体"/>
                <w:color w:val="auto"/>
                <w:sz w:val="21"/>
                <w:szCs w:val="21"/>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14:paraId="09B2E4FD">
            <w:pPr>
              <w:keepNext w:val="0"/>
              <w:keepLines w:val="0"/>
              <w:pageBreakBefore w:val="0"/>
              <w:widowControl w:val="0"/>
              <w:numPr>
                <w:ilvl w:val="0"/>
                <w:numId w:val="0"/>
              </w:numPr>
              <w:kinsoku/>
              <w:wordWrap/>
              <w:overflowPunct/>
              <w:topLinePunct w:val="0"/>
              <w:bidi w:val="0"/>
              <w:snapToGrid/>
              <w:spacing w:line="360" w:lineRule="exact"/>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（解密异常情况处理：详见本章 15.3 电子交易活动的中止。） </w:t>
            </w:r>
          </w:p>
          <w:p w14:paraId="268A91BD">
            <w:pPr>
              <w:keepNext w:val="0"/>
              <w:keepLines w:val="0"/>
              <w:pageBreakBefore w:val="0"/>
              <w:widowControl w:val="0"/>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如供应商成功解密响应文件，但未在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电子开标大厅参加磋商的，视同认可磋商过程和结果，由此产生的后果由供应商自行负责。参与磋商的供应商不足3家的，不得磋商。</w:t>
            </w:r>
          </w:p>
          <w:p w14:paraId="397D79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初步评审。</w:t>
            </w:r>
            <w:r>
              <w:rPr>
                <w:rFonts w:hint="eastAsia" w:ascii="宋体" w:hAnsi="宋体" w:eastAsia="宋体" w:cs="宋体"/>
                <w:color w:val="auto"/>
                <w:sz w:val="21"/>
                <w:szCs w:val="21"/>
                <w:highlight w:val="none"/>
                <w:lang w:eastAsia="zh-CN"/>
              </w:rPr>
              <w:t>投标文件解密结束</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磋商小组依据法律法规和招标文件的规定，对投标人进行线上初步评审（资格性审查、符合性审查）。</w:t>
            </w:r>
          </w:p>
          <w:p w14:paraId="3D3E2A24">
            <w:pPr>
              <w:keepNext w:val="0"/>
              <w:keepLines w:val="0"/>
              <w:pageBreakBefore w:val="0"/>
              <w:widowControl w:val="0"/>
              <w:numPr>
                <w:ilvl w:val="0"/>
                <w:numId w:val="0"/>
              </w:numPr>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宋体" w:hAnsi="宋体" w:eastAsia="宋体" w:cs="宋体"/>
                <w:color w:val="auto"/>
                <w:sz w:val="21"/>
                <w:szCs w:val="21"/>
                <w:highlight w:val="none"/>
                <w:lang w:eastAsia="zh-CN"/>
              </w:rPr>
              <w:t>各投标供应商</w:t>
            </w:r>
            <w:r>
              <w:rPr>
                <w:rFonts w:hint="eastAsia" w:ascii="宋体" w:hAnsi="宋体" w:eastAsia="宋体" w:cs="宋体"/>
                <w:color w:val="auto"/>
                <w:sz w:val="21"/>
                <w:szCs w:val="21"/>
                <w:highlight w:val="none"/>
                <w:lang w:val="en-US" w:eastAsia="zh-CN"/>
              </w:rPr>
              <w:t>在规定地点、时间提交二次报价或询标回复。</w:t>
            </w:r>
            <w:r>
              <w:rPr>
                <w:rFonts w:hint="eastAsia" w:ascii="宋体" w:hAnsi="宋体" w:cs="宋体"/>
                <w:color w:val="auto"/>
                <w:szCs w:val="21"/>
                <w:highlight w:val="none"/>
              </w:rPr>
              <w:t>供应商未在规定时间内提交最后报价的，视为退出</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，其响应文件按无效响应处理</w:t>
            </w:r>
            <w:r>
              <w:rPr>
                <w:rFonts w:hint="eastAsia" w:ascii="宋体" w:hAnsi="宋体" w:cs="宋体"/>
                <w:color w:val="auto"/>
                <w:szCs w:val="21"/>
                <w:highlight w:val="none"/>
                <w:lang w:eastAsia="zh-CN"/>
              </w:rPr>
              <w:t>。</w:t>
            </w:r>
          </w:p>
          <w:p w14:paraId="2B7080A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）电子唱标。各投标供应商报价、</w:t>
            </w:r>
            <w:r>
              <w:rPr>
                <w:rFonts w:hint="eastAsia" w:ascii="宋体" w:hAnsi="宋体" w:eastAsia="宋体" w:cs="宋体"/>
                <w:color w:val="auto"/>
                <w:sz w:val="21"/>
                <w:szCs w:val="21"/>
                <w:highlight w:val="none"/>
                <w:lang w:val="en-US" w:eastAsia="zh-CN"/>
              </w:rPr>
              <w:t>工期等</w:t>
            </w:r>
            <w:r>
              <w:rPr>
                <w:rFonts w:hint="eastAsia" w:ascii="宋体" w:hAnsi="宋体" w:eastAsia="宋体" w:cs="宋体"/>
                <w:color w:val="auto"/>
                <w:sz w:val="21"/>
                <w:szCs w:val="21"/>
                <w:highlight w:val="none"/>
                <w:lang w:eastAsia="zh-CN"/>
              </w:rPr>
              <w:t>均在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eastAsia="zh-CN"/>
              </w:rPr>
              <w:t>远程不见面开标大厅展示；</w:t>
            </w:r>
          </w:p>
          <w:p w14:paraId="59C1BE5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）开标过程由采购代理机构如实记录，并电子留痕，由参加电子开标的各投标人代表对电子开标记录在开标记录公布后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分钟内进行当场校核及勘误，并线上确认，未确认的视同认可开标结果。</w:t>
            </w:r>
          </w:p>
          <w:p w14:paraId="254822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4A5378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）开标结束。</w:t>
            </w:r>
          </w:p>
          <w:p w14:paraId="0F6F38AB">
            <w:pPr>
              <w:pStyle w:val="41"/>
              <w:keepNext w:val="0"/>
              <w:keepLines w:val="0"/>
              <w:pageBreakBefore w:val="0"/>
              <w:widowControl w:val="0"/>
              <w:kinsoku/>
              <w:wordWrap/>
              <w:overflowPunct/>
              <w:topLinePunct w:val="0"/>
              <w:bidi w:val="0"/>
              <w:snapToGrid/>
              <w:spacing w:line="360" w:lineRule="exact"/>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特别说明：如遇广西政府采购云平台电子化开标或评审程序调整的，按调整后执行。</w:t>
            </w:r>
          </w:p>
        </w:tc>
      </w:tr>
      <w:tr w14:paraId="3703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0C1EDE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965" w:type="dxa"/>
            <w:tcMar>
              <w:top w:w="0" w:type="dxa"/>
              <w:left w:w="57" w:type="dxa"/>
              <w:bottom w:w="0" w:type="dxa"/>
              <w:right w:w="57" w:type="dxa"/>
            </w:tcMar>
            <w:vAlign w:val="center"/>
          </w:tcPr>
          <w:p w14:paraId="3F7216E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磋商小组的组成</w:t>
            </w:r>
          </w:p>
        </w:tc>
        <w:tc>
          <w:tcPr>
            <w:tcW w:w="7133" w:type="dxa"/>
            <w:tcMar>
              <w:top w:w="0" w:type="dxa"/>
              <w:left w:w="57" w:type="dxa"/>
              <w:bottom w:w="0" w:type="dxa"/>
              <w:right w:w="57" w:type="dxa"/>
            </w:tcMar>
            <w:vAlign w:val="top"/>
          </w:tcPr>
          <w:p w14:paraId="0A1B5B1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磋商小组</w:t>
            </w:r>
            <w:r>
              <w:rPr>
                <w:rFonts w:hint="eastAsia" w:ascii="宋体" w:hAnsi="宋体" w:eastAsia="宋体" w:cs="宋体"/>
                <w:b/>
                <w:bCs/>
                <w:color w:val="auto"/>
                <w:sz w:val="21"/>
                <w:szCs w:val="21"/>
                <w:highlight w:val="none"/>
              </w:rPr>
              <w:t>构成：</w:t>
            </w:r>
            <w:r>
              <w:rPr>
                <w:rFonts w:hint="eastAsia" w:ascii="宋体" w:hAnsi="宋体" w:eastAsia="宋体" w:cs="宋体"/>
                <w:color w:val="auto"/>
                <w:sz w:val="21"/>
                <w:szCs w:val="21"/>
                <w:highlight w:val="none"/>
              </w:rPr>
              <w:t>3人，其中采购人代表1人，专家2人（评审主会场1人，评审副会场1人）。</w:t>
            </w:r>
          </w:p>
          <w:p w14:paraId="65514E9E">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评标专家确定方式：</w:t>
            </w:r>
            <w:r>
              <w:rPr>
                <w:rFonts w:hint="eastAsia" w:ascii="宋体" w:hAnsi="宋体" w:eastAsia="宋体" w:cs="宋体"/>
                <w:color w:val="auto"/>
                <w:sz w:val="21"/>
                <w:szCs w:val="21"/>
                <w:highlight w:val="none"/>
                <w:lang w:val="en-US" w:eastAsia="zh-CN"/>
              </w:rPr>
              <w:t>开标前由采购代理机构在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评审专家库随机抽取确定。</w:t>
            </w:r>
          </w:p>
          <w:p w14:paraId="6D91AA8F">
            <w:pPr>
              <w:pStyle w:val="2"/>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是否远程抽取评委及远程异地评标：☑是   □否</w:t>
            </w:r>
          </w:p>
          <w:p w14:paraId="327005C1">
            <w:pPr>
              <w:pStyle w:val="2"/>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ascii="宋体" w:hAnsi="宋体" w:eastAsia="宋体" w:cs="宋体"/>
                <w:b w:val="0"/>
                <w:bCs/>
                <w:color w:val="auto"/>
                <w:kern w:val="2"/>
                <w:sz w:val="21"/>
                <w:szCs w:val="21"/>
                <w:highlight w:val="none"/>
                <w:lang w:val="en-US" w:eastAsia="zh-CN" w:bidi="ar-SA"/>
              </w:rPr>
              <w:t>评审地址：评审主会场地址：广西建采项目管理有限公司开标室（广西壮族自治区贺州市八步区贺州市平安东路绿洲家园B区B-2栋5号商铺3F）；评审副会场地址：广西建隆工程咨询有限公司</w:t>
            </w:r>
            <w:r>
              <w:rPr>
                <w:rFonts w:hint="eastAsia" w:ascii="宋体" w:hAnsi="宋体" w:cs="宋体"/>
                <w:b w:val="0"/>
                <w:bCs/>
                <w:color w:val="auto"/>
                <w:kern w:val="2"/>
                <w:sz w:val="21"/>
                <w:szCs w:val="21"/>
                <w:highlight w:val="none"/>
                <w:lang w:val="en-US" w:eastAsia="zh-CN" w:bidi="ar-SA"/>
              </w:rPr>
              <w:t>评标室（青秀区南宁市青秀区竹溪大道36号青湖中心27楼2702号）</w:t>
            </w:r>
          </w:p>
        </w:tc>
      </w:tr>
      <w:tr w14:paraId="6E8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14:paraId="0D86148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65" w:type="dxa"/>
            <w:tcMar>
              <w:top w:w="0" w:type="dxa"/>
              <w:left w:w="57" w:type="dxa"/>
              <w:bottom w:w="0" w:type="dxa"/>
              <w:right w:w="57" w:type="dxa"/>
            </w:tcMar>
            <w:vAlign w:val="center"/>
          </w:tcPr>
          <w:p w14:paraId="0D491B8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评标办法</w:t>
            </w:r>
          </w:p>
        </w:tc>
        <w:tc>
          <w:tcPr>
            <w:tcW w:w="7133" w:type="dxa"/>
            <w:tcMar>
              <w:top w:w="0" w:type="dxa"/>
              <w:left w:w="57" w:type="dxa"/>
              <w:bottom w:w="0" w:type="dxa"/>
              <w:right w:w="57" w:type="dxa"/>
            </w:tcMar>
            <w:vAlign w:val="center"/>
          </w:tcPr>
          <w:p w14:paraId="2B40F0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综合评分法</w:t>
            </w:r>
          </w:p>
        </w:tc>
      </w:tr>
      <w:tr w14:paraId="1058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3108344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965" w:type="dxa"/>
            <w:tcMar>
              <w:top w:w="0" w:type="dxa"/>
              <w:left w:w="57" w:type="dxa"/>
              <w:bottom w:w="0" w:type="dxa"/>
              <w:right w:w="57" w:type="dxa"/>
            </w:tcMar>
            <w:vAlign w:val="center"/>
          </w:tcPr>
          <w:p w14:paraId="287A6457">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是否授权磋商小组确定</w:t>
            </w:r>
            <w:r>
              <w:rPr>
                <w:rFonts w:hint="eastAsia" w:ascii="宋体" w:hAnsi="宋体" w:eastAsia="宋体" w:cs="宋体"/>
                <w:b/>
                <w:bCs w:val="0"/>
                <w:color w:val="auto"/>
                <w:sz w:val="21"/>
                <w:szCs w:val="21"/>
                <w:highlight w:val="none"/>
                <w:lang w:eastAsia="zh-CN"/>
              </w:rPr>
              <w:t>成交</w:t>
            </w:r>
            <w:r>
              <w:rPr>
                <w:rFonts w:hint="eastAsia" w:ascii="宋体" w:hAnsi="宋体" w:eastAsia="宋体" w:cs="宋体"/>
                <w:b/>
                <w:bCs w:val="0"/>
                <w:color w:val="auto"/>
                <w:sz w:val="21"/>
                <w:szCs w:val="21"/>
                <w:highlight w:val="none"/>
              </w:rPr>
              <w:t>人</w:t>
            </w:r>
          </w:p>
        </w:tc>
        <w:tc>
          <w:tcPr>
            <w:tcW w:w="7133" w:type="dxa"/>
            <w:tcMar>
              <w:top w:w="0" w:type="dxa"/>
              <w:left w:w="57" w:type="dxa"/>
              <w:bottom w:w="0" w:type="dxa"/>
              <w:right w:w="57" w:type="dxa"/>
            </w:tcMar>
            <w:vAlign w:val="center"/>
          </w:tcPr>
          <w:p w14:paraId="64CDF3ED">
            <w:pPr>
              <w:widowControl/>
              <w:spacing w:line="36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是。</w:t>
            </w:r>
          </w:p>
        </w:tc>
      </w:tr>
      <w:tr w14:paraId="73C3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3ACE6D6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965" w:type="dxa"/>
            <w:tcMar>
              <w:top w:w="0" w:type="dxa"/>
              <w:left w:w="57" w:type="dxa"/>
              <w:bottom w:w="0" w:type="dxa"/>
              <w:right w:w="57" w:type="dxa"/>
            </w:tcMar>
            <w:vAlign w:val="center"/>
          </w:tcPr>
          <w:p w14:paraId="6C643E92">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履约保证金</w:t>
            </w:r>
          </w:p>
        </w:tc>
        <w:tc>
          <w:tcPr>
            <w:tcW w:w="7133" w:type="dxa"/>
            <w:tcMar>
              <w:top w:w="0" w:type="dxa"/>
              <w:left w:w="57" w:type="dxa"/>
              <w:bottom w:w="0" w:type="dxa"/>
              <w:right w:w="57" w:type="dxa"/>
            </w:tcMar>
            <w:vAlign w:val="top"/>
          </w:tcPr>
          <w:p w14:paraId="77CA4E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本项目不收取履约保证金。</w:t>
            </w:r>
          </w:p>
        </w:tc>
      </w:tr>
      <w:tr w14:paraId="7FF2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1C5315E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965" w:type="dxa"/>
            <w:tcMar>
              <w:top w:w="0" w:type="dxa"/>
              <w:left w:w="57" w:type="dxa"/>
              <w:bottom w:w="0" w:type="dxa"/>
              <w:right w:w="57" w:type="dxa"/>
            </w:tcMar>
            <w:vAlign w:val="center"/>
          </w:tcPr>
          <w:p w14:paraId="1E45B8E1">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农民工工资保障金</w:t>
            </w:r>
          </w:p>
        </w:tc>
        <w:tc>
          <w:tcPr>
            <w:tcW w:w="7133" w:type="dxa"/>
            <w:tcMar>
              <w:top w:w="0" w:type="dxa"/>
              <w:left w:w="57" w:type="dxa"/>
              <w:bottom w:w="0" w:type="dxa"/>
              <w:right w:w="57" w:type="dxa"/>
            </w:tcMar>
            <w:vAlign w:val="top"/>
          </w:tcPr>
          <w:p w14:paraId="29832E8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按合同条款执行</w:t>
            </w:r>
            <w:r>
              <w:rPr>
                <w:rFonts w:hint="eastAsia" w:ascii="宋体" w:hAnsi="宋体" w:cs="宋体"/>
                <w:b w:val="0"/>
                <w:bCs w:val="0"/>
                <w:color w:val="auto"/>
                <w:sz w:val="21"/>
                <w:szCs w:val="21"/>
                <w:highlight w:val="none"/>
                <w:lang w:val="en-US" w:eastAsia="zh-CN"/>
              </w:rPr>
              <w:t>。</w:t>
            </w:r>
          </w:p>
        </w:tc>
      </w:tr>
      <w:tr w14:paraId="74A8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6" w:type="dxa"/>
            <w:tcMar>
              <w:top w:w="0" w:type="dxa"/>
              <w:left w:w="57" w:type="dxa"/>
              <w:bottom w:w="0" w:type="dxa"/>
              <w:right w:w="57" w:type="dxa"/>
            </w:tcMar>
            <w:vAlign w:val="center"/>
          </w:tcPr>
          <w:p w14:paraId="0BA196D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965" w:type="dxa"/>
            <w:tcMar>
              <w:top w:w="0" w:type="dxa"/>
              <w:left w:w="57" w:type="dxa"/>
              <w:bottom w:w="0" w:type="dxa"/>
              <w:right w:w="57" w:type="dxa"/>
            </w:tcMar>
            <w:vAlign w:val="center"/>
          </w:tcPr>
          <w:p w14:paraId="2701894E">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上限控制价</w:t>
            </w:r>
          </w:p>
        </w:tc>
        <w:tc>
          <w:tcPr>
            <w:tcW w:w="7133" w:type="dxa"/>
            <w:tcMar>
              <w:top w:w="0" w:type="dxa"/>
              <w:left w:w="57" w:type="dxa"/>
              <w:bottom w:w="0" w:type="dxa"/>
              <w:right w:w="57" w:type="dxa"/>
            </w:tcMar>
            <w:vAlign w:val="center"/>
          </w:tcPr>
          <w:p w14:paraId="27FD60FC">
            <w:pPr>
              <w:widowControl/>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eastAsia="zh-CN"/>
              </w:rPr>
              <w:t>陆拾肆万贰仟壹佰叁拾叁元陆角柒分（¥642133.67）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报价高于公布的控制价的，其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（磋商）作否决磋商处理。</w:t>
            </w:r>
          </w:p>
        </w:tc>
      </w:tr>
      <w:tr w14:paraId="636E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289B59B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65" w:type="dxa"/>
            <w:tcMar>
              <w:top w:w="0" w:type="dxa"/>
              <w:left w:w="57" w:type="dxa"/>
              <w:bottom w:w="0" w:type="dxa"/>
              <w:right w:w="57" w:type="dxa"/>
            </w:tcMar>
            <w:vAlign w:val="center"/>
          </w:tcPr>
          <w:p w14:paraId="28DBD582">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代理</w:t>
            </w:r>
            <w:r>
              <w:rPr>
                <w:rFonts w:hint="eastAsia" w:ascii="宋体" w:hAnsi="宋体" w:eastAsia="宋体" w:cs="宋体"/>
                <w:b/>
                <w:bCs w:val="0"/>
                <w:color w:val="auto"/>
                <w:sz w:val="21"/>
                <w:szCs w:val="21"/>
                <w:highlight w:val="none"/>
                <w:lang w:eastAsia="zh-CN"/>
              </w:rPr>
              <w:t>服务</w:t>
            </w:r>
            <w:r>
              <w:rPr>
                <w:rFonts w:hint="eastAsia" w:ascii="宋体" w:hAnsi="宋体" w:eastAsia="宋体" w:cs="宋体"/>
                <w:b/>
                <w:bCs w:val="0"/>
                <w:color w:val="auto"/>
                <w:sz w:val="21"/>
                <w:szCs w:val="21"/>
                <w:highlight w:val="none"/>
              </w:rPr>
              <w:t>费</w:t>
            </w:r>
          </w:p>
        </w:tc>
        <w:tc>
          <w:tcPr>
            <w:tcW w:w="7133" w:type="dxa"/>
            <w:tcMar>
              <w:top w:w="0" w:type="dxa"/>
              <w:left w:w="57" w:type="dxa"/>
              <w:bottom w:w="0" w:type="dxa"/>
              <w:right w:w="57" w:type="dxa"/>
            </w:tcMar>
            <w:vAlign w:val="center"/>
          </w:tcPr>
          <w:p w14:paraId="57FB6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招标代理费：招标代理费金额</w:t>
            </w:r>
            <w:r>
              <w:rPr>
                <w:rFonts w:hint="eastAsia" w:ascii="宋体" w:hAnsi="宋体" w:eastAsia="宋体" w:cs="宋体"/>
                <w:color w:val="auto"/>
                <w:sz w:val="21"/>
                <w:szCs w:val="21"/>
                <w:highlight w:val="none"/>
                <w:lang w:val="en-US" w:eastAsia="zh-CN"/>
              </w:rPr>
              <w:t>参考</w:t>
            </w:r>
            <w:r>
              <w:rPr>
                <w:rFonts w:hint="eastAsia" w:ascii="宋体" w:hAnsi="宋体" w:eastAsia="宋体" w:cs="宋体"/>
                <w:color w:val="auto"/>
                <w:sz w:val="21"/>
                <w:szCs w:val="21"/>
                <w:highlight w:val="none"/>
                <w:lang w:eastAsia="zh-CN"/>
              </w:rPr>
              <w:t>国家计委计价格【2002】1980号文以及国家发展和改革委员会办公厅《关于招标代理服务收费有关问题的通知(发改办价格[2003]857号)》规定的“招标代理服务收费标准”执行。由成交人在领取成交通知书时，一次性向招标代理机构支付。</w:t>
            </w:r>
          </w:p>
        </w:tc>
      </w:tr>
      <w:tr w14:paraId="741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3C77BD4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65" w:type="dxa"/>
            <w:tcMar>
              <w:top w:w="0" w:type="dxa"/>
              <w:left w:w="57" w:type="dxa"/>
              <w:bottom w:w="0" w:type="dxa"/>
              <w:right w:w="57" w:type="dxa"/>
            </w:tcMar>
            <w:vAlign w:val="center"/>
          </w:tcPr>
          <w:p w14:paraId="52E6B4A1">
            <w:pPr>
              <w:spacing w:line="360" w:lineRule="auto"/>
              <w:jc w:val="center"/>
              <w:rPr>
                <w:rFonts w:hint="eastAsia" w:ascii="宋体" w:hAnsi="宋体" w:eastAsia="宋体" w:cs="宋体"/>
                <w:b/>
                <w:bCs w:val="0"/>
                <w:color w:val="auto"/>
                <w:sz w:val="21"/>
                <w:szCs w:val="21"/>
                <w:highlight w:val="none"/>
                <w:lang w:val="en-US" w:eastAsia="zh-CN"/>
              </w:rPr>
            </w:pPr>
          </w:p>
          <w:p w14:paraId="7E24B603">
            <w:pPr>
              <w:spacing w:line="360" w:lineRule="auto"/>
              <w:jc w:val="center"/>
              <w:rPr>
                <w:rFonts w:hint="eastAsia" w:ascii="宋体" w:hAnsi="宋体" w:eastAsia="宋体" w:cs="宋体"/>
                <w:b/>
                <w:bCs w:val="0"/>
                <w:color w:val="auto"/>
                <w:sz w:val="21"/>
                <w:szCs w:val="21"/>
                <w:highlight w:val="none"/>
                <w:lang w:val="en-US" w:eastAsia="zh-CN"/>
              </w:rPr>
            </w:pPr>
          </w:p>
          <w:p w14:paraId="52D23552">
            <w:pPr>
              <w:spacing w:line="360" w:lineRule="auto"/>
              <w:jc w:val="center"/>
              <w:rPr>
                <w:rFonts w:hint="eastAsia" w:ascii="宋体" w:hAnsi="宋体" w:eastAsia="宋体" w:cs="宋体"/>
                <w:b/>
                <w:bCs w:val="0"/>
                <w:color w:val="auto"/>
                <w:sz w:val="21"/>
                <w:szCs w:val="21"/>
                <w:highlight w:val="none"/>
                <w:lang w:val="en-US" w:eastAsia="zh-CN"/>
              </w:rPr>
            </w:pPr>
          </w:p>
          <w:p w14:paraId="42E257DC">
            <w:pPr>
              <w:spacing w:line="360" w:lineRule="auto"/>
              <w:jc w:val="center"/>
              <w:rPr>
                <w:rFonts w:hint="eastAsia" w:ascii="宋体" w:hAnsi="宋体" w:eastAsia="宋体" w:cs="宋体"/>
                <w:b/>
                <w:bCs w:val="0"/>
                <w:color w:val="auto"/>
                <w:sz w:val="21"/>
                <w:szCs w:val="21"/>
                <w:highlight w:val="none"/>
                <w:lang w:val="en-US" w:eastAsia="zh-CN"/>
              </w:rPr>
            </w:pPr>
          </w:p>
          <w:p w14:paraId="6F5EB908">
            <w:pPr>
              <w:spacing w:line="360" w:lineRule="auto"/>
              <w:jc w:val="center"/>
              <w:rPr>
                <w:rFonts w:hint="eastAsia" w:ascii="宋体" w:hAnsi="宋体" w:eastAsia="宋体" w:cs="宋体"/>
                <w:b/>
                <w:bCs w:val="0"/>
                <w:color w:val="auto"/>
                <w:sz w:val="21"/>
                <w:szCs w:val="21"/>
                <w:highlight w:val="none"/>
                <w:lang w:val="en-US" w:eastAsia="zh-CN"/>
              </w:rPr>
            </w:pPr>
          </w:p>
          <w:p w14:paraId="58C85D5B">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特别说明</w:t>
            </w:r>
          </w:p>
        </w:tc>
        <w:tc>
          <w:tcPr>
            <w:tcW w:w="7133" w:type="dxa"/>
            <w:tcMar>
              <w:top w:w="0" w:type="dxa"/>
              <w:left w:w="57" w:type="dxa"/>
              <w:bottom w:w="0" w:type="dxa"/>
              <w:right w:w="57" w:type="dxa"/>
            </w:tcMar>
            <w:vAlign w:val="center"/>
          </w:tcPr>
          <w:p w14:paraId="0F2CF4F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w:t>
            </w:r>
            <w:r>
              <w:rPr>
                <w:rFonts w:hint="eastAsia" w:ascii="宋体" w:hAnsi="宋体" w:cs="宋体"/>
                <w:color w:val="auto"/>
                <w:sz w:val="21"/>
                <w:szCs w:val="21"/>
                <w:highlight w:val="none"/>
                <w:lang w:val="en-US" w:eastAsia="zh-CN"/>
              </w:rPr>
              <w:t>（含</w:t>
            </w:r>
            <w:r>
              <w:rPr>
                <w:rFonts w:hint="eastAsia" w:ascii="宋体" w:hAnsi="宋体" w:eastAsia="宋体" w:cs="宋体"/>
                <w:b w:val="0"/>
                <w:bCs/>
                <w:color w:val="auto"/>
                <w:sz w:val="21"/>
                <w:szCs w:val="21"/>
                <w:highlight w:val="none"/>
              </w:rPr>
              <w:t>广西政府采购云平台</w:t>
            </w:r>
            <w:r>
              <w:rPr>
                <w:rFonts w:hint="eastAsia" w:ascii="宋体" w:hAnsi="宋体" w:cs="宋体"/>
                <w:color w:val="auto"/>
                <w:sz w:val="21"/>
                <w:szCs w:val="21"/>
                <w:highlight w:val="none"/>
                <w:lang w:val="en-US" w:eastAsia="zh-CN"/>
              </w:rPr>
              <w:t>申领的电子印章）</w:t>
            </w:r>
            <w:r>
              <w:rPr>
                <w:rFonts w:hint="eastAsia" w:ascii="宋体" w:hAnsi="宋体" w:eastAsia="宋体" w:cs="宋体"/>
                <w:color w:val="auto"/>
                <w:sz w:val="21"/>
                <w:szCs w:val="21"/>
                <w:highlight w:val="none"/>
                <w:lang w:val="en-US" w:eastAsia="zh-CN"/>
              </w:rPr>
              <w:t>，除本磋商文件有特殊规定外，供应商的财务章、部门章、分公司章、工会章、合同章、竞标/投标专用章、业务专用章及银行的转账章、现金收讫章、现金付讫章等其他形式印章均不能代替公章。</w:t>
            </w:r>
          </w:p>
          <w:p w14:paraId="63A1157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E7A523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7B07E5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4.自然人竞标的，磋商文件规定盖公章处由自然人摁手指指印。</w:t>
            </w:r>
          </w:p>
          <w:p w14:paraId="3294BD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5.本磋商文件所称的“以上”“以下”“以内”“届满”，包括本数；所称的“不满”“超过”“以外”，不包括本数。</w:t>
            </w:r>
          </w:p>
        </w:tc>
      </w:tr>
      <w:tr w14:paraId="2FC9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14:paraId="6259B34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965" w:type="dxa"/>
            <w:tcMar>
              <w:top w:w="0" w:type="dxa"/>
              <w:left w:w="57" w:type="dxa"/>
              <w:bottom w:w="0" w:type="dxa"/>
              <w:right w:w="57" w:type="dxa"/>
            </w:tcMar>
            <w:vAlign w:val="center"/>
          </w:tcPr>
          <w:p w14:paraId="2E245630">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其他</w:t>
            </w:r>
          </w:p>
        </w:tc>
        <w:tc>
          <w:tcPr>
            <w:tcW w:w="7133" w:type="dxa"/>
            <w:tcMar>
              <w:top w:w="0" w:type="dxa"/>
              <w:left w:w="57" w:type="dxa"/>
              <w:bottom w:w="0" w:type="dxa"/>
              <w:right w:w="57" w:type="dxa"/>
            </w:tcMar>
            <w:vAlign w:val="center"/>
          </w:tcPr>
          <w:p w14:paraId="4FC1368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1.本项目标的名称为“</w:t>
            </w:r>
            <w:r>
              <w:rPr>
                <w:rFonts w:hint="eastAsia"/>
                <w:color w:val="auto"/>
                <w:highlight w:val="none"/>
                <w:lang w:eastAsia="zh-CN"/>
              </w:rPr>
              <w:t>羊头镇龙山村水渠三面光工程</w:t>
            </w:r>
            <w:r>
              <w:rPr>
                <w:rFonts w:hint="eastAsia"/>
                <w:color w:val="auto"/>
                <w:highlight w:val="none"/>
                <w:lang w:val="en-US" w:eastAsia="zh-CN"/>
              </w:rPr>
              <w:t>”，所属行业为“建筑业”。</w:t>
            </w:r>
          </w:p>
          <w:p w14:paraId="6037F286">
            <w:pPr>
              <w:pStyle w:val="2"/>
              <w:numPr>
                <w:ilvl w:val="0"/>
                <w:numId w:val="0"/>
              </w:numPr>
              <w:rPr>
                <w:rFonts w:hint="default"/>
                <w:color w:val="auto"/>
                <w:highlight w:val="none"/>
                <w:lang w:val="en-US" w:eastAsia="zh-CN"/>
              </w:rPr>
            </w:pPr>
            <w:r>
              <w:rPr>
                <w:rFonts w:hint="eastAsia"/>
                <w:color w:val="auto"/>
                <w:highlight w:val="none"/>
                <w:lang w:val="en-US" w:eastAsia="zh-CN"/>
              </w:rPr>
              <w:t>2.本项目设计单位：中水华创国际工程设计顾问有限公司</w:t>
            </w:r>
            <w:r>
              <w:rPr>
                <w:rFonts w:hint="eastAsia"/>
                <w:color w:val="auto"/>
                <w:highlight w:val="none"/>
                <w:lang w:val="en-US" w:eastAsia="zh-CN"/>
              </w:rPr>
              <w:t>。</w:t>
            </w:r>
          </w:p>
        </w:tc>
      </w:tr>
    </w:tbl>
    <w:p w14:paraId="1793C06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8"/>
          <w:szCs w:val="28"/>
          <w:highlight w:val="none"/>
          <w:lang w:eastAsia="zh-CN"/>
        </w:rPr>
        <w:t>磋商供应商</w:t>
      </w:r>
      <w:r>
        <w:rPr>
          <w:rFonts w:hint="eastAsia" w:ascii="宋体" w:hAnsi="宋体" w:eastAsia="宋体" w:cs="宋体"/>
          <w:b/>
          <w:color w:val="auto"/>
          <w:sz w:val="28"/>
          <w:szCs w:val="28"/>
          <w:highlight w:val="none"/>
        </w:rPr>
        <w:t>须知</w:t>
      </w:r>
      <w:bookmarkStart w:id="46" w:name="_Toc459103898"/>
      <w:r>
        <w:rPr>
          <w:rFonts w:hint="eastAsia" w:ascii="宋体" w:hAnsi="宋体" w:eastAsia="宋体" w:cs="宋体"/>
          <w:b/>
          <w:color w:val="auto"/>
          <w:sz w:val="28"/>
          <w:szCs w:val="28"/>
          <w:highlight w:val="none"/>
          <w:lang w:val="en-US" w:eastAsia="zh-CN"/>
        </w:rPr>
        <w:t>正文</w:t>
      </w:r>
    </w:p>
    <w:p w14:paraId="30C35D86">
      <w:pPr>
        <w:pStyle w:val="4"/>
        <w:spacing w:before="0" w:after="0" w:line="360" w:lineRule="auto"/>
        <w:outlineLvl w:val="9"/>
        <w:rPr>
          <w:rFonts w:hint="eastAsia" w:ascii="宋体" w:hAnsi="宋体" w:eastAsia="宋体" w:cs="宋体"/>
          <w:color w:val="auto"/>
          <w:sz w:val="21"/>
          <w:szCs w:val="21"/>
          <w:highlight w:val="none"/>
        </w:rPr>
      </w:pPr>
    </w:p>
    <w:p w14:paraId="36160E1F">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bookmarkEnd w:id="46"/>
    </w:p>
    <w:p w14:paraId="36ABE107">
      <w:pPr>
        <w:spacing w:line="360" w:lineRule="auto"/>
        <w:ind w:left="1862" w:right="-192" w:hanging="1862" w:hangingChars="883"/>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1、项目名称：</w:t>
      </w:r>
      <w:r>
        <w:rPr>
          <w:rFonts w:hint="eastAsia" w:ascii="宋体" w:hAnsi="宋体" w:eastAsia="宋体" w:cs="宋体"/>
          <w:color w:val="auto"/>
          <w:sz w:val="21"/>
          <w:szCs w:val="21"/>
          <w:highlight w:val="none"/>
          <w:lang w:val="en-US" w:eastAsia="zh-CN"/>
        </w:rPr>
        <w:t>详见“磋商供应商须知前附表”。</w:t>
      </w:r>
    </w:p>
    <w:p w14:paraId="374E2BB2">
      <w:pPr>
        <w:spacing w:line="360" w:lineRule="auto"/>
        <w:ind w:firstLine="316"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lang w:val="en-US" w:eastAsia="zh-CN"/>
        </w:rPr>
        <w:t>详见“磋商供应商须知前附表”。</w:t>
      </w:r>
    </w:p>
    <w:p w14:paraId="2C73F50A">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资质要求：</w:t>
      </w:r>
    </w:p>
    <w:p w14:paraId="4AE9AA4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2.1资质要求：</w:t>
      </w:r>
      <w:r>
        <w:rPr>
          <w:rFonts w:hint="eastAsia" w:ascii="宋体" w:hAnsi="宋体" w:eastAsia="宋体" w:cs="宋体"/>
          <w:color w:val="auto"/>
          <w:sz w:val="21"/>
          <w:szCs w:val="21"/>
          <w:highlight w:val="none"/>
          <w:lang w:val="en-US" w:eastAsia="zh-CN"/>
        </w:rPr>
        <w:t>详见“磋商供应商须知前附表”。</w:t>
      </w:r>
    </w:p>
    <w:p w14:paraId="7CD17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及履约中应承担的全部责任与义务。</w:t>
      </w:r>
    </w:p>
    <w:p w14:paraId="0DCE3F97">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3、磋商费用</w:t>
      </w:r>
    </w:p>
    <w:p w14:paraId="429F8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应自行承担所有与本次磋商有关的全部费用。</w:t>
      </w:r>
    </w:p>
    <w:p w14:paraId="69ACCAF5">
      <w:pPr>
        <w:pStyle w:val="4"/>
        <w:spacing w:before="0" w:after="0" w:line="360" w:lineRule="auto"/>
        <w:outlineLvl w:val="9"/>
        <w:rPr>
          <w:rFonts w:hint="eastAsia" w:ascii="宋体" w:hAnsi="宋体" w:eastAsia="宋体" w:cs="宋体"/>
          <w:color w:val="auto"/>
          <w:sz w:val="21"/>
          <w:szCs w:val="21"/>
          <w:highlight w:val="none"/>
        </w:rPr>
      </w:pPr>
      <w:bookmarkStart w:id="47" w:name="_Toc459103899"/>
    </w:p>
    <w:p w14:paraId="50E25AEC">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w:t>
      </w:r>
      <w:bookmarkEnd w:id="47"/>
      <w:r>
        <w:rPr>
          <w:rFonts w:hint="eastAsia" w:ascii="宋体" w:hAnsi="宋体" w:eastAsia="宋体" w:cs="宋体"/>
          <w:color w:val="auto"/>
          <w:sz w:val="28"/>
          <w:szCs w:val="28"/>
          <w:highlight w:val="none"/>
          <w:lang w:eastAsia="zh-CN"/>
        </w:rPr>
        <w:t>《竞争性磋商文件》</w:t>
      </w:r>
    </w:p>
    <w:p w14:paraId="57E1411B">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《竞争性磋商文件》</w:t>
      </w:r>
      <w:r>
        <w:rPr>
          <w:rFonts w:hint="eastAsia" w:ascii="宋体" w:hAnsi="宋体" w:eastAsia="宋体" w:cs="宋体"/>
          <w:b/>
          <w:bCs/>
          <w:color w:val="auto"/>
          <w:sz w:val="21"/>
          <w:szCs w:val="21"/>
          <w:highlight w:val="none"/>
        </w:rPr>
        <w:t>的构成</w:t>
      </w:r>
    </w:p>
    <w:p w14:paraId="189E1F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4.1磋商文件包括：</w:t>
      </w:r>
    </w:p>
    <w:p w14:paraId="6173850C">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（1）竞争性磋商公告</w:t>
      </w:r>
    </w:p>
    <w:p w14:paraId="76C5A624">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须知及前附表</w:t>
      </w:r>
    </w:p>
    <w:p w14:paraId="6C56A4BA">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（3）合同条款及格式</w:t>
      </w:r>
    </w:p>
    <w:p w14:paraId="0A07D948">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工程量清单</w:t>
      </w:r>
    </w:p>
    <w:p w14:paraId="0F18E42F">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（5）图纸</w:t>
      </w:r>
    </w:p>
    <w:p w14:paraId="247BF1E9">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技术标准和要求</w:t>
      </w:r>
    </w:p>
    <w:p w14:paraId="08B15E6E">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p>
    <w:p w14:paraId="7334AB68">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（8）评标办法</w:t>
      </w:r>
    </w:p>
    <w:p w14:paraId="75B4411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《竞争性磋商文件》</w:t>
      </w:r>
      <w:r>
        <w:rPr>
          <w:rFonts w:hint="eastAsia" w:ascii="宋体" w:hAnsi="宋体" w:eastAsia="宋体" w:cs="宋体"/>
          <w:b/>
          <w:bCs/>
          <w:color w:val="auto"/>
          <w:sz w:val="21"/>
          <w:szCs w:val="21"/>
          <w:highlight w:val="none"/>
        </w:rPr>
        <w:t>的澄清和修改</w:t>
      </w:r>
    </w:p>
    <w:p w14:paraId="584423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并以书面形式通知所有接收磋商文件的供应商，不足5日的，应当顺延首次响应文件递交截止时间。</w:t>
      </w:r>
    </w:p>
    <w:p w14:paraId="1BAE0E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5.2澄清或者修改的内容为磋商文件的组成部分。当澄清或者修改通知就同一内容的表述不一致时，以最后发出的书面文件为准。</w:t>
      </w:r>
    </w:p>
    <w:p w14:paraId="6F0346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5.3磋商文件的澄清或者修改都应该通过本项目采购代理机构以法定形式发布，采购人非通过本机构，不得擅自澄清或者修改磋商文件。</w:t>
      </w:r>
    </w:p>
    <w:p w14:paraId="5560B7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5.4采购代理机构可以视采购具体情况，延长首次响应文件递交截止时间和磋商时间，并将变更时间书面通知所有购买磋商文件收受人，在本项目竞争性磋商公告发布的同一媒体上发布变更公告。</w:t>
      </w:r>
    </w:p>
    <w:p w14:paraId="03BBA7FF">
      <w:pPr>
        <w:spacing w:line="360" w:lineRule="auto"/>
        <w:rPr>
          <w:rFonts w:hint="eastAsia" w:ascii="宋体" w:hAnsi="宋体" w:eastAsia="宋体" w:cs="宋体"/>
          <w:color w:val="auto"/>
          <w:sz w:val="21"/>
          <w:szCs w:val="21"/>
          <w:highlight w:val="none"/>
        </w:rPr>
      </w:pPr>
    </w:p>
    <w:p w14:paraId="417F5190">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48" w:name="_Toc459103900"/>
      <w:r>
        <w:rPr>
          <w:rFonts w:hint="eastAsia" w:ascii="宋体" w:hAnsi="宋体" w:eastAsia="宋体" w:cs="宋体"/>
          <w:color w:val="auto"/>
          <w:sz w:val="28"/>
          <w:szCs w:val="28"/>
          <w:highlight w:val="none"/>
        </w:rPr>
        <w:t>三、磋商报价说明</w:t>
      </w:r>
      <w:bookmarkEnd w:id="48"/>
    </w:p>
    <w:p w14:paraId="17F0FB1A">
      <w:pPr>
        <w:pStyle w:val="13"/>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6、磋商</w:t>
      </w:r>
      <w:r>
        <w:rPr>
          <w:rFonts w:hint="eastAsia" w:ascii="宋体" w:hAnsi="宋体" w:eastAsia="宋体" w:cs="宋体"/>
          <w:b/>
          <w:color w:val="auto"/>
          <w:sz w:val="21"/>
          <w:szCs w:val="21"/>
          <w:highlight w:val="none"/>
          <w:lang w:val="en-US" w:eastAsia="zh-CN"/>
        </w:rPr>
        <w:t>报价</w:t>
      </w:r>
    </w:p>
    <w:p w14:paraId="4C01896E">
      <w:pPr>
        <w:pStyle w:val="13"/>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6.1磋商报价：本项目磋商报价不允许超过采购上限控制价</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3C9ABCC7">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14:paraId="1D4A3FB8">
      <w:pPr>
        <w:pStyle w:val="13"/>
        <w:tabs>
          <w:tab w:val="left" w:pos="284"/>
        </w:tabs>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6.2 </w:t>
      </w:r>
      <w:r>
        <w:rPr>
          <w:rFonts w:hint="eastAsia" w:ascii="宋体" w:hAnsi="宋体" w:eastAsia="宋体" w:cs="宋体"/>
          <w:color w:val="auto"/>
          <w:sz w:val="21"/>
          <w:szCs w:val="21"/>
          <w:highlight w:val="none"/>
        </w:rPr>
        <w:t>承包方式：</w:t>
      </w:r>
      <w:r>
        <w:rPr>
          <w:rFonts w:hint="eastAsia" w:ascii="宋体" w:hAnsi="宋体" w:eastAsia="宋体" w:cs="宋体"/>
          <w:bCs/>
          <w:color w:val="auto"/>
          <w:sz w:val="21"/>
          <w:szCs w:val="21"/>
          <w:highlight w:val="none"/>
        </w:rPr>
        <w:t>　</w:t>
      </w:r>
      <w:r>
        <w:rPr>
          <w:rFonts w:hint="eastAsia" w:ascii="宋体" w:hAnsi="宋体" w:eastAsia="宋体" w:cs="宋体"/>
          <w:b/>
          <w:color w:val="auto"/>
          <w:sz w:val="21"/>
          <w:szCs w:val="21"/>
          <w:highlight w:val="none"/>
        </w:rPr>
        <w:t xml:space="preserve"> </w:t>
      </w:r>
    </w:p>
    <w:p w14:paraId="544A34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6.2.1 </w:t>
      </w:r>
      <w:r>
        <w:rPr>
          <w:rFonts w:hint="eastAsia" w:ascii="宋体" w:hAnsi="宋体" w:eastAsia="宋体" w:cs="宋体"/>
          <w:color w:val="auto"/>
          <w:sz w:val="21"/>
          <w:szCs w:val="21"/>
          <w:highlight w:val="none"/>
        </w:rPr>
        <w:t>本合同价款采用固定综合单价方式。</w:t>
      </w:r>
    </w:p>
    <w:p w14:paraId="51CD126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6.2.2 </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应按照采购人提供的工程量清单进行报价并对自己所填写的项目编码、项目名称、计量单位、工程数量负责。评标时，投标人已标价工程量清单的项目编码（12位）、计量单位、工程量任何一处与招标工程量清单不一致的，视为不响应竞争性</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文件实质性内容，作废标处理</w:t>
      </w:r>
      <w:r>
        <w:rPr>
          <w:rFonts w:hint="eastAsia" w:ascii="宋体" w:hAnsi="宋体" w:cs="宋体"/>
          <w:b/>
          <w:bCs/>
          <w:color w:val="auto"/>
          <w:sz w:val="21"/>
          <w:szCs w:val="21"/>
          <w:highlight w:val="none"/>
          <w:lang w:eastAsia="zh-CN"/>
        </w:rPr>
        <w:t>；</w:t>
      </w:r>
      <w:r>
        <w:rPr>
          <w:rStyle w:val="25"/>
          <w:rFonts w:ascii="宋体" w:hAnsi="宋体" w:eastAsia="宋体" w:cs="宋体"/>
          <w:b/>
          <w:bCs/>
          <w:color w:val="auto"/>
          <w:sz w:val="21"/>
          <w:highlight w:val="none"/>
        </w:rPr>
        <w:t>投标人已标价工程量清单的项目名称或项目特征与招标工程量清单不一致，</w:t>
      </w:r>
      <w:r>
        <w:rPr>
          <w:rStyle w:val="25"/>
          <w:rFonts w:hint="eastAsia" w:ascii="宋体" w:hAnsi="宋体" w:eastAsia="宋体" w:cs="宋体"/>
          <w:b/>
          <w:bCs/>
          <w:color w:val="auto"/>
          <w:sz w:val="21"/>
          <w:highlight w:val="none"/>
          <w:lang w:val="en-US" w:eastAsia="zh-CN"/>
        </w:rPr>
        <w:t>磋商小组</w:t>
      </w:r>
      <w:r>
        <w:rPr>
          <w:rStyle w:val="25"/>
          <w:rFonts w:ascii="宋体" w:hAnsi="宋体" w:eastAsia="宋体" w:cs="宋体"/>
          <w:b/>
          <w:bCs/>
          <w:color w:val="auto"/>
          <w:sz w:val="21"/>
          <w:highlight w:val="none"/>
        </w:rPr>
        <w:t>要求澄清、说明或补正，但投标人拒绝澄清、说明或补正的</w:t>
      </w:r>
      <w:r>
        <w:rPr>
          <w:rStyle w:val="25"/>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szCs w:val="21"/>
          <w:highlight w:val="none"/>
        </w:rPr>
        <w:t>视为不响应竞争性</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文件实质性内容，作废标处理</w:t>
      </w:r>
      <w:r>
        <w:rPr>
          <w:rFonts w:hint="eastAsia" w:ascii="宋体" w:hAnsi="宋体" w:cs="宋体"/>
          <w:b w:val="0"/>
          <w:bCs/>
          <w:color w:val="auto"/>
          <w:sz w:val="21"/>
          <w:szCs w:val="21"/>
          <w:highlight w:val="none"/>
          <w:lang w:eastAsia="zh-CN"/>
        </w:rPr>
        <w:t>。</w:t>
      </w:r>
    </w:p>
    <w:p w14:paraId="2B3D5A04">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 磋商货币：</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报价中的单价和合价全部采用人民币表示。</w:t>
      </w:r>
    </w:p>
    <w:p w14:paraId="757DC6F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14:paraId="23B1BD43">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 w:val="0"/>
          <w:color w:val="auto"/>
          <w:sz w:val="28"/>
          <w:szCs w:val="28"/>
          <w:highlight w:val="none"/>
        </w:rPr>
        <w:t xml:space="preserve">  </w:t>
      </w:r>
      <w:bookmarkStart w:id="49" w:name="_Toc459103901"/>
      <w:r>
        <w:rPr>
          <w:rFonts w:hint="eastAsia" w:ascii="宋体" w:hAnsi="宋体" w:eastAsia="宋体" w:cs="宋体"/>
          <w:color w:val="auto"/>
          <w:sz w:val="28"/>
          <w:szCs w:val="28"/>
          <w:highlight w:val="none"/>
        </w:rPr>
        <w:t>四、</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的编制格式</w:t>
      </w:r>
      <w:bookmarkEnd w:id="49"/>
    </w:p>
    <w:p w14:paraId="278F918C">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的语言</w:t>
      </w:r>
    </w:p>
    <w:p w14:paraId="7571574B">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及</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与采购人之间与磋商有关的来往通知、函件和文件均应使用中文。</w:t>
      </w:r>
    </w:p>
    <w:p w14:paraId="093EB021">
      <w:pPr>
        <w:pStyle w:val="13"/>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的组成</w:t>
      </w:r>
    </w:p>
    <w:p w14:paraId="3995F002">
      <w:pPr>
        <w:pStyle w:val="13"/>
        <w:tabs>
          <w:tab w:val="left" w:pos="426"/>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应包括下列内容：</w:t>
      </w:r>
    </w:p>
    <w:p w14:paraId="2A4E2270">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8.1.1</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证明文件：</w:t>
      </w:r>
    </w:p>
    <w:p w14:paraId="27E78759">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（1）贺州市平桂区政府采购供应商信用承诺函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 xml:space="preserve">； </w:t>
      </w:r>
    </w:p>
    <w:p w14:paraId="568E3439">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（2）竞标人基本情况表（附磋商供应商有效的营业执照副本、资质证书副本、安全生产许可证副本的复印件）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 xml:space="preserve">； </w:t>
      </w:r>
    </w:p>
    <w:p w14:paraId="3262952E">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14:paraId="3D8ACB24">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（4）法定代表人授权委托书原件和委托代理人身份证复印件</w:t>
      </w:r>
      <w:r>
        <w:rPr>
          <w:rFonts w:hint="eastAsia" w:ascii="宋体" w:hAnsi="宋体" w:eastAsia="宋体" w:cs="宋体"/>
          <w:b/>
          <w:bCs/>
          <w:color w:val="auto"/>
          <w:sz w:val="21"/>
          <w:szCs w:val="21"/>
          <w:highlight w:val="none"/>
        </w:rPr>
        <w:t>（委托代理时必须提供</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val="0"/>
          <w:bCs w:val="0"/>
          <w:color w:val="auto"/>
          <w:sz w:val="21"/>
          <w:szCs w:val="21"/>
          <w:highlight w:val="none"/>
        </w:rPr>
        <w:t>；</w:t>
      </w:r>
    </w:p>
    <w:p w14:paraId="3780AEB9">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）拟投入本项目的项目经理有效的注册建造师证书及安全生产考核合格证书（B类）复印件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14:paraId="1B5B325E">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14:paraId="336B6F06">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14:paraId="2DB49C36">
      <w:pPr>
        <w:pStyle w:val="13"/>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）磋商供应商认为必要提供的声明及其它资料。</w:t>
      </w:r>
    </w:p>
    <w:p w14:paraId="7FFD7041">
      <w:pPr>
        <w:pStyle w:val="13"/>
        <w:spacing w:line="360" w:lineRule="auto"/>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rPr>
        <w:t>注：</w:t>
      </w:r>
      <w:r>
        <w:rPr>
          <w:rFonts w:hint="eastAsia" w:hAnsi="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hAnsi="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hAnsi="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lang w:val="en-US" w:eastAsia="zh-CN"/>
        </w:rPr>
        <w:t>以上材料</w:t>
      </w:r>
      <w:r>
        <w:rPr>
          <w:rFonts w:hint="eastAsia" w:hAnsi="宋体" w:cs="宋体"/>
          <w:b/>
          <w:color w:val="auto"/>
          <w:sz w:val="21"/>
          <w:szCs w:val="21"/>
          <w:highlight w:val="none"/>
          <w:u w:val="single"/>
          <w:lang w:val="en-US" w:eastAsia="zh-CN"/>
        </w:rPr>
        <w:t>必须</w:t>
      </w:r>
      <w:r>
        <w:rPr>
          <w:rFonts w:hint="eastAsia" w:ascii="宋体" w:hAnsi="宋体" w:eastAsia="宋体" w:cs="宋体"/>
          <w:b/>
          <w:color w:val="auto"/>
          <w:sz w:val="21"/>
          <w:szCs w:val="21"/>
          <w:highlight w:val="none"/>
          <w:u w:val="single"/>
          <w:lang w:val="en-US" w:eastAsia="zh-CN"/>
        </w:rPr>
        <w:t>加盖供应商公章，否则响应文件按无效响应处理</w:t>
      </w:r>
      <w:r>
        <w:rPr>
          <w:rFonts w:hint="eastAsia" w:hAnsi="宋体" w:cs="宋体"/>
          <w:b/>
          <w:color w:val="auto"/>
          <w:szCs w:val="21"/>
          <w:highlight w:val="none"/>
          <w:lang w:eastAsia="zh-CN"/>
        </w:rPr>
        <w:t>。</w:t>
      </w:r>
    </w:p>
    <w:p w14:paraId="69852DFC">
      <w:pPr>
        <w:pStyle w:val="13"/>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8.1.2报价文件</w:t>
      </w:r>
    </w:p>
    <w:p w14:paraId="6A70E107">
      <w:pPr>
        <w:pStyle w:val="41"/>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（1）磋商函</w:t>
      </w:r>
      <w:r>
        <w:rPr>
          <w:rFonts w:hint="eastAsia" w:hAnsi="宋体" w:cs="宋体"/>
          <w:bCs/>
          <w:color w:val="auto"/>
          <w:kern w:val="2"/>
          <w:sz w:val="21"/>
          <w:szCs w:val="21"/>
          <w:highlight w:val="none"/>
          <w:lang w:val="en-US" w:eastAsia="zh-CN" w:bidi="ar-SA"/>
        </w:rPr>
        <w:t>及磋商函附录</w:t>
      </w:r>
      <w:r>
        <w:rPr>
          <w:rFonts w:hint="eastAsia" w:ascii="宋体" w:hAnsi="宋体" w:eastAsia="宋体" w:cs="宋体"/>
          <w:b/>
          <w:bCs/>
          <w:color w:val="auto"/>
          <w:sz w:val="21"/>
          <w:szCs w:val="21"/>
          <w:highlight w:val="none"/>
        </w:rPr>
        <w:t>（必须提供，否则响应文件按无效响应处理）</w:t>
      </w:r>
      <w:r>
        <w:rPr>
          <w:rFonts w:hint="eastAsia" w:hAnsi="宋体" w:cs="宋体"/>
          <w:bCs/>
          <w:color w:val="auto"/>
          <w:kern w:val="2"/>
          <w:sz w:val="21"/>
          <w:szCs w:val="21"/>
          <w:highlight w:val="none"/>
          <w:lang w:val="en-US" w:eastAsia="zh-CN" w:bidi="ar-SA"/>
        </w:rPr>
        <w:t>；</w:t>
      </w:r>
    </w:p>
    <w:p w14:paraId="3249AA9A">
      <w:pPr>
        <w:pStyle w:val="41"/>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w:t>
      </w:r>
      <w:r>
        <w:rPr>
          <w:rFonts w:hint="eastAsia"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）已标价工程量清单</w:t>
      </w:r>
      <w:r>
        <w:rPr>
          <w:rFonts w:hint="eastAsia" w:ascii="宋体" w:hAnsi="宋体" w:eastAsia="宋体" w:cs="宋体"/>
          <w:b/>
          <w:bCs/>
          <w:color w:val="auto"/>
          <w:sz w:val="21"/>
          <w:szCs w:val="21"/>
          <w:highlight w:val="none"/>
        </w:rPr>
        <w:t>（必须提供，否则响应文件按无效响应处理）</w:t>
      </w:r>
      <w:r>
        <w:rPr>
          <w:rFonts w:hint="eastAsia" w:hAnsi="宋体" w:cs="宋体"/>
          <w:bCs/>
          <w:color w:val="auto"/>
          <w:kern w:val="2"/>
          <w:sz w:val="21"/>
          <w:szCs w:val="21"/>
          <w:highlight w:val="none"/>
          <w:lang w:val="en-US" w:eastAsia="zh-CN" w:bidi="ar-SA"/>
        </w:rPr>
        <w:t>。</w:t>
      </w:r>
    </w:p>
    <w:p w14:paraId="53EC7F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w:t>
      </w:r>
      <w:r>
        <w:rPr>
          <w:rFonts w:hint="eastAsia" w:hAnsi="宋体" w:cs="宋体"/>
          <w:b/>
          <w:color w:val="auto"/>
          <w:sz w:val="21"/>
          <w:szCs w:val="21"/>
          <w:highlight w:val="none"/>
          <w:u w:val="single"/>
          <w:lang w:val="en-US" w:eastAsia="zh-CN"/>
        </w:rPr>
        <w:t>必须</w:t>
      </w:r>
      <w:r>
        <w:rPr>
          <w:rFonts w:hint="eastAsia" w:ascii="宋体" w:hAnsi="宋体" w:eastAsia="宋体" w:cs="宋体"/>
          <w:b/>
          <w:color w:val="auto"/>
          <w:sz w:val="21"/>
          <w:szCs w:val="21"/>
          <w:highlight w:val="none"/>
          <w:u w:val="single"/>
          <w:lang w:val="en-US" w:eastAsia="zh-CN"/>
        </w:rPr>
        <w:t>加盖供应商公章，否则响应文件按无效响应处理</w:t>
      </w:r>
      <w:r>
        <w:rPr>
          <w:rFonts w:hint="eastAsia" w:ascii="宋体" w:hAnsi="宋体" w:cs="宋体"/>
          <w:b/>
          <w:color w:val="auto"/>
          <w:sz w:val="21"/>
          <w:szCs w:val="21"/>
          <w:highlight w:val="none"/>
          <w:u w:val="single"/>
          <w:lang w:val="en-US" w:eastAsia="zh-CN"/>
        </w:rPr>
        <w:t>。</w:t>
      </w:r>
    </w:p>
    <w:p w14:paraId="61BAD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8.1.3商务技术文件</w:t>
      </w:r>
    </w:p>
    <w:p w14:paraId="12EB3C7C">
      <w:pPr>
        <w:pStyle w:val="13"/>
        <w:spacing w:line="360" w:lineRule="auto"/>
        <w:ind w:firstLine="420" w:firstLineChars="200"/>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主要管理人员表</w:t>
      </w:r>
      <w:r>
        <w:rPr>
          <w:rFonts w:hint="eastAsia" w:ascii="宋体" w:hAnsi="宋体" w:eastAsia="宋体" w:cs="宋体"/>
          <w:b/>
          <w:bCs/>
          <w:color w:val="auto"/>
          <w:sz w:val="21"/>
          <w:szCs w:val="21"/>
          <w:highlight w:val="none"/>
        </w:rPr>
        <w:t>（必须提供，否则响应文件按无效响应处理）</w:t>
      </w:r>
      <w:r>
        <w:rPr>
          <w:rFonts w:hint="eastAsia" w:hAnsi="宋体" w:cs="宋体"/>
          <w:bCs/>
          <w:color w:val="auto"/>
          <w:sz w:val="21"/>
          <w:szCs w:val="21"/>
          <w:highlight w:val="none"/>
          <w:lang w:val="en-US" w:eastAsia="zh-CN"/>
        </w:rPr>
        <w:t>；</w:t>
      </w:r>
    </w:p>
    <w:p w14:paraId="4E34446A">
      <w:pPr>
        <w:pStyle w:val="13"/>
        <w:spacing w:line="360" w:lineRule="auto"/>
        <w:ind w:firstLine="420" w:firstLineChars="200"/>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施工组织设计</w:t>
      </w:r>
      <w:r>
        <w:rPr>
          <w:rFonts w:hint="eastAsia" w:hAnsi="宋体" w:cs="宋体"/>
          <w:bCs/>
          <w:color w:val="auto"/>
          <w:sz w:val="21"/>
          <w:szCs w:val="21"/>
          <w:highlight w:val="none"/>
          <w:lang w:eastAsia="zh-CN"/>
        </w:rPr>
        <w:t>；</w:t>
      </w:r>
    </w:p>
    <w:p w14:paraId="58A1433C">
      <w:pPr>
        <w:pStyle w:val="13"/>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业绩（如有）</w:t>
      </w:r>
      <w:r>
        <w:rPr>
          <w:rFonts w:hint="eastAsia" w:hAnsi="宋体" w:cs="宋体"/>
          <w:bCs/>
          <w:color w:val="auto"/>
          <w:sz w:val="21"/>
          <w:szCs w:val="21"/>
          <w:highlight w:val="none"/>
          <w:lang w:val="en-US" w:eastAsia="zh-CN"/>
        </w:rPr>
        <w:t>；</w:t>
      </w:r>
    </w:p>
    <w:p w14:paraId="63C4B749">
      <w:pPr>
        <w:pStyle w:val="13"/>
        <w:spacing w:line="360" w:lineRule="auto"/>
        <w:ind w:firstLine="420" w:firstLineChars="200"/>
        <w:rPr>
          <w:rFonts w:hint="eastAsia" w:hAnsi="宋体" w:cs="宋体"/>
          <w:bCs/>
          <w:color w:val="auto"/>
          <w:sz w:val="21"/>
          <w:szCs w:val="21"/>
          <w:highlight w:val="none"/>
          <w:lang w:eastAsia="zh-CN"/>
        </w:rPr>
      </w:pPr>
      <w:r>
        <w:rPr>
          <w:rFonts w:hint="eastAsia" w:hAnsi="宋体" w:cs="宋体"/>
          <w:color w:val="auto"/>
          <w:highlight w:val="none"/>
          <w:lang w:eastAsia="zh-CN"/>
        </w:rPr>
        <w:t>（</w:t>
      </w:r>
      <w:r>
        <w:rPr>
          <w:rFonts w:hint="eastAsia" w:hAnsi="宋体" w:cs="宋体"/>
          <w:color w:val="auto"/>
          <w:highlight w:val="none"/>
          <w:lang w:val="en-US" w:eastAsia="zh-CN"/>
        </w:rPr>
        <w:t>4</w:t>
      </w:r>
      <w:r>
        <w:rPr>
          <w:rFonts w:hint="eastAsia" w:hAnsi="宋体" w:cs="宋体"/>
          <w:color w:val="auto"/>
          <w:highlight w:val="none"/>
          <w:lang w:eastAsia="zh-CN"/>
        </w:rPr>
        <w:t>）磋商保证金</w:t>
      </w:r>
      <w:r>
        <w:rPr>
          <w:rFonts w:hint="eastAsia" w:hAnsi="宋体" w:cs="宋体"/>
          <w:color w:val="auto"/>
          <w:highlight w:val="none"/>
          <w:lang w:val="en-US" w:eastAsia="zh-CN"/>
        </w:rPr>
        <w:t>缴纳凭证</w:t>
      </w:r>
      <w:r>
        <w:rPr>
          <w:rFonts w:hint="eastAsia" w:hAnsi="宋体" w:cs="宋体"/>
          <w:b/>
          <w:bCs/>
          <w:color w:val="auto"/>
          <w:highlight w:val="none"/>
          <w:lang w:eastAsia="zh-CN"/>
        </w:rPr>
        <w:t>（</w:t>
      </w:r>
      <w:r>
        <w:rPr>
          <w:rFonts w:hint="eastAsia" w:ascii="宋体" w:hAnsi="宋体" w:eastAsia="宋体" w:cs="宋体"/>
          <w:b/>
          <w:bCs/>
          <w:color w:val="auto"/>
          <w:sz w:val="21"/>
          <w:szCs w:val="21"/>
          <w:highlight w:val="none"/>
          <w:lang w:eastAsia="zh-CN"/>
        </w:rPr>
        <w:t>如要求提交投标保证金的则必须提供，否则按无效投标处理</w:t>
      </w:r>
      <w:r>
        <w:rPr>
          <w:rFonts w:hint="eastAsia" w:hAnsi="宋体" w:cs="宋体"/>
          <w:b/>
          <w:bCs/>
          <w:color w:val="auto"/>
          <w:highlight w:val="none"/>
          <w:lang w:eastAsia="zh-CN"/>
        </w:rPr>
        <w:t>）；</w:t>
      </w:r>
    </w:p>
    <w:p w14:paraId="6D564918">
      <w:pPr>
        <w:pStyle w:val="13"/>
        <w:spacing w:line="360" w:lineRule="auto"/>
        <w:ind w:firstLine="420" w:firstLineChars="200"/>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lang w:eastAsia="zh-CN"/>
        </w:rPr>
        <w:t>）</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认为必要提供的声明及其它资料</w:t>
      </w:r>
      <w:r>
        <w:rPr>
          <w:rFonts w:hint="eastAsia" w:hAnsi="宋体" w:cs="宋体"/>
          <w:color w:val="auto"/>
          <w:highlight w:val="none"/>
          <w:lang w:eastAsia="zh-CN"/>
        </w:rPr>
        <w:t>。</w:t>
      </w:r>
    </w:p>
    <w:p w14:paraId="22CBE1B6">
      <w:pPr>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w:t>
      </w:r>
      <w:r>
        <w:rPr>
          <w:rFonts w:hint="eastAsia" w:hAnsi="宋体" w:cs="宋体"/>
          <w:b/>
          <w:color w:val="auto"/>
          <w:sz w:val="21"/>
          <w:szCs w:val="21"/>
          <w:highlight w:val="none"/>
          <w:u w:val="single"/>
          <w:lang w:val="en-US" w:eastAsia="zh-CN"/>
        </w:rPr>
        <w:t>必须</w:t>
      </w:r>
      <w:r>
        <w:rPr>
          <w:rFonts w:hint="eastAsia" w:ascii="宋体" w:hAnsi="宋体" w:eastAsia="宋体" w:cs="宋体"/>
          <w:b/>
          <w:color w:val="auto"/>
          <w:sz w:val="21"/>
          <w:szCs w:val="21"/>
          <w:highlight w:val="none"/>
          <w:u w:val="single"/>
          <w:lang w:val="en-US" w:eastAsia="zh-CN"/>
        </w:rPr>
        <w:t>加盖供应商公章，否则响应文件按无效响应处理</w:t>
      </w:r>
      <w:r>
        <w:rPr>
          <w:rFonts w:hint="eastAsia" w:ascii="宋体" w:hAnsi="宋体" w:cs="宋体"/>
          <w:b/>
          <w:color w:val="auto"/>
          <w:sz w:val="21"/>
          <w:szCs w:val="21"/>
          <w:highlight w:val="none"/>
          <w:u w:val="single"/>
          <w:lang w:val="en-US" w:eastAsia="zh-CN"/>
        </w:rPr>
        <w:t>。</w:t>
      </w:r>
    </w:p>
    <w:p w14:paraId="1FB991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8.2 磋商单位应使用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bCs/>
          <w:color w:val="auto"/>
          <w:sz w:val="21"/>
          <w:szCs w:val="21"/>
          <w:highlight w:val="none"/>
        </w:rPr>
        <w:t>提供的格式，但表格可以按同样格式扩展，磋商保证金、履约保证金的方式按本须知有关条款的规定可以选择。</w:t>
      </w:r>
    </w:p>
    <w:p w14:paraId="5DBD9289">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9、磋商货币</w:t>
      </w:r>
    </w:p>
    <w:p w14:paraId="58C24E24">
      <w:pPr>
        <w:tabs>
          <w:tab w:val="left" w:pos="426"/>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9.1磋商应以人民币报价。</w:t>
      </w:r>
    </w:p>
    <w:p w14:paraId="0E1E8B87">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10、磋商的有效期</w:t>
      </w:r>
    </w:p>
    <w:p w14:paraId="7A34BD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从磋商截止日期后</w:t>
      </w:r>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rPr>
        <w:t>天内有效。</w:t>
      </w:r>
    </w:p>
    <w:p w14:paraId="712C0D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10．2在特殊情况下，采购代理机构可与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协商延长</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的有效期。</w:t>
      </w:r>
    </w:p>
    <w:p w14:paraId="7842AF95">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lang w:val="en-US" w:eastAsia="zh-CN"/>
        </w:rPr>
        <w:t>电子版的编制要求</w:t>
      </w:r>
    </w:p>
    <w:p w14:paraId="2C7C61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各供应商在编制响应文件时请按照磋商文件“第七章 响应文件（格式）”规定的格式进行，</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宋体" w:hAnsi="宋体" w:eastAsia="宋体" w:cs="宋体"/>
          <w:color w:val="auto"/>
          <w:sz w:val="21"/>
          <w:szCs w:val="21"/>
          <w:highlight w:val="none"/>
        </w:rPr>
        <w:t>。</w:t>
      </w:r>
    </w:p>
    <w:p w14:paraId="071574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本磋商只接受电子版响应文件，要求见本章前附表 “响应文件电子版要求”。</w:t>
      </w:r>
    </w:p>
    <w:p w14:paraId="16998F8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b/>
          <w:bCs/>
          <w:color w:val="auto"/>
          <w:sz w:val="21"/>
          <w:szCs w:val="21"/>
          <w:highlight w:val="none"/>
          <w:lang w:val="en-US" w:eastAsia="zh-CN"/>
        </w:rPr>
        <w:t>响应文件须由供应商在“第七章 响应文件（格式）”规定位置进行签署、盖章，否则其响应文件按无效响应处理</w:t>
      </w:r>
      <w:r>
        <w:rPr>
          <w:rFonts w:hint="eastAsia" w:ascii="宋体" w:hAnsi="宋体" w:eastAsia="宋体" w:cs="宋体"/>
          <w:color w:val="auto"/>
          <w:sz w:val="21"/>
          <w:szCs w:val="21"/>
          <w:highlight w:val="none"/>
          <w:lang w:val="en-US" w:eastAsia="zh-CN"/>
        </w:rPr>
        <w:t>。</w:t>
      </w:r>
    </w:p>
    <w:p w14:paraId="54AFD3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11.4</w:t>
      </w:r>
      <w:r>
        <w:rPr>
          <w:rFonts w:hint="eastAsia" w:ascii="宋体" w:hAnsi="宋体" w:eastAsia="宋体" w:cs="宋体"/>
          <w:bCs/>
          <w:color w:val="auto"/>
          <w:sz w:val="21"/>
          <w:szCs w:val="21"/>
          <w:highlight w:val="none"/>
          <w:lang w:val="en-US" w:eastAsia="zh-CN"/>
        </w:rPr>
        <w:t>响应文件中标注的供应商名称应与营业执照（事业单位法人证书、执业许可证、自然人身份证）公章一致，否则其响应文件按无效响应处理</w:t>
      </w:r>
      <w:r>
        <w:rPr>
          <w:rFonts w:hint="eastAsia" w:ascii="宋体" w:hAnsi="宋体" w:eastAsia="宋体" w:cs="宋体"/>
          <w:color w:val="auto"/>
          <w:sz w:val="21"/>
          <w:szCs w:val="21"/>
          <w:highlight w:val="none"/>
        </w:rPr>
        <w:t>。</w:t>
      </w:r>
    </w:p>
    <w:p w14:paraId="3247088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12、磋商保证金</w:t>
      </w:r>
    </w:p>
    <w:p w14:paraId="3F0D42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12.1磋商单位应按前附表第</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项规定数额、方式足额提交磋商保证金，此磋商保证金是</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的一个组成部分。</w:t>
      </w:r>
    </w:p>
    <w:p w14:paraId="28469B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12.2对于未能按要求提交磋商保证金的磋商，采购单位将视为不响应磋商而拒绝。</w:t>
      </w:r>
    </w:p>
    <w:p w14:paraId="11C13B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12.3未成交</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的磋商保证金，</w:t>
      </w:r>
      <w:r>
        <w:rPr>
          <w:rFonts w:hint="eastAsia" w:ascii="宋体" w:hAnsi="宋体" w:eastAsia="宋体" w:cs="宋体"/>
          <w:color w:val="auto"/>
          <w:sz w:val="21"/>
          <w:szCs w:val="21"/>
          <w:highlight w:val="none"/>
          <w:u w:val="none"/>
        </w:rPr>
        <w:t>将在成交通知书发出后</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个工作日内予以退还，不计利息。</w:t>
      </w:r>
    </w:p>
    <w:p w14:paraId="50691A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12.4成交</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按要求提交履约保证金并签署合同协议，</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合同协议</w:t>
      </w:r>
      <w:r>
        <w:rPr>
          <w:rFonts w:hint="eastAsia" w:ascii="宋体" w:hAnsi="宋体" w:eastAsia="宋体" w:cs="宋体"/>
          <w:color w:val="auto"/>
          <w:sz w:val="21"/>
          <w:szCs w:val="21"/>
          <w:highlight w:val="none"/>
          <w:lang w:val="en-US" w:eastAsia="zh-CN"/>
        </w:rPr>
        <w:t>提交1份至采购代理机构后</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个工作日内</w:t>
      </w:r>
      <w:r>
        <w:rPr>
          <w:rFonts w:hint="eastAsia" w:ascii="宋体" w:hAnsi="宋体" w:eastAsia="宋体" w:cs="宋体"/>
          <w:color w:val="auto"/>
          <w:sz w:val="21"/>
          <w:szCs w:val="21"/>
          <w:highlight w:val="none"/>
        </w:rPr>
        <w:t>将无息退还其磋商保证金。</w:t>
      </w:r>
    </w:p>
    <w:p w14:paraId="3E101F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12.5如</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 xml:space="preserve">有下列情况，将被没收磋商保证金：　　　  </w:t>
      </w:r>
    </w:p>
    <w:p w14:paraId="703FA1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在其磋商有效期内撤回其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34E94B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未能在规定期限内提交履约保证金或签署合同协议。</w:t>
      </w:r>
      <w:bookmarkStart w:id="50" w:name="_Toc459103902"/>
    </w:p>
    <w:p w14:paraId="6F24B014">
      <w:pPr>
        <w:pStyle w:val="41"/>
        <w:spacing w:line="360" w:lineRule="auto"/>
        <w:rPr>
          <w:rFonts w:hint="eastAsia" w:ascii="宋体" w:hAnsi="宋体" w:eastAsia="宋体" w:cs="宋体"/>
          <w:color w:val="auto"/>
          <w:sz w:val="21"/>
          <w:szCs w:val="21"/>
          <w:highlight w:val="none"/>
        </w:rPr>
      </w:pPr>
    </w:p>
    <w:p w14:paraId="53C110F5">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的递交</w:t>
      </w:r>
      <w:bookmarkEnd w:id="50"/>
    </w:p>
    <w:p w14:paraId="439BE98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的密封与标记</w:t>
      </w:r>
    </w:p>
    <w:p w14:paraId="6DA8B2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3.1供应商进行电子交易应安装客户端软件“</w:t>
      </w:r>
      <w:r>
        <w:rPr>
          <w:rFonts w:hint="eastAsia" w:ascii="宋体" w:hAnsi="宋体" w:eastAsia="宋体" w:cs="宋体"/>
          <w:color w:val="auto"/>
          <w:sz w:val="21"/>
          <w:szCs w:val="21"/>
          <w:highlight w:val="none"/>
        </w:rPr>
        <w:t>广西政府采购云平台客户端</w:t>
      </w:r>
      <w:r>
        <w:rPr>
          <w:rFonts w:hint="eastAsia" w:ascii="宋体" w:hAnsi="宋体" w:eastAsia="宋体" w:cs="宋体"/>
          <w:color w:val="auto"/>
          <w:sz w:val="21"/>
          <w:szCs w:val="21"/>
          <w:highlight w:val="none"/>
          <w:lang w:val="en-US" w:eastAsia="zh-CN"/>
        </w:rPr>
        <w:t>”，并按照磋商文件和电子交易平台的要求编制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加密</w:t>
      </w:r>
      <w:r>
        <w:rPr>
          <w:rFonts w:hint="eastAsia" w:ascii="宋体" w:hAnsi="宋体" w:cs="宋体"/>
          <w:color w:val="auto"/>
          <w:sz w:val="21"/>
          <w:szCs w:val="21"/>
          <w:highlight w:val="none"/>
          <w:lang w:val="en-US" w:eastAsia="zh-CN"/>
        </w:rPr>
        <w:t>、上传</w:t>
      </w:r>
      <w:r>
        <w:rPr>
          <w:rFonts w:hint="eastAsia" w:ascii="宋体" w:hAnsi="宋体" w:eastAsia="宋体" w:cs="宋体"/>
          <w:color w:val="auto"/>
          <w:sz w:val="21"/>
          <w:szCs w:val="21"/>
          <w:highlight w:val="none"/>
          <w:lang w:val="en-US" w:eastAsia="zh-CN"/>
        </w:rPr>
        <w:t>响应文件。供应商未按规定加密的响应文件，电子交易平台将拒收并提示</w:t>
      </w:r>
      <w:r>
        <w:rPr>
          <w:rFonts w:hint="eastAsia" w:ascii="宋体" w:hAnsi="宋体" w:eastAsia="宋体" w:cs="宋体"/>
          <w:color w:val="auto"/>
          <w:sz w:val="21"/>
          <w:szCs w:val="21"/>
          <w:highlight w:val="none"/>
        </w:rPr>
        <w:t>。</w:t>
      </w:r>
    </w:p>
    <w:p w14:paraId="394BEC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使用“</w:t>
      </w:r>
      <w:r>
        <w:rPr>
          <w:rFonts w:hint="eastAsia" w:ascii="宋体" w:hAnsi="宋体" w:eastAsia="宋体" w:cs="宋体"/>
          <w:color w:val="auto"/>
          <w:sz w:val="21"/>
          <w:szCs w:val="21"/>
          <w:highlight w:val="none"/>
        </w:rPr>
        <w:t>广西政府采购云平台客户端</w:t>
      </w:r>
      <w:r>
        <w:rPr>
          <w:rFonts w:hint="eastAsia" w:ascii="宋体" w:hAnsi="宋体" w:eastAsia="宋体" w:cs="宋体"/>
          <w:color w:val="auto"/>
          <w:sz w:val="21"/>
          <w:szCs w:val="21"/>
          <w:highlight w:val="none"/>
          <w:lang w:val="en-US" w:eastAsia="zh-CN"/>
        </w:rPr>
        <w:t>”需要提前申领 CA 数字证书，申领流程见本项目采购公告</w:t>
      </w:r>
      <w:r>
        <w:rPr>
          <w:rFonts w:hint="eastAsia" w:ascii="宋体" w:hAnsi="宋体" w:eastAsia="宋体" w:cs="宋体"/>
          <w:color w:val="auto"/>
          <w:sz w:val="21"/>
          <w:szCs w:val="21"/>
          <w:highlight w:val="none"/>
        </w:rPr>
        <w:t>。</w:t>
      </w:r>
    </w:p>
    <w:p w14:paraId="1931E9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3.3为确保网上操作合法、有效和安全，供应商应当在响应文件提交截止时间前完成在广西政府采购云平台的身份认证，确保在电子交易过程中能够对相关数据电文进行加密和使用电子签名。</w:t>
      </w:r>
    </w:p>
    <w:p w14:paraId="06B8560F">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、磋商截止时间  </w:t>
      </w:r>
    </w:p>
    <w:p w14:paraId="1DD3C1A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的递交不得迟于本须知前附表第</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项规定的截止时间。</w:t>
      </w:r>
    </w:p>
    <w:p w14:paraId="3398FE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必须在规定时间内将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送到本须知前附表第</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项规定地点，</w:t>
      </w:r>
      <w:r>
        <w:rPr>
          <w:rFonts w:hint="eastAsia" w:ascii="宋体" w:hAnsi="宋体" w:eastAsia="宋体" w:cs="宋体"/>
          <w:color w:val="auto"/>
          <w:sz w:val="21"/>
          <w:szCs w:val="21"/>
          <w:highlight w:val="none"/>
          <w:lang w:val="en-US" w:eastAsia="zh-CN"/>
        </w:rPr>
        <w:t>采购代理机构不可视情况延长提交响应文件的截止时间，</w:t>
      </w:r>
      <w:r>
        <w:rPr>
          <w:rFonts w:hint="eastAsia" w:ascii="宋体" w:hAnsi="宋体" w:eastAsia="宋体" w:cs="宋体"/>
          <w:color w:val="auto"/>
          <w:sz w:val="21"/>
          <w:szCs w:val="21"/>
          <w:highlight w:val="none"/>
        </w:rPr>
        <w:t>超过磋商截止时间送达的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将不予受理。</w:t>
      </w:r>
    </w:p>
    <w:p w14:paraId="5382F56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个工作日内退还其磋商保证金。在《响应文件》提交截止时间以后，不能补充、修改响应文件。截止时间后可向采购人、采购代理机构书面申请撤回电子响应文件，但</w:t>
      </w:r>
      <w:r>
        <w:rPr>
          <w:rFonts w:hint="eastAsia" w:ascii="宋体" w:hAnsi="宋体" w:eastAsia="宋体" w:cs="宋体"/>
          <w:color w:val="auto"/>
          <w:sz w:val="21"/>
          <w:szCs w:val="21"/>
          <w:highlight w:val="none"/>
        </w:rPr>
        <w:t>磋商保证金将被没收</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lang w:eastAsia="zh-CN"/>
        </w:rPr>
        <w:t>。</w:t>
      </w:r>
    </w:p>
    <w:p w14:paraId="386E89B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14:paraId="079AA66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14.5响应文件提交截止时间止提交响应文件的供应商不足 3 家时，电子响应文件由代理机构在广西政府采购云平台操作退回，除此之外采购人和采购代理机构对已提交的电子响应文件概不退回。</w:t>
      </w:r>
    </w:p>
    <w:p w14:paraId="1BB4229D">
      <w:pPr>
        <w:pStyle w:val="4"/>
        <w:spacing w:before="0" w:after="0" w:line="360" w:lineRule="auto"/>
        <w:outlineLvl w:val="9"/>
        <w:rPr>
          <w:rFonts w:hint="eastAsia" w:ascii="宋体" w:hAnsi="宋体" w:eastAsia="宋体" w:cs="宋体"/>
          <w:color w:val="auto"/>
          <w:sz w:val="21"/>
          <w:szCs w:val="21"/>
          <w:highlight w:val="none"/>
        </w:rPr>
      </w:pPr>
      <w:bookmarkStart w:id="51" w:name="_Toc459103903"/>
    </w:p>
    <w:p w14:paraId="0FAB3682">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六、竞争性磋商与评标</w:t>
      </w:r>
      <w:bookmarkEnd w:id="51"/>
    </w:p>
    <w:p w14:paraId="3CD2D700">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15.响应文件的开启</w:t>
      </w:r>
    </w:p>
    <w:p w14:paraId="556DF6E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15.1响应文件由磋商小组或者采购代理机构在“供应商须知前附表”规定的时间开启。</w:t>
      </w:r>
    </w:p>
    <w:p w14:paraId="53964B59">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15.2响应文件解密</w:t>
      </w:r>
    </w:p>
    <w:p w14:paraId="2687CC5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采购代理机构将在“供应商须知前附表”规定的时间通过电子交易平台组织响应文件开启，</w:t>
      </w:r>
      <w:r>
        <w:rPr>
          <w:rFonts w:hint="eastAsia" w:ascii="宋体" w:hAnsi="宋体" w:cs="宋体"/>
          <w:color w:val="auto"/>
          <w:szCs w:val="21"/>
          <w:highlight w:val="none"/>
        </w:rPr>
        <w:t>响应文件开启后，</w:t>
      </w:r>
      <w:r>
        <w:rPr>
          <w:rFonts w:hint="eastAsia" w:ascii="宋体" w:hAnsi="宋体" w:eastAsia="宋体" w:cs="宋体"/>
          <w:color w:val="auto"/>
          <w:sz w:val="21"/>
          <w:szCs w:val="21"/>
          <w:highlight w:val="none"/>
          <w:lang w:val="en-US" w:eastAsia="zh-CN"/>
        </w:rPr>
        <w:t>采购机构依托电子交易平台发起【开始解密】指令，供应商的法定代表人或其委托代理人须携带加密时所用的 CA 锁按平台提示和采购文件的规定登录到广西政府采购云平台电子开标大厅签到</w:t>
      </w:r>
      <w:r>
        <w:rPr>
          <w:rFonts w:hint="eastAsia" w:ascii="宋体" w:hAnsi="宋体" w:cs="宋体"/>
          <w:color w:val="auto"/>
          <w:sz w:val="21"/>
          <w:szCs w:val="21"/>
          <w:highlight w:val="none"/>
          <w:lang w:val="en-US" w:eastAsia="zh-CN"/>
        </w:rPr>
        <w:t>并</w:t>
      </w:r>
      <w:r>
        <w:rPr>
          <w:rFonts w:hint="eastAsia" w:ascii="宋体" w:hAnsi="宋体" w:cs="宋体"/>
          <w:color w:val="auto"/>
          <w:szCs w:val="21"/>
          <w:highlight w:val="none"/>
        </w:rPr>
        <w:t>在接到解密通知后30分钟内自行完成“电子加密响应文件”的在线解密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30分钟内未完成解密的</w:t>
      </w:r>
      <w:r>
        <w:rPr>
          <w:rFonts w:hint="eastAsia" w:ascii="宋体" w:hAnsi="宋体" w:eastAsia="宋体" w:cs="宋体"/>
          <w:color w:val="auto"/>
          <w:sz w:val="21"/>
          <w:szCs w:val="21"/>
          <w:highlight w:val="none"/>
          <w:lang w:val="en-US" w:eastAsia="zh-CN"/>
        </w:rPr>
        <w:t xml:space="preserve">均视为无效投标。（解密异常情况处理：详见本章 15.3 电子交易活动的中止。） </w:t>
      </w:r>
    </w:p>
    <w:p w14:paraId="04A20C8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如供应商成功解密响应文件，但未在广西政府采购云平台电子开标大厅参加磋商的，视同认可磋商过程和结果，由此产生的后果由供应商自行负责。参与磋商的供应商不足3 家的，不得继续磋商。</w:t>
      </w:r>
    </w:p>
    <w:p w14:paraId="19609E8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15.3电子交易活动的中止</w:t>
      </w:r>
    </w:p>
    <w:p w14:paraId="3638D42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采购过程中出现以下情形，导致电子交易平台无法正常运行， 或者无法保证电子交易的公平、公正和安全时，采购机构可中止电子交易活动： </w:t>
      </w:r>
    </w:p>
    <w:p w14:paraId="13A7B8D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（1）电子交易平台发生故障而无法登录访问的； </w:t>
      </w:r>
    </w:p>
    <w:p w14:paraId="4B0A996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（2）电子交易平台应用或数据库出现错误，不能进行正常操作的； </w:t>
      </w:r>
    </w:p>
    <w:p w14:paraId="3259B02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（3）电子交易平台发现严重安全漏洞，有潜在泄密危险的； </w:t>
      </w:r>
    </w:p>
    <w:p w14:paraId="170D6C0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（4）病毒发作导致不能进行正常操作的； </w:t>
      </w:r>
    </w:p>
    <w:p w14:paraId="0A769AB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（5）其他无法保证电子交易的公平、公正和安全的情况 </w:t>
      </w:r>
    </w:p>
    <w:p w14:paraId="1A03B0EF">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7DD5E503">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0C68E2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时间及地点：</w:t>
      </w:r>
      <w:r>
        <w:rPr>
          <w:rFonts w:hint="eastAsia" w:ascii="宋体" w:hAnsi="宋体" w:eastAsia="宋体" w:cs="宋体"/>
          <w:color w:val="auto"/>
          <w:sz w:val="21"/>
          <w:szCs w:val="21"/>
          <w:highlight w:val="none"/>
          <w:lang w:val="en-US" w:eastAsia="zh-CN"/>
        </w:rPr>
        <w:t>详见“磋商供应商须知前附表”。</w:t>
      </w:r>
    </w:p>
    <w:p w14:paraId="000BBE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根据要求</w:t>
      </w:r>
      <w:r>
        <w:rPr>
          <w:rFonts w:hint="eastAsia" w:ascii="宋体" w:hAnsi="宋体" w:eastAsia="宋体" w:cs="宋体"/>
          <w:color w:val="auto"/>
          <w:sz w:val="21"/>
          <w:szCs w:val="21"/>
          <w:highlight w:val="none"/>
          <w:lang w:eastAsia="zh-CN"/>
        </w:rPr>
        <w:t>依法</w:t>
      </w:r>
      <w:r>
        <w:rPr>
          <w:rFonts w:hint="eastAsia" w:ascii="宋体" w:hAnsi="宋体" w:eastAsia="宋体" w:cs="宋体"/>
          <w:color w:val="auto"/>
          <w:sz w:val="21"/>
          <w:szCs w:val="21"/>
          <w:highlight w:val="none"/>
        </w:rPr>
        <w:t>组建竞争性磋商小组（以下简称磋商小组），磋商小组由采购人代表和评审专家共三人以上（含三人）单数组成，其中评审专家人数不少于磋商小组成员总数的2/3。评审专家</w:t>
      </w:r>
      <w:r>
        <w:rPr>
          <w:rFonts w:hint="eastAsia" w:ascii="宋体" w:hAnsi="宋体" w:eastAsia="宋体" w:cs="宋体"/>
          <w:color w:val="auto"/>
          <w:sz w:val="21"/>
          <w:szCs w:val="21"/>
          <w:highlight w:val="none"/>
          <w:lang w:val="en-US" w:eastAsia="zh-CN"/>
        </w:rPr>
        <w:t>由采购代理机构在</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lang w:val="en-US" w:eastAsia="zh-CN"/>
        </w:rPr>
        <w:t>评审专家库内</w:t>
      </w:r>
      <w:r>
        <w:rPr>
          <w:rFonts w:hint="eastAsia" w:ascii="宋体" w:hAnsi="宋体" w:eastAsia="宋体" w:cs="宋体"/>
          <w:color w:val="auto"/>
          <w:sz w:val="21"/>
          <w:szCs w:val="21"/>
          <w:highlight w:val="none"/>
        </w:rPr>
        <w:t>相关专业技术、经济等方面的专家名单中随机抽取。</w:t>
      </w:r>
    </w:p>
    <w:p w14:paraId="02502C0C">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评审专家应当遵守评审工作纪律，不得泄露评审情况和评审中获悉的商业秘密。</w:t>
      </w:r>
    </w:p>
    <w:p w14:paraId="59EF65D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磋商小组成员应当按照客观、公正、审慎的原则，根据磋商文件规定的评审程序、评审方法和评审标准进行独立评审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在整个</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小组将负责对全部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进行审查、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及评标工作。</w:t>
      </w:r>
    </w:p>
    <w:p w14:paraId="693433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采购代理机构将</w:t>
      </w:r>
      <w:r>
        <w:rPr>
          <w:rFonts w:hint="eastAsia" w:ascii="宋体" w:hAnsi="宋体" w:eastAsia="宋体" w:cs="宋体"/>
          <w:color w:val="auto"/>
          <w:sz w:val="21"/>
          <w:szCs w:val="21"/>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14:paraId="4462F8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的内容包括技术性条件、商务性条件以及</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小组认为需要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的内容。当</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有实质性变动的，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小组以</w:t>
      </w:r>
      <w:r>
        <w:rPr>
          <w:rFonts w:hint="eastAsia" w:ascii="宋体" w:hAnsi="宋体" w:eastAsia="宋体" w:cs="宋体"/>
          <w:color w:val="auto"/>
          <w:sz w:val="21"/>
          <w:szCs w:val="21"/>
          <w:highlight w:val="none"/>
          <w:lang w:val="en-US" w:eastAsia="zh-CN"/>
        </w:rPr>
        <w:t>在线询标</w:t>
      </w:r>
      <w:r>
        <w:rPr>
          <w:rFonts w:hint="eastAsia" w:ascii="宋体" w:hAnsi="宋体" w:eastAsia="宋体" w:cs="宋体"/>
          <w:color w:val="auto"/>
          <w:sz w:val="21"/>
          <w:szCs w:val="21"/>
          <w:highlight w:val="none"/>
        </w:rPr>
        <w:t>通知所有参加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应在规定的地点、时间内在线回复询标函。</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就商务和技术条件作出的包含补充、修改、承诺、重新报价等内容的</w:t>
      </w:r>
      <w:r>
        <w:rPr>
          <w:rFonts w:hint="eastAsia" w:ascii="宋体" w:hAnsi="宋体" w:eastAsia="宋体" w:cs="宋体"/>
          <w:color w:val="auto"/>
          <w:sz w:val="21"/>
          <w:szCs w:val="21"/>
          <w:highlight w:val="none"/>
          <w:lang w:val="en-US" w:eastAsia="zh-CN"/>
        </w:rPr>
        <w:t>询标回复函或第二轮报价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必须由</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的一部分。</w:t>
      </w:r>
    </w:p>
    <w:p w14:paraId="53625CE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小组对各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递交的</w:t>
      </w:r>
      <w:r>
        <w:rPr>
          <w:rFonts w:hint="eastAsia" w:ascii="宋体" w:hAnsi="宋体" w:eastAsia="宋体" w:cs="宋体"/>
          <w:color w:val="auto"/>
          <w:sz w:val="21"/>
          <w:szCs w:val="21"/>
          <w:highlight w:val="none"/>
          <w:lang w:val="en-US" w:eastAsia="zh-CN"/>
        </w:rPr>
        <w:t>询标回复函或响应文件</w:t>
      </w:r>
      <w:r>
        <w:rPr>
          <w:rFonts w:hint="eastAsia" w:ascii="宋体" w:hAnsi="宋体" w:eastAsia="宋体" w:cs="宋体"/>
          <w:color w:val="auto"/>
          <w:sz w:val="21"/>
          <w:szCs w:val="21"/>
          <w:highlight w:val="none"/>
        </w:rPr>
        <w:t>统一开启，并进行评审后，认为有必要再次进行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的，可再次与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程序和要求按本须知1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规定执行，直至</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小组认为没有必要再进行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方可结束。对最后一轮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小组应明确告知</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，并要求所有</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在规定的时间、地点以</w:t>
      </w:r>
      <w:r>
        <w:rPr>
          <w:rFonts w:hint="eastAsia" w:ascii="宋体" w:hAnsi="宋体" w:eastAsia="宋体" w:cs="宋体"/>
          <w:color w:val="auto"/>
          <w:sz w:val="21"/>
          <w:szCs w:val="21"/>
          <w:highlight w:val="none"/>
          <w:lang w:val="en-US" w:eastAsia="zh-CN"/>
        </w:rPr>
        <w:t>在线回复</w:t>
      </w:r>
      <w:r>
        <w:rPr>
          <w:rFonts w:hint="eastAsia" w:ascii="宋体" w:hAnsi="宋体" w:eastAsia="宋体" w:cs="宋体"/>
          <w:color w:val="auto"/>
          <w:sz w:val="21"/>
          <w:szCs w:val="21"/>
          <w:highlight w:val="none"/>
        </w:rPr>
        <w:t>形式递交最终的</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供应商未在规定时间内提交最后报价的，视为退出</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，其响应文件按无效响应处理</w:t>
      </w:r>
      <w:r>
        <w:rPr>
          <w:rFonts w:hint="eastAsia" w:ascii="宋体" w:hAnsi="宋体" w:cs="宋体"/>
          <w:color w:val="auto"/>
          <w:szCs w:val="21"/>
          <w:highlight w:val="none"/>
          <w:lang w:eastAsia="zh-CN"/>
        </w:rPr>
        <w:t>。</w:t>
      </w:r>
    </w:p>
    <w:p w14:paraId="7BEA33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最终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小组不得再与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进行任何形式的商谈。</w:t>
      </w:r>
    </w:p>
    <w:p w14:paraId="70BD0F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的任何一方不得透露与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有关的其他</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的技术资料、价格和其他信息。</w:t>
      </w:r>
    </w:p>
    <w:p w14:paraId="74F57B3A">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、评标</w:t>
      </w:r>
    </w:p>
    <w:p w14:paraId="72AC86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.1本采购项目的评标依据为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33F232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.2评标工作将采取</w:t>
      </w:r>
      <w:r>
        <w:rPr>
          <w:rFonts w:hint="eastAsia" w:ascii="宋体" w:hAnsi="宋体" w:eastAsia="宋体" w:cs="宋体"/>
          <w:color w:val="auto"/>
          <w:sz w:val="21"/>
          <w:szCs w:val="21"/>
          <w:highlight w:val="none"/>
          <w:u w:val="single"/>
        </w:rPr>
        <w:t>封闭方式</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成员和有关工作人员不得透露对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的评审、比较和成交人的</w:t>
      </w:r>
      <w:r>
        <w:rPr>
          <w:rFonts w:hint="eastAsia" w:ascii="宋体" w:hAnsi="宋体" w:eastAsia="宋体" w:cs="宋体"/>
          <w:color w:val="auto"/>
          <w:sz w:val="21"/>
          <w:szCs w:val="21"/>
          <w:highlight w:val="none"/>
          <w:lang w:eastAsia="zh-CN"/>
        </w:rPr>
        <w:t>确定</w:t>
      </w:r>
      <w:r>
        <w:rPr>
          <w:rFonts w:hint="eastAsia" w:ascii="宋体" w:hAnsi="宋体" w:eastAsia="宋体" w:cs="宋体"/>
          <w:color w:val="auto"/>
          <w:sz w:val="21"/>
          <w:szCs w:val="21"/>
          <w:highlight w:val="none"/>
        </w:rPr>
        <w:t>情况以及与评标有关的其他情况。</w:t>
      </w:r>
    </w:p>
    <w:p w14:paraId="65E448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在评标过程中，所进行的力图影响评标结果公正性的活动，将可能导致其成交资格被取消。</w:t>
      </w:r>
    </w:p>
    <w:p w14:paraId="3011DC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磋商小组成员按照客观、公正、审慎的原则，根据磋商文件规定的评审程序、评审方法和评审标准进行独立评审。</w:t>
      </w:r>
    </w:p>
    <w:p w14:paraId="7380FF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r>
        <w:rPr>
          <w:rFonts w:hint="eastAsia" w:ascii="宋体" w:hAnsi="宋体" w:eastAsia="宋体" w:cs="宋体"/>
          <w:color w:val="auto"/>
          <w:sz w:val="21"/>
          <w:szCs w:val="21"/>
          <w:highlight w:val="none"/>
        </w:rPr>
        <w:t>.1响应文件</w:t>
      </w:r>
      <w:r>
        <w:rPr>
          <w:rFonts w:hint="eastAsia" w:ascii="宋体" w:hAnsi="宋体" w:eastAsia="宋体" w:cs="宋体"/>
          <w:color w:val="auto"/>
          <w:sz w:val="21"/>
          <w:szCs w:val="21"/>
          <w:highlight w:val="none"/>
          <w:lang w:val="en-US" w:eastAsia="zh-CN"/>
        </w:rPr>
        <w:t>线上资格评审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资格评审</w:t>
      </w:r>
      <w:r>
        <w:rPr>
          <w:rFonts w:hint="eastAsia" w:ascii="宋体" w:hAnsi="宋体" w:eastAsia="宋体" w:cs="宋体"/>
          <w:color w:val="auto"/>
          <w:sz w:val="21"/>
          <w:szCs w:val="21"/>
          <w:highlight w:val="none"/>
        </w:rPr>
        <w:t>分为资格性审查和符合性审查。</w:t>
      </w:r>
    </w:p>
    <w:p w14:paraId="318A7A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资格性检查。依据法律法规和竞争性磋商文件的规定对响应文件的</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rPr>
        <w:t>证明、磋商保证金等进行审查，以确定供应商是否具备竞标资格。它所涉及到的主要文件和内容为磋商文件供应商须知第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条所述的资格证明文件内容和签</w:t>
      </w:r>
      <w:r>
        <w:rPr>
          <w:rFonts w:hint="eastAsia" w:ascii="宋体" w:hAnsi="宋体" w:eastAsia="宋体" w:cs="宋体"/>
          <w:color w:val="auto"/>
          <w:sz w:val="21"/>
          <w:szCs w:val="21"/>
          <w:highlight w:val="none"/>
          <w:lang w:val="en-US" w:eastAsia="zh-CN"/>
        </w:rPr>
        <w:t>署、盖</w:t>
      </w:r>
      <w:r>
        <w:rPr>
          <w:rFonts w:hint="eastAsia" w:ascii="宋体" w:hAnsi="宋体" w:eastAsia="宋体" w:cs="宋体"/>
          <w:color w:val="auto"/>
          <w:sz w:val="21"/>
          <w:szCs w:val="21"/>
          <w:highlight w:val="none"/>
        </w:rPr>
        <w:t>章的合格性、合法性等（注：广西政府采购云平台已与“信用中国”</w:t>
      </w:r>
      <w:r>
        <w:rPr>
          <w:rFonts w:hint="eastAsia" w:ascii="宋体" w:hAnsi="宋体" w:eastAsia="宋体" w:cs="宋体"/>
          <w:color w:val="auto"/>
          <w:sz w:val="21"/>
          <w:szCs w:val="21"/>
          <w:highlight w:val="none"/>
          <w:lang w:val="en-US" w:eastAsia="zh-CN"/>
        </w:rPr>
        <w:t>和“中国政府采购网”</w:t>
      </w:r>
      <w:r>
        <w:rPr>
          <w:rFonts w:hint="eastAsia" w:ascii="宋体" w:hAnsi="宋体" w:eastAsia="宋体" w:cs="宋体"/>
          <w:color w:val="auto"/>
          <w:sz w:val="21"/>
          <w:szCs w:val="21"/>
          <w:highlight w:val="none"/>
        </w:rPr>
        <w:t>平台做接口，</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可直接在线查询）。如果供应商不具备竞标资格，不满足磋商文件所规定的资格标准或提供资格证明文件不全的，其竞标将被拒绝。</w:t>
      </w:r>
    </w:p>
    <w:p w14:paraId="219A10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42D9CE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出现下列情况之一的，视为未实质性响应磋商文件的响应文件，按无效响应处理。</w:t>
      </w:r>
    </w:p>
    <w:p w14:paraId="74E606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响应文件未按本须知第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条规定进行编制、签署、盖章的；</w:t>
      </w:r>
    </w:p>
    <w:p w14:paraId="30B8AD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未按本须知第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条规定提交必须提供且有效的证明文件的；</w:t>
      </w:r>
    </w:p>
    <w:p w14:paraId="35C170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未按有关要求提交或足额提交磋商保证金的；</w:t>
      </w:r>
    </w:p>
    <w:p w14:paraId="3CE94A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 </w:t>
      </w:r>
      <w:r>
        <w:rPr>
          <w:rStyle w:val="25"/>
          <w:rFonts w:hint="eastAsia" w:ascii="宋体" w:hAnsi="宋体" w:eastAsia="宋体" w:cs="宋体"/>
          <w:color w:val="auto"/>
          <w:sz w:val="21"/>
          <w:highlight w:val="none"/>
          <w:lang w:val="en-US" w:eastAsia="zh-CN"/>
        </w:rPr>
        <w:t>响应</w:t>
      </w:r>
      <w:r>
        <w:rPr>
          <w:rStyle w:val="25"/>
          <w:rFonts w:ascii="宋体" w:hAnsi="宋体" w:eastAsia="宋体" w:cs="宋体"/>
          <w:color w:val="auto"/>
          <w:sz w:val="21"/>
          <w:highlight w:val="none"/>
        </w:rPr>
        <w:t>文件实质上没有响应</w:t>
      </w:r>
      <w:r>
        <w:rPr>
          <w:rStyle w:val="25"/>
          <w:rFonts w:hint="eastAsia" w:ascii="宋体" w:hAnsi="宋体" w:eastAsia="宋体" w:cs="宋体"/>
          <w:color w:val="auto"/>
          <w:sz w:val="21"/>
          <w:highlight w:val="none"/>
          <w:lang w:val="en-US" w:eastAsia="zh-CN"/>
        </w:rPr>
        <w:t>竞争性磋商采购</w:t>
      </w:r>
      <w:r>
        <w:rPr>
          <w:rStyle w:val="25"/>
          <w:rFonts w:ascii="宋体" w:hAnsi="宋体" w:eastAsia="宋体" w:cs="宋体"/>
          <w:color w:val="auto"/>
          <w:sz w:val="21"/>
          <w:highlight w:val="none"/>
        </w:rPr>
        <w:t>文件的要求的(包括：质量要求、工期、技术标准和要求、合同价款主要条款、</w:t>
      </w:r>
      <w:r>
        <w:rPr>
          <w:rStyle w:val="25"/>
          <w:rFonts w:hint="eastAsia" w:ascii="宋体" w:hAnsi="宋体" w:eastAsia="宋体" w:cs="宋体"/>
          <w:color w:val="auto"/>
          <w:sz w:val="21"/>
          <w:highlight w:val="none"/>
          <w:lang w:val="en-US" w:eastAsia="zh-CN"/>
        </w:rPr>
        <w:t>磋商</w:t>
      </w:r>
      <w:r>
        <w:rPr>
          <w:rStyle w:val="25"/>
          <w:rFonts w:ascii="宋体" w:hAnsi="宋体" w:eastAsia="宋体" w:cs="宋体"/>
          <w:color w:val="auto"/>
          <w:sz w:val="21"/>
          <w:highlight w:val="none"/>
        </w:rPr>
        <w:t>有效期等)</w:t>
      </w:r>
      <w:r>
        <w:rPr>
          <w:rFonts w:hint="eastAsia" w:ascii="宋体" w:hAnsi="宋体" w:eastAsia="宋体" w:cs="宋体"/>
          <w:color w:val="auto"/>
          <w:sz w:val="21"/>
          <w:szCs w:val="21"/>
          <w:highlight w:val="none"/>
        </w:rPr>
        <w:t>；</w:t>
      </w:r>
    </w:p>
    <w:p w14:paraId="02C789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供应商提交的是可选择的报价，或最后报价超过采购预算价的；</w:t>
      </w:r>
    </w:p>
    <w:p w14:paraId="572AE9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Style w:val="25"/>
          <w:rFonts w:ascii="宋体" w:hAnsi="宋体" w:eastAsia="宋体" w:cs="宋体"/>
          <w:color w:val="auto"/>
          <w:sz w:val="21"/>
          <w:highlight w:val="none"/>
        </w:rPr>
        <w:t xml:space="preserve"> </w:t>
      </w:r>
      <w:r>
        <w:rPr>
          <w:rStyle w:val="25"/>
          <w:rFonts w:hint="eastAsia" w:ascii="宋体" w:hAnsi="宋体" w:eastAsia="宋体" w:cs="宋体"/>
          <w:color w:val="auto"/>
          <w:sz w:val="21"/>
          <w:highlight w:val="none"/>
          <w:lang w:val="en-US" w:eastAsia="zh-CN"/>
        </w:rPr>
        <w:t>供应商</w:t>
      </w:r>
      <w:r>
        <w:rPr>
          <w:rStyle w:val="25"/>
          <w:rFonts w:ascii="宋体" w:hAnsi="宋体" w:eastAsia="宋体" w:cs="宋体"/>
          <w:color w:val="auto"/>
          <w:sz w:val="21"/>
          <w:highlight w:val="none"/>
        </w:rPr>
        <w:t>已标价工程量清单的项目编码（12位）、计量单位、工程量任何一处与招标工程量清单不一致的</w:t>
      </w:r>
      <w:r>
        <w:rPr>
          <w:rFonts w:hint="eastAsia" w:ascii="宋体" w:hAnsi="宋体" w:eastAsia="宋体" w:cs="宋体"/>
          <w:color w:val="auto"/>
          <w:sz w:val="21"/>
          <w:szCs w:val="21"/>
          <w:highlight w:val="none"/>
        </w:rPr>
        <w:t>；</w:t>
      </w:r>
    </w:p>
    <w:p w14:paraId="4A0D9DE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w:t>
      </w:r>
      <w:r>
        <w:rPr>
          <w:rStyle w:val="25"/>
          <w:rFonts w:hint="eastAsia" w:ascii="宋体" w:hAnsi="宋体" w:eastAsia="宋体" w:cs="宋体"/>
          <w:color w:val="auto"/>
          <w:sz w:val="21"/>
          <w:highlight w:val="none"/>
          <w:lang w:val="en-US" w:eastAsia="zh-CN"/>
        </w:rPr>
        <w:t>供应商</w:t>
      </w:r>
      <w:r>
        <w:rPr>
          <w:rStyle w:val="25"/>
          <w:rFonts w:ascii="宋体" w:hAnsi="宋体" w:eastAsia="宋体" w:cs="宋体"/>
          <w:color w:val="auto"/>
          <w:sz w:val="21"/>
          <w:highlight w:val="none"/>
        </w:rPr>
        <w:t>已标价工程量清单的项目名称或项目特征与招标工程量清单不一致，</w:t>
      </w:r>
      <w:r>
        <w:rPr>
          <w:rStyle w:val="25"/>
          <w:rFonts w:hint="eastAsia" w:ascii="宋体" w:hAnsi="宋体" w:eastAsia="宋体" w:cs="宋体"/>
          <w:color w:val="auto"/>
          <w:sz w:val="21"/>
          <w:highlight w:val="none"/>
          <w:lang w:val="en-US" w:eastAsia="zh-CN"/>
        </w:rPr>
        <w:t>磋商小组</w:t>
      </w:r>
      <w:r>
        <w:rPr>
          <w:rStyle w:val="25"/>
          <w:rFonts w:ascii="宋体" w:hAnsi="宋体" w:eastAsia="宋体" w:cs="宋体"/>
          <w:color w:val="auto"/>
          <w:sz w:val="21"/>
          <w:highlight w:val="none"/>
        </w:rPr>
        <w:t>要求澄清、说明或补正，但</w:t>
      </w:r>
      <w:r>
        <w:rPr>
          <w:rStyle w:val="25"/>
          <w:rFonts w:hint="eastAsia" w:ascii="宋体" w:hAnsi="宋体" w:eastAsia="宋体" w:cs="宋体"/>
          <w:color w:val="auto"/>
          <w:sz w:val="21"/>
          <w:highlight w:val="none"/>
          <w:lang w:val="en-US" w:eastAsia="zh-CN"/>
        </w:rPr>
        <w:t>供应商</w:t>
      </w:r>
      <w:r>
        <w:rPr>
          <w:rStyle w:val="25"/>
          <w:rFonts w:ascii="宋体" w:hAnsi="宋体" w:eastAsia="宋体" w:cs="宋体"/>
          <w:color w:val="auto"/>
          <w:sz w:val="21"/>
          <w:highlight w:val="none"/>
        </w:rPr>
        <w:t>拒绝澄清、说明或补正的</w:t>
      </w:r>
      <w:r>
        <w:rPr>
          <w:rStyle w:val="25"/>
          <w:rFonts w:hint="eastAsia" w:ascii="宋体" w:hAnsi="宋体" w:eastAsia="宋体" w:cs="宋体"/>
          <w:color w:val="auto"/>
          <w:sz w:val="21"/>
          <w:highlight w:val="none"/>
          <w:lang w:eastAsia="zh-CN"/>
        </w:rPr>
        <w:t>；</w:t>
      </w:r>
    </w:p>
    <w:p w14:paraId="18779AF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⑧</w:t>
      </w:r>
      <w:r>
        <w:rPr>
          <w:rStyle w:val="25"/>
          <w:rFonts w:ascii="宋体" w:hAnsi="宋体" w:eastAsia="宋体" w:cs="宋体"/>
          <w:color w:val="auto"/>
          <w:sz w:val="21"/>
          <w:highlight w:val="none"/>
        </w:rPr>
        <w:t>设有暂估价、暂列金额的，投标时未按招标人工程量清单给出的暂估价总价、暂列金额总价计入投标总报价中的</w:t>
      </w:r>
      <w:r>
        <w:rPr>
          <w:rStyle w:val="25"/>
          <w:rFonts w:hint="eastAsia" w:ascii="宋体" w:hAnsi="宋体" w:eastAsia="宋体" w:cs="宋体"/>
          <w:color w:val="auto"/>
          <w:sz w:val="21"/>
          <w:highlight w:val="none"/>
          <w:lang w:eastAsia="zh-CN"/>
        </w:rPr>
        <w:t>；</w:t>
      </w:r>
    </w:p>
    <w:p w14:paraId="78E11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 不符合有关法律、法规和磋商文件中规定的其他实质性条款。</w:t>
      </w:r>
    </w:p>
    <w:p w14:paraId="29451B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.2澄清有关问题。</w:t>
      </w:r>
    </w:p>
    <w:p w14:paraId="7039AC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6BED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(2)磋商小组要求供应商澄清、说明或者更正响应文件应当以</w:t>
      </w:r>
      <w:r>
        <w:rPr>
          <w:rFonts w:hint="eastAsia" w:ascii="宋体" w:hAnsi="宋体" w:eastAsia="宋体" w:cs="宋体"/>
          <w:color w:val="auto"/>
          <w:sz w:val="21"/>
          <w:szCs w:val="21"/>
          <w:highlight w:val="none"/>
          <w:lang w:val="en-US" w:eastAsia="zh-CN"/>
        </w:rPr>
        <w:t>在线询标</w:t>
      </w:r>
      <w:r>
        <w:rPr>
          <w:rFonts w:hint="eastAsia" w:ascii="宋体" w:hAnsi="宋体" w:eastAsia="宋体" w:cs="宋体"/>
          <w:color w:val="auto"/>
          <w:sz w:val="21"/>
          <w:szCs w:val="21"/>
          <w:highlight w:val="none"/>
        </w:rPr>
        <w:t>形式作出。供应商的澄清、说明或者更正应当由法定代表人或委托代理人签名或盖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公章。由授权代表签字的，应当附法定代表人授权书。</w:t>
      </w:r>
    </w:p>
    <w:p w14:paraId="3F35ED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(3)响应文件如果出现计算或表达上的错误，修正错误的原则如下：</w:t>
      </w:r>
    </w:p>
    <w:p w14:paraId="6D9502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响应文件中《</w:t>
      </w:r>
      <w:r>
        <w:rPr>
          <w:rFonts w:hint="eastAsia" w:ascii="宋体" w:hAnsi="宋体" w:cs="宋体"/>
          <w:color w:val="auto"/>
          <w:sz w:val="21"/>
          <w:szCs w:val="21"/>
          <w:highlight w:val="none"/>
          <w:lang w:eastAsia="zh-CN"/>
        </w:rPr>
        <w:t>磋商函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的报价与已标价工程量清单汇总报价</w:t>
      </w:r>
      <w:r>
        <w:rPr>
          <w:rFonts w:hint="eastAsia" w:ascii="宋体" w:hAnsi="宋体" w:eastAsia="宋体" w:cs="宋体"/>
          <w:color w:val="auto"/>
          <w:sz w:val="21"/>
          <w:szCs w:val="21"/>
          <w:highlight w:val="none"/>
        </w:rPr>
        <w:t>不一致的，以</w:t>
      </w:r>
      <w:r>
        <w:rPr>
          <w:rFonts w:hint="eastAsia" w:ascii="宋体" w:hAnsi="宋体" w:cs="宋体"/>
          <w:color w:val="auto"/>
          <w:sz w:val="21"/>
          <w:szCs w:val="21"/>
          <w:highlight w:val="none"/>
          <w:lang w:val="en-US" w:eastAsia="zh-CN"/>
        </w:rPr>
        <w:t>已标价工程量清单汇总报价</w:t>
      </w:r>
      <w:r>
        <w:rPr>
          <w:rFonts w:hint="eastAsia" w:ascii="宋体" w:hAnsi="宋体" w:eastAsia="宋体" w:cs="宋体"/>
          <w:color w:val="auto"/>
          <w:sz w:val="21"/>
          <w:szCs w:val="21"/>
          <w:highlight w:val="none"/>
        </w:rPr>
        <w:t>为准。</w:t>
      </w:r>
    </w:p>
    <w:p w14:paraId="44A553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响应文件的大写金额和小写金额不一致的，以大写金额为准；</w:t>
      </w:r>
    </w:p>
    <w:p w14:paraId="1FB1C8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总价金额与按单价汇总金额不一致的，以单价金额计算结果为准；</w:t>
      </w:r>
    </w:p>
    <w:p w14:paraId="5B24C4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单价金额小数点有明显错位的，应以总价为准，并修改单价；</w:t>
      </w:r>
    </w:p>
    <w:p w14:paraId="6DB8AC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对不同文字文本响应文件的解释发生异议的，以中文文本为准。</w:t>
      </w:r>
    </w:p>
    <w:p w14:paraId="1E1E0E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4B79A5A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磋商过程。</w:t>
      </w:r>
    </w:p>
    <w:p w14:paraId="1D524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(1)磋商小组所有成员集中与单一供应商分别进行磋商（最多三轮），磋商的内容包括技术条件、商务性条件及磋商小组认为需要磋商的内容。</w:t>
      </w:r>
    </w:p>
    <w:p w14:paraId="736DE5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14:paraId="461022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(3)对磋商文件作出的实质性变动是磋商文件的有效组成部分，磋商小组应当及时以</w:t>
      </w:r>
      <w:r>
        <w:rPr>
          <w:rFonts w:hint="eastAsia" w:ascii="宋体" w:hAnsi="宋体" w:eastAsia="宋体" w:cs="宋体"/>
          <w:color w:val="auto"/>
          <w:sz w:val="21"/>
          <w:szCs w:val="21"/>
          <w:highlight w:val="none"/>
          <w:lang w:val="en-US" w:eastAsia="zh-CN"/>
        </w:rPr>
        <w:t>在线询标/澄清</w:t>
      </w:r>
      <w:r>
        <w:rPr>
          <w:rFonts w:hint="eastAsia" w:ascii="宋体" w:hAnsi="宋体" w:eastAsia="宋体" w:cs="宋体"/>
          <w:color w:val="auto"/>
          <w:sz w:val="21"/>
          <w:szCs w:val="21"/>
          <w:highlight w:val="none"/>
        </w:rPr>
        <w:t>形式同时通知所有参加磋商的供应商。</w:t>
      </w:r>
    </w:p>
    <w:p w14:paraId="36EF27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(4)供应商应当按照磋商文件的变动情况和磋商小组的要求重新提交</w:t>
      </w:r>
      <w:r>
        <w:rPr>
          <w:rFonts w:hint="eastAsia" w:ascii="宋体" w:hAnsi="宋体" w:eastAsia="宋体" w:cs="宋体"/>
          <w:color w:val="auto"/>
          <w:sz w:val="21"/>
          <w:szCs w:val="21"/>
          <w:highlight w:val="none"/>
          <w:lang w:val="en-US" w:eastAsia="zh-CN"/>
        </w:rPr>
        <w:t>应答</w:t>
      </w:r>
      <w:r>
        <w:rPr>
          <w:rFonts w:hint="eastAsia" w:ascii="宋体" w:hAnsi="宋体" w:eastAsia="宋体" w:cs="宋体"/>
          <w:color w:val="auto"/>
          <w:sz w:val="21"/>
          <w:szCs w:val="21"/>
          <w:highlight w:val="none"/>
        </w:rPr>
        <w:t>文件，并由其法定代表人或委托代理人签名或盖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公章。由授权代表签字的，应当附法定代表人授权书。</w:t>
      </w:r>
    </w:p>
    <w:p w14:paraId="3032B8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)供应商未在通知的时间内到达现场参加磋商的，或未提交书面说明退出磋商的，或未在规定时间内提交</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应答文件和最后报价的，视为供应商自动放弃磋商。</w:t>
      </w:r>
    </w:p>
    <w:p w14:paraId="142D56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)最终磋商结束后，磋商小组不得再与供应商进行任何形式的商谈。磋商的任何一方不得透露与磋商有关的其他供应商的技术资料、价格和其他信息。</w:t>
      </w:r>
    </w:p>
    <w:p w14:paraId="1DD91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.4磋商小组对竞标人资格性和竞标文件符合性审查。磋商小组只接受通过资格性和符合性审查竞标人在规定时间（</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分钟）内进行磋商最终总报价。</w:t>
      </w:r>
    </w:p>
    <w:p w14:paraId="6A5D50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.5比较与评价。经磋商确定最终采购需求和提交最后报价的供应商后，由磋商小组采用综合评分法（详见第</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章）对提交最后报价的供应商的响应文件和最后报价进行综合评分。</w:t>
      </w:r>
    </w:p>
    <w:p w14:paraId="20C62A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.6推荐成交候选人名单及编写评审报告。磋商小组根据综合评分情况，按照评分办法的成交标准及成交候选人推荐原则依次推荐成交候选人名单，并根据磋商过程和结果编写评审报告。</w:t>
      </w:r>
    </w:p>
    <w:p w14:paraId="6F3BD9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评审会纪律</w:t>
      </w:r>
    </w:p>
    <w:p w14:paraId="616B7F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.1评审过程的保密性。磋商小组成员、有关工作人员及其他知情人不得透露对响应文件评审、比较、成交候选人的推荐情况以及与评审有关的其他情况。</w:t>
      </w:r>
    </w:p>
    <w:p w14:paraId="692B36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.2在磋商评审期间，供应商试图影响采购人和磋商小组的任何活动，将导致其报价被拒绝，并承担相应的法律责任。</w:t>
      </w:r>
    </w:p>
    <w:p w14:paraId="07893E1A">
      <w:pPr>
        <w:pStyle w:val="13"/>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、拒绝接收</w:t>
      </w:r>
    </w:p>
    <w:p w14:paraId="7EA91381">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.1属下列情形之一的，采购机构应当拒绝接收磋商供应商的响应文件：</w:t>
      </w:r>
    </w:p>
    <w:p w14:paraId="71B8BE85">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（1）在本章第</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.1项规定的投标截止时间之后送达的；</w:t>
      </w:r>
    </w:p>
    <w:p w14:paraId="4595720C">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（2）未送达至本章第</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项指定的递交响应文件地点的；</w:t>
      </w:r>
    </w:p>
    <w:p w14:paraId="4FC9A5C0">
      <w:pPr>
        <w:pStyle w:val="43"/>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、无效的响应文件</w:t>
      </w:r>
    </w:p>
    <w:p w14:paraId="577C53A6">
      <w:pPr>
        <w:widowControl/>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.1响应文件如有下列情况之一，将会在评标中视为无效文件处理：</w:t>
      </w:r>
    </w:p>
    <w:p w14:paraId="3A51B939">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响应文件中提供虚假或失实资料的</w:t>
      </w:r>
      <w:r>
        <w:rPr>
          <w:rFonts w:hint="eastAsia" w:ascii="宋体" w:hAnsi="宋体" w:eastAsia="宋体" w:cs="宋体"/>
          <w:bCs/>
          <w:color w:val="auto"/>
          <w:sz w:val="21"/>
          <w:szCs w:val="21"/>
          <w:highlight w:val="none"/>
        </w:rPr>
        <w:t>；</w:t>
      </w:r>
    </w:p>
    <w:p w14:paraId="56773FAA">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不同供应商的响应文件由同一单位或者个人编制的；</w:t>
      </w:r>
    </w:p>
    <w:p w14:paraId="55B5D23A">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不同供应商委托同一单位或者个人办理竞标事宜的；</w:t>
      </w:r>
    </w:p>
    <w:p w14:paraId="658D12C8">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不同供应商的响应文件异常一致或者磋商报价呈规律性差异；</w:t>
      </w:r>
    </w:p>
    <w:p w14:paraId="0D4175C1">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不同供应商的磋商保证金从同一单位或者个人的</w:t>
      </w:r>
      <w:r>
        <w:rPr>
          <w:rFonts w:hint="eastAsia" w:ascii="宋体" w:hAnsi="宋体" w:eastAsia="宋体" w:cs="宋体"/>
          <w:bCs/>
          <w:color w:val="auto"/>
          <w:sz w:val="21"/>
          <w:szCs w:val="21"/>
          <w:highlight w:val="none"/>
          <w:lang w:val="en-US" w:eastAsia="zh-CN"/>
        </w:rPr>
        <w:t>银行</w:t>
      </w:r>
      <w:r>
        <w:rPr>
          <w:rFonts w:hint="eastAsia" w:ascii="宋体" w:hAnsi="宋体" w:eastAsia="宋体" w:cs="宋体"/>
          <w:bCs/>
          <w:color w:val="auto"/>
          <w:sz w:val="21"/>
          <w:szCs w:val="21"/>
          <w:highlight w:val="none"/>
        </w:rPr>
        <w:t>账户转</w:t>
      </w:r>
      <w:r>
        <w:rPr>
          <w:rFonts w:hint="eastAsia" w:ascii="宋体" w:hAnsi="宋体" w:cs="宋体"/>
          <w:bCs/>
          <w:color w:val="auto"/>
          <w:sz w:val="21"/>
          <w:szCs w:val="21"/>
          <w:highlight w:val="none"/>
          <w:lang w:eastAsia="zh-CN"/>
        </w:rPr>
        <w:t>。</w:t>
      </w:r>
    </w:p>
    <w:p w14:paraId="498EDA9B">
      <w:pPr>
        <w:pStyle w:val="43"/>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、废标</w:t>
      </w:r>
    </w:p>
    <w:p w14:paraId="3FD16D2D">
      <w:pPr>
        <w:pStyle w:val="1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.1磋商采购项目出现下列情形之一的，采购代理机构将予以废标：</w:t>
      </w:r>
    </w:p>
    <w:p w14:paraId="33959E6E">
      <w:pPr>
        <w:pStyle w:val="13"/>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(1)出现影响采购公正的违法、违规行为的；</w:t>
      </w:r>
    </w:p>
    <w:p w14:paraId="64308F92">
      <w:pPr>
        <w:pStyle w:val="13"/>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(2)所有服务商的报价均超过了采购预算，采购人不能支付的；</w:t>
      </w:r>
    </w:p>
    <w:p w14:paraId="47496203">
      <w:pPr>
        <w:pStyle w:val="13"/>
        <w:spacing w:line="360" w:lineRule="auto"/>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采购过程中有效的供应商不足三名的；</w:t>
      </w:r>
    </w:p>
    <w:p w14:paraId="321F532E">
      <w:pPr>
        <w:pStyle w:val="13"/>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(4)因重大变故，采购任务取消的；</w:t>
      </w:r>
    </w:p>
    <w:p w14:paraId="6C49D5B4">
      <w:pPr>
        <w:pStyle w:val="13"/>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)磋商文件存在不合理条款的，竞争性磋商公告时间及程序不符合规定的；</w:t>
      </w:r>
    </w:p>
    <w:p w14:paraId="480D619B">
      <w:pPr>
        <w:pStyle w:val="13"/>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.2如本次项目废标后，采购代理机构将把废标理由通知所有磋商供应商。</w:t>
      </w:r>
    </w:p>
    <w:p w14:paraId="7BE441A2">
      <w:pPr>
        <w:pStyle w:val="43"/>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21、重新招标</w:t>
      </w:r>
    </w:p>
    <w:p w14:paraId="5CB2B94C">
      <w:pPr>
        <w:pStyle w:val="13"/>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21.1 经磋商小组评审后，认为所有竞标均不符合竞争性磋商采购文件要求，可以否决所有竞标。所有竞标被否决</w:t>
      </w:r>
      <w:r>
        <w:rPr>
          <w:rFonts w:hint="eastAsia" w:hAnsi="宋体" w:cs="宋体"/>
          <w:b w:val="0"/>
          <w:bCs w:val="0"/>
          <w:color w:val="auto"/>
          <w:sz w:val="21"/>
          <w:szCs w:val="21"/>
          <w:highlight w:val="none"/>
          <w:lang w:val="en-US" w:eastAsia="zh-CN"/>
        </w:rPr>
        <w:t>或</w:t>
      </w:r>
      <w:r>
        <w:rPr>
          <w:rFonts w:hint="eastAsia" w:hAnsi="宋体" w:cs="宋体"/>
          <w:color w:val="auto"/>
          <w:sz w:val="21"/>
          <w:szCs w:val="21"/>
          <w:highlight w:val="none"/>
          <w:lang w:val="en-US" w:eastAsia="zh-CN"/>
        </w:rPr>
        <w:t>采购过程中有效的供应商不足三名的</w:t>
      </w:r>
      <w:r>
        <w:rPr>
          <w:rFonts w:hint="eastAsia" w:ascii="宋体" w:hAnsi="宋体" w:eastAsia="宋体" w:cs="宋体"/>
          <w:b w:val="0"/>
          <w:bCs w:val="0"/>
          <w:color w:val="auto"/>
          <w:sz w:val="21"/>
          <w:szCs w:val="21"/>
          <w:highlight w:val="none"/>
          <w:lang w:val="en-US" w:eastAsia="zh-CN"/>
        </w:rPr>
        <w:t>，采购人将依法重新招标。</w:t>
      </w:r>
    </w:p>
    <w:p w14:paraId="33A73A93">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21.2重新招标后竞标人仍少于三个或者所有竞标被否决的，属于必须审批或核准的工程建设项目，经原审批或核准部门批准后不再进行招标</w:t>
      </w:r>
      <w:bookmarkStart w:id="52" w:name="_Toc459103904"/>
      <w:r>
        <w:rPr>
          <w:rFonts w:hint="eastAsia" w:ascii="宋体" w:hAnsi="宋体" w:eastAsia="宋体" w:cs="宋体"/>
          <w:b w:val="0"/>
          <w:bCs w:val="0"/>
          <w:color w:val="auto"/>
          <w:sz w:val="21"/>
          <w:szCs w:val="21"/>
          <w:highlight w:val="none"/>
          <w:lang w:val="en-US" w:eastAsia="zh-CN"/>
        </w:rPr>
        <w:t>。</w:t>
      </w:r>
    </w:p>
    <w:p w14:paraId="4E8540D8">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七、签订合同</w:t>
      </w:r>
      <w:bookmarkEnd w:id="52"/>
    </w:p>
    <w:p w14:paraId="1DA37559">
      <w:pPr>
        <w:pStyle w:val="13"/>
        <w:spacing w:line="360" w:lineRule="auto"/>
        <w:outlineLvl w:val="2"/>
        <w:rPr>
          <w:rFonts w:hint="eastAsia" w:ascii="宋体" w:hAnsi="宋体" w:eastAsia="宋体" w:cs="宋体"/>
          <w:b/>
          <w:color w:val="auto"/>
          <w:sz w:val="21"/>
          <w:szCs w:val="21"/>
          <w:highlight w:val="none"/>
        </w:rPr>
      </w:pPr>
      <w:bookmarkStart w:id="53" w:name="_Toc7205"/>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rPr>
        <w:t>.成交结果</w:t>
      </w:r>
      <w:bookmarkEnd w:id="53"/>
      <w:r>
        <w:rPr>
          <w:rFonts w:hint="eastAsia" w:ascii="宋体" w:hAnsi="宋体" w:eastAsia="宋体" w:cs="宋体"/>
          <w:b/>
          <w:color w:val="auto"/>
          <w:sz w:val="21"/>
          <w:szCs w:val="21"/>
          <w:highlight w:val="none"/>
        </w:rPr>
        <w:t>公告</w:t>
      </w:r>
    </w:p>
    <w:p w14:paraId="58DD03A2">
      <w:pPr>
        <w:pStyle w:val="13"/>
        <w:spacing w:line="360" w:lineRule="auto"/>
        <w:ind w:firstLine="420" w:firstLineChars="200"/>
        <w:outlineLvl w:val="2"/>
        <w:rPr>
          <w:rFonts w:hint="eastAsia" w:ascii="宋体" w:hAnsi="宋体" w:eastAsia="宋体" w:cs="宋体"/>
          <w:bCs/>
          <w:color w:val="auto"/>
          <w:sz w:val="21"/>
          <w:szCs w:val="21"/>
          <w:highlight w:val="none"/>
        </w:rPr>
      </w:pPr>
      <w:bookmarkStart w:id="54" w:name="_Toc5678"/>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.1采购代理机构在磋商工作完成后2日内将磋商报告送采购人，采购人确认后，成交结果公告将在</w:t>
      </w:r>
      <w:r>
        <w:rPr>
          <w:rFonts w:hint="eastAsia" w:ascii="宋体" w:hAnsi="宋体" w:eastAsia="宋体" w:cs="宋体"/>
          <w:bCs/>
          <w:color w:val="auto"/>
          <w:sz w:val="21"/>
          <w:szCs w:val="21"/>
          <w:highlight w:val="none"/>
          <w:lang w:eastAsia="zh-CN"/>
        </w:rPr>
        <w:t>发布本项目竞争性磋商公告的同一网站上发布</w:t>
      </w:r>
      <w:r>
        <w:rPr>
          <w:rFonts w:hint="eastAsia" w:ascii="宋体" w:hAnsi="宋体" w:eastAsia="宋体" w:cs="宋体"/>
          <w:bCs/>
          <w:color w:val="auto"/>
          <w:sz w:val="21"/>
          <w:szCs w:val="21"/>
          <w:highlight w:val="none"/>
        </w:rPr>
        <w:t>。</w:t>
      </w:r>
      <w:bookmarkEnd w:id="54"/>
    </w:p>
    <w:p w14:paraId="245240CD">
      <w:pPr>
        <w:pStyle w:val="13"/>
        <w:spacing w:line="360" w:lineRule="auto"/>
        <w:ind w:firstLine="420"/>
        <w:rPr>
          <w:rFonts w:hint="eastAsia" w:ascii="宋体" w:hAnsi="宋体" w:eastAsia="宋体" w:cs="宋体"/>
          <w:bCs/>
          <w:color w:val="auto"/>
          <w:sz w:val="21"/>
          <w:szCs w:val="21"/>
          <w:highlight w:val="none"/>
          <w:lang w:eastAsia="zh-CN"/>
        </w:rPr>
      </w:pPr>
      <w:bookmarkStart w:id="55" w:name="_Toc29884"/>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.2成交结果公告期限为1个工作日，发布</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结果公告的同时向</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供应商发出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通知书。采购代理机构发出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通知书前，应当对</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人信用进行核实，对列入失信被执行人、</w:t>
      </w:r>
      <w:r>
        <w:rPr>
          <w:rFonts w:hint="eastAsia" w:hAnsi="宋体" w:cs="宋体"/>
          <w:bCs/>
          <w:color w:val="auto"/>
          <w:sz w:val="21"/>
          <w:szCs w:val="21"/>
          <w:highlight w:val="none"/>
          <w:lang w:eastAsia="zh-CN"/>
        </w:rPr>
        <w:t>重大税收违法失信主体</w:t>
      </w:r>
      <w:r>
        <w:rPr>
          <w:rFonts w:hint="eastAsia" w:ascii="宋体" w:hAnsi="宋体" w:eastAsia="宋体" w:cs="宋体"/>
          <w:bCs/>
          <w:color w:val="auto"/>
          <w:sz w:val="21"/>
          <w:szCs w:val="21"/>
          <w:highlight w:val="none"/>
        </w:rPr>
        <w:t>、政府采购严重违法失信行为记录名单及其他不符合《中华人民共和国政府采购法》第二十二条规定条件的</w:t>
      </w:r>
      <w:r>
        <w:rPr>
          <w:rFonts w:hint="eastAsia"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人，取消其</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资格，并确定排名第二的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人。排名第二的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候选人因前款规定的同样原因被取消</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资格的，</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可以确定排名第三的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人，以此类推。以上信息查询记录及相关证据与采购文件一并保存</w:t>
      </w:r>
      <w:r>
        <w:rPr>
          <w:rFonts w:hint="eastAsia" w:ascii="宋体" w:hAnsi="宋体" w:eastAsia="宋体" w:cs="宋体"/>
          <w:bCs/>
          <w:color w:val="auto"/>
          <w:sz w:val="21"/>
          <w:szCs w:val="21"/>
          <w:highlight w:val="none"/>
          <w:lang w:eastAsia="zh-CN"/>
        </w:rPr>
        <w:t>。</w:t>
      </w:r>
    </w:p>
    <w:p w14:paraId="1C31D303">
      <w:pPr>
        <w:pStyle w:val="13"/>
        <w:spacing w:line="360" w:lineRule="auto"/>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bookmarkEnd w:id="55"/>
    <w:p w14:paraId="25CB8105">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、成交通知</w:t>
      </w:r>
    </w:p>
    <w:p w14:paraId="32B9CA55">
      <w:pPr>
        <w:pStyle w:val="13"/>
        <w:spacing w:line="360" w:lineRule="auto"/>
        <w:ind w:firstLine="420" w:firstLineChars="200"/>
        <w:outlineLvl w:val="2"/>
        <w:rPr>
          <w:rFonts w:hint="eastAsia" w:ascii="宋体" w:hAnsi="宋体" w:eastAsia="宋体" w:cs="宋体"/>
          <w:bCs/>
          <w:color w:val="auto"/>
          <w:sz w:val="21"/>
          <w:szCs w:val="21"/>
          <w:highlight w:val="none"/>
        </w:rPr>
      </w:pPr>
      <w:bookmarkStart w:id="56" w:name="_Toc30837"/>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.1采购代理机构在发布</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公告的同时，采购代理机构向</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人发出中标通知书。</w:t>
      </w:r>
      <w:bookmarkEnd w:id="56"/>
    </w:p>
    <w:p w14:paraId="7484C6B7">
      <w:pPr>
        <w:pStyle w:val="13"/>
        <w:spacing w:line="360" w:lineRule="auto"/>
        <w:ind w:firstLine="420" w:firstLineChars="200"/>
        <w:outlineLvl w:val="2"/>
        <w:rPr>
          <w:rFonts w:hint="eastAsia" w:ascii="宋体" w:hAnsi="宋体" w:eastAsia="宋体" w:cs="宋体"/>
          <w:bCs/>
          <w:color w:val="auto"/>
          <w:sz w:val="21"/>
          <w:szCs w:val="21"/>
          <w:highlight w:val="none"/>
          <w:lang w:eastAsia="zh-CN"/>
        </w:rPr>
      </w:pPr>
      <w:bookmarkStart w:id="57" w:name="_Toc28429"/>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.2对未通过资格审查的</w:t>
      </w:r>
      <w:r>
        <w:rPr>
          <w:rFonts w:hint="eastAsia" w:ascii="宋体" w:hAnsi="宋体" w:eastAsia="宋体" w:cs="宋体"/>
          <w:bCs/>
          <w:color w:val="auto"/>
          <w:sz w:val="21"/>
          <w:szCs w:val="21"/>
          <w:highlight w:val="none"/>
          <w:lang w:val="en-US" w:eastAsia="zh-CN"/>
        </w:rPr>
        <w:t>竞</w:t>
      </w:r>
      <w:r>
        <w:rPr>
          <w:rFonts w:hint="eastAsia" w:ascii="宋体" w:hAnsi="宋体" w:eastAsia="宋体" w:cs="宋体"/>
          <w:bCs/>
          <w:color w:val="auto"/>
          <w:sz w:val="21"/>
          <w:szCs w:val="21"/>
          <w:highlight w:val="none"/>
        </w:rPr>
        <w:t>标人，采购人或采购机构应当告知其未通过的原因</w:t>
      </w:r>
      <w:r>
        <w:rPr>
          <w:rFonts w:hint="eastAsia" w:ascii="宋体" w:hAnsi="宋体" w:eastAsia="宋体" w:cs="宋体"/>
          <w:bCs/>
          <w:color w:val="auto"/>
          <w:sz w:val="21"/>
          <w:szCs w:val="21"/>
          <w:highlight w:val="none"/>
          <w:lang w:eastAsia="zh-CN"/>
        </w:rPr>
        <w:t>。</w:t>
      </w:r>
    </w:p>
    <w:p w14:paraId="16AE782D">
      <w:pPr>
        <w:pStyle w:val="13"/>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23.3</w:t>
      </w:r>
      <w:r>
        <w:rPr>
          <w:rFonts w:hint="eastAsia" w:ascii="宋体" w:hAnsi="宋体" w:eastAsia="宋体" w:cs="宋体"/>
          <w:bCs/>
          <w:color w:val="auto"/>
          <w:sz w:val="21"/>
          <w:szCs w:val="21"/>
          <w:highlight w:val="none"/>
        </w:rPr>
        <w:t>采购代理机构无义务向落标的</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解释落标原因和退还</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bookmarkEnd w:id="57"/>
    </w:p>
    <w:p w14:paraId="406A2EEB">
      <w:pPr>
        <w:pStyle w:val="13"/>
        <w:spacing w:line="360" w:lineRule="auto"/>
        <w:outlineLvl w:val="2"/>
        <w:rPr>
          <w:rFonts w:hint="eastAsia" w:ascii="宋体" w:hAnsi="宋体" w:eastAsia="宋体" w:cs="宋体"/>
          <w:bCs/>
          <w:color w:val="auto"/>
          <w:sz w:val="21"/>
          <w:szCs w:val="21"/>
          <w:highlight w:val="none"/>
        </w:rPr>
      </w:pPr>
      <w:bookmarkStart w:id="58" w:name="_Toc16088"/>
      <w:bookmarkStart w:id="59" w:name="_Toc17903"/>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.合同授予标准</w:t>
      </w:r>
      <w:bookmarkEnd w:id="58"/>
    </w:p>
    <w:p w14:paraId="6721A226">
      <w:pPr>
        <w:pStyle w:val="13"/>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.1合同将授予被确定为实质上响应</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要求，评标认为具备履行合同能力，获得综合评分最高的</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w:t>
      </w:r>
      <w:bookmarkEnd w:id="59"/>
    </w:p>
    <w:p w14:paraId="213DB6CC">
      <w:pPr>
        <w:pStyle w:val="13"/>
        <w:spacing w:line="360" w:lineRule="auto"/>
        <w:ind w:firstLine="420" w:firstLineChars="200"/>
        <w:outlineLvl w:val="2"/>
        <w:rPr>
          <w:rFonts w:hint="eastAsia" w:ascii="宋体" w:hAnsi="宋体" w:eastAsia="宋体" w:cs="宋体"/>
          <w:bCs/>
          <w:color w:val="auto"/>
          <w:sz w:val="21"/>
          <w:szCs w:val="21"/>
          <w:highlight w:val="none"/>
          <w:lang w:val="en-US" w:eastAsia="zh-CN"/>
        </w:rPr>
      </w:pPr>
      <w:bookmarkStart w:id="60" w:name="_Toc22962"/>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.2采购人应按照评标报告中推荐的成交候选人顺序确定成交人</w:t>
      </w:r>
      <w:bookmarkEnd w:id="60"/>
      <w:r>
        <w:rPr>
          <w:rFonts w:hint="eastAsia" w:ascii="宋体" w:hAnsi="宋体" w:eastAsia="宋体" w:cs="宋体"/>
          <w:bCs/>
          <w:color w:val="auto"/>
          <w:sz w:val="21"/>
          <w:szCs w:val="21"/>
          <w:highlight w:val="none"/>
          <w:lang w:eastAsia="zh-CN"/>
        </w:rPr>
        <w:t>。</w:t>
      </w:r>
    </w:p>
    <w:p w14:paraId="3CD7BCC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、签订合同</w:t>
      </w:r>
    </w:p>
    <w:p w14:paraId="6BFB8883">
      <w:pPr>
        <w:pStyle w:val="13"/>
        <w:spacing w:line="360" w:lineRule="auto"/>
        <w:ind w:firstLine="420" w:firstLineChars="200"/>
        <w:rPr>
          <w:rFonts w:hint="eastAsia" w:ascii="宋体" w:hAnsi="宋体" w:eastAsia="宋体" w:cs="宋体"/>
          <w:color w:val="auto"/>
          <w:sz w:val="21"/>
          <w:szCs w:val="21"/>
          <w:highlight w:val="none"/>
          <w:lang w:eastAsia="zh-CN"/>
        </w:rPr>
      </w:pPr>
      <w:bookmarkStart w:id="61" w:name="_Toc459103905"/>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人领取电子</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通知书后，按成交通知书中规定的时间、地点与采购人签订合同</w:t>
      </w:r>
      <w:r>
        <w:rPr>
          <w:rFonts w:hint="eastAsia" w:hAnsi="宋体" w:cs="宋体"/>
          <w:color w:val="auto"/>
          <w:sz w:val="21"/>
          <w:szCs w:val="21"/>
          <w:highlight w:val="none"/>
          <w:lang w:eastAsia="zh-CN"/>
        </w:rPr>
        <w:t>。</w:t>
      </w:r>
    </w:p>
    <w:p w14:paraId="117351F7">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宋体" w:hAnsi="宋体" w:eastAsia="宋体" w:cs="宋体"/>
          <w:color w:val="auto"/>
          <w:sz w:val="21"/>
          <w:szCs w:val="21"/>
          <w:highlight w:val="none"/>
          <w:lang w:eastAsia="zh-CN"/>
        </w:rPr>
        <w:t>如采购人无正当理由拒签合同的，给</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供应商造成损失的，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供应商可追究采购人承担相应的法律责任。</w:t>
      </w:r>
    </w:p>
    <w:p w14:paraId="2218124C">
      <w:pPr>
        <w:pStyle w:val="13"/>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.3成交人因不可抗力或者自身原因不能履行政府采购合同的，采购人可以确定排名第二位的成交候选人并与其签订政府采购合同，以此类推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也可以重新开展政府采购活动</w:t>
      </w:r>
      <w:r>
        <w:rPr>
          <w:rFonts w:hint="eastAsia" w:ascii="宋体" w:hAnsi="宋体" w:eastAsia="宋体" w:cs="宋体"/>
          <w:color w:val="auto"/>
          <w:sz w:val="21"/>
          <w:szCs w:val="21"/>
          <w:highlight w:val="none"/>
          <w:lang w:eastAsia="zh-CN"/>
        </w:rPr>
        <w:t>。</w:t>
      </w:r>
    </w:p>
    <w:p w14:paraId="08A16C9E">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06030A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82336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25.6</w:t>
      </w:r>
      <w:r>
        <w:rPr>
          <w:rFonts w:hint="eastAsia" w:ascii="宋体" w:hAnsi="宋体" w:eastAsia="宋体" w:cs="宋体"/>
          <w:b/>
          <w:bCs/>
          <w:color w:val="auto"/>
          <w:kern w:val="2"/>
          <w:sz w:val="21"/>
          <w:szCs w:val="21"/>
          <w:highlight w:val="none"/>
          <w:lang w:val="en-US" w:eastAsia="zh-CN" w:bidi="ar-SA"/>
        </w:rPr>
        <w:t>采购人和成交人应当在《成交通知书》发出之日起</w:t>
      </w:r>
      <w:r>
        <w:rPr>
          <w:rFonts w:hint="eastAsia" w:ascii="宋体" w:hAnsi="宋体" w:cs="宋体"/>
          <w:b/>
          <w:bCs/>
          <w:color w:val="auto"/>
          <w:kern w:val="2"/>
          <w:sz w:val="21"/>
          <w:szCs w:val="21"/>
          <w:highlight w:val="none"/>
          <w:lang w:val="en-US" w:eastAsia="zh-CN" w:bidi="ar-SA"/>
        </w:rPr>
        <w:t>25</w:t>
      </w:r>
      <w:r>
        <w:rPr>
          <w:rFonts w:hint="eastAsia" w:ascii="宋体" w:hAnsi="宋体" w:eastAsia="宋体" w:cs="宋体"/>
          <w:b/>
          <w:bCs/>
          <w:color w:val="auto"/>
          <w:kern w:val="2"/>
          <w:sz w:val="21"/>
          <w:szCs w:val="21"/>
          <w:highlight w:val="none"/>
          <w:lang w:val="en-US" w:eastAsia="zh-CN" w:bidi="ar-SA"/>
        </w:rPr>
        <w:t>日内，根据《竞争性磋商文件》和成交人的《响应文件》等内容</w:t>
      </w:r>
      <w:r>
        <w:rPr>
          <w:rFonts w:hint="eastAsia" w:ascii="宋体" w:hAnsi="宋体" w:cs="宋体"/>
          <w:b/>
          <w:bCs/>
          <w:color w:val="auto"/>
          <w:kern w:val="2"/>
          <w:sz w:val="21"/>
          <w:szCs w:val="21"/>
          <w:highlight w:val="none"/>
          <w:lang w:val="en-US" w:eastAsia="zh-CN" w:bidi="ar-SA"/>
        </w:rPr>
        <w:t>签订合同</w:t>
      </w:r>
      <w:r>
        <w:rPr>
          <w:rFonts w:hint="eastAsia" w:ascii="宋体" w:hAnsi="宋体" w:eastAsia="宋体" w:cs="宋体"/>
          <w:b/>
          <w:bCs/>
          <w:color w:val="auto"/>
          <w:kern w:val="2"/>
          <w:sz w:val="21"/>
          <w:szCs w:val="21"/>
          <w:highlight w:val="none"/>
          <w:lang w:val="en-US" w:eastAsia="zh-CN" w:bidi="ar-SA"/>
        </w:rPr>
        <w:t>。</w:t>
      </w:r>
      <w:r>
        <w:rPr>
          <w:rFonts w:hint="eastAsia" w:hAnsi="宋体" w:cs="宋体"/>
          <w:b/>
          <w:bCs/>
          <w:color w:val="auto"/>
          <w:sz w:val="21"/>
          <w:szCs w:val="21"/>
          <w:highlight w:val="none"/>
          <w:lang w:val="en-US" w:eastAsia="zh-CN"/>
        </w:rPr>
        <w:t>成交单位</w:t>
      </w:r>
      <w:r>
        <w:rPr>
          <w:rFonts w:hint="eastAsia" w:ascii="宋体" w:hAnsi="宋体" w:eastAsia="宋体" w:cs="宋体"/>
          <w:b/>
          <w:bCs/>
          <w:color w:val="auto"/>
          <w:sz w:val="21"/>
          <w:szCs w:val="21"/>
          <w:highlight w:val="none"/>
        </w:rPr>
        <w:t>在签订施工合同前</w:t>
      </w:r>
      <w:r>
        <w:rPr>
          <w:rFonts w:hint="eastAsia" w:hAnsi="宋体" w:cs="宋体"/>
          <w:b/>
          <w:bCs/>
          <w:color w:val="auto"/>
          <w:sz w:val="21"/>
          <w:szCs w:val="21"/>
          <w:highlight w:val="none"/>
          <w:lang w:val="en-US" w:eastAsia="zh-CN"/>
        </w:rPr>
        <w:t>须提交</w:t>
      </w:r>
      <w:r>
        <w:rPr>
          <w:rFonts w:hint="eastAsia" w:ascii="宋体" w:hAnsi="宋体" w:eastAsia="宋体" w:cs="宋体"/>
          <w:b/>
          <w:bCs/>
          <w:color w:val="auto"/>
          <w:sz w:val="21"/>
          <w:szCs w:val="21"/>
          <w:highlight w:val="none"/>
        </w:rPr>
        <w:t>一份调整后的</w:t>
      </w:r>
      <w:r>
        <w:rPr>
          <w:rFonts w:hint="eastAsia" w:hAnsi="宋体" w:cs="宋体"/>
          <w:b/>
          <w:bCs/>
          <w:color w:val="auto"/>
          <w:sz w:val="21"/>
          <w:szCs w:val="21"/>
          <w:highlight w:val="none"/>
          <w:lang w:val="en-US" w:eastAsia="zh-CN"/>
        </w:rPr>
        <w:t>已标价工程量清单</w:t>
      </w:r>
      <w:r>
        <w:rPr>
          <w:rFonts w:hint="eastAsia" w:ascii="宋体" w:hAnsi="宋体" w:eastAsia="宋体" w:cs="宋体"/>
          <w:b/>
          <w:bCs/>
          <w:color w:val="auto"/>
          <w:sz w:val="21"/>
          <w:szCs w:val="21"/>
          <w:highlight w:val="none"/>
        </w:rPr>
        <w:t>递交给采购人，调整后的预算总价为成交单位磋商过程中的最后报价</w:t>
      </w:r>
      <w:r>
        <w:rPr>
          <w:rFonts w:hint="eastAsia" w:ascii="宋体" w:hAnsi="宋体" w:eastAsia="宋体" w:cs="宋体"/>
          <w:b/>
          <w:bCs/>
          <w:color w:val="auto"/>
          <w:kern w:val="2"/>
          <w:sz w:val="21"/>
          <w:szCs w:val="21"/>
          <w:highlight w:val="none"/>
          <w:lang w:val="en-US" w:eastAsia="zh-CN" w:bidi="ar-SA"/>
        </w:rPr>
        <w:t>。</w:t>
      </w:r>
    </w:p>
    <w:p w14:paraId="010585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25.7采购单位自采购合同签订之日起在2个工作日内（争取1个工作日内），将政府采购合同在财政部门指定的媒体上公告，但政府采购合同中涉及国家秘密、商业秘密的内容除外。</w:t>
      </w:r>
    </w:p>
    <w:p w14:paraId="736EE374">
      <w:pPr>
        <w:pStyle w:val="13"/>
        <w:spacing w:line="360" w:lineRule="auto"/>
        <w:outlineLvl w:val="2"/>
        <w:rPr>
          <w:rFonts w:hint="eastAsia" w:ascii="宋体" w:hAnsi="宋体" w:eastAsia="宋体" w:cs="宋体"/>
          <w:b/>
          <w:color w:val="auto"/>
          <w:sz w:val="21"/>
          <w:szCs w:val="21"/>
          <w:highlight w:val="none"/>
        </w:rPr>
      </w:pPr>
      <w:bookmarkStart w:id="62" w:name="_Toc8743"/>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.合同履行中的追加</w:t>
      </w:r>
      <w:bookmarkEnd w:id="62"/>
    </w:p>
    <w:p w14:paraId="33765B8A">
      <w:pPr>
        <w:pStyle w:val="1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17615C5">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27.农民工工资保障金</w:t>
      </w:r>
    </w:p>
    <w:p w14:paraId="6E00AA64">
      <w:pPr>
        <w:pStyle w:val="4"/>
        <w:spacing w:before="0" w:after="0" w:line="360" w:lineRule="auto"/>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27.1</w:t>
      </w:r>
      <w:r>
        <w:rPr>
          <w:rFonts w:hint="eastAsia" w:ascii="宋体" w:hAnsi="宋体" w:eastAsia="宋体" w:cs="宋体"/>
          <w:b w:val="0"/>
          <w:bCs w:val="0"/>
          <w:color w:val="auto"/>
          <w:sz w:val="21"/>
          <w:szCs w:val="21"/>
          <w:highlight w:val="none"/>
          <w:lang w:val="en-US" w:eastAsia="zh-CN"/>
        </w:rPr>
        <w:t>按合同条款执行</w:t>
      </w:r>
      <w:r>
        <w:rPr>
          <w:rFonts w:hint="eastAsia" w:ascii="宋体" w:hAnsi="宋体" w:eastAsia="宋体" w:cs="宋体"/>
          <w:b w:val="0"/>
          <w:color w:val="auto"/>
          <w:kern w:val="2"/>
          <w:sz w:val="21"/>
          <w:szCs w:val="21"/>
          <w:highlight w:val="none"/>
          <w:lang w:val="en-US" w:eastAsia="zh-CN" w:bidi="ar-SA"/>
        </w:rPr>
        <w:t>。</w:t>
      </w:r>
    </w:p>
    <w:p w14:paraId="1BC69998">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八、其他事项</w:t>
      </w:r>
      <w:bookmarkEnd w:id="61"/>
    </w:p>
    <w:p w14:paraId="23FF6A9A">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质疑和投诉</w:t>
      </w:r>
    </w:p>
    <w:p w14:paraId="31AF076F">
      <w:pPr>
        <w:pStyle w:val="1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28.1供应商认为磋商文件使自己的合法权益受到损害的，应当在获取磋商文件之日起七个工作日内，以书面形式向采购代理机构提出质疑；供应商认为报价过程或成交结果使自己的合法权益受到损害的，可以在知道其权益受到损害之日起七个工作日内，以书面形式向采购代理机构提出质疑，采购代理机构应认真做好质疑处理工作。</w:t>
      </w:r>
    </w:p>
    <w:p w14:paraId="5E16ED56">
      <w:pPr>
        <w:pStyle w:val="1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采购代理机构联系人：</w:t>
      </w:r>
      <w:r>
        <w:rPr>
          <w:rFonts w:hint="eastAsia" w:ascii="宋体" w:hAnsi="宋体" w:cs="宋体"/>
          <w:color w:val="auto"/>
          <w:kern w:val="2"/>
          <w:sz w:val="21"/>
          <w:szCs w:val="21"/>
          <w:highlight w:val="none"/>
          <w:lang w:val="en-US" w:eastAsia="zh-CN" w:bidi="ar-SA"/>
        </w:rPr>
        <w:t>刘宇倩</w:t>
      </w:r>
      <w:r>
        <w:rPr>
          <w:rFonts w:hint="eastAsia" w:ascii="宋体" w:hAnsi="宋体" w:eastAsia="宋体" w:cs="宋体"/>
          <w:color w:val="auto"/>
          <w:kern w:val="2"/>
          <w:sz w:val="21"/>
          <w:szCs w:val="21"/>
          <w:highlight w:val="none"/>
          <w:lang w:val="en-US" w:eastAsia="zh-CN" w:bidi="ar-SA"/>
        </w:rPr>
        <w:t>，联系电话：</w:t>
      </w:r>
      <w:r>
        <w:rPr>
          <w:rFonts w:hint="eastAsia" w:ascii="宋体" w:hAnsi="宋体" w:cs="宋体"/>
          <w:color w:val="auto"/>
          <w:kern w:val="2"/>
          <w:sz w:val="21"/>
          <w:szCs w:val="21"/>
          <w:highlight w:val="none"/>
          <w:lang w:val="en-US" w:eastAsia="zh-CN" w:bidi="ar-SA"/>
        </w:rPr>
        <w:t>0774-5081968</w:t>
      </w:r>
      <w:r>
        <w:rPr>
          <w:rFonts w:hint="eastAsia" w:ascii="宋体" w:hAnsi="宋体" w:eastAsia="宋体" w:cs="宋体"/>
          <w:color w:val="auto"/>
          <w:kern w:val="2"/>
          <w:sz w:val="21"/>
          <w:szCs w:val="21"/>
          <w:highlight w:val="none"/>
          <w:lang w:val="en-US" w:eastAsia="zh-CN" w:bidi="ar-SA"/>
        </w:rPr>
        <w:t>，联系地址：</w:t>
      </w:r>
      <w:r>
        <w:rPr>
          <w:rFonts w:hint="eastAsia" w:ascii="宋体" w:hAnsi="宋体" w:cs="宋体"/>
          <w:color w:val="auto"/>
          <w:kern w:val="2"/>
          <w:sz w:val="21"/>
          <w:szCs w:val="21"/>
          <w:highlight w:val="none"/>
          <w:lang w:val="en-US" w:eastAsia="zh-CN" w:bidi="ar-SA"/>
        </w:rPr>
        <w:t>贺州市平安东路绿洲家园B区B-2栋5号商铺2F</w:t>
      </w:r>
      <w:r>
        <w:rPr>
          <w:rFonts w:hint="eastAsia" w:ascii="宋体" w:hAnsi="宋体" w:eastAsia="宋体" w:cs="宋体"/>
          <w:color w:val="auto"/>
          <w:kern w:val="2"/>
          <w:sz w:val="21"/>
          <w:szCs w:val="21"/>
          <w:highlight w:val="none"/>
          <w:lang w:val="en-US" w:eastAsia="zh-CN" w:bidi="ar-SA"/>
        </w:rPr>
        <w:t>。</w:t>
      </w:r>
    </w:p>
    <w:p w14:paraId="51BDCBC5">
      <w:pPr>
        <w:pStyle w:val="1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28.2供应商对采购代理机构的质疑答复不满意或者采购代理机构未在规定的时间内作出答复的，可以在答复期满后十五个工作日内向政府采购监督管理机构投诉。</w:t>
      </w:r>
    </w:p>
    <w:p w14:paraId="5164CB49">
      <w:pPr>
        <w:pStyle w:val="1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28.3质疑、投诉应当采用书面形式，质疑书、投诉书实行实名制，均应明确阐述磋商文件、磋商过程或成交结果中使自己合法权益受到损害的实质性内容，并提供必要的证明材料。</w:t>
      </w:r>
    </w:p>
    <w:p w14:paraId="5F4670EA">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rPr>
        <w:t>解释权</w:t>
      </w:r>
    </w:p>
    <w:p w14:paraId="504ED6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是根据国家有关法律、法规以及政府采购管理有关规定和参照国际惯例编制，解释权属本采购代理机构。</w:t>
      </w:r>
    </w:p>
    <w:p w14:paraId="4BF302A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、代理</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费</w:t>
      </w:r>
    </w:p>
    <w:p w14:paraId="64BDCB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费：根据国家发改办【2003】857号文，代理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费由成交单位交纳，含在磋商报价内，代理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费金额按国家计委计价格【2002】1980号文规定的“招标代理服务收费标准”执行。由成交人在领取成交通知书时，一次性向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代理机构支付</w:t>
      </w:r>
      <w:r>
        <w:rPr>
          <w:rFonts w:hint="eastAsia" w:ascii="宋体" w:hAnsi="宋体" w:eastAsia="宋体" w:cs="宋体"/>
          <w:color w:val="auto"/>
          <w:sz w:val="21"/>
          <w:szCs w:val="21"/>
          <w:highlight w:val="none"/>
          <w:lang w:val="en-US" w:eastAsia="zh-CN"/>
        </w:rPr>
        <w:t>代理服务费</w:t>
      </w:r>
      <w:r>
        <w:rPr>
          <w:rFonts w:hint="eastAsia" w:ascii="宋体" w:hAnsi="宋体" w:cs="宋体"/>
          <w:color w:val="auto"/>
          <w:sz w:val="21"/>
          <w:szCs w:val="21"/>
          <w:highlight w:val="none"/>
          <w:lang w:val="en-US" w:eastAsia="zh-CN"/>
        </w:rPr>
        <w:t>。</w:t>
      </w:r>
    </w:p>
    <w:p w14:paraId="0588B6C4">
      <w:pPr>
        <w:spacing w:line="390" w:lineRule="exac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31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有关事宜</w:t>
      </w:r>
    </w:p>
    <w:p w14:paraId="7DA53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.1所有与本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有关的函电请按下列通讯地址联系：</w:t>
      </w:r>
    </w:p>
    <w:p w14:paraId="2765B51A">
      <w:pPr>
        <w:numPr>
          <w:ilvl w:val="0"/>
          <w:numId w:val="0"/>
        </w:num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31.1.1</w:t>
      </w:r>
      <w:r>
        <w:rPr>
          <w:rFonts w:hint="eastAsia" w:ascii="宋体" w:hAnsi="宋体" w:eastAsia="宋体" w:cs="宋体"/>
          <w:b w:val="0"/>
          <w:bCs w:val="0"/>
          <w:color w:val="auto"/>
          <w:sz w:val="21"/>
          <w:szCs w:val="21"/>
          <w:highlight w:val="none"/>
        </w:rPr>
        <w:t>采购代理机构：</w:t>
      </w:r>
    </w:p>
    <w:p w14:paraId="2D4C884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Cs w:val="21"/>
          <w:highlight w:val="none"/>
          <w:lang w:eastAsia="zh-CN"/>
        </w:rPr>
        <w:t>广西建采项目管理有限公司</w:t>
      </w:r>
    </w:p>
    <w:p w14:paraId="13F4459B">
      <w:pPr>
        <w:spacing w:line="360" w:lineRule="auto"/>
        <w:ind w:right="-192"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Cs w:val="21"/>
          <w:highlight w:val="none"/>
          <w:lang w:eastAsia="zh-CN"/>
        </w:rPr>
        <w:t>贺州市平安东路绿洲家园B区B-2栋5号商铺2F</w:t>
      </w:r>
    </w:p>
    <w:p w14:paraId="3CA55BD8">
      <w:pPr>
        <w:spacing w:line="360" w:lineRule="auto"/>
        <w:ind w:right="-19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刘宇倩</w:t>
      </w:r>
    </w:p>
    <w:p w14:paraId="43326BF1">
      <w:pPr>
        <w:spacing w:line="360" w:lineRule="auto"/>
        <w:ind w:right="-19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0774-5081968</w:t>
      </w:r>
    </w:p>
    <w:p w14:paraId="0250B8E7">
      <w:pPr>
        <w:pStyle w:val="8"/>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31.1.1监督单位全称：</w:t>
      </w:r>
    </w:p>
    <w:p w14:paraId="36BB88A2">
      <w:pPr>
        <w:pStyle w:val="8"/>
        <w:rPr>
          <w:rFonts w:hint="eastAsia" w:ascii="宋体" w:hAnsi="宋体" w:eastAsia="宋体" w:cs="宋体"/>
          <w:color w:val="auto"/>
          <w:highlight w:val="none"/>
          <w:lang w:val="en-US" w:eastAsia="zh-CN"/>
        </w:rPr>
      </w:pPr>
      <w:r>
        <w:rPr>
          <w:rFonts w:hint="eastAsia" w:ascii="宋体" w:hAnsi="宋体" w:cs="宋体"/>
          <w:b w:val="0"/>
          <w:bCs w:val="0"/>
          <w:color w:val="auto"/>
          <w:kern w:val="2"/>
          <w:sz w:val="21"/>
          <w:szCs w:val="21"/>
          <w:highlight w:val="none"/>
          <w:lang w:val="en-US" w:eastAsia="zh-CN" w:bidi="ar-SA"/>
        </w:rPr>
        <w:t>贺州市平桂区政府采购管理办公室，联系电话：0774-8832896</w:t>
      </w:r>
    </w:p>
    <w:p w14:paraId="6E1B9B5C">
      <w:pPr>
        <w:pStyle w:val="13"/>
        <w:spacing w:line="276" w:lineRule="auto"/>
        <w:ind w:firstLine="422" w:firstLineChars="200"/>
        <w:jc w:val="center"/>
        <w:outlineLvl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bookmarkStart w:id="63" w:name="_Toc439163592"/>
      <w:bookmarkStart w:id="64" w:name="_Toc26631"/>
      <w:bookmarkStart w:id="65" w:name="_Toc459103906"/>
      <w:bookmarkStart w:id="66" w:name="_Toc351203480"/>
      <w:bookmarkStart w:id="67" w:name="_Toc373478199"/>
      <w:bookmarkStart w:id="68" w:name="_Toc389065255"/>
      <w:bookmarkStart w:id="69" w:name="_Toc373227552"/>
      <w:bookmarkStart w:id="70" w:name="_Toc296503025"/>
      <w:bookmarkStart w:id="71" w:name="_Toc296890982"/>
      <w:bookmarkStart w:id="72" w:name="_Toc406071080"/>
      <w:bookmarkStart w:id="73" w:name="_Toc430095341"/>
      <w:bookmarkStart w:id="74" w:name="_Toc440877583"/>
      <w:r>
        <w:rPr>
          <w:rStyle w:val="60"/>
          <w:rFonts w:hint="eastAsia" w:ascii="宋体" w:hAnsi="宋体" w:eastAsia="宋体" w:cs="宋体"/>
          <w:color w:val="auto"/>
          <w:sz w:val="44"/>
          <w:szCs w:val="44"/>
          <w:highlight w:val="none"/>
        </w:rPr>
        <w:t>第三章  合同条款及格式</w:t>
      </w:r>
      <w:bookmarkEnd w:id="63"/>
      <w:bookmarkEnd w:id="64"/>
      <w:bookmarkEnd w:id="65"/>
    </w:p>
    <w:bookmarkEnd w:id="66"/>
    <w:bookmarkEnd w:id="67"/>
    <w:bookmarkEnd w:id="68"/>
    <w:bookmarkEnd w:id="69"/>
    <w:bookmarkEnd w:id="70"/>
    <w:bookmarkEnd w:id="71"/>
    <w:bookmarkEnd w:id="72"/>
    <w:bookmarkEnd w:id="73"/>
    <w:bookmarkEnd w:id="74"/>
    <w:p w14:paraId="7535323A">
      <w:pPr>
        <w:pStyle w:val="62"/>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Style w:val="25"/>
          <w:rFonts w:hint="eastAsia" w:ascii="宋体" w:hAnsi="宋体" w:eastAsia="宋体" w:cs="宋体"/>
          <w:color w:val="auto"/>
          <w:sz w:val="21"/>
          <w:szCs w:val="21"/>
          <w:highlight w:val="none"/>
          <w:shd w:val="clear" w:color="auto" w:fill="auto"/>
        </w:rPr>
      </w:pPr>
      <w:bookmarkStart w:id="75" w:name="_Toc351203652"/>
    </w:p>
    <w:p w14:paraId="5F1F2F85">
      <w:pPr>
        <w:pStyle w:val="81"/>
        <w:pageBreakBefore w:val="0"/>
        <w:widowControl w:val="0"/>
        <w:kinsoku/>
        <w:wordWrap/>
        <w:overflowPunct/>
        <w:topLinePunct w:val="0"/>
        <w:bidi w:val="0"/>
        <w:spacing w:line="480" w:lineRule="exact"/>
        <w:ind w:left="0" w:leftChars="0" w:firstLine="422" w:firstLineChars="200"/>
        <w:rPr>
          <w:rStyle w:val="25"/>
          <w:rFonts w:hint="eastAsia" w:ascii="宋体" w:hAnsi="宋体" w:eastAsia="宋体" w:cs="宋体"/>
          <w:b/>
          <w:color w:val="auto"/>
          <w:sz w:val="21"/>
          <w:szCs w:val="21"/>
          <w:highlight w:val="none"/>
        </w:rPr>
      </w:pPr>
    </w:p>
    <w:p w14:paraId="273F1CB2">
      <w:pPr>
        <w:pStyle w:val="79"/>
        <w:pageBreakBefore w:val="0"/>
        <w:widowControl w:val="0"/>
        <w:kinsoku/>
        <w:wordWrap/>
        <w:overflowPunct/>
        <w:topLinePunct w:val="0"/>
        <w:bidi w:val="0"/>
        <w:spacing w:line="480" w:lineRule="exact"/>
        <w:ind w:firstLine="420" w:firstLineChars="200"/>
        <w:rPr>
          <w:rStyle w:val="25"/>
          <w:rFonts w:hint="eastAsia" w:ascii="宋体" w:hAnsi="宋体" w:eastAsia="宋体" w:cs="宋体"/>
          <w:color w:val="auto"/>
          <w:sz w:val="21"/>
          <w:szCs w:val="21"/>
          <w:highlight w:val="none"/>
        </w:rPr>
      </w:pPr>
    </w:p>
    <w:p w14:paraId="2708AF9D">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5FF3A08D">
      <w:pPr>
        <w:spacing w:line="560" w:lineRule="atLeast"/>
        <w:jc w:val="both"/>
        <w:rPr>
          <w:rFonts w:hint="eastAsia" w:ascii="仿宋" w:hAnsi="仿宋" w:eastAsia="仿宋" w:cs="仿宋"/>
          <w:b/>
          <w:bCs/>
          <w:color w:val="auto"/>
          <w:sz w:val="30"/>
          <w:szCs w:val="30"/>
          <w:highlight w:val="none"/>
        </w:rPr>
      </w:pPr>
    </w:p>
    <w:p w14:paraId="7DAB9070">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第一部分、合同协议书</w:t>
      </w:r>
    </w:p>
    <w:p w14:paraId="066B2A2B">
      <w:pPr>
        <w:tabs>
          <w:tab w:val="left" w:pos="0"/>
        </w:tabs>
        <w:spacing w:line="56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第二部分、通用合同条款</w:t>
      </w:r>
    </w:p>
    <w:p w14:paraId="2132BA49">
      <w:pPr>
        <w:tabs>
          <w:tab w:val="left" w:pos="0"/>
        </w:tabs>
        <w:spacing w:line="560" w:lineRule="atLeas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 xml:space="preserve">    第三部分、专用合同条款</w:t>
      </w:r>
    </w:p>
    <w:p w14:paraId="5444D3A6">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第四部分、附件</w:t>
      </w:r>
    </w:p>
    <w:p w14:paraId="1FF0366A">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5148E02">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372C0B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6876379">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D4F13A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ED251C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702FC0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B66576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D71B6A">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8A8255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00AC91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FC0EF96">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10CAC3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5BA4B9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514135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CDD260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7076BA6E">
      <w:pPr>
        <w:keepNext w:val="0"/>
        <w:keepLines w:val="0"/>
        <w:pageBreakBefore w:val="0"/>
        <w:widowControl w:val="0"/>
        <w:kinsoku/>
        <w:wordWrap/>
        <w:overflowPunct/>
        <w:topLinePunct w:val="0"/>
        <w:autoSpaceDE/>
        <w:autoSpaceDN/>
        <w:bidi w:val="0"/>
        <w:adjustRightInd/>
        <w:snapToGrid/>
        <w:spacing w:before="157" w:beforeLines="50" w:line="460" w:lineRule="exact"/>
        <w:ind w:firstLine="482"/>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贺州市平桂区羊头镇人民政府</w:t>
      </w:r>
      <w:r>
        <w:rPr>
          <w:rFonts w:hint="eastAsia" w:ascii="仿宋" w:hAnsi="仿宋" w:eastAsia="仿宋" w:cs="仿宋"/>
          <w:b/>
          <w:color w:val="auto"/>
          <w:sz w:val="24"/>
          <w:szCs w:val="24"/>
          <w:highlight w:val="none"/>
          <w:u w:val="single"/>
        </w:rPr>
        <w:t>(以下简称“发包人”)</w:t>
      </w:r>
    </w:p>
    <w:p w14:paraId="1B6F2CA6">
      <w:pPr>
        <w:keepNext w:val="0"/>
        <w:keepLines w:val="0"/>
        <w:pageBreakBefore w:val="0"/>
        <w:widowControl w:val="0"/>
        <w:kinsoku/>
        <w:wordWrap/>
        <w:overflowPunct/>
        <w:topLinePunct w:val="0"/>
        <w:autoSpaceDE/>
        <w:autoSpaceDN/>
        <w:bidi w:val="0"/>
        <w:adjustRightInd/>
        <w:snapToGrid/>
        <w:spacing w:before="157" w:beforeLines="50" w:line="460" w:lineRule="exact"/>
        <w:ind w:left="239" w:leftChars="114" w:firstLine="307" w:firstLineChars="1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76" w:name="_Toc351203481"/>
      <w:r>
        <w:rPr>
          <w:rFonts w:hint="eastAsia" w:ascii="仿宋" w:hAnsi="仿宋" w:eastAsia="仿宋" w:cs="仿宋"/>
          <w:color w:val="auto"/>
          <w:sz w:val="24"/>
          <w:szCs w:val="24"/>
          <w:highlight w:val="none"/>
        </w:rPr>
        <w:t>发包人和承包人共同达成如下协议。</w:t>
      </w:r>
    </w:p>
    <w:p w14:paraId="09EC6BFE">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10" w:firstLineChars="171"/>
        <w:textAlignment w:val="auto"/>
        <w:rPr>
          <w:rFonts w:hint="default" w:ascii="仿宋" w:hAnsi="仿宋" w:eastAsia="仿宋" w:cs="仿宋"/>
          <w:color w:val="auto"/>
          <w:sz w:val="24"/>
          <w:szCs w:val="24"/>
          <w:highlight w:val="none"/>
          <w:lang w:val="en-US" w:eastAsia="zh-CN"/>
        </w:rPr>
      </w:pPr>
      <w:bookmarkStart w:id="77" w:name="_Toc168475885"/>
      <w:bookmarkStart w:id="78" w:name="_Toc168476288"/>
      <w:bookmarkStart w:id="79" w:name="_Toc144974828"/>
      <w:r>
        <w:rPr>
          <w:rFonts w:hint="eastAsia" w:ascii="仿宋" w:hAnsi="仿宋" w:eastAsia="仿宋" w:cs="仿宋"/>
          <w:color w:val="auto"/>
          <w:sz w:val="24"/>
          <w:szCs w:val="24"/>
          <w:highlight w:val="none"/>
        </w:rPr>
        <w:t>本协议书与下列文件一起构成合同文件</w:t>
      </w:r>
      <w:bookmarkEnd w:id="77"/>
      <w:bookmarkEnd w:id="78"/>
      <w:bookmarkEnd w:id="79"/>
      <w:r>
        <w:rPr>
          <w:rFonts w:hint="eastAsia" w:ascii="仿宋" w:hAnsi="仿宋" w:eastAsia="仿宋" w:cs="仿宋"/>
          <w:color w:val="auto"/>
          <w:sz w:val="24"/>
          <w:szCs w:val="24"/>
          <w:highlight w:val="none"/>
          <w:lang w:eastAsia="zh-CN"/>
        </w:rPr>
        <w:t>：</w:t>
      </w:r>
    </w:p>
    <w:p w14:paraId="6F8ED6E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bookmarkStart w:id="80" w:name="_Toc168475886"/>
      <w:bookmarkStart w:id="81" w:name="_Toc168476289"/>
      <w:bookmarkStart w:id="82" w:name="_Toc144974829"/>
      <w:r>
        <w:rPr>
          <w:rFonts w:hint="eastAsia" w:ascii="仿宋" w:hAnsi="仿宋" w:eastAsia="仿宋" w:cs="仿宋"/>
          <w:color w:val="auto"/>
          <w:sz w:val="24"/>
          <w:szCs w:val="24"/>
          <w:highlight w:val="none"/>
        </w:rPr>
        <w:t>（1）合同协议书（包括补充协议、合同谈判备忘录）；</w:t>
      </w:r>
    </w:p>
    <w:p w14:paraId="6C317C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6FB92A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35A7E5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6F77DB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316996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11EE2A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2656BD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2F869A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103A86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09075C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80"/>
      <w:bookmarkEnd w:id="81"/>
      <w:bookmarkEnd w:id="82"/>
    </w:p>
    <w:p w14:paraId="3E3482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Calibri" w:hAnsi="Calibri" w:eastAsia="宋体" w:cs="Times New Roman"/>
          <w:color w:val="auto"/>
          <w:highlight w:val="non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w:t>
      </w:r>
    </w:p>
    <w:p w14:paraId="544B04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339F48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b/>
          <w:bCs/>
          <w:color w:val="auto"/>
          <w:sz w:val="24"/>
          <w:szCs w:val="24"/>
          <w:highlight w:val="none"/>
          <w:lang w:eastAsia="zh-CN"/>
        </w:rPr>
        <w:t>合同形式</w:t>
      </w:r>
      <w:r>
        <w:rPr>
          <w:rFonts w:hint="eastAsia" w:ascii="仿宋" w:hAnsi="仿宋" w:eastAsia="仿宋" w:cs="仿宋"/>
          <w:b/>
          <w:bCs/>
          <w:color w:val="auto"/>
          <w:sz w:val="24"/>
          <w:highlight w:val="none"/>
          <w:u w:val="none"/>
          <w:lang w:val="en-US" w:eastAsia="zh-CN"/>
        </w:rPr>
        <w:t>：</w:t>
      </w:r>
      <w:r>
        <w:rPr>
          <w:rFonts w:hint="eastAsia" w:ascii="仿宋" w:hAnsi="仿宋" w:eastAsia="仿宋" w:cs="仿宋"/>
          <w:b/>
          <w:bCs/>
          <w:color w:val="auto"/>
          <w:sz w:val="24"/>
          <w:highlight w:val="none"/>
          <w:u w:val="single"/>
          <w:lang w:val="en-US" w:eastAsia="zh-CN"/>
        </w:rPr>
        <w:t xml:space="preserve">   固定单价    </w:t>
      </w:r>
      <w:r>
        <w:rPr>
          <w:rFonts w:hint="eastAsia" w:ascii="仿宋" w:hAnsi="仿宋" w:eastAsia="仿宋" w:cs="仿宋"/>
          <w:b/>
          <w:bCs/>
          <w:color w:val="auto"/>
          <w:sz w:val="24"/>
          <w:szCs w:val="24"/>
          <w:highlight w:val="none"/>
        </w:rPr>
        <w:t>。</w:t>
      </w:r>
    </w:p>
    <w:p w14:paraId="4F7CD65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50A857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承包人承诺按合同约定承担工程的实施、完成及缺陷修复。</w:t>
      </w:r>
    </w:p>
    <w:p w14:paraId="40C6D0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每期进度款将以不低于工程款10%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068CC894">
      <w:pPr>
        <w:keepNext w:val="0"/>
        <w:keepLines w:val="0"/>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p>
    <w:p w14:paraId="4903C546">
      <w:pPr>
        <w:keepNext w:val="0"/>
        <w:keepLines w:val="0"/>
        <w:pageBreakBefore w:val="0"/>
        <w:widowControl w:val="0"/>
        <w:kinsoku/>
        <w:wordWrap/>
        <w:overflowPunct/>
        <w:topLinePunct w:val="0"/>
        <w:autoSpaceDE/>
        <w:autoSpaceDN/>
        <w:bidi w:val="0"/>
        <w:adjustRightInd/>
        <w:snapToGrid/>
        <w:spacing w:line="460" w:lineRule="exact"/>
        <w:ind w:left="239" w:leftChars="114"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b/>
          <w:bCs/>
          <w:strike w:val="0"/>
          <w:dstrike w:val="0"/>
          <w:color w:val="auto"/>
          <w:sz w:val="24"/>
          <w:szCs w:val="24"/>
          <w:highlight w:val="none"/>
          <w:u w:val="none"/>
          <w:lang w:eastAsia="zh-CN"/>
        </w:rPr>
        <w:t>计划</w:t>
      </w:r>
      <w:r>
        <w:rPr>
          <w:rFonts w:hint="eastAsia" w:ascii="仿宋" w:hAnsi="仿宋" w:eastAsia="仿宋" w:cs="仿宋"/>
          <w:b/>
          <w:bCs/>
          <w:color w:val="auto"/>
          <w:sz w:val="24"/>
          <w:szCs w:val="24"/>
          <w:highlight w:val="none"/>
        </w:rPr>
        <w:t>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1E93D0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承包人必须按施工规范、要求做好施工，保证质量，若出现质量不合格的、要及时返工，返工的一切人工、材料等费用，由承包人负责，但工期不增加。</w:t>
      </w:r>
    </w:p>
    <w:p w14:paraId="4921DB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.承包人在施工中，要重视安全生产，加强管理，按安全生产要求施工，如发生安全事故，一切责任及费用由承包人负责。</w:t>
      </w:r>
    </w:p>
    <w:p w14:paraId="3ABE4E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.承包人要按规定、按要求及时整理、及时提供施工中的工程档案资料，否则发包方拒绝付款。</w:t>
      </w:r>
    </w:p>
    <w:p w14:paraId="2D6453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2F71A3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.本合同协议书经双方法定代表人或其委托代理人签名并分别盖本单位公章后生效。</w:t>
      </w:r>
    </w:p>
    <w:p w14:paraId="76ED28A6">
      <w:pPr>
        <w:keepNext w:val="0"/>
        <w:keepLines w:val="0"/>
        <w:pageBreakBefore w:val="0"/>
        <w:widowControl w:val="0"/>
        <w:kinsoku/>
        <w:wordWrap/>
        <w:overflowPunct/>
        <w:topLinePunct w:val="0"/>
        <w:autoSpaceDE/>
        <w:autoSpaceDN/>
        <w:bidi w:val="0"/>
        <w:adjustRightInd/>
        <w:snapToGrid/>
        <w:spacing w:line="460" w:lineRule="exact"/>
        <w:ind w:left="149" w:leftChars="71"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.本协议书一式</w:t>
      </w:r>
      <w:r>
        <w:rPr>
          <w:rFonts w:hint="eastAsia" w:ascii="仿宋" w:hAnsi="仿宋" w:eastAsia="仿宋" w:cs="仿宋"/>
          <w:color w:val="auto"/>
          <w:sz w:val="24"/>
          <w:szCs w:val="24"/>
          <w:highlight w:val="none"/>
          <w:u w:val="single"/>
          <w:lang w:eastAsia="zh-CN"/>
        </w:rPr>
        <w:t>陆</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lang w:eastAsia="zh-CN"/>
        </w:rPr>
        <w:t>叁</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2A09216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highlight w:val="none"/>
        </w:rPr>
      </w:pPr>
      <w:bookmarkStart w:id="83" w:name="_Toc168475887"/>
      <w:bookmarkStart w:id="84" w:name="_Toc168476290"/>
      <w:bookmarkStart w:id="85" w:name="_Toc144974830"/>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.合同未尽事宜，双方另行签订补充协议。补充协议是合同的组成部分。</w:t>
      </w:r>
      <w:bookmarkEnd w:id="83"/>
      <w:bookmarkEnd w:id="84"/>
      <w:bookmarkEnd w:id="85"/>
    </w:p>
    <w:p w14:paraId="7226474A">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rPr>
      </w:pPr>
    </w:p>
    <w:p w14:paraId="3B5FB998">
      <w:pPr>
        <w:keepNext w:val="0"/>
        <w:keepLines w:val="0"/>
        <w:pageBreakBefore w:val="0"/>
        <w:kinsoku/>
        <w:wordWrap/>
        <w:overflowPunct/>
        <w:topLinePunct w:val="0"/>
        <w:bidi w:val="0"/>
        <w:snapToGrid/>
        <w:spacing w:line="520" w:lineRule="exact"/>
        <w:ind w:left="1400" w:hanging="1200" w:hangingChars="500"/>
        <w:jc w:val="both"/>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发包人：</w:t>
      </w:r>
      <w:r>
        <w:rPr>
          <w:rFonts w:hint="eastAsia" w:ascii="仿宋" w:hAnsi="仿宋" w:eastAsia="仿宋" w:cs="仿宋"/>
          <w:b w:val="0"/>
          <w:bCs w:val="0"/>
          <w:color w:val="auto"/>
          <w:sz w:val="24"/>
          <w:szCs w:val="24"/>
          <w:highlight w:val="none"/>
          <w:u w:val="single"/>
          <w:lang w:val="en-US" w:eastAsia="zh-CN"/>
        </w:rPr>
        <w:t>贺州市平桂区羊头镇人民政府</w:t>
      </w:r>
      <w:r>
        <w:rPr>
          <w:rFonts w:hint="eastAsia" w:ascii="仿宋" w:hAnsi="仿宋" w:eastAsia="仿宋" w:cs="仿宋"/>
          <w:b w:val="0"/>
          <w:bCs w:val="0"/>
          <w:color w:val="auto"/>
          <w:sz w:val="24"/>
          <w:szCs w:val="24"/>
          <w:highlight w:val="none"/>
        </w:rPr>
        <w:t>（公章）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承包人</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u w:val="single"/>
          <w:lang w:val="en-US" w:eastAsia="zh-CN"/>
        </w:rPr>
        <w:t xml:space="preserve">     （公章）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p>
    <w:p w14:paraId="014E64A0">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法定代表人：（签名）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法定代表人：（签名） </w:t>
      </w:r>
    </w:p>
    <w:p w14:paraId="43D9D394">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 xml:space="preserve">（或委托代理人）: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（或委托代理人）:</w:t>
      </w:r>
      <w:r>
        <w:rPr>
          <w:rFonts w:hint="eastAsia" w:ascii="仿宋" w:hAnsi="仿宋" w:eastAsia="仿宋" w:cs="仿宋"/>
          <w:b w:val="0"/>
          <w:bCs w:val="0"/>
          <w:color w:val="auto"/>
          <w:sz w:val="24"/>
          <w:szCs w:val="24"/>
          <w:highlight w:val="none"/>
          <w:u w:val="single"/>
          <w:lang w:val="en-US" w:eastAsia="zh-CN"/>
        </w:rPr>
        <w:t xml:space="preserve">             </w:t>
      </w:r>
    </w:p>
    <w:p w14:paraId="4825CAD7">
      <w:pPr>
        <w:keepNext w:val="0"/>
        <w:keepLines w:val="0"/>
        <w:pageBreakBefore w:val="0"/>
        <w:kinsoku/>
        <w:wordWrap/>
        <w:overflowPunct/>
        <w:topLinePunct w:val="0"/>
        <w:bidi w:val="0"/>
        <w:snapToGrid/>
        <w:spacing w:line="520" w:lineRule="exact"/>
        <w:ind w:left="5542" w:hanging="5520" w:hangingChars="2300"/>
        <w:jc w:val="both"/>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p>
    <w:p w14:paraId="06004E16">
      <w:pPr>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    话</w:t>
      </w:r>
      <w:r>
        <w:rPr>
          <w:rFonts w:hint="eastAsia" w:ascii="仿宋" w:hAnsi="仿宋" w:eastAsia="仿宋" w:cs="仿宋"/>
          <w:b w:val="0"/>
          <w:bCs w:val="0"/>
          <w:color w:val="auto"/>
          <w:sz w:val="24"/>
          <w:szCs w:val="24"/>
          <w:highlight w:val="none"/>
          <w:u w:val="single"/>
        </w:rPr>
        <w:t>：</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电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 xml:space="preserve">                      </w:t>
      </w:r>
    </w:p>
    <w:p w14:paraId="5AF4E030">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shd w:val="clear" w:color="auto" w:fill="FFFFFF"/>
        </w:rPr>
        <w:t xml:space="preserve">      </w:t>
      </w:r>
    </w:p>
    <w:p w14:paraId="33FCBEAE">
      <w:pPr>
        <w:pageBreakBefore w:val="0"/>
        <w:widowControl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开户名全称：</w:t>
      </w:r>
      <w:r>
        <w:rPr>
          <w:rFonts w:hint="eastAsia" w:ascii="仿宋" w:hAnsi="仿宋" w:eastAsia="仿宋" w:cs="仿宋"/>
          <w:b w:val="0"/>
          <w:bCs w:val="0"/>
          <w:color w:val="auto"/>
          <w:kern w:val="0"/>
          <w:sz w:val="24"/>
          <w:szCs w:val="24"/>
          <w:highlight w:val="none"/>
          <w:u w:val="single"/>
          <w:lang w:val="en-US" w:eastAsia="zh-CN" w:bidi="ar-SA"/>
        </w:rPr>
        <w:t xml:space="preserve">          </w:t>
      </w:r>
      <w:r>
        <w:rPr>
          <w:rFonts w:hint="eastAsia" w:ascii="仿宋" w:hAnsi="仿宋" w:eastAsia="仿宋" w:cs="仿宋"/>
          <w:b w:val="0"/>
          <w:bCs w:val="0"/>
          <w:color w:val="auto"/>
          <w:kern w:val="0"/>
          <w:sz w:val="24"/>
          <w:szCs w:val="24"/>
          <w:highlight w:val="none"/>
          <w:lang w:val="en-US" w:eastAsia="zh-CN" w:bidi="ar-SA"/>
        </w:rPr>
        <w:t xml:space="preserve">                      开户名全称：</w:t>
      </w:r>
      <w:r>
        <w:rPr>
          <w:rFonts w:hint="eastAsia" w:ascii="仿宋" w:hAnsi="仿宋" w:eastAsia="仿宋" w:cs="仿宋"/>
          <w:b w:val="0"/>
          <w:bCs w:val="0"/>
          <w:color w:val="auto"/>
          <w:kern w:val="0"/>
          <w:sz w:val="24"/>
          <w:szCs w:val="24"/>
          <w:highlight w:val="none"/>
          <w:u w:val="single"/>
          <w:lang w:val="en-US" w:eastAsia="zh-CN" w:bidi="ar-SA"/>
        </w:rPr>
        <w:t xml:space="preserve">               </w:t>
      </w:r>
    </w:p>
    <w:p w14:paraId="69546F9B">
      <w:pPr>
        <w:pageBreakBefore w:val="0"/>
        <w:widowControl w:val="0"/>
        <w:tabs>
          <w:tab w:val="left" w:pos="4500"/>
        </w:tabs>
        <w:kinsoku/>
        <w:wordWrap/>
        <w:overflowPunct/>
        <w:topLinePunct w:val="0"/>
        <w:autoSpaceDE/>
        <w:autoSpaceDN/>
        <w:bidi w:val="0"/>
        <w:adjustRightInd/>
        <w:spacing w:line="460" w:lineRule="exact"/>
        <w:jc w:val="both"/>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账    号：</w:t>
      </w:r>
      <w:r>
        <w:rPr>
          <w:rFonts w:hint="eastAsia" w:ascii="仿宋" w:hAnsi="仿宋" w:eastAsia="仿宋" w:cs="仿宋"/>
          <w:b w:val="0"/>
          <w:bCs w:val="0"/>
          <w:color w:val="auto"/>
          <w:kern w:val="0"/>
          <w:sz w:val="24"/>
          <w:szCs w:val="24"/>
          <w:highlight w:val="none"/>
          <w:u w:val="single"/>
          <w:lang w:val="en-US" w:eastAsia="zh-CN" w:bidi="ar-SA"/>
        </w:rPr>
        <w:t xml:space="preserve">            </w:t>
      </w:r>
      <w:r>
        <w:rPr>
          <w:rFonts w:hint="eastAsia" w:ascii="仿宋" w:hAnsi="仿宋" w:eastAsia="仿宋" w:cs="仿宋"/>
          <w:b w:val="0"/>
          <w:bCs w:val="0"/>
          <w:color w:val="auto"/>
          <w:kern w:val="0"/>
          <w:sz w:val="24"/>
          <w:szCs w:val="24"/>
          <w:highlight w:val="none"/>
          <w:lang w:val="en-US" w:eastAsia="zh-CN" w:bidi="ar-SA"/>
        </w:rPr>
        <w:t xml:space="preserve">                      账   </w:t>
      </w:r>
      <w:r>
        <w:rPr>
          <w:rFonts w:hint="eastAsia" w:ascii="仿宋" w:hAnsi="仿宋" w:eastAsia="仿宋" w:cs="仿宋"/>
          <w:b w:val="0"/>
          <w:bCs w:val="0"/>
          <w:color w:val="auto"/>
          <w:kern w:val="0"/>
          <w:sz w:val="24"/>
          <w:szCs w:val="24"/>
          <w:highlight w:val="none"/>
          <w:u w:val="none"/>
          <w:lang w:val="en-US" w:eastAsia="zh-CN" w:bidi="ar-SA"/>
        </w:rPr>
        <w:t xml:space="preserve">   号：</w:t>
      </w:r>
      <w:r>
        <w:rPr>
          <w:rFonts w:hint="eastAsia" w:ascii="仿宋" w:hAnsi="仿宋" w:eastAsia="仿宋" w:cs="仿宋"/>
          <w:b w:val="0"/>
          <w:bCs w:val="0"/>
          <w:color w:val="auto"/>
          <w:kern w:val="0"/>
          <w:sz w:val="24"/>
          <w:szCs w:val="24"/>
          <w:highlight w:val="none"/>
          <w:u w:val="single"/>
          <w:lang w:val="en-US" w:eastAsia="zh-CN" w:bidi="ar-SA"/>
        </w:rPr>
        <w:t xml:space="preserve">               </w:t>
      </w:r>
      <w:r>
        <w:rPr>
          <w:rFonts w:hint="eastAsia" w:ascii="仿宋" w:hAnsi="仿宋" w:eastAsia="仿宋" w:cs="仿宋"/>
          <w:b w:val="0"/>
          <w:bCs w:val="0"/>
          <w:color w:val="auto"/>
          <w:kern w:val="0"/>
          <w:sz w:val="24"/>
          <w:szCs w:val="24"/>
          <w:highlight w:val="none"/>
          <w:u w:val="none"/>
          <w:lang w:val="en-US" w:eastAsia="zh-CN" w:bidi="ar-SA"/>
        </w:rPr>
        <w:t xml:space="preserve">   </w:t>
      </w:r>
    </w:p>
    <w:p w14:paraId="2B439D9B">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lang w:val="en-US" w:eastAsia="zh-CN"/>
        </w:rPr>
        <w:t xml:space="preserve">               </w:t>
      </w:r>
    </w:p>
    <w:p w14:paraId="52F7F725">
      <w:pPr>
        <w:keepNext w:val="0"/>
        <w:keepLines w:val="0"/>
        <w:pageBreakBefore w:val="0"/>
        <w:kinsoku/>
        <w:wordWrap/>
        <w:overflowPunct/>
        <w:topLinePunct w:val="0"/>
        <w:bidi w:val="0"/>
        <w:snapToGrid/>
        <w:spacing w:line="520" w:lineRule="exact"/>
        <w:ind w:left="7349" w:hanging="7320" w:hangingChars="305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u w:val="none"/>
          <w:lang w:val="en-US" w:eastAsia="zh-CN"/>
        </w:rPr>
        <w:t>统一社会信用代码：</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highlight w:val="none"/>
        </w:rPr>
        <w:t>农民工工资专用账户</w:t>
      </w:r>
    </w:p>
    <w:p w14:paraId="046AE4E5">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户名：</w:t>
      </w:r>
      <w:r>
        <w:rPr>
          <w:rFonts w:hint="eastAsia" w:ascii="仿宋" w:hAnsi="仿宋" w:eastAsia="仿宋" w:cs="仿宋"/>
          <w:b w:val="0"/>
          <w:bCs w:val="0"/>
          <w:color w:val="auto"/>
          <w:sz w:val="24"/>
          <w:highlight w:val="none"/>
          <w:u w:val="single"/>
          <w:lang w:val="en-US" w:eastAsia="zh-CN"/>
        </w:rPr>
        <w:t xml:space="preserve">                     </w:t>
      </w:r>
    </w:p>
    <w:p w14:paraId="6587752F">
      <w:pPr>
        <w:keepNext w:val="0"/>
        <w:keepLines w:val="0"/>
        <w:pageBreakBefore w:val="0"/>
        <w:kinsoku/>
        <w:wordWrap/>
        <w:overflowPunct/>
        <w:topLinePunct w:val="0"/>
        <w:bidi w:val="0"/>
        <w:snapToGrid/>
        <w:spacing w:line="520" w:lineRule="exact"/>
        <w:textAlignment w:val="auto"/>
        <w:rPr>
          <w:rFonts w:hint="default"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账户：</w:t>
      </w:r>
      <w:r>
        <w:rPr>
          <w:rFonts w:hint="eastAsia" w:ascii="仿宋" w:hAnsi="仿宋" w:eastAsia="仿宋" w:cs="仿宋"/>
          <w:b w:val="0"/>
          <w:bCs w:val="0"/>
          <w:color w:val="auto"/>
          <w:sz w:val="24"/>
          <w:highlight w:val="none"/>
          <w:u w:val="single"/>
          <w:lang w:val="en-US" w:eastAsia="zh-CN"/>
        </w:rPr>
        <w:t xml:space="preserve">                       </w:t>
      </w:r>
    </w:p>
    <w:p w14:paraId="1822A6A0">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开户行：</w:t>
      </w:r>
      <w:r>
        <w:rPr>
          <w:rFonts w:hint="eastAsia" w:ascii="仿宋" w:hAnsi="仿宋" w:eastAsia="仿宋" w:cs="仿宋"/>
          <w:b w:val="0"/>
          <w:bCs w:val="0"/>
          <w:color w:val="auto"/>
          <w:sz w:val="24"/>
          <w:highlight w:val="none"/>
          <w:u w:val="single"/>
          <w:lang w:val="en-US" w:eastAsia="zh-CN"/>
        </w:rPr>
        <w:t xml:space="preserve">                    </w:t>
      </w:r>
    </w:p>
    <w:p w14:paraId="27C8C5BC">
      <w:pPr>
        <w:keepNext w:val="0"/>
        <w:keepLines w:val="0"/>
        <w:pageBreakBefore w:val="0"/>
        <w:kinsoku/>
        <w:wordWrap/>
        <w:overflowPunct/>
        <w:topLinePunct w:val="0"/>
        <w:bidi w:val="0"/>
        <w:snapToGrid/>
        <w:spacing w:line="520" w:lineRule="exact"/>
        <w:ind w:firstLine="960" w:firstLineChars="4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u w:val="single"/>
          <w:lang w:val="en-US" w:eastAsia="zh-CN"/>
        </w:rPr>
        <w:t xml:space="preserve">2025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2025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bookmarkEnd w:id="76"/>
    </w:p>
    <w:p w14:paraId="547192EF">
      <w:pPr>
        <w:rPr>
          <w:rFonts w:hint="eastAsia" w:ascii="仿宋" w:hAnsi="仿宋" w:eastAsia="仿宋" w:cs="仿宋"/>
          <w:b/>
          <w:color w:val="auto"/>
          <w:kern w:val="0"/>
          <w:sz w:val="30"/>
          <w:szCs w:val="30"/>
          <w:highlight w:val="none"/>
          <w:lang w:val="en-US" w:eastAsia="zh-CN" w:bidi="ar-SA"/>
        </w:rPr>
      </w:pPr>
      <w:r>
        <w:rPr>
          <w:rFonts w:hint="eastAsia" w:ascii="仿宋" w:hAnsi="仿宋" w:eastAsia="仿宋" w:cs="仿宋"/>
          <w:b/>
          <w:color w:val="auto"/>
          <w:kern w:val="0"/>
          <w:sz w:val="30"/>
          <w:szCs w:val="30"/>
          <w:highlight w:val="none"/>
          <w:lang w:val="en-US" w:eastAsia="zh-CN" w:bidi="ar-SA"/>
        </w:rPr>
        <w:br w:type="page"/>
      </w:r>
    </w:p>
    <w:p w14:paraId="44AE4D9F">
      <w:pPr>
        <w:pageBreakBefore w:val="0"/>
        <w:widowControl w:val="0"/>
        <w:numPr>
          <w:ilvl w:val="0"/>
          <w:numId w:val="0"/>
        </w:numPr>
        <w:kinsoku/>
        <w:wordWrap/>
        <w:overflowPunct/>
        <w:topLinePunct w:val="0"/>
        <w:autoSpaceDE w:val="0"/>
        <w:autoSpaceDN w:val="0"/>
        <w:bidi w:val="0"/>
        <w:adjustRightInd w:val="0"/>
        <w:spacing w:before="100" w:after="100" w:line="440" w:lineRule="exact"/>
        <w:ind w:left="360" w:right="720" w:rightChars="0"/>
        <w:jc w:val="center"/>
        <w:textAlignment w:val="auto"/>
        <w:rPr>
          <w:rFonts w:hint="eastAsia" w:ascii="仿宋" w:hAnsi="仿宋" w:eastAsia="仿宋" w:cs="仿宋"/>
          <w:b/>
          <w:color w:val="auto"/>
          <w:kern w:val="0"/>
          <w:sz w:val="30"/>
          <w:szCs w:val="30"/>
          <w:highlight w:val="none"/>
          <w:lang w:val="en-US" w:eastAsia="zh-CN" w:bidi="ar-SA"/>
        </w:rPr>
      </w:pPr>
      <w:r>
        <w:rPr>
          <w:rFonts w:hint="eastAsia" w:ascii="仿宋" w:hAnsi="仿宋" w:eastAsia="仿宋" w:cs="仿宋"/>
          <w:b/>
          <w:color w:val="auto"/>
          <w:kern w:val="0"/>
          <w:sz w:val="30"/>
          <w:szCs w:val="30"/>
          <w:highlight w:val="none"/>
          <w:lang w:val="en-US" w:eastAsia="zh-CN" w:bidi="ar-SA"/>
        </w:rPr>
        <w:t>第二节 通用合同条款</w:t>
      </w:r>
    </w:p>
    <w:p w14:paraId="5C0C0238">
      <w:pPr>
        <w:pageBreakBefore w:val="0"/>
        <w:widowControl w:val="0"/>
        <w:numPr>
          <w:ilvl w:val="0"/>
          <w:numId w:val="0"/>
        </w:numPr>
        <w:kinsoku/>
        <w:wordWrap/>
        <w:overflowPunct/>
        <w:topLinePunct w:val="0"/>
        <w:autoSpaceDE w:val="0"/>
        <w:autoSpaceDN w:val="0"/>
        <w:bidi w:val="0"/>
        <w:adjustRightInd w:val="0"/>
        <w:spacing w:before="100" w:after="100" w:line="440" w:lineRule="exact"/>
        <w:ind w:left="360" w:right="720" w:rightChars="0"/>
        <w:jc w:val="both"/>
        <w:textAlignment w:val="auto"/>
        <w:rPr>
          <w:rFonts w:hint="eastAsia" w:ascii="仿宋" w:hAnsi="仿宋" w:eastAsia="仿宋" w:cs="仿宋"/>
          <w:b/>
          <w:color w:val="auto"/>
          <w:kern w:val="0"/>
          <w:sz w:val="30"/>
          <w:szCs w:val="30"/>
          <w:highlight w:val="none"/>
          <w:lang w:val="en-US" w:eastAsia="zh-CN" w:bidi="ar-SA"/>
        </w:rPr>
      </w:pPr>
    </w:p>
    <w:p w14:paraId="6520314E">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cs="Times New Roman"/>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15173DFF">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5721E6F4">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2ACFDA60">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1FB8DC2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CC80694">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C00765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80C8DE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FE99EE1">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751820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C09ABD0">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F9D7A3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283E6E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3EF9DF9">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FE25CDF">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21F85F7">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7BA85B0">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A49841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8B76A5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033685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4" w:type="default"/>
          <w:pgSz w:w="11906" w:h="16838"/>
          <w:pgMar w:top="1701" w:right="1312" w:bottom="1418" w:left="1134" w:header="851" w:footer="567" w:gutter="0"/>
          <w:pgNumType w:fmt="decimal"/>
          <w:cols w:space="720" w:num="1"/>
          <w:docGrid w:type="lines" w:linePitch="312" w:charSpace="0"/>
        </w:sectPr>
      </w:pPr>
    </w:p>
    <w:p w14:paraId="3330DB1E">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86" w:name="_TOC_250015"/>
      <w:r>
        <w:rPr>
          <w:rFonts w:hint="eastAsia" w:ascii="仿宋" w:hAnsi="仿宋" w:eastAsia="仿宋" w:cs="仿宋"/>
          <w:b/>
          <w:bCs w:val="0"/>
          <w:color w:val="auto"/>
          <w:sz w:val="30"/>
          <w:szCs w:val="30"/>
          <w:highlight w:val="none"/>
        </w:rPr>
        <w:t>第</w:t>
      </w:r>
      <w:bookmarkEnd w:id="86"/>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3610BF84">
      <w:pPr>
        <w:keepNext w:val="0"/>
        <w:keepLines w:val="0"/>
        <w:widowControl w:val="0"/>
        <w:spacing w:before="0" w:after="0" w:line="400" w:lineRule="exact"/>
        <w:jc w:val="both"/>
        <w:outlineLvl w:val="3"/>
        <w:rPr>
          <w:rFonts w:hint="eastAsia" w:ascii="仿宋" w:hAnsi="仿宋" w:eastAsia="仿宋" w:cs="仿宋"/>
          <w:b/>
          <w:bCs/>
          <w:color w:val="auto"/>
          <w:kern w:val="0"/>
          <w:sz w:val="24"/>
          <w:szCs w:val="24"/>
          <w:highlight w:val="none"/>
          <w:lang w:val="en-US" w:eastAsia="zh-CN" w:bidi="ar-SA"/>
        </w:rPr>
      </w:pPr>
      <w:bookmarkStart w:id="87" w:name="_Toc222031029"/>
      <w:bookmarkStart w:id="88" w:name="_Toc222029527"/>
      <w:bookmarkStart w:id="89" w:name="_Toc222032696"/>
      <w:bookmarkStart w:id="90" w:name="_Toc222033878"/>
      <w:bookmarkStart w:id="91" w:name="_Toc221951111"/>
      <w:bookmarkStart w:id="92" w:name="_Toc229305387"/>
      <w:r>
        <w:rPr>
          <w:rFonts w:hint="eastAsia" w:ascii="仿宋" w:hAnsi="仿宋" w:eastAsia="仿宋" w:cs="仿宋"/>
          <w:b/>
          <w:bCs/>
          <w:color w:val="auto"/>
          <w:kern w:val="0"/>
          <w:sz w:val="24"/>
          <w:szCs w:val="24"/>
          <w:highlight w:val="none"/>
          <w:lang w:val="en-US" w:eastAsia="zh-CN" w:bidi="ar-SA"/>
        </w:rPr>
        <w:t>1. 一般约定</w:t>
      </w:r>
      <w:bookmarkEnd w:id="87"/>
      <w:bookmarkEnd w:id="88"/>
      <w:bookmarkEnd w:id="89"/>
      <w:bookmarkEnd w:id="90"/>
      <w:bookmarkEnd w:id="91"/>
      <w:bookmarkEnd w:id="92"/>
    </w:p>
    <w:p w14:paraId="14CF6D79">
      <w:pPr>
        <w:keepNext w:val="0"/>
        <w:keepLines w:val="0"/>
        <w:widowControl w:val="0"/>
        <w:spacing w:before="0" w:after="0" w:line="400" w:lineRule="exact"/>
        <w:jc w:val="both"/>
        <w:outlineLvl w:val="3"/>
        <w:rPr>
          <w:rFonts w:hint="eastAsia" w:ascii="仿宋" w:hAnsi="仿宋" w:eastAsia="仿宋" w:cs="仿宋"/>
          <w:b/>
          <w:bCs/>
          <w:color w:val="auto"/>
          <w:kern w:val="0"/>
          <w:sz w:val="24"/>
          <w:szCs w:val="24"/>
          <w:highlight w:val="none"/>
          <w:lang w:val="en-US" w:eastAsia="zh-CN" w:bidi="ar-SA"/>
        </w:rPr>
      </w:pPr>
      <w:bookmarkStart w:id="93" w:name="_Toc221951112"/>
      <w:r>
        <w:rPr>
          <w:rFonts w:hint="eastAsia" w:ascii="仿宋" w:hAnsi="仿宋" w:eastAsia="仿宋" w:cs="仿宋"/>
          <w:b/>
          <w:bCs/>
          <w:color w:val="auto"/>
          <w:kern w:val="0"/>
          <w:sz w:val="24"/>
          <w:szCs w:val="24"/>
          <w:highlight w:val="none"/>
          <w:lang w:val="en-US" w:eastAsia="zh-CN" w:bidi="ar-SA"/>
        </w:rPr>
        <w:t>1.1 词语定义</w:t>
      </w:r>
      <w:bookmarkEnd w:id="93"/>
    </w:p>
    <w:p w14:paraId="70DC00C6">
      <w:pPr>
        <w:spacing w:line="400" w:lineRule="exact"/>
        <w:rPr>
          <w:rFonts w:hint="eastAsia" w:ascii="仿宋" w:hAnsi="仿宋" w:eastAsia="仿宋" w:cs="仿宋"/>
          <w:color w:val="auto"/>
          <w:sz w:val="24"/>
          <w:szCs w:val="24"/>
          <w:highlight w:val="none"/>
        </w:rPr>
      </w:pPr>
      <w:bookmarkStart w:id="94" w:name="_Toc221951113"/>
      <w:r>
        <w:rPr>
          <w:rFonts w:hint="eastAsia" w:ascii="仿宋" w:hAnsi="仿宋" w:eastAsia="仿宋" w:cs="仿宋"/>
          <w:color w:val="auto"/>
          <w:sz w:val="24"/>
          <w:szCs w:val="24"/>
          <w:highlight w:val="none"/>
        </w:rPr>
        <w:t>1.1.2  合同当事人和人员</w:t>
      </w:r>
      <w:bookmarkEnd w:id="94"/>
    </w:p>
    <w:p w14:paraId="2B847530">
      <w:pPr>
        <w:spacing w:line="400" w:lineRule="exact"/>
        <w:rPr>
          <w:rFonts w:hint="eastAsia" w:ascii="仿宋" w:hAnsi="仿宋" w:eastAsia="仿宋" w:cs="仿宋"/>
          <w:color w:val="auto"/>
          <w:sz w:val="24"/>
          <w:szCs w:val="24"/>
          <w:highlight w:val="none"/>
        </w:rPr>
      </w:pPr>
      <w:bookmarkStart w:id="95"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贺州市平桂区羊头镇人民政府</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95"/>
    </w:p>
    <w:p w14:paraId="646C4AE0">
      <w:pPr>
        <w:spacing w:line="400" w:lineRule="exact"/>
        <w:rPr>
          <w:rFonts w:hint="eastAsia" w:ascii="仿宋" w:hAnsi="仿宋" w:eastAsia="仿宋" w:cs="仿宋"/>
          <w:color w:val="auto"/>
          <w:sz w:val="24"/>
          <w:szCs w:val="24"/>
          <w:highlight w:val="none"/>
        </w:rPr>
      </w:pPr>
      <w:bookmarkStart w:id="96"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96"/>
    </w:p>
    <w:p w14:paraId="75B4643A">
      <w:pPr>
        <w:spacing w:line="400" w:lineRule="exact"/>
        <w:rPr>
          <w:rFonts w:hint="eastAsia" w:ascii="仿宋" w:hAnsi="仿宋" w:eastAsia="仿宋" w:cs="仿宋"/>
          <w:color w:val="auto"/>
          <w:sz w:val="24"/>
          <w:szCs w:val="24"/>
          <w:highlight w:val="none"/>
        </w:rPr>
      </w:pPr>
      <w:bookmarkStart w:id="97"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97"/>
    </w:p>
    <w:p w14:paraId="7FA736E1">
      <w:pPr>
        <w:spacing w:line="400" w:lineRule="exact"/>
        <w:rPr>
          <w:rFonts w:hint="eastAsia" w:ascii="仿宋" w:hAnsi="仿宋" w:eastAsia="仿宋" w:cs="仿宋"/>
          <w:b/>
          <w:bCs/>
          <w:color w:val="auto"/>
          <w:sz w:val="24"/>
          <w:szCs w:val="24"/>
          <w:highlight w:val="none"/>
        </w:rPr>
      </w:pPr>
      <w:bookmarkStart w:id="98"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rPr>
        <w:t>监理人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w:t>
      </w:r>
      <w:bookmarkEnd w:id="98"/>
    </w:p>
    <w:p w14:paraId="6DBCD225">
      <w:pPr>
        <w:spacing w:line="400" w:lineRule="exact"/>
        <w:rPr>
          <w:rFonts w:hint="eastAsia" w:ascii="仿宋" w:hAnsi="仿宋" w:eastAsia="仿宋" w:cs="仿宋"/>
          <w:color w:val="auto"/>
          <w:sz w:val="24"/>
          <w:szCs w:val="24"/>
          <w:highlight w:val="none"/>
        </w:rPr>
      </w:pPr>
      <w:bookmarkStart w:id="99" w:name="_Toc221951125"/>
      <w:r>
        <w:rPr>
          <w:rFonts w:hint="eastAsia" w:ascii="仿宋" w:hAnsi="仿宋" w:eastAsia="仿宋" w:cs="仿宋"/>
          <w:color w:val="auto"/>
          <w:sz w:val="24"/>
          <w:szCs w:val="24"/>
          <w:highlight w:val="none"/>
        </w:rPr>
        <w:t>1.1.4  日期</w:t>
      </w:r>
      <w:bookmarkEnd w:id="99"/>
    </w:p>
    <w:p w14:paraId="29BCCF5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0DE49B63">
      <w:pPr>
        <w:spacing w:line="400" w:lineRule="exact"/>
        <w:rPr>
          <w:rFonts w:hint="eastAsia" w:ascii="仿宋" w:hAnsi="仿宋" w:eastAsia="仿宋" w:cs="仿宋"/>
          <w:color w:val="auto"/>
          <w:sz w:val="24"/>
          <w:szCs w:val="24"/>
          <w:highlight w:val="none"/>
        </w:rPr>
      </w:pPr>
      <w:bookmarkStart w:id="100" w:name="_Toc221951126"/>
      <w:r>
        <w:rPr>
          <w:rFonts w:hint="eastAsia" w:ascii="仿宋" w:hAnsi="仿宋" w:eastAsia="仿宋" w:cs="仿宋"/>
          <w:color w:val="auto"/>
          <w:sz w:val="24"/>
          <w:szCs w:val="24"/>
          <w:highlight w:val="none"/>
        </w:rPr>
        <w:t xml:space="preserve">1.1.4.5  </w:t>
      </w:r>
      <w:bookmarkEnd w:id="100"/>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壹年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6CD9DA96">
      <w:pPr>
        <w:keepNext w:val="0"/>
        <w:keepLines w:val="0"/>
        <w:widowControl w:val="0"/>
        <w:spacing w:before="0" w:after="0" w:line="400" w:lineRule="exact"/>
        <w:jc w:val="both"/>
        <w:outlineLvl w:val="3"/>
        <w:rPr>
          <w:rFonts w:hint="eastAsia" w:ascii="仿宋" w:hAnsi="仿宋" w:eastAsia="仿宋" w:cs="仿宋"/>
          <w:b/>
          <w:bCs/>
          <w:color w:val="auto"/>
          <w:kern w:val="0"/>
          <w:sz w:val="24"/>
          <w:szCs w:val="24"/>
          <w:highlight w:val="none"/>
          <w:lang w:val="en-US" w:eastAsia="zh-CN" w:bidi="ar-SA"/>
        </w:rPr>
      </w:pPr>
      <w:bookmarkStart w:id="101" w:name="_Toc221951127"/>
      <w:r>
        <w:rPr>
          <w:rFonts w:hint="eastAsia" w:ascii="仿宋" w:hAnsi="仿宋" w:eastAsia="仿宋" w:cs="仿宋"/>
          <w:b/>
          <w:bCs/>
          <w:color w:val="auto"/>
          <w:kern w:val="0"/>
          <w:sz w:val="24"/>
          <w:szCs w:val="24"/>
          <w:highlight w:val="none"/>
          <w:lang w:val="en-US" w:eastAsia="zh-CN" w:bidi="ar-SA"/>
        </w:rPr>
        <w:t>1.4 合同文件的优先顺序</w:t>
      </w:r>
      <w:bookmarkEnd w:id="101"/>
    </w:p>
    <w:p w14:paraId="4E8A0B4C">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102" w:name="_Toc221951128"/>
      <w:r>
        <w:rPr>
          <w:rFonts w:hint="eastAsia" w:ascii="仿宋" w:hAnsi="仿宋" w:eastAsia="仿宋" w:cs="仿宋"/>
          <w:color w:val="auto"/>
          <w:sz w:val="24"/>
          <w:szCs w:val="24"/>
          <w:highlight w:val="none"/>
        </w:rPr>
        <w:t>进入合同的各项文件及其优先顺序</w:t>
      </w:r>
      <w:bookmarkEnd w:id="102"/>
      <w:r>
        <w:rPr>
          <w:rFonts w:hint="eastAsia" w:ascii="仿宋" w:hAnsi="仿宋" w:eastAsia="仿宋" w:cs="仿宋"/>
          <w:color w:val="auto"/>
          <w:sz w:val="24"/>
          <w:szCs w:val="24"/>
          <w:highlight w:val="none"/>
        </w:rPr>
        <w:t>如下：</w:t>
      </w:r>
    </w:p>
    <w:p w14:paraId="4CD78E4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1AC34FC4">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5AB0E789">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7240D9D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29B2596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494B0CAA">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7AB3A8C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0CD038E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513ED6FE">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3D7012A3">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24A5AED5">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03" w:name="_Toc221951129"/>
      <w:r>
        <w:rPr>
          <w:rFonts w:hint="eastAsia" w:ascii="仿宋" w:hAnsi="仿宋" w:eastAsia="仿宋" w:cs="仿宋"/>
          <w:b/>
          <w:bCs/>
          <w:color w:val="auto"/>
          <w:kern w:val="0"/>
          <w:sz w:val="24"/>
          <w:szCs w:val="24"/>
          <w:highlight w:val="none"/>
          <w:lang w:val="en-US" w:eastAsia="zh-CN" w:bidi="ar-SA"/>
        </w:rPr>
        <w:t>1.7 联络</w:t>
      </w:r>
      <w:bookmarkEnd w:id="103"/>
    </w:p>
    <w:p w14:paraId="2E19B017">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104" w:name="_Toc221951130"/>
      <w:r>
        <w:rPr>
          <w:rFonts w:hint="eastAsia" w:ascii="仿宋" w:hAnsi="仿宋" w:eastAsia="仿宋" w:cs="仿宋"/>
          <w:color w:val="auto"/>
          <w:sz w:val="24"/>
          <w:szCs w:val="24"/>
          <w:highlight w:val="none"/>
        </w:rPr>
        <w:t>1.7.2  来往函件均应按技术标准和要求（合同技术条款）约定的期限送达</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贺州市平桂区羊头镇人民政府</w:t>
      </w:r>
      <w:r>
        <w:rPr>
          <w:rFonts w:hint="eastAsia" w:ascii="仿宋" w:hAnsi="仿宋" w:eastAsia="仿宋" w:cs="仿宋"/>
          <w:color w:val="auto"/>
          <w:sz w:val="24"/>
          <w:szCs w:val="24"/>
          <w:highlight w:val="none"/>
          <w:u w:val="single"/>
        </w:rPr>
        <w:t xml:space="preserve">，最迟不超过文件确定后的第3天 </w:t>
      </w:r>
      <w:r>
        <w:rPr>
          <w:rFonts w:hint="eastAsia" w:ascii="仿宋" w:hAnsi="仿宋" w:eastAsia="仿宋" w:cs="仿宋"/>
          <w:color w:val="auto"/>
          <w:sz w:val="24"/>
          <w:szCs w:val="24"/>
          <w:highlight w:val="none"/>
        </w:rPr>
        <w:t xml:space="preserve"> 。</w:t>
      </w:r>
      <w:bookmarkEnd w:id="104"/>
    </w:p>
    <w:p w14:paraId="326412F9">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05" w:name="_Toc221951131"/>
      <w:bookmarkStart w:id="106" w:name="_Toc222031030"/>
      <w:bookmarkStart w:id="107" w:name="_Toc222033879"/>
      <w:bookmarkStart w:id="108" w:name="_Toc222032697"/>
      <w:bookmarkStart w:id="109" w:name="_Toc229305388"/>
      <w:bookmarkStart w:id="110" w:name="_Toc222029528"/>
      <w:r>
        <w:rPr>
          <w:rFonts w:hint="eastAsia" w:ascii="仿宋" w:hAnsi="仿宋" w:eastAsia="仿宋" w:cs="仿宋"/>
          <w:b/>
          <w:bCs/>
          <w:color w:val="auto"/>
          <w:kern w:val="0"/>
          <w:sz w:val="24"/>
          <w:szCs w:val="24"/>
          <w:highlight w:val="none"/>
          <w:lang w:val="en-US" w:eastAsia="zh-CN" w:bidi="ar-SA"/>
        </w:rPr>
        <w:t>2. 发包人义务</w:t>
      </w:r>
      <w:bookmarkEnd w:id="105"/>
      <w:bookmarkEnd w:id="106"/>
      <w:bookmarkEnd w:id="107"/>
      <w:bookmarkEnd w:id="108"/>
      <w:bookmarkEnd w:id="109"/>
      <w:bookmarkEnd w:id="110"/>
    </w:p>
    <w:p w14:paraId="10156A66">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11" w:name="_Toc221951132"/>
      <w:r>
        <w:rPr>
          <w:rFonts w:hint="eastAsia" w:ascii="仿宋" w:hAnsi="仿宋" w:eastAsia="仿宋" w:cs="仿宋"/>
          <w:b/>
          <w:bCs/>
          <w:color w:val="auto"/>
          <w:kern w:val="0"/>
          <w:sz w:val="24"/>
          <w:szCs w:val="24"/>
          <w:highlight w:val="none"/>
          <w:lang w:val="en-US" w:eastAsia="zh-CN" w:bidi="ar-SA"/>
        </w:rPr>
        <w:t>2.3 提供施工场地</w:t>
      </w:r>
      <w:bookmarkEnd w:id="111"/>
    </w:p>
    <w:p w14:paraId="1262EE86">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bCs/>
          <w:color w:val="auto"/>
          <w:sz w:val="24"/>
          <w:szCs w:val="24"/>
          <w:highlight w:val="none"/>
        </w:rPr>
      </w:pPr>
      <w:bookmarkStart w:id="112" w:name="_Toc221951133"/>
      <w:r>
        <w:rPr>
          <w:rFonts w:hint="eastAsia" w:ascii="仿宋" w:hAnsi="仿宋" w:eastAsia="仿宋" w:cs="仿宋"/>
          <w:color w:val="auto"/>
          <w:sz w:val="24"/>
          <w:szCs w:val="24"/>
          <w:highlight w:val="none"/>
        </w:rPr>
        <w:t>2.3.2发包人提供的施工场地范围为：</w:t>
      </w:r>
      <w:bookmarkEnd w:id="112"/>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59821780">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2B90725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3A27B94D">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13" w:name="_Toc222029529"/>
      <w:bookmarkStart w:id="114" w:name="_Toc222031031"/>
      <w:bookmarkStart w:id="115" w:name="_Toc229305389"/>
      <w:bookmarkStart w:id="116" w:name="_Toc222032698"/>
      <w:bookmarkStart w:id="117" w:name="_Toc222033880"/>
      <w:bookmarkStart w:id="118" w:name="_Toc221951140"/>
      <w:r>
        <w:rPr>
          <w:rFonts w:hint="eastAsia" w:ascii="仿宋" w:hAnsi="仿宋" w:eastAsia="仿宋" w:cs="仿宋"/>
          <w:b/>
          <w:bCs/>
          <w:color w:val="auto"/>
          <w:kern w:val="0"/>
          <w:sz w:val="24"/>
          <w:szCs w:val="24"/>
          <w:highlight w:val="none"/>
          <w:lang w:val="en-US" w:eastAsia="zh-CN" w:bidi="ar-SA"/>
        </w:rPr>
        <w:t>3. 监理人</w:t>
      </w:r>
      <w:bookmarkEnd w:id="113"/>
      <w:bookmarkEnd w:id="114"/>
      <w:bookmarkEnd w:id="115"/>
      <w:bookmarkEnd w:id="116"/>
      <w:bookmarkEnd w:id="117"/>
      <w:bookmarkEnd w:id="118"/>
    </w:p>
    <w:p w14:paraId="782DB8C8">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19" w:name="_Toc221951141"/>
      <w:r>
        <w:rPr>
          <w:rFonts w:hint="eastAsia" w:ascii="仿宋" w:hAnsi="仿宋" w:eastAsia="仿宋" w:cs="仿宋"/>
          <w:b/>
          <w:bCs/>
          <w:color w:val="auto"/>
          <w:kern w:val="0"/>
          <w:sz w:val="24"/>
          <w:szCs w:val="24"/>
          <w:highlight w:val="none"/>
          <w:lang w:val="en-US" w:eastAsia="zh-CN" w:bidi="ar-SA"/>
        </w:rPr>
        <w:t>3.1 监理人的职责和权力</w:t>
      </w:r>
      <w:bookmarkEnd w:id="119"/>
    </w:p>
    <w:p w14:paraId="6C95F81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120" w:name="_Toc221951142"/>
      <w:r>
        <w:rPr>
          <w:rFonts w:hint="eastAsia" w:ascii="仿宋" w:hAnsi="仿宋" w:eastAsia="仿宋" w:cs="仿宋"/>
          <w:color w:val="auto"/>
          <w:sz w:val="24"/>
          <w:szCs w:val="24"/>
          <w:highlight w:val="none"/>
        </w:rPr>
        <w:t>3.1.1</w:t>
      </w:r>
      <w:bookmarkEnd w:id="120"/>
      <w:r>
        <w:rPr>
          <w:rFonts w:hint="eastAsia" w:ascii="仿宋" w:hAnsi="仿宋" w:eastAsia="仿宋" w:cs="仿宋"/>
          <w:color w:val="auto"/>
          <w:sz w:val="24"/>
          <w:szCs w:val="24"/>
          <w:highlight w:val="none"/>
        </w:rPr>
        <w:t>　</w:t>
      </w:r>
      <w:bookmarkStart w:id="121"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121"/>
      <w:r>
        <w:rPr>
          <w:rFonts w:hint="eastAsia" w:ascii="仿宋" w:hAnsi="仿宋" w:eastAsia="仿宋" w:cs="仿宋"/>
          <w:color w:val="auto"/>
          <w:sz w:val="24"/>
          <w:szCs w:val="24"/>
          <w:highlight w:val="none"/>
        </w:rPr>
        <w:t>按本工程委托监理合同。</w:t>
      </w:r>
    </w:p>
    <w:p w14:paraId="67605F20">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22" w:name="_Toc222029530"/>
      <w:bookmarkStart w:id="123" w:name="_Toc221951150"/>
      <w:bookmarkStart w:id="124" w:name="_Toc222032699"/>
      <w:bookmarkStart w:id="125" w:name="_Toc222033881"/>
      <w:bookmarkStart w:id="126" w:name="_Toc222031032"/>
      <w:bookmarkStart w:id="127" w:name="_Toc229305390"/>
      <w:r>
        <w:rPr>
          <w:rFonts w:hint="eastAsia" w:ascii="仿宋" w:hAnsi="仿宋" w:eastAsia="仿宋" w:cs="仿宋"/>
          <w:b/>
          <w:bCs/>
          <w:color w:val="auto"/>
          <w:kern w:val="0"/>
          <w:sz w:val="24"/>
          <w:szCs w:val="24"/>
          <w:highlight w:val="none"/>
          <w:lang w:val="en-US" w:eastAsia="zh-CN" w:bidi="ar-SA"/>
        </w:rPr>
        <w:t>4. 承包人</w:t>
      </w:r>
      <w:bookmarkEnd w:id="122"/>
      <w:bookmarkEnd w:id="123"/>
      <w:bookmarkEnd w:id="124"/>
      <w:bookmarkEnd w:id="125"/>
      <w:bookmarkEnd w:id="126"/>
      <w:bookmarkEnd w:id="127"/>
    </w:p>
    <w:p w14:paraId="73893452">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28" w:name="_Toc221951151"/>
      <w:r>
        <w:rPr>
          <w:rFonts w:hint="eastAsia" w:ascii="仿宋" w:hAnsi="仿宋" w:eastAsia="仿宋" w:cs="仿宋"/>
          <w:b/>
          <w:bCs/>
          <w:color w:val="auto"/>
          <w:kern w:val="0"/>
          <w:sz w:val="24"/>
          <w:szCs w:val="24"/>
          <w:highlight w:val="none"/>
          <w:lang w:val="en-US" w:eastAsia="zh-CN" w:bidi="ar-SA"/>
        </w:rPr>
        <w:t>4.1 承包人的一般义务</w:t>
      </w:r>
      <w:bookmarkEnd w:id="128"/>
    </w:p>
    <w:p w14:paraId="78B896E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bookmarkStart w:id="129" w:name="_Toc221951152"/>
      <w:r>
        <w:rPr>
          <w:rFonts w:hint="eastAsia" w:ascii="仿宋" w:hAnsi="仿宋" w:eastAsia="仿宋" w:cs="仿宋"/>
          <w:b/>
          <w:color w:val="auto"/>
          <w:sz w:val="24"/>
          <w:szCs w:val="24"/>
          <w:highlight w:val="none"/>
        </w:rPr>
        <w:t>4.1.10 其他义务</w:t>
      </w:r>
      <w:bookmarkEnd w:id="129"/>
    </w:p>
    <w:p w14:paraId="16B52C4E">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5955315B">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以中标的工程量清单为准，由承包人承担）。</w:t>
      </w:r>
    </w:p>
    <w:p w14:paraId="21A326D5">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保险期限自投保之日（工程开工之日）起至工程竣工验收时止，时间上涵盖施工全过程的任一时段。</w:t>
      </w:r>
    </w:p>
    <w:p w14:paraId="11EFDA06">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鉴于本合同工程各工种调动频繁、用工流动性大等特点，投保实行不记名和不计人数的方式，一旦该工程项目发生人员意外伤害，只要是在该工程发生的，都应该由保险公司在保险责任范围内负责赔付。</w:t>
      </w:r>
    </w:p>
    <w:p w14:paraId="30B72EFF">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503CD3B1">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执行广西壮族自治区解决企业拖欠工资问题联席会议关于保障农民工工资支付的有关规定，确保农民工工资无拖欠。</w:t>
      </w:r>
    </w:p>
    <w:p w14:paraId="4DB2FC3F">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依法与招用的农民工签订并履行劳动合同，建立职工名册，及时办理劳动用工备案。实行农民工工资专用账户管理、银行代发农民工工资制度和农民工工资保证金制度。</w:t>
      </w:r>
    </w:p>
    <w:p w14:paraId="422BA666">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75BC554A">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 按以下标准在劳动保障部门指定的账户足额存入农民工工资保证金：   </w:t>
      </w:r>
    </w:p>
    <w:p w14:paraId="16218013">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工程项目中标价(合同价)1000万元(含1000万元)以下的，按2％计算；超过1000万元部分，按1％计算。</w:t>
      </w:r>
    </w:p>
    <w:p w14:paraId="1520F4FD">
      <w:pPr>
        <w:pageBreakBefore w:val="0"/>
        <w:widowControl w:val="0"/>
        <w:numPr>
          <w:ilvl w:val="0"/>
          <w:numId w:val="7"/>
        </w:numPr>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承包人在签署合同时，必须作如下承诺：</w:t>
      </w:r>
    </w:p>
    <w:p w14:paraId="5B125C6B">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①如实说明其以前所承建的工程项目中工资支付的情况，特别注明是否存在拖欠或克扣农民工工资的行为。</w:t>
      </w:r>
    </w:p>
    <w:p w14:paraId="5187C8B4">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②承诺签署合约后及时、足额存入农民工工资保证金。</w:t>
      </w:r>
    </w:p>
    <w:p w14:paraId="0B2CEABD">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③承诺依法足额支付农民工工资，一旦其承建的工程项目出现拖欠农民工工资情况的，可由劳动保障部门从工资保证金中先予垫支。</w:t>
      </w:r>
    </w:p>
    <w:p w14:paraId="38A644A1">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承包人应当持根据上述作出的承诺和说明、存入农民工工资保证金的银行凭证到劳动保障部门报备。由劳动保障部门出具备案证明后到水利部门办理开工手续。</w:t>
      </w:r>
    </w:p>
    <w:p w14:paraId="6522EAFA">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598C57CF">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2AA79286">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5EF470C3">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（3）银行代发工资制度  在工程建设领域实现分包企业委托总承包企业直接向农民工代发工资制度，按要求足额发放当月工资，并不得低于当地最低工资标准。</w:t>
      </w:r>
    </w:p>
    <w:p w14:paraId="401ADBF6">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513A29CA">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bookmarkStart w:id="130"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3B471D8A">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21EC77B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6405224C">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56A500F7">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4CDD371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04AB1163">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75D48110">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0331A0E1">
      <w:pPr>
        <w:pageBreakBefore w:val="0"/>
        <w:widowControl w:val="0"/>
        <w:tabs>
          <w:tab w:val="left" w:pos="6300"/>
          <w:tab w:val="left" w:pos="6510"/>
        </w:tabs>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（9）按照发包人的要求作好安全文明宣传、领导检查宣传等工作，相关费用由承包人承担。</w:t>
      </w:r>
    </w:p>
    <w:p w14:paraId="541BC096">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（10）承包人应按约定时间和要求，完成以下工作：</w:t>
      </w:r>
    </w:p>
    <w:p w14:paraId="3C566908">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①按时提交施工组织设计、单位工程的施工方案，雨季施工安全预案。                     </w:t>
      </w:r>
    </w:p>
    <w:p w14:paraId="34390278">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②按设计要求，保质保量完成建设任务，并每月25日向监理人提交当月工程进度报表及下月进度计划。</w:t>
      </w:r>
    </w:p>
    <w:p w14:paraId="047EF524">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③承包人自行负责施工安全保卫工作及夜间施工照明。                                                                           </w:t>
      </w:r>
    </w:p>
    <w:p w14:paraId="7201FB17">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70A426B5">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⑤已完工程成品保护的特殊要求及费用承担：已竣工工程未交付发包人之前，承包人按协议条款约定负责已完成工程的成品保护工作，保护期间发生损坏，承包人自费予以修复。 </w:t>
      </w:r>
    </w:p>
    <w:p w14:paraId="650CCB73">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⑥承包人有义务对施工场地周围管线（含地上及地下）和邻近建筑物、构筑物(含文物保护建筑)、古树名木等进行探明并负责保护。 </w:t>
      </w:r>
    </w:p>
    <w:p w14:paraId="5A6ECD04">
      <w:pPr>
        <w:pageBreakBefore w:val="0"/>
        <w:widowControl w:val="0"/>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⑦施工场地清洁卫生的要求：按城建卫生有关规定执行，由承包人负责，费用由承包人承担。 </w:t>
      </w:r>
    </w:p>
    <w:p w14:paraId="07BCD2AA">
      <w:pPr>
        <w:pageBreakBefore w:val="0"/>
        <w:widowControl w:val="0"/>
        <w:tabs>
          <w:tab w:val="left" w:pos="6300"/>
          <w:tab w:val="left" w:pos="6510"/>
        </w:tabs>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⑧承包人承担施工场地、水电及运输通道的修建和维护、清场等费用。</w:t>
      </w:r>
    </w:p>
    <w:p w14:paraId="4A034CC2">
      <w:pPr>
        <w:pageBreakBefore w:val="0"/>
        <w:widowControl w:val="0"/>
        <w:tabs>
          <w:tab w:val="left" w:pos="6300"/>
          <w:tab w:val="left" w:pos="6510"/>
        </w:tabs>
        <w:kinsoku/>
        <w:wordWrap/>
        <w:overflowPunct/>
        <w:topLinePunct w:val="0"/>
        <w:bidi w:val="0"/>
        <w:spacing w:line="420" w:lineRule="exact"/>
        <w:ind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（11）双方约定承包人应做的其他工作：</w:t>
      </w:r>
    </w:p>
    <w:p w14:paraId="4CCC62D4">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49651510">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0701BF2D">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719AFD92">
      <w:pPr>
        <w:pageBreakBefore w:val="0"/>
        <w:widowControl w:val="0"/>
        <w:kinsoku/>
        <w:wordWrap/>
        <w:overflowPunct/>
        <w:topLinePunct w:val="0"/>
        <w:bidi w:val="0"/>
        <w:spacing w:line="420" w:lineRule="exact"/>
        <w:ind w:firstLine="63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（13）其他未尽事宜待签订施工合同时双方再协商。</w:t>
      </w:r>
    </w:p>
    <w:p w14:paraId="422C35E1">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31" w:name="_Toc398374515"/>
      <w:r>
        <w:rPr>
          <w:rFonts w:hint="eastAsia" w:ascii="仿宋" w:hAnsi="仿宋" w:eastAsia="仿宋" w:cs="仿宋"/>
          <w:b/>
          <w:bCs/>
          <w:color w:val="auto"/>
          <w:kern w:val="0"/>
          <w:sz w:val="24"/>
          <w:szCs w:val="24"/>
          <w:highlight w:val="none"/>
          <w:lang w:val="en-US" w:eastAsia="zh-CN" w:bidi="ar-SA"/>
        </w:rPr>
        <w:t>4.2 履约担保</w:t>
      </w:r>
      <w:bookmarkEnd w:id="131"/>
    </w:p>
    <w:p w14:paraId="1232BF88">
      <w:pPr>
        <w:pageBreakBefore w:val="0"/>
        <w:widowControl w:val="0"/>
        <w:kinsoku/>
        <w:wordWrap/>
        <w:overflowPunct/>
        <w:topLinePunct w:val="0"/>
        <w:bidi w:val="0"/>
        <w:spacing w:line="420" w:lineRule="exact"/>
        <w:ind w:left="0" w:leftChars="0" w:firstLine="480" w:firstLineChars="200"/>
        <w:jc w:val="both"/>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0DB18C52">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4.3 分包</w:t>
      </w:r>
      <w:bookmarkEnd w:id="130"/>
    </w:p>
    <w:p w14:paraId="4C4676DE">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695A1FCA">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32" w:name="_Toc221951158"/>
      <w:r>
        <w:rPr>
          <w:rFonts w:hint="eastAsia" w:ascii="仿宋" w:hAnsi="仿宋" w:eastAsia="仿宋" w:cs="仿宋"/>
          <w:b/>
          <w:bCs/>
          <w:color w:val="auto"/>
          <w:kern w:val="0"/>
          <w:sz w:val="24"/>
          <w:szCs w:val="24"/>
          <w:highlight w:val="none"/>
          <w:lang w:val="en-US" w:eastAsia="zh-CN" w:bidi="ar-SA"/>
        </w:rPr>
        <w:t>4.11 不利物质条件</w:t>
      </w:r>
      <w:bookmarkEnd w:id="132"/>
    </w:p>
    <w:p w14:paraId="3CA98660">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33"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133"/>
    </w:p>
    <w:p w14:paraId="28F7CEC8">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34" w:name="_Toc222033882"/>
      <w:bookmarkStart w:id="135" w:name="_Toc222029531"/>
      <w:bookmarkStart w:id="136" w:name="_Toc222032700"/>
      <w:bookmarkStart w:id="137" w:name="_Toc221951160"/>
      <w:bookmarkStart w:id="138" w:name="_Toc222031033"/>
      <w:bookmarkStart w:id="139" w:name="_Toc229305391"/>
      <w:r>
        <w:rPr>
          <w:rFonts w:hint="eastAsia" w:ascii="仿宋" w:hAnsi="仿宋" w:eastAsia="仿宋" w:cs="仿宋"/>
          <w:b/>
          <w:bCs/>
          <w:color w:val="auto"/>
          <w:kern w:val="0"/>
          <w:sz w:val="24"/>
          <w:szCs w:val="24"/>
          <w:highlight w:val="none"/>
          <w:lang w:val="en-US" w:eastAsia="zh-CN" w:bidi="ar-SA"/>
        </w:rPr>
        <w:t>5. 材料和工程设备</w:t>
      </w:r>
      <w:bookmarkEnd w:id="134"/>
      <w:bookmarkEnd w:id="135"/>
      <w:bookmarkEnd w:id="136"/>
      <w:bookmarkEnd w:id="137"/>
      <w:bookmarkEnd w:id="138"/>
      <w:bookmarkEnd w:id="139"/>
    </w:p>
    <w:p w14:paraId="20A3FAA0">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40" w:name="_Toc221951163"/>
      <w:r>
        <w:rPr>
          <w:rFonts w:hint="eastAsia" w:ascii="仿宋" w:hAnsi="仿宋" w:eastAsia="仿宋" w:cs="仿宋"/>
          <w:b/>
          <w:bCs/>
          <w:color w:val="auto"/>
          <w:kern w:val="0"/>
          <w:sz w:val="24"/>
          <w:szCs w:val="24"/>
          <w:highlight w:val="none"/>
          <w:lang w:val="en-US" w:eastAsia="zh-CN" w:bidi="ar-SA"/>
        </w:rPr>
        <w:t>5.2 发包人提供的材料和工程设备</w:t>
      </w:r>
      <w:bookmarkEnd w:id="140"/>
    </w:p>
    <w:p w14:paraId="4378491D">
      <w:pPr>
        <w:keepNext/>
        <w:keepLines/>
        <w:pageBreakBefore w:val="0"/>
        <w:widowControl w:val="0"/>
        <w:kinsoku/>
        <w:wordWrap/>
        <w:overflowPunct/>
        <w:topLinePunct w:val="0"/>
        <w:bidi w:val="0"/>
        <w:spacing w:before="0" w:after="0" w:line="420" w:lineRule="exact"/>
        <w:ind w:firstLine="240" w:firstLineChars="100"/>
        <w:jc w:val="both"/>
        <w:textAlignment w:val="auto"/>
        <w:outlineLvl w:val="3"/>
        <w:rPr>
          <w:rFonts w:hint="eastAsia" w:ascii="仿宋" w:hAnsi="仿宋" w:eastAsia="仿宋" w:cs="仿宋"/>
          <w:b w:val="0"/>
          <w:bCs w:val="0"/>
          <w:color w:val="auto"/>
          <w:kern w:val="0"/>
          <w:sz w:val="24"/>
          <w:szCs w:val="24"/>
          <w:highlight w:val="none"/>
          <w:lang w:val="en-US" w:eastAsia="zh-CN" w:bidi="ar-SA"/>
        </w:rPr>
      </w:pPr>
      <w:bookmarkStart w:id="141" w:name="_Toc222032701"/>
      <w:bookmarkStart w:id="142" w:name="_Toc222031034"/>
      <w:bookmarkStart w:id="143" w:name="_Toc229305392"/>
      <w:bookmarkStart w:id="144" w:name="_Toc222033883"/>
      <w:bookmarkStart w:id="145" w:name="_Toc221951166"/>
      <w:bookmarkStart w:id="146" w:name="_Toc222029532"/>
      <w:r>
        <w:rPr>
          <w:rFonts w:hint="eastAsia" w:ascii="仿宋" w:hAnsi="仿宋" w:eastAsia="仿宋" w:cs="仿宋"/>
          <w:b w:val="0"/>
          <w:bCs w:val="0"/>
          <w:color w:val="auto"/>
          <w:kern w:val="0"/>
          <w:sz w:val="24"/>
          <w:szCs w:val="24"/>
          <w:highlight w:val="none"/>
          <w:lang w:val="en-US" w:eastAsia="zh-CN" w:bidi="ar-SA"/>
        </w:rPr>
        <w:t>5.1.1本工程发包人不提供材料和设备，由承包人自行解决。</w:t>
      </w:r>
    </w:p>
    <w:p w14:paraId="28445BA1">
      <w:pPr>
        <w:keepNext/>
        <w:keepLines/>
        <w:pageBreakBefore w:val="0"/>
        <w:widowControl w:val="0"/>
        <w:kinsoku/>
        <w:wordWrap/>
        <w:overflowPunct/>
        <w:topLinePunct w:val="0"/>
        <w:bidi w:val="0"/>
        <w:spacing w:before="0" w:after="0" w:line="420" w:lineRule="exact"/>
        <w:ind w:firstLine="240" w:firstLineChars="100"/>
        <w:jc w:val="both"/>
        <w:textAlignment w:val="auto"/>
        <w:outlineLvl w:val="3"/>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5.1.2本工程所有钢筋、性能相当于柳钢、水城、平钢生产的产品；水泥性能相当于鱼峰牌、华润牌{红水河牌}、海螺牌的产品标准。</w:t>
      </w:r>
    </w:p>
    <w:p w14:paraId="53B74BDE">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 施工设备和临时设施</w:t>
      </w:r>
      <w:bookmarkEnd w:id="141"/>
      <w:bookmarkEnd w:id="142"/>
      <w:bookmarkEnd w:id="143"/>
      <w:bookmarkEnd w:id="144"/>
      <w:bookmarkEnd w:id="145"/>
      <w:bookmarkEnd w:id="146"/>
    </w:p>
    <w:p w14:paraId="2B31898F">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47" w:name="_Toc229593367"/>
      <w:r>
        <w:rPr>
          <w:rFonts w:hint="eastAsia" w:ascii="仿宋" w:hAnsi="仿宋" w:eastAsia="仿宋" w:cs="仿宋"/>
          <w:b/>
          <w:bCs/>
          <w:color w:val="auto"/>
          <w:kern w:val="0"/>
          <w:sz w:val="24"/>
          <w:szCs w:val="24"/>
          <w:highlight w:val="none"/>
          <w:lang w:val="en-US" w:eastAsia="zh-CN" w:bidi="ar-SA"/>
        </w:rPr>
        <w:t>6.1 承包人提供的施工设备和临时设施</w:t>
      </w:r>
      <w:bookmarkEnd w:id="147"/>
    </w:p>
    <w:p w14:paraId="08A80F38">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bookmarkStart w:id="148"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5CAE10F9">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6.2 发包人提供的施工设备和临时设施</w:t>
      </w:r>
      <w:bookmarkEnd w:id="148"/>
    </w:p>
    <w:p w14:paraId="7917C20D">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b/>
          <w:bCs/>
          <w:color w:val="auto"/>
          <w:sz w:val="24"/>
          <w:szCs w:val="24"/>
          <w:highlight w:val="none"/>
        </w:rPr>
      </w:pPr>
      <w:bookmarkStart w:id="149" w:name="_Toc221951169"/>
      <w:r>
        <w:rPr>
          <w:rFonts w:hint="eastAsia" w:ascii="仿宋" w:hAnsi="仿宋" w:eastAsia="仿宋" w:cs="仿宋"/>
          <w:color w:val="auto"/>
          <w:sz w:val="24"/>
          <w:szCs w:val="24"/>
          <w:highlight w:val="none"/>
        </w:rPr>
        <w:t>（1）发包人提供的的施工设备</w:t>
      </w:r>
      <w:bookmarkEnd w:id="149"/>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15652A90">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29A1E6C5">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 交通运输</w:t>
      </w:r>
    </w:p>
    <w:p w14:paraId="285E02B1">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22F4F50B">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_GB2312" w:hAnsi="Calibri" w:eastAsia="仿宋_GB2312" w:cs="Times New Roman"/>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B0B524">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 测量放线</w:t>
      </w:r>
    </w:p>
    <w:p w14:paraId="3539C10A">
      <w:pPr>
        <w:pageBreakBefore w:val="0"/>
        <w:widowControl w:val="0"/>
        <w:kinsoku/>
        <w:wordWrap/>
        <w:overflowPunct/>
        <w:topLinePunct w:val="0"/>
        <w:bidi w:val="0"/>
        <w:spacing w:line="420" w:lineRule="exact"/>
        <w:textAlignment w:val="auto"/>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1BD5D2EB">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hAnsi="Calibri" w:eastAsia="仿宋_GB2312" w:cs="Times New Roman"/>
          <w:color w:val="auto"/>
          <w:sz w:val="24"/>
          <w:szCs w:val="24"/>
          <w:highlight w:val="none"/>
          <w:u w:val="single"/>
        </w:rPr>
        <w:t>由</w:t>
      </w:r>
      <w:r>
        <w:rPr>
          <w:rFonts w:hint="eastAsia" w:ascii="仿宋_GB2312" w:hAnsi="Calibri" w:eastAsia="仿宋_GB2312" w:cs="Times New Roman"/>
          <w:color w:val="auto"/>
          <w:sz w:val="24"/>
          <w:szCs w:val="24"/>
          <w:highlight w:val="none"/>
          <w:u w:val="single"/>
          <w:lang w:val="en-US" w:eastAsia="zh-CN"/>
        </w:rPr>
        <w:t>设计方</w:t>
      </w:r>
      <w:r>
        <w:rPr>
          <w:rFonts w:hint="eastAsia" w:ascii="仿宋_GB2312" w:hAnsi="Calibri" w:eastAsia="仿宋_GB2312" w:cs="Times New Roman"/>
          <w:color w:val="auto"/>
          <w:sz w:val="24"/>
          <w:szCs w:val="24"/>
          <w:highlight w:val="none"/>
          <w:u w:val="single"/>
        </w:rPr>
        <w:t>负责交桩，</w:t>
      </w:r>
      <w:r>
        <w:rPr>
          <w:rFonts w:hint="eastAsia" w:ascii="仿宋_GB2312" w:hAnsi="Calibri" w:eastAsia="仿宋_GB2312" w:cs="Times New Roman"/>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0EB3B349">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 施工安全、治安保卫和环境保护</w:t>
      </w:r>
    </w:p>
    <w:p w14:paraId="0F94141D">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9.2 承包人的施工安全责任</w:t>
      </w:r>
    </w:p>
    <w:p w14:paraId="310E9897">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hAnsi="Calibri" w:eastAsia="仿宋_GB2312" w:cs="Times New Roman"/>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0E1F184F">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9.7 文明工地</w:t>
      </w:r>
    </w:p>
    <w:p w14:paraId="3042B1E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59978680">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50" w:name="_Toc222031038"/>
      <w:bookmarkStart w:id="151" w:name="_Toc221951188"/>
      <w:bookmarkStart w:id="152" w:name="_Toc222032705"/>
      <w:bookmarkStart w:id="153" w:name="_Toc229305394"/>
      <w:bookmarkStart w:id="154" w:name="_Toc222033887"/>
      <w:bookmarkStart w:id="155" w:name="_Toc222029536"/>
      <w:r>
        <w:rPr>
          <w:rFonts w:hint="eastAsia" w:ascii="仿宋" w:hAnsi="仿宋" w:eastAsia="仿宋" w:cs="仿宋"/>
          <w:b/>
          <w:bCs/>
          <w:color w:val="auto"/>
          <w:kern w:val="0"/>
          <w:sz w:val="24"/>
          <w:szCs w:val="24"/>
          <w:highlight w:val="none"/>
          <w:lang w:val="en-US" w:eastAsia="zh-CN" w:bidi="ar-SA"/>
        </w:rPr>
        <w:t>11.1 开工和竣工</w:t>
      </w:r>
      <w:bookmarkEnd w:id="150"/>
      <w:bookmarkEnd w:id="151"/>
      <w:bookmarkEnd w:id="152"/>
      <w:bookmarkEnd w:id="153"/>
      <w:bookmarkEnd w:id="154"/>
      <w:bookmarkEnd w:id="155"/>
      <w:r>
        <w:rPr>
          <w:rFonts w:hint="eastAsia" w:ascii="仿宋" w:hAnsi="仿宋" w:eastAsia="仿宋" w:cs="仿宋"/>
          <w:b/>
          <w:bCs/>
          <w:color w:val="auto"/>
          <w:kern w:val="0"/>
          <w:sz w:val="24"/>
          <w:szCs w:val="24"/>
          <w:highlight w:val="none"/>
          <w:lang w:val="en-US" w:eastAsia="zh-CN" w:bidi="ar-SA"/>
        </w:rPr>
        <w:t>（完工）</w:t>
      </w:r>
    </w:p>
    <w:p w14:paraId="6ED86F0F">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1476902B">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bookmarkStart w:id="156" w:name="_Toc398374516"/>
      <w:r>
        <w:rPr>
          <w:rFonts w:hint="eastAsia" w:ascii="仿宋" w:hAnsi="仿宋" w:eastAsia="仿宋" w:cs="仿宋"/>
          <w:b/>
          <w:color w:val="auto"/>
          <w:sz w:val="24"/>
          <w:szCs w:val="24"/>
          <w:highlight w:val="none"/>
        </w:rPr>
        <w:t>11.3 发包人的工期延误</w:t>
      </w:r>
      <w:bookmarkEnd w:id="156"/>
      <w:r>
        <w:rPr>
          <w:rFonts w:hint="eastAsia" w:ascii="仿宋" w:hAnsi="仿宋" w:eastAsia="仿宋" w:cs="仿宋"/>
          <w:color w:val="auto"/>
          <w:sz w:val="24"/>
          <w:szCs w:val="24"/>
          <w:highlight w:val="none"/>
        </w:rPr>
        <w:t xml:space="preserve">  </w:t>
      </w:r>
    </w:p>
    <w:p w14:paraId="153A08E5">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_GB2312" w:hAnsi="Calibri" w:eastAsia="仿宋_GB2312" w:cs="Times New Roman"/>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1256F298">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57" w:name="_Toc221951189"/>
      <w:r>
        <w:rPr>
          <w:rFonts w:hint="eastAsia" w:ascii="仿宋" w:hAnsi="仿宋" w:eastAsia="仿宋" w:cs="仿宋"/>
          <w:b/>
          <w:bCs/>
          <w:color w:val="auto"/>
          <w:kern w:val="0"/>
          <w:sz w:val="24"/>
          <w:szCs w:val="24"/>
          <w:highlight w:val="none"/>
          <w:lang w:val="en-US" w:eastAsia="zh-CN" w:bidi="ar-SA"/>
        </w:rPr>
        <w:t>11.4 异常恶劣的气候条件</w:t>
      </w:r>
      <w:bookmarkEnd w:id="157"/>
      <w:r>
        <w:rPr>
          <w:rFonts w:hint="eastAsia" w:ascii="仿宋" w:hAnsi="仿宋" w:eastAsia="仿宋" w:cs="仿宋"/>
          <w:b/>
          <w:bCs/>
          <w:color w:val="auto"/>
          <w:kern w:val="0"/>
          <w:sz w:val="24"/>
          <w:szCs w:val="24"/>
          <w:highlight w:val="none"/>
          <w:lang w:val="en-US" w:eastAsia="zh-CN" w:bidi="ar-SA"/>
        </w:rPr>
        <w:t xml:space="preserve"> </w:t>
      </w:r>
    </w:p>
    <w:p w14:paraId="0222970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bookmarkStart w:id="158" w:name="_Toc221951191"/>
      <w:r>
        <w:rPr>
          <w:rFonts w:hint="eastAsia" w:ascii="仿宋" w:hAnsi="仿宋" w:eastAsia="仿宋" w:cs="仿宋"/>
          <w:color w:val="auto"/>
          <w:sz w:val="24"/>
          <w:szCs w:val="24"/>
          <w:highlight w:val="none"/>
        </w:rPr>
        <w:t>11.4.3 本合同工程界定异常恶劣气候条件的范围为：</w:t>
      </w:r>
      <w:bookmarkEnd w:id="158"/>
    </w:p>
    <w:p w14:paraId="79A0A275">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59"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59"/>
    </w:p>
    <w:p w14:paraId="5F0B2DB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60" w:name="_Toc221951193"/>
      <w:r>
        <w:rPr>
          <w:rFonts w:hint="eastAsia" w:ascii="仿宋" w:hAnsi="仿宋" w:eastAsia="仿宋" w:cs="仿宋"/>
          <w:color w:val="auto"/>
          <w:sz w:val="24"/>
          <w:szCs w:val="24"/>
          <w:highlight w:val="none"/>
        </w:rPr>
        <w:t>（2）</w:t>
      </w:r>
      <w:bookmarkEnd w:id="160"/>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03EDC20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61" w:name="_Toc221951194"/>
      <w:r>
        <w:rPr>
          <w:rFonts w:hint="eastAsia" w:ascii="仿宋" w:hAnsi="仿宋" w:eastAsia="仿宋" w:cs="仿宋"/>
          <w:color w:val="auto"/>
          <w:sz w:val="24"/>
          <w:szCs w:val="24"/>
          <w:highlight w:val="none"/>
        </w:rPr>
        <w:t>（3）</w:t>
      </w:r>
      <w:bookmarkEnd w:id="161"/>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62" w:name="_Toc221951195"/>
    </w:p>
    <w:p w14:paraId="03B69F3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62"/>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63" w:name="_Toc221951196"/>
    </w:p>
    <w:p w14:paraId="65241B4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63"/>
      <w:r>
        <w:rPr>
          <w:rFonts w:hint="eastAsia" w:ascii="仿宋" w:hAnsi="仿宋" w:eastAsia="仿宋" w:cs="仿宋"/>
          <w:color w:val="auto"/>
          <w:sz w:val="24"/>
          <w:szCs w:val="24"/>
          <w:highlight w:val="none"/>
        </w:rPr>
        <w:t>造成工程损坏的冰雹和大雪灾害；</w:t>
      </w:r>
    </w:p>
    <w:p w14:paraId="4C3CD8E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7F8B9F5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3470B491">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64" w:name="_Toc221951197"/>
      <w:r>
        <w:rPr>
          <w:rFonts w:hint="eastAsia" w:ascii="仿宋" w:hAnsi="仿宋" w:eastAsia="仿宋" w:cs="仿宋"/>
          <w:color w:val="auto"/>
          <w:sz w:val="24"/>
          <w:szCs w:val="24"/>
          <w:highlight w:val="none"/>
        </w:rPr>
        <w:t>（8）其他异常恶劣气候灾害。</w:t>
      </w:r>
      <w:bookmarkEnd w:id="164"/>
    </w:p>
    <w:p w14:paraId="717B27A1">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65" w:name="_Toc221951198"/>
      <w:r>
        <w:rPr>
          <w:rFonts w:hint="eastAsia" w:ascii="仿宋" w:hAnsi="仿宋" w:eastAsia="仿宋" w:cs="仿宋"/>
          <w:b/>
          <w:bCs/>
          <w:color w:val="auto"/>
          <w:kern w:val="0"/>
          <w:sz w:val="24"/>
          <w:szCs w:val="24"/>
          <w:highlight w:val="none"/>
          <w:lang w:val="en-US" w:eastAsia="zh-CN" w:bidi="ar-SA"/>
        </w:rPr>
        <w:t>11.5 承包人工期延误</w:t>
      </w:r>
      <w:bookmarkEnd w:id="165"/>
      <w:r>
        <w:rPr>
          <w:rFonts w:hint="eastAsia" w:ascii="仿宋" w:hAnsi="仿宋" w:eastAsia="仿宋" w:cs="仿宋"/>
          <w:b/>
          <w:bCs/>
          <w:color w:val="auto"/>
          <w:kern w:val="0"/>
          <w:sz w:val="24"/>
          <w:szCs w:val="24"/>
          <w:highlight w:val="none"/>
          <w:lang w:val="en-US" w:eastAsia="zh-CN" w:bidi="ar-SA"/>
        </w:rPr>
        <w:t xml:space="preserve"> </w:t>
      </w:r>
      <w:bookmarkStart w:id="166" w:name="_Toc221951200"/>
    </w:p>
    <w:p w14:paraId="2378DF47">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67" w:name="_Toc221951205"/>
      <w:r>
        <w:rPr>
          <w:rFonts w:hint="eastAsia" w:ascii="仿宋" w:hAnsi="仿宋" w:eastAsia="仿宋" w:cs="仿宋"/>
          <w:color w:val="auto"/>
          <w:sz w:val="24"/>
          <w:szCs w:val="24"/>
          <w:highlight w:val="none"/>
        </w:rPr>
        <w:t>本款补充如下内容：</w:t>
      </w:r>
    </w:p>
    <w:p w14:paraId="15469A2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6F960DB3">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67"/>
    </w:p>
    <w:bookmarkEnd w:id="166"/>
    <w:p w14:paraId="258DDA2E">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11.6 工期提前</w:t>
      </w:r>
    </w:p>
    <w:p w14:paraId="696796A9">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770FF1EC">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68" w:name="_Toc229305395"/>
      <w:bookmarkStart w:id="169" w:name="_Toc222031039"/>
      <w:bookmarkStart w:id="170" w:name="_Toc221951206"/>
      <w:bookmarkStart w:id="171" w:name="_Toc222032706"/>
      <w:bookmarkStart w:id="172" w:name="_Toc222033888"/>
      <w:bookmarkStart w:id="173" w:name="_Toc222029537"/>
      <w:r>
        <w:rPr>
          <w:rFonts w:hint="eastAsia" w:ascii="仿宋" w:hAnsi="仿宋" w:eastAsia="仿宋" w:cs="仿宋"/>
          <w:b/>
          <w:bCs/>
          <w:color w:val="auto"/>
          <w:kern w:val="0"/>
          <w:sz w:val="24"/>
          <w:szCs w:val="24"/>
          <w:highlight w:val="none"/>
          <w:lang w:val="en-US" w:eastAsia="zh-CN" w:bidi="ar-SA"/>
        </w:rPr>
        <w:t>12. 暂停施工</w:t>
      </w:r>
      <w:bookmarkEnd w:id="168"/>
      <w:bookmarkEnd w:id="169"/>
      <w:bookmarkEnd w:id="170"/>
      <w:bookmarkEnd w:id="171"/>
      <w:bookmarkEnd w:id="172"/>
      <w:bookmarkEnd w:id="173"/>
    </w:p>
    <w:p w14:paraId="5C3E272E">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74" w:name="_Toc221951207"/>
      <w:r>
        <w:rPr>
          <w:rFonts w:hint="eastAsia" w:ascii="仿宋" w:hAnsi="仿宋" w:eastAsia="仿宋" w:cs="仿宋"/>
          <w:b/>
          <w:bCs/>
          <w:color w:val="auto"/>
          <w:kern w:val="0"/>
          <w:sz w:val="24"/>
          <w:szCs w:val="24"/>
          <w:highlight w:val="none"/>
          <w:lang w:val="en-US" w:eastAsia="zh-CN" w:bidi="ar-SA"/>
        </w:rPr>
        <w:t>12.1 承包人暂停施工的责任</w:t>
      </w:r>
      <w:bookmarkEnd w:id="174"/>
    </w:p>
    <w:p w14:paraId="341A621B">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75"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75"/>
    </w:p>
    <w:p w14:paraId="72A92B34">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12.2 发包人暂停施工的责任</w:t>
      </w:r>
    </w:p>
    <w:p w14:paraId="4965CC81">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30AA314B">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 工程质量</w:t>
      </w:r>
    </w:p>
    <w:p w14:paraId="33767955">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13.7 质量评定</w:t>
      </w:r>
    </w:p>
    <w:p w14:paraId="1F32317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2B09A86C">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199ECF8E">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13.8 质量事故处理</w:t>
      </w:r>
    </w:p>
    <w:p w14:paraId="0F1FBEA1">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018025CB">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14. 试验和检验</w:t>
      </w:r>
    </w:p>
    <w:p w14:paraId="0AA0681C">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14.1 材料、工程设备和工程的试验和检验</w:t>
      </w:r>
    </w:p>
    <w:p w14:paraId="51F53060">
      <w:pPr>
        <w:pageBreakBefore w:val="0"/>
        <w:widowControl w:val="0"/>
        <w:kinsoku/>
        <w:wordWrap/>
        <w:overflowPunct/>
        <w:topLinePunct w:val="0"/>
        <w:bidi w:val="0"/>
        <w:spacing w:line="420" w:lineRule="exact"/>
        <w:ind w:firstLine="480" w:firstLineChars="200"/>
        <w:textAlignment w:val="auto"/>
        <w:outlineLvl w:val="0"/>
        <w:rPr>
          <w:rFonts w:hint="eastAsia" w:ascii="仿宋" w:hAnsi="仿宋" w:eastAsia="仿宋" w:cs="仿宋"/>
          <w:bCs/>
          <w:color w:val="auto"/>
          <w:sz w:val="24"/>
          <w:szCs w:val="24"/>
          <w:highlight w:val="none"/>
        </w:rPr>
      </w:pPr>
      <w:bookmarkStart w:id="176" w:name="_Toc229305396"/>
      <w:bookmarkStart w:id="177" w:name="_Toc221951213"/>
      <w:bookmarkStart w:id="178" w:name="_Toc222033890"/>
      <w:bookmarkStart w:id="179" w:name="_Toc222029539"/>
      <w:bookmarkStart w:id="180" w:name="_Toc222031041"/>
      <w:bookmarkStart w:id="181" w:name="_Toc222032708"/>
      <w:r>
        <w:rPr>
          <w:rFonts w:hint="eastAsia" w:ascii="仿宋" w:hAnsi="仿宋" w:eastAsia="仿宋" w:cs="仿宋"/>
          <w:color w:val="auto"/>
          <w:sz w:val="24"/>
          <w:szCs w:val="24"/>
          <w:highlight w:val="none"/>
        </w:rPr>
        <w:t>14.1.5 水工金属结构、启闭机及机电产品进场后的交货检查和验收中，</w:t>
      </w:r>
      <w:r>
        <w:rPr>
          <w:rFonts w:hint="eastAsia" w:ascii="仿宋" w:hAnsi="仿宋" w:eastAsia="仿宋" w:cs="仿宋"/>
          <w:bCs/>
          <w:color w:val="auto"/>
          <w:sz w:val="24"/>
          <w:szCs w:val="24"/>
          <w:highlight w:val="none"/>
        </w:rPr>
        <w:t>如承包人负责安装，则</w:t>
      </w:r>
      <w:r>
        <w:rPr>
          <w:rFonts w:hint="eastAsia" w:ascii="仿宋" w:hAnsi="仿宋" w:eastAsia="仿宋" w:cs="仿宋"/>
          <w:bCs/>
          <w:color w:val="auto"/>
          <w:sz w:val="24"/>
          <w:szCs w:val="24"/>
          <w:highlight w:val="none"/>
          <w:u w:val="single"/>
        </w:rPr>
        <w:t>负责卸车及卸车后的验收、保管、转运、仓储管理</w:t>
      </w:r>
      <w:r>
        <w:rPr>
          <w:rFonts w:hint="eastAsia" w:ascii="仿宋" w:hAnsi="仿宋" w:eastAsia="仿宋" w:cs="仿宋"/>
          <w:bCs/>
          <w:color w:val="auto"/>
          <w:sz w:val="24"/>
          <w:szCs w:val="24"/>
          <w:highlight w:val="none"/>
        </w:rPr>
        <w:t>，发生的相关费用由承包人承担，发包人不另行支付该费用。</w:t>
      </w:r>
    </w:p>
    <w:p w14:paraId="72CEC500">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13.1.2 本工程实行见证取样的试块、试件及有关材料：</w:t>
      </w:r>
      <w:r>
        <w:rPr>
          <w:rFonts w:hint="eastAsia" w:ascii="仿宋" w:hAnsi="仿宋" w:eastAsia="仿宋" w:cs="仿宋"/>
          <w:bCs/>
          <w:color w:val="auto"/>
          <w:sz w:val="24"/>
          <w:szCs w:val="24"/>
          <w:highlight w:val="none"/>
          <w:u w:val="single"/>
        </w:rPr>
        <w:t>水泥、砂、碎（卵）石、土料压实、砼试件、钢筋、砂浆。</w:t>
      </w:r>
    </w:p>
    <w:p w14:paraId="51C7761A">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15. 变更</w:t>
      </w:r>
      <w:bookmarkEnd w:id="176"/>
      <w:bookmarkEnd w:id="177"/>
      <w:bookmarkEnd w:id="178"/>
      <w:bookmarkEnd w:id="179"/>
      <w:bookmarkEnd w:id="180"/>
      <w:bookmarkEnd w:id="181"/>
    </w:p>
    <w:p w14:paraId="5FD8387F">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82" w:name="_Toc221951214"/>
      <w:r>
        <w:rPr>
          <w:rFonts w:hint="eastAsia" w:ascii="仿宋" w:hAnsi="仿宋" w:eastAsia="仿宋" w:cs="仿宋"/>
          <w:b/>
          <w:bCs/>
          <w:color w:val="auto"/>
          <w:kern w:val="0"/>
          <w:sz w:val="24"/>
          <w:szCs w:val="24"/>
          <w:highlight w:val="none"/>
          <w:lang w:val="en-US" w:eastAsia="zh-CN" w:bidi="ar-SA"/>
        </w:rPr>
        <w:t>15.1 变更的范围和内容</w:t>
      </w:r>
      <w:bookmarkEnd w:id="182"/>
    </w:p>
    <w:p w14:paraId="5EB6349E">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83"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83"/>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 w:hAnsi="仿宋" w:eastAsia="仿宋" w:cs="仿宋"/>
          <w:color w:val="auto"/>
          <w:sz w:val="24"/>
          <w:szCs w:val="24"/>
          <w:highlight w:val="none"/>
          <w:u w:val="single"/>
          <w:lang w:val="en-US" w:eastAsia="zh-CN"/>
        </w:rPr>
        <w:t>固定综合单价，</w:t>
      </w:r>
      <w:r>
        <w:rPr>
          <w:rFonts w:hint="eastAsia" w:ascii="仿宋" w:hAnsi="仿宋" w:eastAsia="仿宋" w:cs="仿宋"/>
          <w:color w:val="auto"/>
          <w:sz w:val="24"/>
          <w:szCs w:val="24"/>
          <w:highlight w:val="none"/>
          <w:u w:val="single"/>
        </w:rPr>
        <w:t>工程单价均不进行调整</w:t>
      </w:r>
      <w:r>
        <w:rPr>
          <w:rFonts w:hint="eastAsia" w:ascii="仿宋" w:hAnsi="仿宋" w:eastAsia="仿宋" w:cs="仿宋"/>
          <w:color w:val="auto"/>
          <w:sz w:val="24"/>
          <w:szCs w:val="24"/>
          <w:highlight w:val="none"/>
        </w:rPr>
        <w:t>。</w:t>
      </w:r>
    </w:p>
    <w:p w14:paraId="1E339031">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15.4 变更的估价原则</w:t>
      </w:r>
    </w:p>
    <w:p w14:paraId="1C1340E8">
      <w:pPr>
        <w:pageBreakBefore w:val="0"/>
        <w:widowControl w:val="0"/>
        <w:kinsoku/>
        <w:wordWrap/>
        <w:overflowPunct/>
        <w:topLinePunct w:val="0"/>
        <w:bidi w:val="0"/>
        <w:adjustRightInd w:val="0"/>
        <w:snapToGrid w:val="0"/>
        <w:spacing w:line="420" w:lineRule="exact"/>
        <w:ind w:firstLine="600" w:firstLineChars="250"/>
        <w:textAlignment w:val="auto"/>
        <w:rPr>
          <w:rFonts w:hint="eastAsia" w:ascii="仿宋" w:hAnsi="仿宋" w:eastAsia="仿宋" w:cs="仿宋"/>
          <w:color w:val="auto"/>
          <w:sz w:val="24"/>
          <w:szCs w:val="24"/>
          <w:highlight w:val="none"/>
        </w:rPr>
      </w:pPr>
      <w:bookmarkStart w:id="184" w:name="_Toc221951218"/>
      <w:r>
        <w:rPr>
          <w:rFonts w:hint="eastAsia" w:ascii="仿宋" w:hAnsi="仿宋" w:eastAsia="仿宋" w:cs="仿宋"/>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ascii="仿宋" w:hAnsi="仿宋" w:eastAsia="仿宋" w:cs="仿宋"/>
          <w:color w:val="auto"/>
          <w:sz w:val="24"/>
          <w:szCs w:val="24"/>
          <w:highlight w:val="none"/>
        </w:rPr>
        <w:t>。</w:t>
      </w:r>
    </w:p>
    <w:p w14:paraId="203C20EF">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如发生超合同工程量的情况，须履行工程量签证手续，报业主审核后方可进行施工。如施工方擅自</w:t>
      </w:r>
      <w:r>
        <w:rPr>
          <w:rFonts w:hint="eastAsia" w:ascii="仿宋" w:hAnsi="仿宋" w:eastAsia="仿宋" w:cs="仿宋"/>
          <w:bCs/>
          <w:color w:val="auto"/>
          <w:sz w:val="24"/>
          <w:szCs w:val="24"/>
          <w:highlight w:val="none"/>
          <w:lang w:val="en-US" w:eastAsia="zh-CN"/>
        </w:rPr>
        <w:t>修改</w:t>
      </w:r>
      <w:r>
        <w:rPr>
          <w:rFonts w:hint="eastAsia" w:ascii="仿宋" w:hAnsi="仿宋" w:eastAsia="仿宋" w:cs="仿宋"/>
          <w:bCs/>
          <w:color w:val="auto"/>
          <w:sz w:val="24"/>
          <w:szCs w:val="24"/>
          <w:highlight w:val="none"/>
        </w:rPr>
        <w:t>施工</w:t>
      </w:r>
      <w:r>
        <w:rPr>
          <w:rFonts w:hint="eastAsia" w:ascii="仿宋" w:hAnsi="仿宋" w:eastAsia="仿宋" w:cs="仿宋"/>
          <w:bCs/>
          <w:color w:val="auto"/>
          <w:sz w:val="24"/>
          <w:szCs w:val="24"/>
          <w:highlight w:val="none"/>
          <w:lang w:val="en-US" w:eastAsia="zh-CN"/>
        </w:rPr>
        <w:t>方案</w:t>
      </w:r>
      <w:r>
        <w:rPr>
          <w:rFonts w:hint="eastAsia" w:ascii="仿宋" w:hAnsi="仿宋" w:eastAsia="仿宋" w:cs="仿宋"/>
          <w:bCs/>
          <w:color w:val="auto"/>
          <w:sz w:val="24"/>
          <w:szCs w:val="24"/>
          <w:highlight w:val="none"/>
        </w:rPr>
        <w:t>，虚增工程量，业主方不予以计量。若调增工程价款估算造价在5万元以上（含5万元）的，必须经业主、监理单位、现场签字确认。</w:t>
      </w:r>
      <w:r>
        <w:rPr>
          <w:rFonts w:hint="eastAsia" w:ascii="仿宋" w:hAnsi="仿宋" w:eastAsia="仿宋" w:cs="仿宋"/>
          <w:bCs/>
          <w:color w:val="auto"/>
          <w:sz w:val="24"/>
          <w:szCs w:val="24"/>
          <w:highlight w:val="none"/>
          <w:lang w:val="en-US" w:eastAsia="zh-CN"/>
        </w:rPr>
        <w:t>原则上不允许变更突破原造价，如发生超合同价情况，以合同总价为支付上限，超过部分不予支付。</w:t>
      </w:r>
    </w:p>
    <w:p w14:paraId="5CA8FD59">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15.5 承包人的合理化建议</w:t>
      </w:r>
    </w:p>
    <w:p w14:paraId="60E9AAA0">
      <w:pPr>
        <w:pageBreakBefore w:val="0"/>
        <w:widowControl w:val="0"/>
        <w:kinsoku/>
        <w:wordWrap/>
        <w:overflowPunct/>
        <w:topLinePunct w:val="0"/>
        <w:bidi w:val="0"/>
        <w:spacing w:line="42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84"/>
      <w:bookmarkStart w:id="185" w:name="_Toc221951219"/>
      <w:r>
        <w:rPr>
          <w:rFonts w:hint="eastAsia" w:ascii="仿宋" w:hAnsi="仿宋" w:eastAsia="仿宋" w:cs="仿宋"/>
          <w:color w:val="auto"/>
          <w:sz w:val="24"/>
          <w:szCs w:val="24"/>
          <w:highlight w:val="none"/>
        </w:rPr>
        <w:t>承包人实现合理化建议的奖励金额为：</w:t>
      </w:r>
      <w:bookmarkEnd w:id="185"/>
      <w:bookmarkStart w:id="186"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86"/>
    </w:p>
    <w:p w14:paraId="29C8248D">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187" w:name="_Toc229305397"/>
      <w:r>
        <w:rPr>
          <w:rFonts w:hint="eastAsia" w:ascii="仿宋" w:hAnsi="仿宋" w:eastAsia="仿宋" w:cs="仿宋"/>
          <w:b/>
          <w:bCs/>
          <w:color w:val="auto"/>
          <w:kern w:val="0"/>
          <w:sz w:val="24"/>
          <w:szCs w:val="24"/>
          <w:highlight w:val="none"/>
          <w:lang w:val="en-US" w:eastAsia="zh-CN" w:bidi="ar-SA"/>
        </w:rPr>
        <w:t>16 价格调整</w:t>
      </w:r>
      <w:bookmarkEnd w:id="187"/>
    </w:p>
    <w:p w14:paraId="2C370C95">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 xml:space="preserve">16.1 物价波动引起的价格调整  </w:t>
      </w:r>
    </w:p>
    <w:p w14:paraId="09B928FC">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88" w:name="_Toc229305398"/>
      <w:bookmarkStart w:id="189" w:name="_Toc222033891"/>
      <w:bookmarkStart w:id="190" w:name="_Toc222029540"/>
      <w:bookmarkStart w:id="191" w:name="_Toc221951223"/>
      <w:bookmarkStart w:id="192" w:name="_Toc222032709"/>
      <w:bookmarkStart w:id="193" w:name="_Toc222031042"/>
      <w:r>
        <w:rPr>
          <w:rFonts w:hint="eastAsia" w:ascii="仿宋" w:hAnsi="仿宋" w:eastAsia="仿宋" w:cs="仿宋"/>
          <w:color w:val="auto"/>
          <w:sz w:val="24"/>
          <w:szCs w:val="24"/>
          <w:highlight w:val="none"/>
        </w:rPr>
        <w:t>16.1.1市场价格波动是否调整合同价格的约定：</w:t>
      </w:r>
      <w:r>
        <w:rPr>
          <w:rFonts w:hint="eastAsia" w:ascii="仿宋" w:hAnsi="仿宋" w:eastAsia="仿宋" w:cs="仿宋"/>
          <w:color w:val="auto"/>
          <w:sz w:val="24"/>
          <w:szCs w:val="24"/>
          <w:highlight w:val="none"/>
          <w:u w:val="single"/>
        </w:rPr>
        <w:t>否</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7334FF64">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本项目的材料价不因物价波动、施工工期延误等因素引起的材料价格波动而调差。</w:t>
      </w:r>
    </w:p>
    <w:p w14:paraId="3E523AF7">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人工费不因价差政策等因素调差。</w:t>
      </w:r>
    </w:p>
    <w:p w14:paraId="151F98DE">
      <w:pPr>
        <w:keepNext w:val="0"/>
        <w:keepLines w:val="0"/>
        <w:pageBreakBefore w:val="0"/>
        <w:widowControl w:val="0"/>
        <w:numPr>
          <w:ilvl w:val="0"/>
          <w:numId w:val="8"/>
        </w:numPr>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计量与支付</w:t>
      </w:r>
      <w:bookmarkEnd w:id="188"/>
      <w:bookmarkEnd w:id="189"/>
      <w:bookmarkEnd w:id="190"/>
      <w:bookmarkEnd w:id="191"/>
      <w:bookmarkEnd w:id="192"/>
      <w:bookmarkEnd w:id="193"/>
    </w:p>
    <w:p w14:paraId="17E0B3B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17.1.1预付款</w:t>
      </w:r>
    </w:p>
    <w:p w14:paraId="3B8642D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94" w:name="_Toc221951228"/>
      <w:r>
        <w:rPr>
          <w:rFonts w:hint="eastAsia" w:ascii="仿宋" w:hAnsi="仿宋" w:eastAsia="仿宋" w:cs="仿宋"/>
          <w:color w:val="auto"/>
          <w:sz w:val="24"/>
          <w:szCs w:val="24"/>
          <w:highlight w:val="none"/>
        </w:rPr>
        <w:t>（1）</w:t>
      </w:r>
      <w:bookmarkEnd w:id="194"/>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rPr>
        <w:t>。</w:t>
      </w:r>
    </w:p>
    <w:p w14:paraId="3124C567">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）预付款支付期限： </w:t>
      </w:r>
      <w:r>
        <w:rPr>
          <w:rFonts w:hint="eastAsia" w:ascii="仿宋" w:hAnsi="仿宋" w:eastAsia="仿宋" w:cs="仿宋"/>
          <w:color w:val="auto"/>
          <w:sz w:val="24"/>
          <w:szCs w:val="24"/>
          <w:highlight w:val="none"/>
          <w:u w:val="single"/>
        </w:rPr>
        <w:t>合同签订后7日内一次性支付给承包人</w:t>
      </w:r>
      <w:r>
        <w:rPr>
          <w:rFonts w:hint="eastAsia" w:ascii="仿宋" w:hAnsi="仿宋" w:eastAsia="仿宋" w:cs="仿宋"/>
          <w:color w:val="auto"/>
          <w:sz w:val="24"/>
          <w:szCs w:val="24"/>
          <w:highlight w:val="none"/>
        </w:rPr>
        <w:t>。</w:t>
      </w:r>
    </w:p>
    <w:p w14:paraId="2AD13F6C">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lang w:eastAsia="zh-CN"/>
        </w:rPr>
        <w:t>申请第一次工程进度款</w:t>
      </w:r>
      <w:r>
        <w:rPr>
          <w:rFonts w:hint="eastAsia" w:ascii="仿宋" w:hAnsi="仿宋" w:eastAsia="仿宋" w:cs="仿宋"/>
          <w:color w:val="auto"/>
          <w:sz w:val="24"/>
          <w:szCs w:val="24"/>
          <w:highlight w:val="none"/>
          <w:u w:val="single"/>
        </w:rPr>
        <w:t>时一次性扣清</w:t>
      </w:r>
      <w:r>
        <w:rPr>
          <w:rFonts w:hint="eastAsia" w:ascii="仿宋" w:hAnsi="仿宋" w:eastAsia="仿宋" w:cs="仿宋"/>
          <w:color w:val="auto"/>
          <w:sz w:val="24"/>
          <w:szCs w:val="24"/>
          <w:highlight w:val="none"/>
        </w:rPr>
        <w:t>。</w:t>
      </w:r>
    </w:p>
    <w:p w14:paraId="7D0B019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377AD055">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214730E4">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38C19B6">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预付款担保格式见合同附件7。</w:t>
      </w:r>
    </w:p>
    <w:p w14:paraId="3121F2B2">
      <w:pPr>
        <w:pageBreakBefore w:val="0"/>
        <w:widowControl w:val="0"/>
        <w:kinsoku/>
        <w:wordWrap/>
        <w:overflowPunct/>
        <w:topLinePunct w:val="0"/>
        <w:bidi w:val="0"/>
        <w:adjustRightInd w:val="0"/>
        <w:snapToGrid w:val="0"/>
        <w:spacing w:line="420" w:lineRule="exact"/>
        <w:textAlignment w:val="auto"/>
        <w:rPr>
          <w:rFonts w:ascii="仿宋_GB2312" w:hAnsi="宋体" w:eastAsia="仿宋_GB2312" w:cs="Times New Roman"/>
          <w:b/>
          <w:bCs/>
          <w:color w:val="auto"/>
          <w:sz w:val="24"/>
          <w:szCs w:val="24"/>
          <w:highlight w:val="none"/>
        </w:rPr>
      </w:pPr>
      <w:bookmarkStart w:id="195" w:name="_Toc221951260"/>
      <w:r>
        <w:rPr>
          <w:rFonts w:hint="eastAsia" w:ascii="仿宋_GB2312" w:hAnsi="宋体" w:eastAsia="仿宋_GB2312" w:cs="Times New Roman"/>
          <w:b/>
          <w:bCs/>
          <w:color w:val="auto"/>
          <w:sz w:val="24"/>
          <w:szCs w:val="24"/>
          <w:highlight w:val="none"/>
        </w:rPr>
        <w:t>17.2进度款</w:t>
      </w:r>
    </w:p>
    <w:p w14:paraId="06827084">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进度付款证书和支付时间</w:t>
      </w:r>
    </w:p>
    <w:p w14:paraId="50BE2F4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本款</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“专用合同条款的约定支付逾期付款违约金”</w:t>
      </w:r>
      <w:r>
        <w:rPr>
          <w:rFonts w:hint="eastAsia" w:ascii="仿宋" w:hAnsi="仿宋" w:eastAsia="仿宋" w:cs="仿宋"/>
          <w:color w:val="auto"/>
          <w:sz w:val="24"/>
          <w:szCs w:val="24"/>
          <w:highlight w:val="none"/>
          <w:lang w:val="en-US"/>
        </w:rPr>
        <w:t>,</w:t>
      </w:r>
      <w:r>
        <w:rPr>
          <w:rStyle w:val="91"/>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75C1126D">
      <w:pPr>
        <w:pageBreakBefore w:val="0"/>
        <w:widowControl w:val="0"/>
        <w:kinsoku/>
        <w:wordWrap/>
        <w:overflowPunct/>
        <w:topLinePunct w:val="0"/>
        <w:autoSpaceDE w:val="0"/>
        <w:autoSpaceDN w:val="0"/>
        <w:bidi w:val="0"/>
        <w:adjustRightInd w:val="0"/>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bookmarkStart w:id="196" w:name="_Toc292559416"/>
      <w:bookmarkStart w:id="197" w:name="_Toc296944550"/>
      <w:bookmarkStart w:id="198" w:name="_Toc296503211"/>
      <w:bookmarkStart w:id="199" w:name="_Toc296891039"/>
      <w:bookmarkStart w:id="200" w:name="_Toc297216215"/>
      <w:bookmarkStart w:id="201" w:name="_Toc300935006"/>
      <w:bookmarkStart w:id="202" w:name="_Toc296347210"/>
      <w:bookmarkStart w:id="203" w:name="_Toc296891251"/>
      <w:bookmarkStart w:id="204" w:name="_Toc292559921"/>
      <w:bookmarkStart w:id="205" w:name="_Toc297123556"/>
      <w:bookmarkStart w:id="206" w:name="_Toc297048397"/>
      <w:bookmarkStart w:id="207" w:name="_Toc303539163"/>
      <w:bookmarkStart w:id="208" w:name="_Toc297120511"/>
      <w:bookmarkStart w:id="209" w:name="_Toc296346712"/>
      <w:r>
        <w:rPr>
          <w:rFonts w:hint="eastAsia" w:ascii="仿宋" w:hAnsi="仿宋" w:eastAsia="仿宋" w:cs="仿宋"/>
          <w:color w:val="auto"/>
          <w:sz w:val="24"/>
          <w:szCs w:val="24"/>
          <w:highlight w:val="none"/>
        </w:rPr>
        <w:t>付款周期</w:t>
      </w:r>
    </w:p>
    <w:p w14:paraId="75CBCD3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关于付款周期的约定：</w:t>
      </w:r>
      <w:r>
        <w:rPr>
          <w:rFonts w:hint="eastAsia" w:ascii="仿宋" w:hAnsi="仿宋" w:eastAsia="仿宋" w:cs="仿宋"/>
          <w:color w:val="auto"/>
          <w:kern w:val="2"/>
          <w:sz w:val="24"/>
          <w:szCs w:val="24"/>
          <w:highlight w:val="none"/>
          <w:u w:val="single"/>
          <w:lang w:val="en-US" w:eastAsia="zh-CN" w:bidi="ar-SA"/>
        </w:rPr>
        <w:t>施工期间按节点付款，每次付款为合同内进度款支付限额为已完成工程量的80%，竣工验收合格后，工程款支付至承包人完成合同价的92%，经审计确定发出审计报告之日起 30 日内，发包人按工程价款结算总额的97%支付。质保期满后，经检验无质量及售后服务问题由承包人提出申请，发包人在5个工作日办理拨付手续。</w:t>
      </w:r>
    </w:p>
    <w:p w14:paraId="740FAB96">
      <w:pPr>
        <w:widowControl w:val="0"/>
        <w:spacing w:line="360" w:lineRule="auto"/>
        <w:ind w:firstLine="480" w:firstLineChars="200"/>
        <w:jc w:val="left"/>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承包人在每次申请付款时，必须开具正规的增值税发票给发包人，否则，发包人有权暂停付款。如因工程变更须按《平桂区乡村振兴衔接资金管理办法》进行专家论证等程序办理。</w:t>
      </w:r>
    </w:p>
    <w:p w14:paraId="61A0F9B4">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17.2.3 进度付款申请单的编制</w:t>
      </w:r>
    </w:p>
    <w:p w14:paraId="1C8FE076">
      <w:pPr>
        <w:widowControl w:val="0"/>
        <w:spacing w:line="360" w:lineRule="auto"/>
        <w:ind w:firstLine="480" w:firstLineChars="200"/>
        <w:jc w:val="left"/>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关于进度付款申请单编制的约定：</w:t>
      </w:r>
      <w:r>
        <w:rPr>
          <w:rFonts w:hint="eastAsia" w:ascii="仿宋" w:hAnsi="仿宋" w:eastAsia="仿宋" w:cs="仿宋"/>
          <w:color w:val="auto"/>
          <w:kern w:val="2"/>
          <w:sz w:val="24"/>
          <w:szCs w:val="24"/>
          <w:highlight w:val="none"/>
          <w:u w:val="single"/>
          <w:lang w:val="en-US" w:eastAsia="zh-CN" w:bidi="ar-SA"/>
        </w:rPr>
        <w:t xml:space="preserve"> 承包人应在每个计量周期到期后的7天内向发包人提交已完工程进度款支付申请一式四份，详细说明此周期自己认为有权得到的款额，包括分包人已完工程的价款，按有关规定编制 </w:t>
      </w:r>
      <w:r>
        <w:rPr>
          <w:rFonts w:hint="eastAsia" w:ascii="仿宋" w:hAnsi="仿宋" w:eastAsia="仿宋" w:cs="仿宋"/>
          <w:color w:val="auto"/>
          <w:kern w:val="2"/>
          <w:sz w:val="24"/>
          <w:szCs w:val="24"/>
          <w:highlight w:val="none"/>
          <w:lang w:val="en-US" w:eastAsia="zh-CN" w:bidi="ar-SA"/>
        </w:rPr>
        <w:t>。</w:t>
      </w:r>
    </w:p>
    <w:p w14:paraId="7609A31F">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cs="仿宋"/>
          <w:color w:val="auto"/>
          <w:kern w:val="2"/>
          <w:sz w:val="24"/>
          <w:szCs w:val="24"/>
          <w:highlight w:val="none"/>
          <w:lang w:val="en-US" w:eastAsia="zh-CN" w:bidi="ar-SA"/>
        </w:rPr>
        <w:t>7.2.4 进度付款申请单的提交</w:t>
      </w:r>
    </w:p>
    <w:p w14:paraId="05F7AD1D">
      <w:pPr>
        <w:widowControl w:val="0"/>
        <w:spacing w:line="360" w:lineRule="auto"/>
        <w:ind w:firstLine="480" w:firstLineChars="200"/>
        <w:jc w:val="left"/>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（1）单价合同进度付款申请单提交的约定：</w:t>
      </w:r>
    </w:p>
    <w:p w14:paraId="772175E4">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single"/>
          <w:lang w:val="en-US" w:eastAsia="zh-CN" w:bidi="ar-SA"/>
        </w:rPr>
        <w:t>承包人应在每个计量周期到期后的7天内向发包人提交已完工程进度款支付申请一式四份，详细说明此周期自己认为有权得到的款额，包括分包人已完工程的价款，按有关规定编制。</w:t>
      </w:r>
    </w:p>
    <w:p w14:paraId="369A393D">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（2）总价合同进度付款申请单提交的约定：</w:t>
      </w:r>
      <w:r>
        <w:rPr>
          <w:rFonts w:hint="eastAsia" w:ascii="仿宋" w:hAnsi="仿宋" w:eastAsia="仿宋" w:cs="仿宋"/>
          <w:color w:val="auto"/>
          <w:kern w:val="2"/>
          <w:sz w:val="24"/>
          <w:szCs w:val="24"/>
          <w:highlight w:val="none"/>
          <w:u w:val="single"/>
          <w:lang w:val="en-US" w:eastAsia="zh-CN" w:bidi="ar-SA"/>
        </w:rPr>
        <w:t xml:space="preserve">  /     </w:t>
      </w:r>
      <w:r>
        <w:rPr>
          <w:rFonts w:hint="eastAsia" w:ascii="仿宋" w:hAnsi="仿宋" w:eastAsia="仿宋" w:cs="仿宋"/>
          <w:color w:val="auto"/>
          <w:kern w:val="2"/>
          <w:sz w:val="24"/>
          <w:szCs w:val="24"/>
          <w:highlight w:val="none"/>
          <w:lang w:val="en-US" w:eastAsia="zh-CN" w:bidi="ar-SA"/>
        </w:rPr>
        <w:t>。</w:t>
      </w:r>
    </w:p>
    <w:p w14:paraId="0A284E99">
      <w:pPr>
        <w:widowControl w:val="0"/>
        <w:spacing w:line="360" w:lineRule="auto"/>
        <w:ind w:firstLine="480" w:firstLineChars="200"/>
        <w:jc w:val="left"/>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（3）其他价格形式合同进度付款申请单提交的约定：</w:t>
      </w:r>
      <w:r>
        <w:rPr>
          <w:rFonts w:hint="eastAsia" w:ascii="仿宋" w:hAnsi="仿宋" w:eastAsia="仿宋" w:cs="仿宋"/>
          <w:color w:val="auto"/>
          <w:kern w:val="2"/>
          <w:sz w:val="24"/>
          <w:szCs w:val="24"/>
          <w:highlight w:val="none"/>
          <w:u w:val="single"/>
          <w:lang w:val="en-US" w:eastAsia="zh-CN" w:bidi="ar-SA"/>
        </w:rPr>
        <w:t xml:space="preserve">  /    </w:t>
      </w:r>
      <w:r>
        <w:rPr>
          <w:rFonts w:hint="eastAsia" w:ascii="仿宋" w:hAnsi="仿宋" w:eastAsia="仿宋" w:cs="仿宋"/>
          <w:color w:val="auto"/>
          <w:kern w:val="2"/>
          <w:sz w:val="24"/>
          <w:szCs w:val="24"/>
          <w:highlight w:val="none"/>
          <w:lang w:val="en-US" w:eastAsia="zh-CN" w:bidi="ar-SA"/>
        </w:rPr>
        <w:t>。</w:t>
      </w:r>
    </w:p>
    <w:p w14:paraId="5E61DE03">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17.2.5 进度款审核和支付</w:t>
      </w:r>
    </w:p>
    <w:p w14:paraId="78123E07">
      <w:pPr>
        <w:widowControl w:val="0"/>
        <w:spacing w:line="360" w:lineRule="auto"/>
        <w:ind w:firstLine="480" w:firstLineChars="200"/>
        <w:jc w:val="left"/>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（1）监理人审查并报送发包人的期限：</w:t>
      </w:r>
      <w:r>
        <w:rPr>
          <w:rFonts w:hint="eastAsia" w:ascii="仿宋" w:hAnsi="仿宋" w:eastAsia="仿宋" w:cs="仿宋"/>
          <w:color w:val="auto"/>
          <w:kern w:val="2"/>
          <w:sz w:val="24"/>
          <w:szCs w:val="24"/>
          <w:highlight w:val="none"/>
          <w:u w:val="single"/>
          <w:lang w:val="en-US" w:eastAsia="zh-CN" w:bidi="ar-SA"/>
        </w:rPr>
        <w:t xml:space="preserve"> 收到申请7天内  </w:t>
      </w:r>
      <w:r>
        <w:rPr>
          <w:rFonts w:hint="eastAsia" w:ascii="仿宋" w:hAnsi="仿宋" w:eastAsia="仿宋" w:cs="仿宋"/>
          <w:color w:val="auto"/>
          <w:kern w:val="2"/>
          <w:sz w:val="24"/>
          <w:szCs w:val="24"/>
          <w:highlight w:val="none"/>
          <w:lang w:val="en-US" w:eastAsia="zh-CN" w:bidi="ar-SA"/>
        </w:rPr>
        <w:t>。</w:t>
      </w:r>
    </w:p>
    <w:p w14:paraId="04CC71E3">
      <w:pPr>
        <w:widowControl w:val="0"/>
        <w:spacing w:line="360" w:lineRule="auto"/>
        <w:ind w:firstLine="480" w:firstLineChars="200"/>
        <w:jc w:val="left"/>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发包人完成审批并签发进度款支付证书的期限：</w:t>
      </w:r>
      <w:r>
        <w:rPr>
          <w:rFonts w:hint="eastAsia" w:ascii="仿宋" w:hAnsi="仿宋" w:eastAsia="仿宋" w:cs="仿宋"/>
          <w:color w:val="auto"/>
          <w:kern w:val="2"/>
          <w:sz w:val="24"/>
          <w:szCs w:val="24"/>
          <w:highlight w:val="none"/>
          <w:u w:val="single"/>
          <w:lang w:val="en-US" w:eastAsia="zh-CN" w:bidi="ar-SA"/>
        </w:rPr>
        <w:t xml:space="preserve">  收到监理审查并确认后报送7天内 </w:t>
      </w:r>
      <w:r>
        <w:rPr>
          <w:rFonts w:hint="eastAsia" w:ascii="仿宋" w:hAnsi="仿宋" w:eastAsia="仿宋" w:cs="仿宋"/>
          <w:color w:val="auto"/>
          <w:kern w:val="2"/>
          <w:sz w:val="24"/>
          <w:szCs w:val="24"/>
          <w:highlight w:val="none"/>
          <w:lang w:val="en-US" w:eastAsia="zh-CN" w:bidi="ar-SA"/>
        </w:rPr>
        <w:t>。</w:t>
      </w:r>
    </w:p>
    <w:p w14:paraId="0C7ADB13">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（2）发包人支付进度款的期限：</w:t>
      </w:r>
      <w:r>
        <w:rPr>
          <w:rFonts w:hint="eastAsia" w:ascii="仿宋" w:hAnsi="仿宋" w:eastAsia="仿宋" w:cs="仿宋"/>
          <w:color w:val="auto"/>
          <w:kern w:val="2"/>
          <w:sz w:val="24"/>
          <w:szCs w:val="24"/>
          <w:highlight w:val="none"/>
          <w:u w:val="single"/>
          <w:lang w:val="en-US" w:eastAsia="zh-CN" w:bidi="ar-SA"/>
        </w:rPr>
        <w:t xml:space="preserve">  审查并确认后7天内    </w:t>
      </w:r>
      <w:r>
        <w:rPr>
          <w:rFonts w:hint="eastAsia" w:ascii="仿宋" w:hAnsi="仿宋" w:eastAsia="仿宋" w:cs="仿宋"/>
          <w:color w:val="auto"/>
          <w:kern w:val="2"/>
          <w:sz w:val="24"/>
          <w:szCs w:val="24"/>
          <w:highlight w:val="none"/>
          <w:lang w:val="en-US" w:eastAsia="zh-CN" w:bidi="ar-SA"/>
        </w:rPr>
        <w:t>。</w:t>
      </w:r>
    </w:p>
    <w:p w14:paraId="53D38E42">
      <w:pPr>
        <w:widowControl w:val="0"/>
        <w:spacing w:line="360" w:lineRule="auto"/>
        <w:ind w:firstLine="600" w:firstLineChars="25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发包人逾期支付进度款的违约金的计算方式：</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p>
    <w:p w14:paraId="11F07210">
      <w:pPr>
        <w:widowControl w:val="0"/>
        <w:spacing w:line="360" w:lineRule="auto"/>
        <w:ind w:firstLine="600" w:firstLineChars="25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进度款支付方式：</w:t>
      </w:r>
      <w:r>
        <w:rPr>
          <w:rFonts w:hint="eastAsia" w:ascii="仿宋" w:hAnsi="仿宋" w:eastAsia="仿宋" w:cs="仿宋"/>
          <w:color w:val="auto"/>
          <w:kern w:val="2"/>
          <w:sz w:val="24"/>
          <w:szCs w:val="24"/>
          <w:highlight w:val="none"/>
          <w:u w:val="single"/>
          <w:lang w:val="en-US" w:eastAsia="zh-CN" w:bidi="ar-SA"/>
        </w:rPr>
        <w:t>银行转账</w:t>
      </w:r>
      <w:r>
        <w:rPr>
          <w:rFonts w:hint="eastAsia" w:ascii="仿宋" w:hAnsi="仿宋" w:eastAsia="仿宋" w:cs="仿宋"/>
          <w:color w:val="auto"/>
          <w:kern w:val="2"/>
          <w:sz w:val="24"/>
          <w:szCs w:val="24"/>
          <w:highlight w:val="none"/>
          <w:lang w:val="en-US" w:eastAsia="zh-CN" w:bidi="ar-SA"/>
        </w:rPr>
        <w:t>。</w:t>
      </w:r>
    </w:p>
    <w:p w14:paraId="2FBA7C84">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17.3 质量保证金</w:t>
      </w:r>
      <w:bookmarkEnd w:id="195"/>
    </w:p>
    <w:p w14:paraId="53760C61">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210" w:name="_Toc221951262"/>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bookmarkEnd w:id="210"/>
      <w:r>
        <w:rPr>
          <w:rFonts w:hint="eastAsia" w:ascii="仿宋" w:hAnsi="仿宋" w:eastAsia="仿宋" w:cs="仿宋"/>
          <w:color w:val="auto"/>
          <w:sz w:val="24"/>
          <w:szCs w:val="24"/>
          <w:highlight w:val="none"/>
        </w:rPr>
        <w:t xml:space="preserve"> 质量保证金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w:t>
      </w:r>
    </w:p>
    <w:p w14:paraId="7310DD6D">
      <w:pPr>
        <w:pageBreakBefore w:val="0"/>
        <w:widowControl w:val="0"/>
        <w:kinsoku/>
        <w:wordWrap/>
        <w:overflowPunct/>
        <w:topLinePunct w:val="0"/>
        <w:bidi w:val="0"/>
        <w:spacing w:line="420" w:lineRule="exact"/>
        <w:ind w:right="248" w:firstLine="480" w:firstLineChars="200"/>
        <w:textAlignment w:val="auto"/>
        <w:rPr>
          <w:rStyle w:val="91"/>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扣留的质量保证金总额为签约合同价(或实际结算总价)的</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[根据《加强水利工程建设管理若干意见》（桂水基〔2014〕36号）</w:t>
      </w:r>
      <w:r>
        <w:rPr>
          <w:rFonts w:hint="eastAsia" w:ascii="仿宋" w:hAnsi="仿宋" w:eastAsia="仿宋" w:cs="仿宋"/>
          <w:color w:val="auto"/>
          <w:kern w:val="0"/>
          <w:sz w:val="24"/>
          <w:szCs w:val="24"/>
          <w:highlight w:val="none"/>
        </w:rPr>
        <w:t>及《关于印发建设工程质量保证金管理办法的通知》（建质〔2017〕138号）]</w:t>
      </w:r>
      <w:r>
        <w:rPr>
          <w:rFonts w:hint="eastAsia" w:ascii="仿宋" w:hAnsi="仿宋" w:eastAsia="仿宋" w:cs="仿宋"/>
          <w:color w:val="auto"/>
          <w:kern w:val="0"/>
          <w:sz w:val="24"/>
          <w:szCs w:val="24"/>
          <w:highlight w:val="none"/>
          <w:lang w:eastAsia="zh-CN"/>
        </w:rPr>
        <w:t>，</w:t>
      </w:r>
      <w:r>
        <w:rPr>
          <w:rStyle w:val="91"/>
          <w:rFonts w:hint="eastAsia" w:ascii="仿宋" w:hAnsi="仿宋" w:eastAsia="仿宋" w:cs="仿宋"/>
          <w:b w:val="0"/>
          <w:i w:val="0"/>
          <w:caps w:val="0"/>
          <w:color w:val="auto"/>
          <w:spacing w:val="0"/>
          <w:w w:val="100"/>
          <w:kern w:val="2"/>
          <w:sz w:val="24"/>
          <w:szCs w:val="24"/>
          <w:highlight w:val="none"/>
          <w:lang w:val="en-US" w:eastAsia="zh-CN" w:bidi="ar-SA"/>
        </w:rPr>
        <w:t>具体拨付时间当到达质保年限后，按上级下达资金时间为准。</w:t>
      </w:r>
    </w:p>
    <w:p w14:paraId="1625771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质保金:项目质保金按合同约定在完工验收满一年后</w:t>
      </w:r>
      <w:r>
        <w:rPr>
          <w:rFonts w:hint="eastAsia" w:ascii="仿宋" w:hAnsi="仿宋" w:eastAsia="仿宋" w:cs="仿宋"/>
          <w:color w:val="auto"/>
          <w:sz w:val="24"/>
          <w:szCs w:val="24"/>
          <w:highlight w:val="none"/>
          <w:lang w:eastAsia="zh-CN"/>
        </w:rPr>
        <w:t>，经复检合格，发挥工程效益，即可</w:t>
      </w:r>
      <w:r>
        <w:rPr>
          <w:rFonts w:hint="eastAsia" w:ascii="仿宋" w:hAnsi="仿宋" w:eastAsia="仿宋" w:cs="仿宋"/>
          <w:color w:val="auto"/>
          <w:sz w:val="24"/>
          <w:szCs w:val="24"/>
          <w:highlight w:val="none"/>
        </w:rPr>
        <w:t>拨付。</w:t>
      </w:r>
    </w:p>
    <w:p w14:paraId="691565FE">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w:t>
      </w:r>
      <w:r>
        <w:rPr>
          <w:rFonts w:hint="eastAsia" w:ascii="仿宋" w:hAnsi="仿宋" w:eastAsia="仿宋" w:cs="仿宋"/>
          <w:color w:val="auto"/>
          <w:sz w:val="24"/>
          <w:szCs w:val="24"/>
          <w:highlight w:val="none"/>
          <w:lang w:eastAsia="zh-CN"/>
        </w:rPr>
        <w:t>经复验</w:t>
      </w:r>
      <w:r>
        <w:rPr>
          <w:rFonts w:hint="eastAsia" w:ascii="仿宋" w:hAnsi="仿宋" w:eastAsia="仿宋" w:cs="仿宋"/>
          <w:color w:val="auto"/>
          <w:sz w:val="24"/>
          <w:szCs w:val="24"/>
          <w:highlight w:val="none"/>
        </w:rPr>
        <w:t>工程质量达到项目要求的,承包人须在质保期满后7天内向发包人提出请款申请。</w:t>
      </w:r>
    </w:p>
    <w:p w14:paraId="0ECC9FF8">
      <w:pPr>
        <w:pageBreakBefore w:val="0"/>
        <w:widowControl w:val="0"/>
        <w:kinsoku/>
        <w:wordWrap/>
        <w:overflowPunct/>
        <w:topLinePunct w:val="0"/>
        <w:bidi w:val="0"/>
        <w:spacing w:line="420" w:lineRule="exact"/>
        <w:ind w:right="248" w:firstLine="480"/>
        <w:textAlignment w:val="auto"/>
        <w:rPr>
          <w:rStyle w:val="91"/>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7A52C48C">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11" w:name="_Toc221951265"/>
      <w:r>
        <w:rPr>
          <w:rFonts w:hint="eastAsia" w:ascii="仿宋" w:hAnsi="仿宋" w:eastAsia="仿宋" w:cs="仿宋"/>
          <w:b/>
          <w:bCs/>
          <w:color w:val="auto"/>
          <w:kern w:val="0"/>
          <w:sz w:val="24"/>
          <w:szCs w:val="24"/>
          <w:highlight w:val="none"/>
          <w:lang w:val="en-US" w:eastAsia="zh-CN" w:bidi="ar-SA"/>
        </w:rPr>
        <w:t>17.4竣工（完工）结算</w:t>
      </w:r>
      <w:bookmarkEnd w:id="211"/>
    </w:p>
    <w:p w14:paraId="631A367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212" w:name="_Toc221951266"/>
      <w:bookmarkStart w:id="213" w:name="_Toc221951268"/>
      <w:r>
        <w:rPr>
          <w:rFonts w:hint="eastAsia" w:ascii="仿宋" w:hAnsi="仿宋" w:eastAsia="仿宋" w:cs="仿宋"/>
          <w:color w:val="auto"/>
          <w:sz w:val="24"/>
          <w:szCs w:val="24"/>
          <w:highlight w:val="none"/>
        </w:rPr>
        <w:t>（1）竣工结算以审计为准。</w:t>
      </w:r>
    </w:p>
    <w:p w14:paraId="0D64548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（2）承包方必须如实编制竣工结算文件，如审计结果超出送审竣工结算总价5%以上的（含5%），审计费由施工方承担。</w:t>
      </w:r>
      <w:bookmarkEnd w:id="212"/>
    </w:p>
    <w:p w14:paraId="6D2BC556">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承包人提交竣工付款申请单的期限：</w:t>
      </w:r>
      <w:r>
        <w:rPr>
          <w:rFonts w:hint="eastAsia" w:ascii="仿宋" w:hAnsi="仿宋" w:eastAsia="仿宋" w:cs="仿宋"/>
          <w:color w:val="auto"/>
          <w:kern w:val="2"/>
          <w:sz w:val="24"/>
          <w:szCs w:val="24"/>
          <w:highlight w:val="none"/>
          <w:u w:val="single"/>
          <w:lang w:val="en-US" w:eastAsia="zh-CN" w:bidi="ar-SA"/>
        </w:rPr>
        <w:t>竣工结算核对完成并经发承包双方签字确认后14天内提交6份竣工付款申请单，发包人收到申请付款材料后15个工作日内支付至竣工结算审定造价的97% 。</w:t>
      </w:r>
    </w:p>
    <w:p w14:paraId="092A8787">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竣工付款申请单应包括的内容：</w:t>
      </w:r>
      <w:r>
        <w:rPr>
          <w:rFonts w:hint="eastAsia" w:ascii="仿宋" w:hAnsi="仿宋" w:eastAsia="仿宋" w:cs="仿宋"/>
          <w:color w:val="auto"/>
          <w:kern w:val="2"/>
          <w:sz w:val="24"/>
          <w:szCs w:val="24"/>
          <w:highlight w:val="none"/>
          <w:u w:val="single"/>
          <w:lang w:val="en-US" w:eastAsia="zh-CN" w:bidi="ar-SA"/>
        </w:rPr>
        <w:t>经发承包双方签字确认的竣工结算合同价款总额、已支付工程价款、应扣留质量保修金、应支付的竣工付款金额等</w:t>
      </w:r>
      <w:r>
        <w:rPr>
          <w:rFonts w:hint="eastAsia" w:ascii="仿宋" w:hAnsi="仿宋" w:eastAsia="仿宋" w:cs="仿宋"/>
          <w:color w:val="auto"/>
          <w:kern w:val="2"/>
          <w:sz w:val="24"/>
          <w:szCs w:val="24"/>
          <w:highlight w:val="none"/>
          <w:lang w:val="en-US" w:eastAsia="zh-CN" w:bidi="ar-SA"/>
        </w:rPr>
        <w:t xml:space="preserve"> 。</w:t>
      </w:r>
    </w:p>
    <w:p w14:paraId="46949E2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项目结算审核结果小于原签订合同价的，以实际结算审核定案造价为最终结算依据；项目结算审核结果超过原签订合同价的，以签订合同价为最高支付上限，超过合同价部分做为对项目村的无偿援助不予支付，</w:t>
      </w:r>
      <w:r>
        <w:rPr>
          <w:rStyle w:val="91"/>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0728EA37">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Arial" w:hAnsi="Arial" w:eastAsia="黑体" w:cs="Times New Roman"/>
          <w:b/>
          <w:bCs/>
          <w:color w:val="auto"/>
          <w:kern w:val="0"/>
          <w:sz w:val="28"/>
          <w:szCs w:val="28"/>
          <w:highlight w:val="none"/>
          <w:lang w:val="en-US" w:eastAsia="zh-CN" w:bidi="ar-SA"/>
        </w:rPr>
      </w:pPr>
      <w:r>
        <w:rPr>
          <w:rFonts w:hint="eastAsia" w:ascii="仿宋" w:hAnsi="仿宋" w:eastAsia="仿宋" w:cs="仿宋"/>
          <w:b/>
          <w:bCs/>
          <w:color w:val="auto"/>
          <w:kern w:val="0"/>
          <w:sz w:val="24"/>
          <w:szCs w:val="24"/>
          <w:highlight w:val="none"/>
          <w:lang w:val="en-US" w:eastAsia="zh-CN" w:bidi="ar-SA"/>
        </w:rPr>
        <w:t>17.5 最终结清</w:t>
      </w:r>
      <w:bookmarkEnd w:id="213"/>
    </w:p>
    <w:p w14:paraId="0FC32176">
      <w:pPr>
        <w:widowControl w:val="0"/>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14.4.1 最终结清申请单</w:t>
      </w:r>
    </w:p>
    <w:p w14:paraId="551C96AD">
      <w:pPr>
        <w:widowControl w:val="0"/>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承包人提交最终结清申请单的份数：</w:t>
      </w:r>
      <w:r>
        <w:rPr>
          <w:rFonts w:hint="eastAsia" w:ascii="仿宋" w:hAnsi="仿宋" w:eastAsia="仿宋" w:cs="仿宋"/>
          <w:color w:val="auto"/>
          <w:kern w:val="2"/>
          <w:sz w:val="24"/>
          <w:szCs w:val="24"/>
          <w:highlight w:val="none"/>
          <w:u w:val="single"/>
          <w:lang w:val="en-US" w:eastAsia="zh-CN" w:bidi="ar-SA"/>
        </w:rPr>
        <w:t xml:space="preserve">  提交10份最终结清申请单  </w:t>
      </w:r>
      <w:r>
        <w:rPr>
          <w:rFonts w:hint="eastAsia" w:ascii="仿宋" w:hAnsi="仿宋" w:eastAsia="仿宋" w:cs="仿宋"/>
          <w:color w:val="auto"/>
          <w:kern w:val="2"/>
          <w:sz w:val="24"/>
          <w:szCs w:val="24"/>
          <w:highlight w:val="none"/>
          <w:lang w:val="en-US" w:eastAsia="zh-CN" w:bidi="ar-SA"/>
        </w:rPr>
        <w:t>。</w:t>
      </w:r>
    </w:p>
    <w:p w14:paraId="65869A40">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承包人提交最终结算申请单的期限：</w:t>
      </w:r>
      <w:r>
        <w:rPr>
          <w:rFonts w:hint="eastAsia" w:ascii="仿宋" w:hAnsi="仿宋" w:eastAsia="仿宋" w:cs="仿宋"/>
          <w:color w:val="auto"/>
          <w:kern w:val="2"/>
          <w:sz w:val="24"/>
          <w:szCs w:val="24"/>
          <w:highlight w:val="none"/>
          <w:u w:val="single"/>
          <w:lang w:val="en-US" w:eastAsia="zh-CN" w:bidi="ar-SA"/>
        </w:rPr>
        <w:t xml:space="preserve">  缺陷责任期终止证书颁发后7天内 </w:t>
      </w:r>
      <w:r>
        <w:rPr>
          <w:rFonts w:hint="eastAsia" w:ascii="仿宋" w:hAnsi="仿宋" w:eastAsia="仿宋" w:cs="仿宋"/>
          <w:color w:val="auto"/>
          <w:kern w:val="2"/>
          <w:sz w:val="24"/>
          <w:szCs w:val="24"/>
          <w:highlight w:val="none"/>
          <w:lang w:val="en-US" w:eastAsia="zh-CN" w:bidi="ar-SA"/>
        </w:rPr>
        <w:t xml:space="preserve">。 </w:t>
      </w:r>
    </w:p>
    <w:p w14:paraId="7F08388F">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14.4.2 最终结清证书和支付</w:t>
      </w:r>
    </w:p>
    <w:p w14:paraId="012A1408">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（1）发包人完成最终结清申请单的审批并颁发最终结清证书的期限：</w:t>
      </w:r>
      <w:r>
        <w:rPr>
          <w:rFonts w:hint="eastAsia" w:ascii="仿宋" w:hAnsi="仿宋" w:eastAsia="仿宋" w:cs="仿宋"/>
          <w:color w:val="auto"/>
          <w:kern w:val="2"/>
          <w:sz w:val="24"/>
          <w:szCs w:val="24"/>
          <w:highlight w:val="none"/>
          <w:u w:val="single"/>
          <w:lang w:val="en-US" w:eastAsia="zh-CN" w:bidi="ar-SA"/>
        </w:rPr>
        <w:t xml:space="preserve"> 收到最终结清申请单30天内</w:t>
      </w:r>
      <w:r>
        <w:rPr>
          <w:rFonts w:hint="eastAsia" w:ascii="仿宋" w:hAnsi="仿宋" w:eastAsia="仿宋" w:cs="仿宋"/>
          <w:color w:val="auto"/>
          <w:kern w:val="2"/>
          <w:sz w:val="24"/>
          <w:szCs w:val="24"/>
          <w:highlight w:val="none"/>
          <w:lang w:val="en-US" w:eastAsia="zh-CN" w:bidi="ar-SA"/>
        </w:rPr>
        <w:t>。</w:t>
      </w:r>
    </w:p>
    <w:p w14:paraId="18038ECF">
      <w:pPr>
        <w:widowControl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（2）发包人完成支付的期限：</w:t>
      </w:r>
      <w:r>
        <w:rPr>
          <w:rFonts w:hint="eastAsia" w:ascii="仿宋" w:hAnsi="仿宋" w:eastAsia="仿宋" w:cs="仿宋"/>
          <w:color w:val="auto"/>
          <w:kern w:val="2"/>
          <w:sz w:val="24"/>
          <w:szCs w:val="24"/>
          <w:highlight w:val="none"/>
          <w:u w:val="single"/>
          <w:lang w:val="en-US" w:eastAsia="zh-CN" w:bidi="ar-SA"/>
        </w:rPr>
        <w:t xml:space="preserve"> 审批后30天内 </w:t>
      </w:r>
      <w:r>
        <w:rPr>
          <w:rFonts w:hint="eastAsia" w:ascii="仿宋" w:hAnsi="仿宋" w:eastAsia="仿宋" w:cs="仿宋"/>
          <w:color w:val="auto"/>
          <w:kern w:val="2"/>
          <w:sz w:val="24"/>
          <w:szCs w:val="24"/>
          <w:highlight w:val="none"/>
          <w:lang w:val="en-US" w:eastAsia="zh-CN" w:bidi="ar-SA"/>
        </w:rPr>
        <w:t>。</w:t>
      </w:r>
    </w:p>
    <w:p w14:paraId="55014953">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17.6竣工财务决算</w:t>
      </w:r>
    </w:p>
    <w:p w14:paraId="618ED28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hAnsi="Calibri" w:eastAsia="仿宋_GB2312" w:cs="Times New Roman"/>
          <w:color w:val="auto"/>
          <w:sz w:val="24"/>
          <w:szCs w:val="24"/>
          <w:highlight w:val="none"/>
          <w:u w:val="single"/>
        </w:rPr>
        <w:t>一式</w:t>
      </w:r>
      <w:r>
        <w:rPr>
          <w:rFonts w:hint="eastAsia" w:ascii="仿宋_GB2312" w:hAnsi="Calibri" w:eastAsia="仿宋_GB2312" w:cs="Times New Roman"/>
          <w:color w:val="auto"/>
          <w:sz w:val="24"/>
          <w:szCs w:val="24"/>
          <w:highlight w:val="none"/>
          <w:u w:val="single"/>
          <w:lang w:val="en-US" w:eastAsia="zh-CN"/>
        </w:rPr>
        <w:t>四</w:t>
      </w:r>
      <w:r>
        <w:rPr>
          <w:rFonts w:hint="eastAsia" w:ascii="仿宋_GB2312" w:hAnsi="Calibri" w:eastAsia="仿宋_GB2312" w:cs="Times New Roman"/>
          <w:color w:val="auto"/>
          <w:sz w:val="24"/>
          <w:szCs w:val="24"/>
          <w:highlight w:val="none"/>
          <w:u w:val="single"/>
        </w:rPr>
        <w:t>份</w:t>
      </w:r>
      <w:r>
        <w:rPr>
          <w:rFonts w:hint="eastAsia" w:ascii="仿宋" w:hAnsi="仿宋" w:eastAsia="仿宋" w:cs="仿宋"/>
          <w:color w:val="auto"/>
          <w:sz w:val="24"/>
          <w:szCs w:val="24"/>
          <w:highlight w:val="none"/>
        </w:rPr>
        <w:t>。</w:t>
      </w:r>
    </w:p>
    <w:p w14:paraId="1F5465A9">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14" w:name="_Toc222032710"/>
      <w:bookmarkStart w:id="215" w:name="_Toc222029541"/>
      <w:bookmarkStart w:id="216" w:name="_Toc222033892"/>
      <w:bookmarkStart w:id="217" w:name="_Toc229305399"/>
      <w:bookmarkStart w:id="218" w:name="_Toc222031043"/>
      <w:bookmarkStart w:id="219" w:name="_Toc221951271"/>
      <w:r>
        <w:rPr>
          <w:rFonts w:hint="eastAsia" w:ascii="仿宋" w:hAnsi="仿宋" w:eastAsia="仿宋" w:cs="仿宋"/>
          <w:b/>
          <w:bCs/>
          <w:color w:val="auto"/>
          <w:kern w:val="0"/>
          <w:sz w:val="24"/>
          <w:szCs w:val="24"/>
          <w:highlight w:val="none"/>
          <w:lang w:val="en-US" w:eastAsia="zh-CN" w:bidi="ar-SA"/>
        </w:rPr>
        <w:t>18. 竣工验收</w:t>
      </w:r>
      <w:bookmarkEnd w:id="214"/>
      <w:bookmarkEnd w:id="215"/>
      <w:bookmarkEnd w:id="216"/>
      <w:bookmarkEnd w:id="217"/>
      <w:bookmarkEnd w:id="218"/>
      <w:bookmarkEnd w:id="219"/>
      <w:r>
        <w:rPr>
          <w:rFonts w:hint="eastAsia" w:ascii="仿宋" w:hAnsi="仿宋" w:eastAsia="仿宋" w:cs="仿宋"/>
          <w:b/>
          <w:bCs/>
          <w:color w:val="auto"/>
          <w:kern w:val="0"/>
          <w:sz w:val="24"/>
          <w:szCs w:val="24"/>
          <w:highlight w:val="none"/>
          <w:lang w:val="en-US" w:eastAsia="zh-CN" w:bidi="ar-SA"/>
        </w:rPr>
        <w:t>（验收）</w:t>
      </w:r>
    </w:p>
    <w:p w14:paraId="0689D6C4">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20" w:name="_Toc221951272"/>
      <w:r>
        <w:rPr>
          <w:rFonts w:hint="eastAsia" w:ascii="仿宋" w:hAnsi="仿宋" w:eastAsia="仿宋" w:cs="仿宋"/>
          <w:b/>
          <w:bCs/>
          <w:color w:val="auto"/>
          <w:kern w:val="0"/>
          <w:sz w:val="24"/>
          <w:szCs w:val="24"/>
          <w:highlight w:val="none"/>
          <w:lang w:val="en-US" w:eastAsia="zh-CN" w:bidi="ar-SA"/>
        </w:rPr>
        <w:t xml:space="preserve">18.1 </w:t>
      </w:r>
      <w:bookmarkEnd w:id="220"/>
      <w:r>
        <w:rPr>
          <w:rFonts w:hint="eastAsia" w:ascii="仿宋" w:hAnsi="仿宋" w:eastAsia="仿宋" w:cs="仿宋"/>
          <w:b/>
          <w:bCs/>
          <w:color w:val="auto"/>
          <w:kern w:val="0"/>
          <w:sz w:val="24"/>
          <w:szCs w:val="24"/>
          <w:highlight w:val="none"/>
          <w:lang w:val="en-US" w:eastAsia="zh-CN" w:bidi="ar-SA"/>
        </w:rPr>
        <w:t>验收工作分类</w:t>
      </w:r>
    </w:p>
    <w:p w14:paraId="5B40063A">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221"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37908821">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18.2 分部工程验收</w:t>
      </w:r>
    </w:p>
    <w:p w14:paraId="2D57DD9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5779F778">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18.3 单位工程验收</w:t>
      </w:r>
    </w:p>
    <w:p w14:paraId="7FC59CC2">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hAnsi="Calibri" w:eastAsia="仿宋_GB2312" w:cs="Times New Roman"/>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221"/>
    <w:p w14:paraId="4A79A38D">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22" w:name="_Toc221951282"/>
      <w:r>
        <w:rPr>
          <w:rFonts w:hint="eastAsia" w:ascii="仿宋" w:hAnsi="仿宋" w:eastAsia="仿宋" w:cs="仿宋"/>
          <w:b/>
          <w:bCs/>
          <w:color w:val="auto"/>
          <w:kern w:val="0"/>
          <w:sz w:val="24"/>
          <w:szCs w:val="24"/>
          <w:highlight w:val="none"/>
          <w:lang w:val="en-US" w:eastAsia="zh-CN" w:bidi="ar-SA"/>
        </w:rPr>
        <w:t xml:space="preserve">18.5 </w:t>
      </w:r>
      <w:bookmarkEnd w:id="222"/>
      <w:r>
        <w:rPr>
          <w:rFonts w:hint="eastAsia" w:ascii="仿宋" w:hAnsi="仿宋" w:eastAsia="仿宋" w:cs="仿宋"/>
          <w:b/>
          <w:bCs/>
          <w:color w:val="auto"/>
          <w:kern w:val="0"/>
          <w:sz w:val="24"/>
          <w:szCs w:val="24"/>
          <w:highlight w:val="none"/>
          <w:lang w:val="en-US" w:eastAsia="zh-CN" w:bidi="ar-SA"/>
        </w:rPr>
        <w:t>阶段验收</w:t>
      </w:r>
    </w:p>
    <w:p w14:paraId="42982C4A">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223" w:name="_Toc221951283"/>
      <w:r>
        <w:rPr>
          <w:rFonts w:hint="eastAsia" w:ascii="仿宋" w:hAnsi="仿宋" w:eastAsia="仿宋" w:cs="仿宋"/>
          <w:color w:val="auto"/>
          <w:sz w:val="24"/>
          <w:szCs w:val="24"/>
          <w:highlight w:val="none"/>
        </w:rPr>
        <w:t>18.5.1 本合同工程阶段验收类别包括：</w:t>
      </w:r>
      <w:bookmarkEnd w:id="223"/>
      <w:bookmarkStart w:id="224" w:name="_Toc221951284"/>
      <w:r>
        <w:rPr>
          <w:rFonts w:hint="eastAsia" w:ascii="仿宋_GB2312" w:hAnsi="仿宋" w:eastAsia="仿宋_GB2312" w:cs="Times New Roman"/>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224"/>
    </w:p>
    <w:p w14:paraId="042D2E11">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25" w:name="_Toc221951285"/>
      <w:r>
        <w:rPr>
          <w:rFonts w:hint="eastAsia" w:ascii="仿宋" w:hAnsi="仿宋" w:eastAsia="仿宋" w:cs="仿宋"/>
          <w:b/>
          <w:bCs/>
          <w:color w:val="auto"/>
          <w:kern w:val="0"/>
          <w:sz w:val="24"/>
          <w:szCs w:val="24"/>
          <w:highlight w:val="none"/>
          <w:lang w:val="en-US" w:eastAsia="zh-CN" w:bidi="ar-SA"/>
        </w:rPr>
        <w:t xml:space="preserve">18.6 </w:t>
      </w:r>
      <w:bookmarkEnd w:id="225"/>
      <w:r>
        <w:rPr>
          <w:rFonts w:hint="eastAsia" w:ascii="仿宋" w:hAnsi="仿宋" w:eastAsia="仿宋" w:cs="仿宋"/>
          <w:b/>
          <w:bCs/>
          <w:color w:val="auto"/>
          <w:kern w:val="0"/>
          <w:sz w:val="24"/>
          <w:szCs w:val="24"/>
          <w:highlight w:val="none"/>
          <w:lang w:val="en-US" w:eastAsia="zh-CN" w:bidi="ar-SA"/>
        </w:rPr>
        <w:t xml:space="preserve">专项验收   </w:t>
      </w:r>
    </w:p>
    <w:p w14:paraId="5B82C847">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226" w:name="_Toc221951286"/>
      <w:r>
        <w:rPr>
          <w:rFonts w:hint="eastAsia" w:ascii="仿宋" w:hAnsi="仿宋" w:eastAsia="仿宋" w:cs="仿宋"/>
          <w:color w:val="auto"/>
          <w:sz w:val="24"/>
          <w:szCs w:val="24"/>
          <w:highlight w:val="none"/>
        </w:rPr>
        <w:t xml:space="preserve">18.6.2 </w:t>
      </w:r>
      <w:bookmarkEnd w:id="226"/>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46647D5B">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27" w:name="_Toc221951289"/>
      <w:r>
        <w:rPr>
          <w:rFonts w:hint="eastAsia" w:ascii="仿宋" w:hAnsi="仿宋" w:eastAsia="仿宋" w:cs="仿宋"/>
          <w:b/>
          <w:bCs/>
          <w:color w:val="auto"/>
          <w:kern w:val="0"/>
          <w:sz w:val="24"/>
          <w:szCs w:val="24"/>
          <w:highlight w:val="none"/>
          <w:lang w:val="en-US" w:eastAsia="zh-CN" w:bidi="ar-SA"/>
        </w:rPr>
        <w:t>18.7 竣工</w:t>
      </w:r>
      <w:bookmarkEnd w:id="227"/>
      <w:r>
        <w:rPr>
          <w:rFonts w:hint="eastAsia" w:ascii="仿宋" w:hAnsi="仿宋" w:eastAsia="仿宋" w:cs="仿宋"/>
          <w:b/>
          <w:bCs/>
          <w:color w:val="auto"/>
          <w:kern w:val="0"/>
          <w:sz w:val="24"/>
          <w:szCs w:val="24"/>
          <w:highlight w:val="none"/>
          <w:lang w:val="en-US" w:eastAsia="zh-CN" w:bidi="ar-SA"/>
        </w:rPr>
        <w:t>验收</w:t>
      </w:r>
    </w:p>
    <w:p w14:paraId="7F7FC091">
      <w:pPr>
        <w:pageBreakBefore w:val="0"/>
        <w:widowControl w:val="0"/>
        <w:kinsoku/>
        <w:wordWrap/>
        <w:overflowPunct/>
        <w:topLinePunct w:val="0"/>
        <w:bidi w:val="0"/>
        <w:spacing w:line="420" w:lineRule="exact"/>
        <w:ind w:firstLine="600"/>
        <w:textAlignment w:val="auto"/>
        <w:rPr>
          <w:rFonts w:hint="eastAsia" w:ascii="仿宋" w:hAnsi="仿宋" w:eastAsia="仿宋" w:cs="仿宋"/>
          <w:color w:val="auto"/>
          <w:sz w:val="24"/>
          <w:szCs w:val="24"/>
          <w:highlight w:val="none"/>
        </w:rPr>
      </w:pPr>
      <w:bookmarkStart w:id="228" w:name="_Toc221951290"/>
      <w:r>
        <w:rPr>
          <w:rFonts w:hint="eastAsia" w:ascii="仿宋" w:hAnsi="仿宋" w:eastAsia="仿宋" w:cs="仿宋"/>
          <w:color w:val="auto"/>
          <w:sz w:val="24"/>
          <w:szCs w:val="24"/>
          <w:highlight w:val="none"/>
        </w:rPr>
        <w:t>18.7.3</w:t>
      </w:r>
      <w:bookmarkEnd w:id="228"/>
      <w:r>
        <w:rPr>
          <w:rFonts w:hint="eastAsia" w:ascii="仿宋" w:hAnsi="仿宋" w:eastAsia="仿宋" w:cs="仿宋"/>
          <w:color w:val="auto"/>
          <w:sz w:val="24"/>
          <w:szCs w:val="24"/>
          <w:highlight w:val="none"/>
        </w:rPr>
        <w:t>本工程是否需要进行竣工验收技术鉴定，由竣工验收主持单位确定。</w:t>
      </w:r>
    </w:p>
    <w:p w14:paraId="0BB8CF67">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18.8 施工期运行</w:t>
      </w:r>
    </w:p>
    <w:p w14:paraId="257CB5C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 w:hAnsi="仿宋" w:eastAsia="仿宋" w:cs="仿宋"/>
          <w:color w:val="auto"/>
          <w:sz w:val="24"/>
          <w:szCs w:val="24"/>
          <w:highlight w:val="none"/>
          <w:u w:val="single"/>
        </w:rPr>
        <w:t>在施工过程中另行确定</w:t>
      </w:r>
      <w:r>
        <w:rPr>
          <w:rFonts w:hint="eastAsia" w:ascii="仿宋" w:hAnsi="仿宋" w:eastAsia="仿宋" w:cs="仿宋"/>
          <w:color w:val="auto"/>
          <w:sz w:val="24"/>
          <w:szCs w:val="24"/>
          <w:highlight w:val="none"/>
        </w:rPr>
        <w:t>。</w:t>
      </w:r>
    </w:p>
    <w:p w14:paraId="4F68435F">
      <w:pPr>
        <w:keepNext w:val="0"/>
        <w:keepLines w:val="0"/>
        <w:pageBreakBefore w:val="0"/>
        <w:widowControl w:val="0"/>
        <w:kinsoku/>
        <w:wordWrap/>
        <w:overflowPunct/>
        <w:topLinePunct w:val="0"/>
        <w:bidi w:val="0"/>
        <w:spacing w:before="0" w:after="0" w:line="42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18.9试运行</w:t>
      </w:r>
    </w:p>
    <w:p w14:paraId="5ACACFFD">
      <w:pPr>
        <w:pageBreakBefore w:val="0"/>
        <w:widowControl w:val="0"/>
        <w:kinsoku/>
        <w:wordWrap/>
        <w:overflowPunct/>
        <w:topLinePunct w:val="0"/>
        <w:bidi w:val="0"/>
        <w:spacing w:line="420" w:lineRule="exact"/>
        <w:ind w:left="119" w:leftChars="57" w:right="248"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18.9.1试运行的组织：</w:t>
      </w:r>
      <w:r>
        <w:rPr>
          <w:rFonts w:hint="eastAsia" w:ascii="仿宋" w:hAnsi="仿宋" w:eastAsia="仿宋" w:cs="仿宋"/>
          <w:color w:val="auto"/>
          <w:sz w:val="24"/>
          <w:szCs w:val="24"/>
          <w:highlight w:val="none"/>
          <w:u w:val="single"/>
        </w:rPr>
        <w:t>另行通知</w:t>
      </w:r>
      <w:r>
        <w:rPr>
          <w:rFonts w:hint="eastAsia" w:ascii="仿宋" w:hAnsi="仿宋" w:eastAsia="仿宋" w:cs="仿宋"/>
          <w:color w:val="auto"/>
          <w:sz w:val="24"/>
          <w:szCs w:val="24"/>
          <w:highlight w:val="none"/>
        </w:rPr>
        <w:t>；费用承担：</w:t>
      </w:r>
      <w:r>
        <w:rPr>
          <w:rFonts w:hint="eastAsia" w:ascii="仿宋" w:hAnsi="仿宋" w:eastAsia="仿宋" w:cs="仿宋"/>
          <w:color w:val="auto"/>
          <w:sz w:val="24"/>
          <w:szCs w:val="24"/>
          <w:highlight w:val="none"/>
          <w:u w:val="single"/>
        </w:rPr>
        <w:t>承包人承担全部试运行费用</w:t>
      </w:r>
      <w:r>
        <w:rPr>
          <w:rFonts w:hint="eastAsia" w:ascii="仿宋" w:hAnsi="仿宋" w:eastAsia="仿宋" w:cs="仿宋"/>
          <w:color w:val="auto"/>
          <w:sz w:val="24"/>
          <w:szCs w:val="24"/>
          <w:highlight w:val="none"/>
        </w:rPr>
        <w:t>。</w:t>
      </w:r>
    </w:p>
    <w:p w14:paraId="02646C06">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19. 缺陷责任与保修责任</w:t>
      </w:r>
    </w:p>
    <w:p w14:paraId="7B0F3180">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19.1 缺陷责任期（工程质量保修期）的起算时间</w:t>
      </w:r>
    </w:p>
    <w:p w14:paraId="572FAE62">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4C63622A">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29" w:name="_Toc222029542"/>
      <w:bookmarkStart w:id="230" w:name="_Toc229305400"/>
      <w:bookmarkStart w:id="231" w:name="_Toc222031044"/>
      <w:bookmarkStart w:id="232" w:name="_Toc222032711"/>
      <w:bookmarkStart w:id="233" w:name="_Toc222033893"/>
      <w:bookmarkStart w:id="234" w:name="_Toc221951299"/>
      <w:r>
        <w:rPr>
          <w:rFonts w:hint="eastAsia" w:ascii="仿宋" w:hAnsi="仿宋" w:eastAsia="仿宋" w:cs="仿宋"/>
          <w:b/>
          <w:bCs/>
          <w:color w:val="auto"/>
          <w:kern w:val="0"/>
          <w:sz w:val="24"/>
          <w:szCs w:val="24"/>
          <w:highlight w:val="none"/>
          <w:lang w:val="en-US" w:eastAsia="zh-CN" w:bidi="ar-SA"/>
        </w:rPr>
        <w:t>20. 保险</w:t>
      </w:r>
      <w:bookmarkEnd w:id="229"/>
      <w:bookmarkEnd w:id="230"/>
      <w:bookmarkEnd w:id="231"/>
      <w:bookmarkEnd w:id="232"/>
      <w:bookmarkEnd w:id="233"/>
      <w:bookmarkEnd w:id="234"/>
    </w:p>
    <w:p w14:paraId="490BA2E4">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35" w:name="_Toc221951321"/>
      <w:r>
        <w:rPr>
          <w:rFonts w:hint="eastAsia" w:ascii="仿宋" w:hAnsi="仿宋" w:eastAsia="仿宋" w:cs="仿宋"/>
          <w:b/>
          <w:bCs/>
          <w:color w:val="auto"/>
          <w:kern w:val="0"/>
          <w:sz w:val="24"/>
          <w:szCs w:val="24"/>
          <w:highlight w:val="none"/>
          <w:lang w:val="en-US" w:eastAsia="zh-CN" w:bidi="ar-SA"/>
        </w:rPr>
        <w:t>20.1 工程保险</w:t>
      </w:r>
      <w:bookmarkEnd w:id="235"/>
    </w:p>
    <w:p w14:paraId="13A90194">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bookmarkStart w:id="236" w:name="_Toc221951323"/>
      <w:r>
        <w:rPr>
          <w:rFonts w:hint="eastAsia" w:ascii="仿宋" w:hAnsi="仿宋" w:eastAsia="仿宋" w:cs="仿宋"/>
          <w:color w:val="auto"/>
          <w:sz w:val="24"/>
          <w:szCs w:val="24"/>
          <w:highlight w:val="none"/>
        </w:rPr>
        <w:t>投保内容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（1）永久性工程，包括建筑工程、金属结构及安装工程、交通工程、导流工程等。</w:t>
      </w:r>
    </w:p>
    <w:p w14:paraId="73637A31">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（2）临时工程、包括工棚、仓库、堆场、料场、拌和场、预制场、便道等。</w:t>
      </w:r>
    </w:p>
    <w:p w14:paraId="685A0E17">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（3）构成永久性工程和临时工程的物料，包括原材料、结构件、预制件以及机械设备、零配件等。</w:t>
      </w:r>
      <w:r>
        <w:rPr>
          <w:rFonts w:hint="eastAsia" w:ascii="仿宋" w:hAnsi="仿宋" w:eastAsia="仿宋" w:cs="仿宋"/>
          <w:color w:val="auto"/>
          <w:sz w:val="24"/>
          <w:szCs w:val="24"/>
          <w:highlight w:val="none"/>
        </w:rPr>
        <w:t xml:space="preserve">                  </w:t>
      </w:r>
    </w:p>
    <w:p w14:paraId="3D9E2B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保险金额、保险费率和保险期限：保险金额以本合同段工程建筑工程完成时的工程实际总造价为准。保险金费率</w:t>
      </w:r>
      <w:r>
        <w:rPr>
          <w:rFonts w:hint="eastAsia" w:ascii="仿宋" w:hAnsi="仿宋" w:eastAsia="仿宋" w:cs="仿宋"/>
          <w:color w:val="auto"/>
          <w:sz w:val="24"/>
          <w:szCs w:val="24"/>
          <w:highlight w:val="none"/>
          <w:u w:val="single"/>
        </w:rPr>
        <w:t>由承包人咨询保险公司确定。</w:t>
      </w:r>
      <w:r>
        <w:rPr>
          <w:rFonts w:hint="eastAsia" w:ascii="仿宋" w:hAnsi="仿宋" w:eastAsia="仿宋" w:cs="仿宋"/>
          <w:color w:val="auto"/>
          <w:sz w:val="24"/>
          <w:szCs w:val="24"/>
          <w:highlight w:val="none"/>
        </w:rPr>
        <w:t>保险期限从工程开工之日起至工程竣工验收之日止。</w:t>
      </w:r>
    </w:p>
    <w:p w14:paraId="6FF1CAB2">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20.4 第三者责任险</w:t>
      </w:r>
      <w:bookmarkEnd w:id="236"/>
    </w:p>
    <w:p w14:paraId="684070BF">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237"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由承包人咨询保险公司确定     </w:t>
      </w:r>
      <w:r>
        <w:rPr>
          <w:rFonts w:hint="eastAsia" w:ascii="仿宋" w:hAnsi="仿宋" w:eastAsia="仿宋" w:cs="仿宋"/>
          <w:color w:val="auto"/>
          <w:sz w:val="24"/>
          <w:szCs w:val="24"/>
          <w:highlight w:val="none"/>
        </w:rPr>
        <w:t xml:space="preserve">；                                       </w:t>
      </w:r>
    </w:p>
    <w:p w14:paraId="535D9A77">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14976167">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20.5 其他保险</w:t>
      </w:r>
      <w:bookmarkEnd w:id="237"/>
    </w:p>
    <w:p w14:paraId="5ED7DA82">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238"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其他保险，已含工程报价中</w:t>
      </w:r>
      <w:r>
        <w:rPr>
          <w:rFonts w:hint="eastAsia" w:ascii="仿宋" w:hAnsi="仿宋" w:eastAsia="仿宋" w:cs="仿宋"/>
          <w:color w:val="auto"/>
          <w:sz w:val="24"/>
          <w:szCs w:val="24"/>
          <w:highlight w:val="none"/>
        </w:rPr>
        <w:t>；</w:t>
      </w:r>
    </w:p>
    <w:p w14:paraId="33218192">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186DAAD">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20.6 对各项保险的一般要求</w:t>
      </w:r>
      <w:bookmarkEnd w:id="238"/>
    </w:p>
    <w:p w14:paraId="0C5BA5E8">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auto"/>
          <w:sz w:val="24"/>
          <w:szCs w:val="24"/>
          <w:highlight w:val="none"/>
        </w:rPr>
      </w:pPr>
      <w:bookmarkStart w:id="239" w:name="_Toc221951328"/>
      <w:r>
        <w:rPr>
          <w:rFonts w:hint="eastAsia" w:ascii="仿宋" w:hAnsi="仿宋" w:eastAsia="仿宋" w:cs="仿宋"/>
          <w:color w:val="auto"/>
          <w:sz w:val="24"/>
          <w:szCs w:val="24"/>
          <w:highlight w:val="none"/>
        </w:rPr>
        <w:t>20.6.1 保险凭证</w:t>
      </w:r>
      <w:bookmarkEnd w:id="239"/>
    </w:p>
    <w:p w14:paraId="4E4BB34F">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240"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合同生效后21天内  </w:t>
      </w:r>
      <w:bookmarkEnd w:id="240"/>
      <w:r>
        <w:rPr>
          <w:rFonts w:hint="eastAsia" w:ascii="仿宋" w:hAnsi="仿宋" w:eastAsia="仿宋" w:cs="仿宋"/>
          <w:color w:val="auto"/>
          <w:sz w:val="24"/>
          <w:szCs w:val="24"/>
          <w:highlight w:val="none"/>
        </w:rPr>
        <w:t>；</w:t>
      </w:r>
    </w:p>
    <w:p w14:paraId="7379C2EA">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241"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241"/>
    </w:p>
    <w:p w14:paraId="2DA03039">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242" w:name="_Toc221951331"/>
      <w:r>
        <w:rPr>
          <w:rFonts w:hint="eastAsia" w:ascii="仿宋" w:hAnsi="仿宋" w:eastAsia="仿宋" w:cs="仿宋"/>
          <w:color w:val="auto"/>
          <w:sz w:val="24"/>
          <w:szCs w:val="24"/>
          <w:highlight w:val="none"/>
        </w:rPr>
        <w:t>20.6.4 保险金不足的补偿</w:t>
      </w:r>
      <w:bookmarkEnd w:id="242"/>
    </w:p>
    <w:p w14:paraId="63B803EF">
      <w:pPr>
        <w:keepNext w:val="0"/>
        <w:keepLines w:val="0"/>
        <w:pageBreakBefore w:val="0"/>
        <w:widowControl w:val="0"/>
        <w:kinsoku/>
        <w:wordWrap/>
        <w:overflowPunct/>
        <w:topLinePunct w:val="0"/>
        <w:autoSpaceDE/>
        <w:autoSpaceDN/>
        <w:bidi w:val="0"/>
        <w:adjustRightInd/>
        <w:snapToGrid/>
        <w:spacing w:line="440" w:lineRule="exact"/>
        <w:ind w:left="958" w:leftChars="228" w:right="248" w:hanging="480" w:hangingChars="200"/>
        <w:textAlignment w:val="auto"/>
        <w:rPr>
          <w:rFonts w:hint="eastAsia" w:ascii="仿宋" w:hAnsi="仿宋" w:eastAsia="仿宋" w:cs="仿宋"/>
          <w:color w:val="auto"/>
          <w:sz w:val="24"/>
          <w:szCs w:val="24"/>
          <w:highlight w:val="none"/>
        </w:rPr>
      </w:pPr>
      <w:bookmarkStart w:id="243" w:name="_Toc221951332"/>
      <w:r>
        <w:rPr>
          <w:rFonts w:hint="eastAsia" w:ascii="仿宋" w:hAnsi="仿宋" w:eastAsia="仿宋" w:cs="仿宋"/>
          <w:color w:val="auto"/>
          <w:sz w:val="24"/>
          <w:szCs w:val="24"/>
          <w:highlight w:val="none"/>
        </w:rPr>
        <w:t>承包人负责补偿的范围与金额：</w:t>
      </w:r>
      <w:bookmarkEnd w:id="243"/>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8051CB2">
      <w:pPr>
        <w:keepNext w:val="0"/>
        <w:keepLines w:val="0"/>
        <w:pageBreakBefore w:val="0"/>
        <w:widowControl w:val="0"/>
        <w:kinsoku/>
        <w:wordWrap/>
        <w:overflowPunct/>
        <w:topLinePunct w:val="0"/>
        <w:autoSpaceDE/>
        <w:autoSpaceDN/>
        <w:bidi w:val="0"/>
        <w:adjustRightInd/>
        <w:snapToGrid/>
        <w:spacing w:line="440" w:lineRule="exact"/>
        <w:ind w:left="958" w:leftChars="228" w:right="248" w:hanging="480" w:hanging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48719FE">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44" w:name="_Toc216003201"/>
      <w:bookmarkStart w:id="245" w:name="_Toc229593394"/>
      <w:bookmarkStart w:id="246" w:name="_Toc241491287"/>
      <w:r>
        <w:rPr>
          <w:rFonts w:hint="eastAsia" w:ascii="仿宋" w:hAnsi="仿宋" w:eastAsia="仿宋" w:cs="仿宋"/>
          <w:b/>
          <w:bCs/>
          <w:color w:val="auto"/>
          <w:kern w:val="0"/>
          <w:sz w:val="24"/>
          <w:szCs w:val="24"/>
          <w:highlight w:val="none"/>
          <w:lang w:val="en-US" w:eastAsia="zh-CN" w:bidi="ar-SA"/>
        </w:rPr>
        <w:t>21. 不可抗力</w:t>
      </w:r>
      <w:bookmarkEnd w:id="244"/>
      <w:bookmarkEnd w:id="245"/>
      <w:bookmarkEnd w:id="246"/>
    </w:p>
    <w:p w14:paraId="403211A9">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47" w:name="_Toc216003202"/>
      <w:bookmarkStart w:id="248" w:name="_Toc229593395"/>
      <w:r>
        <w:rPr>
          <w:rFonts w:hint="eastAsia" w:ascii="仿宋" w:hAnsi="仿宋" w:eastAsia="仿宋" w:cs="仿宋"/>
          <w:b/>
          <w:bCs/>
          <w:color w:val="auto"/>
          <w:kern w:val="0"/>
          <w:sz w:val="24"/>
          <w:szCs w:val="24"/>
          <w:highlight w:val="none"/>
          <w:lang w:val="en-US" w:eastAsia="zh-CN" w:bidi="ar-SA"/>
        </w:rPr>
        <w:t>21.1 不可抗力的确认</w:t>
      </w:r>
      <w:bookmarkEnd w:id="247"/>
      <w:bookmarkEnd w:id="248"/>
    </w:p>
    <w:p w14:paraId="42AEF6EE">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5DB2D277">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49" w:name="_Toc222029543"/>
      <w:bookmarkStart w:id="250" w:name="_Toc229305401"/>
      <w:bookmarkStart w:id="251" w:name="_Toc222032712"/>
      <w:bookmarkStart w:id="252" w:name="_Toc222031045"/>
      <w:bookmarkStart w:id="253" w:name="_Toc222033894"/>
      <w:bookmarkStart w:id="254" w:name="_Toc221951334"/>
      <w:r>
        <w:rPr>
          <w:rFonts w:hint="eastAsia" w:ascii="仿宋" w:hAnsi="仿宋" w:eastAsia="仿宋" w:cs="仿宋"/>
          <w:b/>
          <w:bCs/>
          <w:color w:val="auto"/>
          <w:kern w:val="0"/>
          <w:sz w:val="24"/>
          <w:szCs w:val="24"/>
          <w:highlight w:val="none"/>
          <w:lang w:val="en-US" w:eastAsia="zh-CN" w:bidi="ar-SA"/>
        </w:rPr>
        <w:t>24. 争议的解决</w:t>
      </w:r>
      <w:bookmarkEnd w:id="249"/>
      <w:bookmarkEnd w:id="250"/>
      <w:bookmarkEnd w:id="251"/>
      <w:bookmarkEnd w:id="252"/>
      <w:bookmarkEnd w:id="253"/>
      <w:bookmarkEnd w:id="254"/>
    </w:p>
    <w:p w14:paraId="3161C7B0">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bookmarkStart w:id="255" w:name="_Toc221951335"/>
      <w:r>
        <w:rPr>
          <w:rFonts w:hint="eastAsia" w:ascii="仿宋" w:hAnsi="仿宋" w:eastAsia="仿宋" w:cs="仿宋"/>
          <w:b/>
          <w:bCs/>
          <w:color w:val="auto"/>
          <w:kern w:val="0"/>
          <w:sz w:val="24"/>
          <w:szCs w:val="24"/>
          <w:highlight w:val="none"/>
          <w:lang w:val="en-US" w:eastAsia="zh-CN" w:bidi="ar-SA"/>
        </w:rPr>
        <w:t>24.1 争议的解决方式</w:t>
      </w:r>
    </w:p>
    <w:p w14:paraId="10C578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25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2A7E1FB5">
      <w:pPr>
        <w:keepNext w:val="0"/>
        <w:keepLines w:val="0"/>
        <w:pageBreakBefore w:val="0"/>
        <w:widowControl w:val="0"/>
        <w:kinsoku/>
        <w:wordWrap/>
        <w:overflowPunct/>
        <w:topLinePunct w:val="0"/>
        <w:autoSpaceDE/>
        <w:autoSpaceDN/>
        <w:bidi w:val="0"/>
        <w:adjustRightInd/>
        <w:snapToGrid/>
        <w:spacing w:before="0" w:after="0" w:line="440" w:lineRule="exact"/>
        <w:jc w:val="both"/>
        <w:textAlignment w:val="auto"/>
        <w:outlineLvl w:val="3"/>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25.附加条款</w:t>
      </w:r>
    </w:p>
    <w:p w14:paraId="4C8647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4C84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3E9115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0ADC01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1B9BCC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177EC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34DCB7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619DB5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67CEB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43D8BF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75AE4F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3AF113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739D99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4E6C05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16C496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212A24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3C18C8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7065720">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337" w:right="252" w:rightChars="0"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25.2 </w:t>
      </w:r>
      <w:r>
        <w:rPr>
          <w:rFonts w:hint="eastAsia" w:ascii="仿宋" w:hAnsi="仿宋" w:eastAsia="仿宋" w:cs="仿宋"/>
          <w:b/>
          <w:bCs w:val="0"/>
          <w:color w:val="auto"/>
          <w:kern w:val="2"/>
          <w:sz w:val="24"/>
          <w:szCs w:val="24"/>
          <w:highlight w:val="none"/>
          <w:lang w:val="en-US" w:eastAsia="zh-CN" w:bidi="ar-SA"/>
        </w:rPr>
        <w:t>发包人将转入农民工工资账户外的所有付款(含预付款)均转入如下承包人单位基本账户</w:t>
      </w:r>
      <w:r>
        <w:rPr>
          <w:rFonts w:hint="eastAsia" w:ascii="仿宋" w:hAnsi="仿宋" w:eastAsia="仿宋" w:cs="仿宋"/>
          <w:b/>
          <w:bCs/>
          <w:color w:val="auto"/>
          <w:kern w:val="2"/>
          <w:sz w:val="24"/>
          <w:szCs w:val="24"/>
          <w:highlight w:val="none"/>
          <w:u w:val="none"/>
          <w:lang w:val="en-US" w:eastAsia="zh-CN" w:bidi="ar-SA"/>
        </w:rPr>
        <w:t>户名：</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none"/>
          <w:lang w:val="en-US" w:eastAsia="zh-CN" w:bidi="ar-SA"/>
        </w:rPr>
        <w:t>,开户银行：</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u w:val="none"/>
          <w:lang w:val="en-US" w:eastAsia="zh-CN" w:bidi="ar-SA"/>
        </w:rPr>
        <w:t>，帐号：</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b/>
          <w:bCs/>
          <w:color w:val="auto"/>
          <w:kern w:val="2"/>
          <w:sz w:val="24"/>
          <w:szCs w:val="24"/>
          <w:highlight w:val="none"/>
          <w:lang w:val="en-US" w:eastAsia="zh-CN" w:bidi="ar-SA"/>
        </w:rPr>
        <w:t>，承包人单位基本账户发生改变时，承包人应书面通知（法定代表人签名并加盖单位公章）发包人。</w:t>
      </w:r>
    </w:p>
    <w:p w14:paraId="1BE5C2E8">
      <w:pPr>
        <w:pStyle w:val="79"/>
        <w:spacing w:before="120" w:beforeLines="50" w:after="120" w:afterLines="50" w:line="5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25.3 专用合同条款中未尽事宜，在签订施工合同时双方再商定。</w:t>
      </w:r>
    </w:p>
    <w:p w14:paraId="299B563A">
      <w:pPr>
        <w:pStyle w:val="79"/>
        <w:spacing w:before="120" w:beforeLines="50" w:after="120" w:afterLines="50" w:line="520" w:lineRule="exact"/>
        <w:jc w:val="left"/>
        <w:rPr>
          <w:rFonts w:hint="eastAsia" w:ascii="仿宋" w:hAnsi="仿宋" w:eastAsia="仿宋" w:cs="仿宋"/>
          <w:bCs/>
          <w:color w:val="auto"/>
          <w:sz w:val="24"/>
          <w:szCs w:val="24"/>
          <w:highlight w:val="none"/>
        </w:rPr>
      </w:pPr>
    </w:p>
    <w:p w14:paraId="5E2BBC7A">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1A18DAE5">
      <w:pPr>
        <w:pageBreakBefore w:val="0"/>
        <w:widowControl w:val="0"/>
        <w:numPr>
          <w:ilvl w:val="0"/>
          <w:numId w:val="0"/>
        </w:numPr>
        <w:kinsoku/>
        <w:wordWrap/>
        <w:overflowPunct/>
        <w:topLinePunct w:val="0"/>
        <w:autoSpaceDE w:val="0"/>
        <w:autoSpaceDN w:val="0"/>
        <w:bidi w:val="0"/>
        <w:adjustRightInd w:val="0"/>
        <w:spacing w:before="100" w:after="100" w:line="440" w:lineRule="exact"/>
        <w:ind w:left="360" w:right="720" w:rightChars="0"/>
        <w:jc w:val="lef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
          <w:color w:val="auto"/>
          <w:kern w:val="0"/>
          <w:sz w:val="30"/>
          <w:szCs w:val="30"/>
          <w:highlight w:val="none"/>
          <w:lang w:val="en-US" w:eastAsia="zh-CN" w:bidi="ar-SA"/>
        </w:rPr>
        <w:t>附件：廉政协议书</w:t>
      </w:r>
    </w:p>
    <w:p w14:paraId="42E0E293">
      <w:pPr>
        <w:pStyle w:val="79"/>
        <w:spacing w:before="120" w:beforeLines="50" w:after="120" w:afterLines="50" w:line="520" w:lineRule="exact"/>
        <w:jc w:val="left"/>
        <w:rPr>
          <w:rFonts w:hint="eastAsia" w:ascii="仿宋" w:hAnsi="仿宋" w:eastAsia="仿宋" w:cs="仿宋"/>
          <w:bCs/>
          <w:color w:val="auto"/>
          <w:sz w:val="24"/>
          <w:szCs w:val="24"/>
          <w:highlight w:val="none"/>
          <w:lang w:val="en-US" w:eastAsia="zh-CN"/>
        </w:rPr>
      </w:pPr>
    </w:p>
    <w:p w14:paraId="3C0EA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sz w:val="52"/>
          <w:szCs w:val="52"/>
          <w:highlight w:val="none"/>
          <w:lang w:val="en-US" w:eastAsia="zh-CN"/>
        </w:rPr>
      </w:pPr>
      <w:r>
        <w:rPr>
          <w:rFonts w:hint="eastAsia" w:ascii="宋体" w:hAnsi="宋体" w:eastAsia="宋体" w:cs="宋体"/>
          <w:b/>
          <w:bCs/>
          <w:color w:val="auto"/>
          <w:sz w:val="32"/>
          <w:szCs w:val="32"/>
          <w:highlight w:val="none"/>
        </w:rPr>
        <w:t>廉政</w:t>
      </w:r>
      <w:r>
        <w:rPr>
          <w:rFonts w:hint="eastAsia" w:ascii="宋体" w:hAnsi="宋体" w:eastAsia="宋体" w:cs="宋体"/>
          <w:b/>
          <w:bCs/>
          <w:color w:val="auto"/>
          <w:sz w:val="32"/>
          <w:szCs w:val="32"/>
          <w:highlight w:val="none"/>
          <w:lang w:val="en-US" w:eastAsia="zh-CN"/>
        </w:rPr>
        <w:t>协议书</w:t>
      </w:r>
    </w:p>
    <w:p w14:paraId="7716127C">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auto"/>
          <w:sz w:val="28"/>
          <w:szCs w:val="28"/>
          <w:highlight w:val="none"/>
        </w:rPr>
      </w:pPr>
    </w:p>
    <w:p w14:paraId="6F707D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（以下简称“甲方”）与</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（以下简称“乙方”），特订立如下合同。</w:t>
      </w:r>
    </w:p>
    <w:p w14:paraId="4C409E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1.甲乙双方的权利和义务</w:t>
      </w:r>
    </w:p>
    <w:p w14:paraId="2B949C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（1）严格遵守党和国家的有关法律法规及中纪委监察部的有关规定。</w:t>
      </w:r>
    </w:p>
    <w:p w14:paraId="685815BC">
      <w:pPr>
        <w:keepNext w:val="0"/>
        <w:keepLines w:val="0"/>
        <w:pageBreakBefore w:val="0"/>
        <w:widowControl w:val="0"/>
        <w:kinsoku/>
        <w:wordWrap/>
        <w:overflowPunct/>
        <w:topLinePunct w:val="0"/>
        <w:autoSpaceDE/>
        <w:autoSpaceDN/>
        <w:bidi w:val="0"/>
        <w:adjustRightInd/>
        <w:snapToGrid w:val="0"/>
        <w:spacing w:line="360" w:lineRule="auto"/>
        <w:ind w:firstLine="41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8"/>
          <w:sz w:val="21"/>
          <w:szCs w:val="21"/>
          <w:highlight w:val="none"/>
        </w:rPr>
        <w:t>（2）</w:t>
      </w:r>
      <w:r>
        <w:rPr>
          <w:rFonts w:hint="eastAsia" w:ascii="宋体" w:hAnsi="宋体" w:eastAsia="宋体" w:cs="宋体"/>
          <w:color w:val="auto"/>
          <w:sz w:val="21"/>
          <w:szCs w:val="21"/>
          <w:highlight w:val="none"/>
        </w:rPr>
        <w:t>严格执行</w:t>
      </w:r>
      <w:r>
        <w:rPr>
          <w:rFonts w:hint="eastAsia" w:ascii="宋体" w:hAnsi="宋体" w:cs="宋体"/>
          <w:color w:val="auto"/>
          <w:sz w:val="21"/>
          <w:szCs w:val="21"/>
          <w:highlight w:val="none"/>
          <w:u w:val="single"/>
          <w:lang w:val="en-US" w:eastAsia="zh-CN"/>
        </w:rPr>
        <w:t>羊头镇龙山村水渠三面光工程</w:t>
      </w:r>
      <w:r>
        <w:rPr>
          <w:rFonts w:hint="eastAsia" w:ascii="宋体" w:hAnsi="宋体" w:eastAsia="宋体" w:cs="宋体"/>
          <w:color w:val="auto"/>
          <w:sz w:val="21"/>
          <w:szCs w:val="21"/>
          <w:highlight w:val="none"/>
        </w:rPr>
        <w:t>的合同文件，自觉按合同办事。</w:t>
      </w:r>
    </w:p>
    <w:p w14:paraId="255BBB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（3）双方的业务活动坚持公开、公正、诚信、透明的原则（法律认定的商业秘密和合同文件另有规定除外），不得损害国家和集体利益，违反工程建设管理规章制度。</w:t>
      </w:r>
    </w:p>
    <w:p w14:paraId="5ED960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04B844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（5）发现对方在业务活动中有违反廉政规定的行为，有及时提醒对方纠正的权利及义务。</w:t>
      </w:r>
    </w:p>
    <w:p w14:paraId="3427B3B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3A396F3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31A72ED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（1）甲方及其工作人员不得索要或接受乙方的礼金、有价证券和贵重物品，不得在乙方报销任何应由甲方或甲方工作人员个人支付的费用等。</w:t>
      </w:r>
    </w:p>
    <w:p w14:paraId="321A9B1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（2）甲方工作人员不得参加乙方安排的超标准宴请和娱乐活动；不得接受乙方提供的通讯工具、交通工具和高档办公用品等。</w:t>
      </w:r>
    </w:p>
    <w:p w14:paraId="1957890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（3）甲方及其工作人员不得要求或者接受乙方为其住房装修、婚丧嫁娶活动、配偶子女的工作安排以及出国出境、旅游等提供方便等。</w:t>
      </w:r>
    </w:p>
    <w:p w14:paraId="6B09747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（4）甲方工作人及其配偶、子女不得从事与甲方工程有关的材料设备供应、工程分包、劳务等经济活动等。</w:t>
      </w:r>
    </w:p>
    <w:p w14:paraId="39CB31F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（5）甲方及其工作人员不得以任何理由向乙方推荐分包单位或推销材料，不得要求乙方购买合同规定外的材料和设备。</w:t>
      </w:r>
    </w:p>
    <w:p w14:paraId="27F57B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（6）甲方工作人员要秉公办事，不准营私舞弊，不准利用职权从事各种个人有偿中介活动和安排个人施工队伍。</w:t>
      </w:r>
    </w:p>
    <w:p w14:paraId="6D2C945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14:paraId="342CA0B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）乙方不得以任何理由向甲方及其工作人员行贿或馈赠礼金、有价证券、贵重礼品。</w:t>
      </w:r>
    </w:p>
    <w:p w14:paraId="5E72837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（2）乙方不得以任何名义为甲方及其工作人员报销应由甲方单位或个人支付的任何费用。</w:t>
      </w:r>
    </w:p>
    <w:p w14:paraId="4173DC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14:paraId="40AA00F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（4）乙方不得为甲方单位和个人购置或提供通讯工具、交通工具和高档办公用品等。</w:t>
      </w:r>
    </w:p>
    <w:p w14:paraId="2B5C2ED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427D54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（1）甲方及其工作人员违反本合同第一、二条，按管理权限，依据有关规定给予党纪、政纪或组织处理；涉嫌犯罪的，移交司法机关追究刑事责任；给乙方单位造成经济损失的，应予以赔偿。</w:t>
      </w:r>
    </w:p>
    <w:p w14:paraId="4741241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7345B8A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37F8E7B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6.本合同有效期为甲乙双签署之日起至该工程项目竣工验收后止。</w:t>
      </w:r>
    </w:p>
    <w:p w14:paraId="78CAF4A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cs="宋体"/>
          <w:color w:val="auto"/>
          <w:sz w:val="21"/>
          <w:szCs w:val="21"/>
          <w:highlight w:val="none"/>
          <w:u w:val="single"/>
          <w:lang w:val="en-US" w:eastAsia="zh-CN"/>
        </w:rPr>
        <w:t>羊头镇龙山村水渠三面光工程</w:t>
      </w:r>
      <w:r>
        <w:rPr>
          <w:rFonts w:hint="eastAsia" w:ascii="宋体" w:hAnsi="宋体" w:eastAsia="宋体" w:cs="宋体"/>
          <w:color w:val="auto"/>
          <w:sz w:val="21"/>
          <w:szCs w:val="21"/>
          <w:highlight w:val="none"/>
          <w:u w:val="none"/>
          <w:lang w:val="en-US" w:eastAsia="zh-CN"/>
        </w:rPr>
        <w:t>施工</w:t>
      </w:r>
      <w:r>
        <w:rPr>
          <w:rFonts w:hint="eastAsia" w:ascii="宋体" w:hAnsi="宋体" w:eastAsia="宋体" w:cs="宋体"/>
          <w:color w:val="auto"/>
          <w:sz w:val="21"/>
          <w:szCs w:val="21"/>
          <w:highlight w:val="none"/>
        </w:rPr>
        <w:t>合同的附件，与工程施工合同具有同等的法律效力。</w:t>
      </w:r>
    </w:p>
    <w:p w14:paraId="0EC5A95B">
      <w:pPr>
        <w:keepNext w:val="0"/>
        <w:keepLines w:val="0"/>
        <w:pageBreakBefore w:val="0"/>
        <w:widowControl w:val="0"/>
        <w:wordWrap/>
        <w:overflowPunct/>
        <w:topLinePunct w:val="0"/>
        <w:bidi w:val="0"/>
        <w:snapToGrid w:val="0"/>
        <w:spacing w:line="560" w:lineRule="exact"/>
        <w:jc w:val="both"/>
        <w:rPr>
          <w:rFonts w:hint="eastAsia" w:ascii="宋体" w:hAnsi="宋体" w:eastAsia="宋体" w:cs="宋体"/>
          <w:color w:val="auto"/>
          <w:kern w:val="2"/>
          <w:sz w:val="21"/>
          <w:szCs w:val="21"/>
          <w:highlight w:val="none"/>
          <w:lang w:val="en-US" w:eastAsia="en-US" w:bidi="ar-SA"/>
        </w:rPr>
      </w:pPr>
    </w:p>
    <w:p w14:paraId="79602AA6">
      <w:pPr>
        <w:keepNext w:val="0"/>
        <w:keepLines w:val="0"/>
        <w:pageBreakBefore w:val="0"/>
        <w:wordWrap/>
        <w:overflowPunct/>
        <w:topLinePunct w:val="0"/>
        <w:bidi w:val="0"/>
        <w:snapToGrid w:val="0"/>
        <w:spacing w:line="560" w:lineRule="exact"/>
        <w:rPr>
          <w:rFonts w:hint="eastAsia" w:ascii="宋体" w:hAnsi="宋体" w:eastAsia="宋体" w:cs="宋体"/>
          <w:color w:val="auto"/>
          <w:sz w:val="21"/>
          <w:szCs w:val="21"/>
          <w:highlight w:val="none"/>
        </w:rPr>
      </w:pPr>
    </w:p>
    <w:p w14:paraId="109486D3">
      <w:pPr>
        <w:keepNext w:val="0"/>
        <w:keepLines w:val="0"/>
        <w:pageBreakBefore w:val="0"/>
        <w:widowControl w:val="0"/>
        <w:wordWrap/>
        <w:overflowPunct/>
        <w:topLinePunct w:val="0"/>
        <w:bidi w:val="0"/>
        <w:snapToGrid w:val="0"/>
        <w:spacing w:line="560" w:lineRule="exact"/>
        <w:jc w:val="both"/>
        <w:rPr>
          <w:rFonts w:hint="eastAsia" w:ascii="宋体" w:hAnsi="宋体" w:eastAsia="宋体" w:cs="宋体"/>
          <w:color w:val="auto"/>
          <w:kern w:val="2"/>
          <w:sz w:val="21"/>
          <w:szCs w:val="21"/>
          <w:highlight w:val="none"/>
          <w:lang w:val="en-US" w:eastAsia="en-US" w:bidi="ar-SA"/>
        </w:rPr>
      </w:pPr>
    </w:p>
    <w:p w14:paraId="7F7110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建设单位（盖章）：  </w:t>
      </w:r>
    </w:p>
    <w:p w14:paraId="1197C6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法人代表人或委托人（签章）：</w:t>
      </w:r>
    </w:p>
    <w:p w14:paraId="63A4989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联系电话：   </w:t>
      </w:r>
    </w:p>
    <w:p w14:paraId="7EDA649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p>
    <w:p w14:paraId="5311471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7FA58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施工单位： </w:t>
      </w:r>
    </w:p>
    <w:p w14:paraId="56FBF4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法人代表人或委托人（签章）：</w:t>
      </w:r>
    </w:p>
    <w:p w14:paraId="7A1B75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lang w:val="en-US" w:eastAsia="zh-CN"/>
        </w:rPr>
        <w:sectPr>
          <w:headerReference r:id="rId5" w:type="default"/>
          <w:footerReference r:id="rId6" w:type="default"/>
          <w:pgSz w:w="11850" w:h="16783"/>
          <w:pgMar w:top="1247" w:right="1247" w:bottom="1247" w:left="1247" w:header="680" w:footer="680" w:gutter="0"/>
          <w:pgNumType w:fmt="numberInDash"/>
          <w:cols w:space="0" w:num="1"/>
          <w:rtlGutter w:val="0"/>
          <w:docGrid w:type="linesAndChars" w:linePitch="312" w:charSpace="0"/>
        </w:sectPr>
      </w:pPr>
      <w:r>
        <w:rPr>
          <w:rFonts w:hint="eastAsia" w:ascii="宋体" w:hAnsi="宋体" w:eastAsia="宋体" w:cs="宋体"/>
          <w:color w:val="auto"/>
          <w:sz w:val="21"/>
          <w:szCs w:val="21"/>
          <w:highlight w:val="none"/>
          <w:lang w:val="en-US" w:eastAsia="zh-CN"/>
        </w:rPr>
        <w:t xml:space="preserve">联系电话： </w:t>
      </w:r>
      <w:r>
        <w:rPr>
          <w:rFonts w:hint="eastAsia" w:ascii="仿宋_GB2312" w:hAnsi="仿宋_GB2312" w:eastAsia="仿宋_GB2312" w:cs="仿宋_GB2312"/>
          <w:color w:val="auto"/>
          <w:sz w:val="32"/>
          <w:szCs w:val="32"/>
          <w:highlight w:val="none"/>
          <w:lang w:val="en-US" w:eastAsia="zh-CN"/>
        </w:rPr>
        <w:t xml:space="preserve">  </w:t>
      </w:r>
    </w:p>
    <w:p w14:paraId="2DE35F91">
      <w:pPr>
        <w:rPr>
          <w:rFonts w:hint="eastAsia"/>
          <w:color w:val="auto"/>
          <w:sz w:val="20"/>
          <w:highlight w:val="none"/>
        </w:rPr>
      </w:pPr>
      <w:bookmarkStart w:id="256" w:name="EBe5284d1842b94f0c98d02c465f9a426c"/>
      <w:r>
        <w:rPr>
          <w:rFonts w:hint="eastAsia"/>
          <w:color w:val="auto"/>
          <w:sz w:val="20"/>
          <w:highlight w:val="none"/>
        </w:rPr>
        <w:t xml:space="preserve"> </w:t>
      </w:r>
      <w:bookmarkEnd w:id="256"/>
    </w:p>
    <w:p w14:paraId="39A1798E">
      <w:pPr>
        <w:rPr>
          <w:rFonts w:hint="eastAsia"/>
          <w:color w:val="auto"/>
          <w:highlight w:val="none"/>
        </w:rPr>
      </w:pPr>
      <w:bookmarkStart w:id="257" w:name="EB65729a57b0ed4032909b38b1b878589c"/>
      <w:r>
        <w:rPr>
          <w:rFonts w:hint="eastAsia"/>
          <w:color w:val="auto"/>
          <w:sz w:val="20"/>
          <w:highlight w:val="none"/>
        </w:rPr>
        <w:t xml:space="preserve"> </w:t>
      </w:r>
      <w:bookmarkEnd w:id="257"/>
      <w:bookmarkStart w:id="258" w:name="EBb706f297d5d04c7ba31d72b62a31bd42"/>
      <w:r>
        <w:rPr>
          <w:rFonts w:hint="eastAsia"/>
          <w:color w:val="auto"/>
          <w:sz w:val="20"/>
          <w:highlight w:val="none"/>
        </w:rPr>
        <w:t xml:space="preserve"> </w:t>
      </w:r>
      <w:bookmarkEnd w:id="258"/>
    </w:p>
    <w:p w14:paraId="53F7966D">
      <w:pPr>
        <w:rPr>
          <w:rFonts w:hint="eastAsia"/>
          <w:color w:val="auto"/>
          <w:highlight w:val="none"/>
        </w:rPr>
      </w:pPr>
    </w:p>
    <w:bookmarkEnd w:id="75"/>
    <w:p w14:paraId="69A1683E">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auto"/>
        <w:jc w:val="center"/>
        <w:textAlignment w:val="auto"/>
        <w:rPr>
          <w:rFonts w:hint="default" w:ascii="宋体" w:hAnsi="宋体" w:eastAsia="宋体" w:cs="宋体"/>
          <w:color w:val="auto"/>
          <w:sz w:val="36"/>
          <w:szCs w:val="36"/>
          <w:highlight w:val="none"/>
          <w:lang w:val="en-US" w:eastAsia="zh-CN"/>
        </w:rPr>
      </w:pPr>
      <w:bookmarkStart w:id="259" w:name="_Toc440877586"/>
      <w:bookmarkStart w:id="260" w:name="_Toc430095344"/>
      <w:bookmarkStart w:id="261" w:name="_Toc459103910"/>
      <w:bookmarkStart w:id="262" w:name="_Toc21357"/>
      <w:r>
        <w:rPr>
          <w:rFonts w:hint="eastAsia" w:ascii="宋体" w:hAnsi="宋体" w:eastAsia="宋体" w:cs="宋体"/>
          <w:b/>
          <w:bCs/>
          <w:color w:val="auto"/>
          <w:kern w:val="44"/>
          <w:sz w:val="44"/>
          <w:szCs w:val="44"/>
          <w:highlight w:val="none"/>
          <w:lang w:val="en-US" w:eastAsia="zh-CN" w:bidi="ar-SA"/>
        </w:rPr>
        <w:t>第四章</w:t>
      </w:r>
      <w:bookmarkEnd w:id="259"/>
      <w:bookmarkEnd w:id="260"/>
      <w:bookmarkEnd w:id="261"/>
      <w:r>
        <w:rPr>
          <w:rFonts w:hint="eastAsia" w:ascii="宋体" w:hAnsi="宋体" w:cs="宋体"/>
          <w:b/>
          <w:bCs/>
          <w:color w:val="auto"/>
          <w:kern w:val="44"/>
          <w:sz w:val="44"/>
          <w:szCs w:val="44"/>
          <w:highlight w:val="none"/>
          <w:lang w:val="en-US" w:eastAsia="zh-CN" w:bidi="ar-SA"/>
        </w:rPr>
        <w:t xml:space="preserve">  工程量清单</w:t>
      </w:r>
      <w:bookmarkEnd w:id="262"/>
    </w:p>
    <w:p w14:paraId="21BF985E">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1F9A4CFC">
      <w:pPr>
        <w:numPr>
          <w:ilvl w:val="0"/>
          <w:numId w:val="0"/>
        </w:num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（登陆广西政府采购云平台下载）</w:t>
      </w:r>
    </w:p>
    <w:p w14:paraId="66052829">
      <w:pPr>
        <w:spacing w:line="480" w:lineRule="exact"/>
        <w:jc w:val="left"/>
        <w:rPr>
          <w:rFonts w:hint="eastAsia" w:ascii="仿宋_GB2312" w:hAnsi="宋体" w:eastAsia="仿宋_GB2312"/>
          <w:b w:val="0"/>
          <w:bCs w:val="0"/>
          <w:color w:val="auto"/>
          <w:sz w:val="32"/>
          <w:szCs w:val="32"/>
          <w:highlight w:val="none"/>
        </w:rPr>
      </w:pPr>
    </w:p>
    <w:p w14:paraId="5890AE5E">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717C0FA">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宋体" w:hAnsi="宋体" w:eastAsia="宋体" w:cs="宋体"/>
          <w:color w:val="auto"/>
          <w:sz w:val="44"/>
          <w:szCs w:val="44"/>
          <w:highlight w:val="none"/>
        </w:rPr>
      </w:pPr>
      <w:bookmarkStart w:id="263" w:name="_Toc15213"/>
      <w:r>
        <w:rPr>
          <w:rFonts w:hint="eastAsia" w:ascii="宋体" w:hAnsi="宋体" w:eastAsia="宋体" w:cs="宋体"/>
          <w:color w:val="auto"/>
          <w:sz w:val="44"/>
          <w:szCs w:val="44"/>
          <w:highlight w:val="none"/>
          <w:lang w:val="en-US" w:eastAsia="zh-CN"/>
        </w:rPr>
        <w:t xml:space="preserve">第五章 </w:t>
      </w:r>
      <w:r>
        <w:rPr>
          <w:rFonts w:hint="eastAsia" w:ascii="宋体" w:hAnsi="宋体" w:eastAsia="宋体" w:cs="宋体"/>
          <w:color w:val="auto"/>
          <w:sz w:val="44"/>
          <w:szCs w:val="44"/>
          <w:highlight w:val="none"/>
        </w:rPr>
        <w:t xml:space="preserve"> 图纸</w:t>
      </w:r>
      <w:bookmarkEnd w:id="263"/>
    </w:p>
    <w:p w14:paraId="3CB59FCC">
      <w:pPr>
        <w:numPr>
          <w:ilvl w:val="0"/>
          <w:numId w:val="0"/>
        </w:numPr>
        <w:spacing w:line="400" w:lineRule="exact"/>
        <w:ind w:leftChars="0"/>
        <w:jc w:val="both"/>
        <w:rPr>
          <w:rFonts w:hint="eastAsia" w:ascii="宋体" w:hAnsi="宋体" w:eastAsia="宋体" w:cs="宋体"/>
          <w:b/>
          <w:color w:val="auto"/>
          <w:sz w:val="32"/>
          <w:szCs w:val="32"/>
          <w:highlight w:val="none"/>
        </w:rPr>
      </w:pPr>
    </w:p>
    <w:p w14:paraId="274D5719">
      <w:pPr>
        <w:numPr>
          <w:ilvl w:val="0"/>
          <w:numId w:val="0"/>
        </w:numPr>
        <w:spacing w:line="400" w:lineRule="exact"/>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（登陆广西政府采购云平台下载）</w:t>
      </w:r>
    </w:p>
    <w:p w14:paraId="62BC4782">
      <w:pPr>
        <w:spacing w:line="336" w:lineRule="auto"/>
        <w:ind w:right="-153" w:rightChars="-73"/>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br w:type="page"/>
      </w:r>
      <w:bookmarkStart w:id="264" w:name="_Toc19014"/>
      <w:bookmarkStart w:id="265" w:name="_Toc459103911"/>
      <w:bookmarkStart w:id="266" w:name="_Toc430095345"/>
      <w:bookmarkStart w:id="267" w:name="_Toc440877587"/>
      <w:r>
        <w:rPr>
          <w:rStyle w:val="60"/>
          <w:rFonts w:hint="eastAsia" w:ascii="宋体" w:hAnsi="宋体" w:eastAsia="宋体" w:cs="宋体"/>
          <w:color w:val="auto"/>
          <w:sz w:val="44"/>
          <w:szCs w:val="44"/>
          <w:highlight w:val="none"/>
        </w:rPr>
        <w:t>第六章  技术标准和要求</w:t>
      </w:r>
      <w:bookmarkEnd w:id="264"/>
    </w:p>
    <w:p w14:paraId="2B889D8E">
      <w:pPr>
        <w:pStyle w:val="13"/>
        <w:spacing w:line="400" w:lineRule="exact"/>
        <w:rPr>
          <w:rFonts w:hint="eastAsia" w:ascii="宋体" w:hAnsi="宋体" w:eastAsia="宋体" w:cs="宋体"/>
          <w:b/>
          <w:color w:val="auto"/>
          <w:szCs w:val="21"/>
          <w:highlight w:val="none"/>
        </w:rPr>
      </w:pPr>
    </w:p>
    <w:p w14:paraId="2C816837">
      <w:pPr>
        <w:numPr>
          <w:ilvl w:val="0"/>
          <w:numId w:val="0"/>
        </w:numPr>
        <w:spacing w:line="360" w:lineRule="auto"/>
        <w:jc w:val="both"/>
        <w:rPr>
          <w:rFonts w:hint="eastAsia" w:ascii="宋体" w:hAnsi="宋体" w:eastAsia="宋体" w:cs="宋体"/>
          <w:b/>
          <w:color w:val="auto"/>
          <w:sz w:val="32"/>
          <w:szCs w:val="32"/>
          <w:highlight w:val="none"/>
        </w:rPr>
      </w:pPr>
      <w:r>
        <w:rPr>
          <w:rFonts w:hint="eastAsia" w:ascii="宋体" w:hAnsi="宋体" w:eastAsia="宋体" w:cs="宋体"/>
          <w:color w:val="auto"/>
          <w:kern w:val="0"/>
          <w:sz w:val="21"/>
          <w:szCs w:val="21"/>
          <w:highlight w:val="none"/>
        </w:rPr>
        <w:t>本工程执行国家现行的有关的工程建设标准、技术规范及强制性标准条文、以及施工图纸载明的其他有关规范标准。</w:t>
      </w:r>
    </w:p>
    <w:p w14:paraId="762E770C">
      <w:pPr>
        <w:jc w:val="center"/>
        <w:outlineLvl w:val="0"/>
        <w:rPr>
          <w:rFonts w:hint="eastAsia" w:ascii="宋体" w:hAnsi="宋体" w:eastAsia="宋体" w:cs="宋体"/>
          <w:b/>
          <w:color w:val="auto"/>
          <w:kern w:val="44"/>
          <w:sz w:val="28"/>
          <w:szCs w:val="28"/>
          <w:highlight w:val="none"/>
        </w:rPr>
      </w:pPr>
      <w:r>
        <w:rPr>
          <w:rFonts w:hint="eastAsia" w:ascii="宋体" w:hAnsi="宋体" w:eastAsia="宋体" w:cs="宋体"/>
          <w:b/>
          <w:color w:val="auto"/>
          <w:sz w:val="32"/>
          <w:szCs w:val="32"/>
          <w:highlight w:val="none"/>
        </w:rPr>
        <w:br w:type="page"/>
      </w:r>
      <w:bookmarkStart w:id="268" w:name="_Toc14562"/>
      <w:r>
        <w:rPr>
          <w:rStyle w:val="60"/>
          <w:rFonts w:hint="eastAsia" w:ascii="宋体" w:hAnsi="宋体" w:eastAsia="宋体" w:cs="宋体"/>
          <w:color w:val="auto"/>
          <w:highlight w:val="none"/>
        </w:rPr>
        <w:t xml:space="preserve">第七章  </w:t>
      </w:r>
      <w:r>
        <w:rPr>
          <w:rStyle w:val="60"/>
          <w:rFonts w:hint="eastAsia" w:ascii="宋体" w:hAnsi="宋体" w:eastAsia="宋体" w:cs="宋体"/>
          <w:color w:val="auto"/>
          <w:highlight w:val="none"/>
          <w:lang w:eastAsia="zh-CN"/>
        </w:rPr>
        <w:t>《响应文件》</w:t>
      </w:r>
      <w:r>
        <w:rPr>
          <w:rStyle w:val="60"/>
          <w:rFonts w:hint="eastAsia" w:ascii="宋体" w:hAnsi="宋体" w:eastAsia="宋体" w:cs="宋体"/>
          <w:color w:val="auto"/>
          <w:highlight w:val="none"/>
        </w:rPr>
        <w:t>（格式）</w:t>
      </w:r>
      <w:bookmarkEnd w:id="265"/>
      <w:bookmarkEnd w:id="266"/>
      <w:bookmarkEnd w:id="267"/>
      <w:bookmarkEnd w:id="268"/>
    </w:p>
    <w:p w14:paraId="2D4E2F9E">
      <w:pPr>
        <w:jc w:val="both"/>
        <w:rPr>
          <w:rFonts w:hint="eastAsia" w:ascii="宋体" w:hAnsi="宋体" w:eastAsia="宋体" w:cs="宋体"/>
          <w:b/>
          <w:color w:val="auto"/>
          <w:kern w:val="44"/>
          <w:sz w:val="28"/>
          <w:szCs w:val="28"/>
          <w:highlight w:val="none"/>
        </w:rPr>
      </w:pPr>
    </w:p>
    <w:p w14:paraId="7100AF42">
      <w:pPr>
        <w:jc w:val="center"/>
        <w:rPr>
          <w:rFonts w:hint="eastAsia" w:ascii="宋体" w:hAnsi="宋体" w:eastAsia="宋体" w:cs="宋体"/>
          <w:b/>
          <w:color w:val="auto"/>
          <w:kern w:val="44"/>
          <w:sz w:val="28"/>
          <w:szCs w:val="28"/>
          <w:highlight w:val="none"/>
        </w:rPr>
      </w:pPr>
    </w:p>
    <w:p w14:paraId="4E1D9D77">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rPr>
        <w:t>第一节 资格证明文件格式</w:t>
      </w:r>
    </w:p>
    <w:p w14:paraId="0A9E293F">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1E3040BD">
      <w:pPr>
        <w:widowControl/>
        <w:kinsoku w:val="0"/>
        <w:autoSpaceDE w:val="0"/>
        <w:autoSpaceDN w:val="0"/>
        <w:adjustRightInd w:val="0"/>
        <w:snapToGrid w:val="0"/>
        <w:spacing w:before="69" w:line="240" w:lineRule="auto"/>
        <w:jc w:val="left"/>
        <w:textAlignment w:val="baseline"/>
        <w:rPr>
          <w:rFonts w:hint="eastAsia" w:ascii="宋体" w:hAnsi="宋体" w:eastAsia="宋体" w:cs="宋体"/>
          <w:snapToGrid w:val="0"/>
          <w:color w:val="auto"/>
          <w:spacing w:val="-2"/>
          <w:kern w:val="0"/>
          <w:sz w:val="24"/>
          <w:szCs w:val="24"/>
          <w:highlight w:val="none"/>
        </w:rPr>
      </w:pPr>
    </w:p>
    <w:p w14:paraId="23689A89">
      <w:pPr>
        <w:pStyle w:val="41"/>
        <w:rPr>
          <w:rFonts w:hint="eastAsia" w:ascii="宋体" w:hAnsi="宋体" w:eastAsia="宋体" w:cs="宋体"/>
          <w:color w:val="auto"/>
          <w:highlight w:val="none"/>
        </w:rPr>
      </w:pPr>
    </w:p>
    <w:p w14:paraId="4EEBC247">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14:paraId="6C406687">
      <w:pPr>
        <w:jc w:val="both"/>
        <w:rPr>
          <w:rFonts w:hint="eastAsia" w:ascii="宋体" w:hAnsi="宋体" w:eastAsia="宋体" w:cs="宋体"/>
          <w:color w:val="auto"/>
          <w:sz w:val="28"/>
          <w:szCs w:val="28"/>
          <w:highlight w:val="none"/>
          <w:u w:val="single"/>
        </w:rPr>
      </w:pPr>
    </w:p>
    <w:p w14:paraId="7736015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  格  证  明  文  件（封面）</w:t>
      </w:r>
    </w:p>
    <w:p w14:paraId="4C2795FF">
      <w:pPr>
        <w:jc w:val="center"/>
        <w:rPr>
          <w:rFonts w:hint="eastAsia" w:ascii="宋体" w:hAnsi="宋体" w:eastAsia="宋体" w:cs="宋体"/>
          <w:b/>
          <w:bCs/>
          <w:color w:val="auto"/>
          <w:sz w:val="28"/>
          <w:szCs w:val="28"/>
          <w:highlight w:val="none"/>
        </w:rPr>
      </w:pPr>
    </w:p>
    <w:p w14:paraId="4585FD4A">
      <w:pPr>
        <w:jc w:val="center"/>
        <w:rPr>
          <w:rFonts w:hint="eastAsia" w:ascii="宋体" w:hAnsi="宋体" w:eastAsia="宋体" w:cs="宋体"/>
          <w:b/>
          <w:bCs/>
          <w:color w:val="auto"/>
          <w:sz w:val="28"/>
          <w:szCs w:val="28"/>
          <w:highlight w:val="none"/>
        </w:rPr>
      </w:pPr>
    </w:p>
    <w:p w14:paraId="20BA0FF0">
      <w:pPr>
        <w:spacing w:before="312" w:beforeLines="10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14:paraId="4AA52417">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08E77371">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64AB5F87">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14:paraId="7BDE5593">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14:paraId="40441C33">
      <w:pPr>
        <w:jc w:val="center"/>
        <w:rPr>
          <w:rFonts w:hint="eastAsia" w:ascii="宋体" w:hAnsi="宋体" w:eastAsia="宋体" w:cs="宋体"/>
          <w:b/>
          <w:bCs/>
          <w:color w:val="auto"/>
          <w:sz w:val="28"/>
          <w:szCs w:val="28"/>
          <w:highlight w:val="none"/>
        </w:rPr>
      </w:pPr>
    </w:p>
    <w:p w14:paraId="3C71FDF1">
      <w:pPr>
        <w:jc w:val="center"/>
        <w:rPr>
          <w:rFonts w:hint="eastAsia" w:ascii="宋体" w:hAnsi="宋体" w:eastAsia="宋体" w:cs="宋体"/>
          <w:b/>
          <w:bCs/>
          <w:color w:val="auto"/>
          <w:sz w:val="28"/>
          <w:szCs w:val="28"/>
          <w:highlight w:val="none"/>
        </w:rPr>
      </w:pPr>
    </w:p>
    <w:p w14:paraId="6D0EE9DD">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14:paraId="54AF7635">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14:paraId="537FF1AD">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20EDAEE6">
      <w:pPr>
        <w:spacing w:line="336" w:lineRule="auto"/>
        <w:ind w:right="-153" w:rightChars="-7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13729327">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7F2059ED">
      <w:pPr>
        <w:spacing w:line="336" w:lineRule="auto"/>
        <w:ind w:right="-153" w:rightChars="-7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14:paraId="78CC1C5D">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）贺州市平桂区政府采购供应商信用</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 xml:space="preserve">； </w:t>
      </w:r>
    </w:p>
    <w:p w14:paraId="0DB5225D">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竞标人基本情况表（附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有效的营业执照副本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pacing w:val="-3"/>
          <w:sz w:val="21"/>
          <w:szCs w:val="21"/>
          <w:highlight w:val="none"/>
          <w:lang w:eastAsia="zh-CN"/>
        </w:rPr>
        <w:t>资质</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lang w:val="en-US" w:eastAsia="zh-CN"/>
        </w:rPr>
        <w:t>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安全生产许可证</w:t>
      </w:r>
      <w:r>
        <w:rPr>
          <w:rFonts w:hint="eastAsia" w:ascii="宋体" w:hAnsi="宋体" w:eastAsia="宋体" w:cs="宋体"/>
          <w:color w:val="auto"/>
          <w:sz w:val="21"/>
          <w:szCs w:val="21"/>
          <w:highlight w:val="none"/>
          <w:lang w:eastAsia="zh-CN"/>
        </w:rPr>
        <w:t>副本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 xml:space="preserve">； </w:t>
      </w:r>
    </w:p>
    <w:p w14:paraId="31107551">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02FF118">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）法定代表人授权委托书原件和委托代理人身份证复印件</w:t>
      </w:r>
      <w:r>
        <w:rPr>
          <w:rFonts w:hint="eastAsia" w:ascii="宋体" w:hAnsi="宋体" w:eastAsia="宋体" w:cs="宋体"/>
          <w:b/>
          <w:bCs/>
          <w:color w:val="auto"/>
          <w:sz w:val="21"/>
          <w:szCs w:val="21"/>
          <w:highlight w:val="none"/>
        </w:rPr>
        <w:t>（委托代理时必须提供，否则响应文件按无效响应处理）</w:t>
      </w:r>
      <w:r>
        <w:rPr>
          <w:rFonts w:hint="eastAsia" w:ascii="宋体" w:hAnsi="宋体" w:eastAsia="宋体" w:cs="宋体"/>
          <w:color w:val="auto"/>
          <w:sz w:val="21"/>
          <w:szCs w:val="21"/>
          <w:highlight w:val="none"/>
          <w:lang w:eastAsia="zh-CN"/>
        </w:rPr>
        <w:t>；</w:t>
      </w:r>
    </w:p>
    <w:p w14:paraId="30A82E1C">
      <w:pPr>
        <w:pStyle w:val="13"/>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）拟投入本项目的</w:t>
      </w:r>
      <w:r>
        <w:rPr>
          <w:rFonts w:hint="eastAsia" w:ascii="宋体" w:hAnsi="宋体" w:eastAsia="宋体" w:cs="宋体"/>
          <w:color w:val="auto"/>
          <w:sz w:val="21"/>
          <w:szCs w:val="21"/>
          <w:highlight w:val="none"/>
          <w:lang w:val="en-US" w:eastAsia="zh-CN"/>
        </w:rPr>
        <w:t>项目经理有效的注册</w:t>
      </w:r>
      <w:r>
        <w:rPr>
          <w:rFonts w:hint="eastAsia" w:ascii="宋体" w:hAnsi="宋体" w:eastAsia="宋体" w:cs="宋体"/>
          <w:color w:val="auto"/>
          <w:sz w:val="21"/>
          <w:szCs w:val="21"/>
          <w:highlight w:val="none"/>
        </w:rPr>
        <w:t>建造师证书及</w:t>
      </w:r>
      <w:r>
        <w:rPr>
          <w:rFonts w:hint="eastAsia" w:ascii="宋体" w:hAnsi="宋体" w:eastAsia="宋体" w:cs="宋体"/>
          <w:color w:val="auto"/>
          <w:sz w:val="21"/>
          <w:szCs w:val="21"/>
          <w:highlight w:val="none"/>
          <w:lang w:val="en-US" w:eastAsia="zh-CN"/>
        </w:rPr>
        <w:t>安全生产考核合格证书（B类）复印件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F72D63C">
      <w:pPr>
        <w:keepNext w:val="0"/>
        <w:keepLines w:val="0"/>
        <w:pageBreakBefore w:val="0"/>
        <w:kinsoku/>
        <w:wordWrap/>
        <w:overflowPunct/>
        <w:topLinePunct w:val="0"/>
        <w:autoSpaceDE w:val="0"/>
        <w:autoSpaceDN w:val="0"/>
        <w:bidi w:val="0"/>
        <w:adjustRightInd/>
        <w:spacing w:line="360" w:lineRule="auto"/>
        <w:ind w:left="0" w:lef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lang w:eastAsia="zh-CN"/>
        </w:rPr>
        <w:t>；</w:t>
      </w:r>
    </w:p>
    <w:p w14:paraId="23DAA7A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kern w:val="2"/>
          <w:sz w:val="21"/>
          <w:szCs w:val="21"/>
          <w:highlight w:val="none"/>
          <w:lang w:val="en-US" w:eastAsia="zh-CN" w:bidi="ar-SA"/>
        </w:rPr>
        <w:t>；</w:t>
      </w:r>
    </w:p>
    <w:p w14:paraId="73DB59DA">
      <w:pPr>
        <w:pStyle w:val="6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认为必要提供的声明及其它资料。</w:t>
      </w:r>
    </w:p>
    <w:p w14:paraId="24D8C0EA">
      <w:pPr>
        <w:pStyle w:val="65"/>
        <w:spacing w:line="360" w:lineRule="auto"/>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ascii="宋体" w:hAnsi="宋体" w:eastAsia="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2、以上材料必须加盖供应商公章，否则响应文件按无效响应处理</w:t>
      </w:r>
      <w:r>
        <w:rPr>
          <w:rFonts w:hint="eastAsia" w:ascii="宋体" w:hAnsi="宋体" w:eastAsia="宋体" w:cs="宋体"/>
          <w:b/>
          <w:color w:val="auto"/>
          <w:sz w:val="21"/>
          <w:szCs w:val="21"/>
          <w:highlight w:val="none"/>
          <w:u w:val="none"/>
        </w:rPr>
        <w:t>。</w:t>
      </w:r>
      <w:r>
        <w:rPr>
          <w:rFonts w:hint="eastAsia"/>
          <w:color w:val="auto"/>
          <w:highlight w:val="none"/>
          <w:lang w:val="en-US" w:eastAsia="zh-CN"/>
        </w:rPr>
        <w:br w:type="page"/>
      </w:r>
    </w:p>
    <w:p w14:paraId="75B1F792">
      <w:pPr>
        <w:numPr>
          <w:ilvl w:val="0"/>
          <w:numId w:val="0"/>
        </w:numPr>
        <w:jc w:val="center"/>
        <w:rPr>
          <w:rFonts w:hint="eastAsia" w:ascii="宋体" w:hAnsi="宋体" w:cs="宋体"/>
          <w:b/>
          <w:color w:val="auto"/>
          <w:sz w:val="24"/>
          <w:szCs w:val="24"/>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p>
    <w:p w14:paraId="2D5B2375">
      <w:pPr>
        <w:autoSpaceDE w:val="0"/>
        <w:autoSpaceDN w:val="0"/>
        <w:adjustRightInd w:val="0"/>
        <w:jc w:val="center"/>
        <w:rPr>
          <w:rFonts w:hint="eastAsia" w:ascii="方正小标宋简体" w:hAnsi="方正小标宋简体" w:eastAsia="方正小标宋简体" w:cs="方正小标宋简体"/>
          <w:color w:val="auto"/>
          <w:kern w:val="2"/>
          <w:sz w:val="32"/>
          <w:szCs w:val="32"/>
          <w:highlight w:val="none"/>
          <w:lang w:val="en-US" w:eastAsia="zh-CN" w:bidi="ar-SA"/>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贺州市</w:t>
      </w:r>
      <w:r>
        <w:rPr>
          <w:rFonts w:hint="eastAsia" w:ascii="宋体" w:hAnsi="宋体" w:cs="宋体"/>
          <w:b/>
          <w:color w:val="auto"/>
          <w:sz w:val="24"/>
          <w:szCs w:val="24"/>
          <w:highlight w:val="none"/>
          <w:lang w:val="en-US" w:eastAsia="zh-CN"/>
        </w:rPr>
        <w:t>平桂区</w:t>
      </w:r>
      <w:r>
        <w:rPr>
          <w:rFonts w:hint="eastAsia" w:ascii="宋体" w:hAnsi="宋体" w:eastAsia="宋体" w:cs="宋体"/>
          <w:b/>
          <w:color w:val="auto"/>
          <w:sz w:val="24"/>
          <w:szCs w:val="24"/>
          <w:highlight w:val="none"/>
          <w:lang w:val="en-US" w:eastAsia="zh-CN"/>
        </w:rPr>
        <w:t>政府采购供应商信用承诺函（格式）</w:t>
      </w:r>
    </w:p>
    <w:p w14:paraId="431F584A">
      <w:pPr>
        <w:jc w:val="left"/>
        <w:rPr>
          <w:rFonts w:hint="eastAsia" w:ascii="仿宋_GB2312" w:hAnsi="仿宋_GB2312" w:eastAsia="仿宋_GB2312" w:cs="仿宋_GB2312"/>
          <w:color w:val="auto"/>
          <w:kern w:val="2"/>
          <w:sz w:val="32"/>
          <w:szCs w:val="32"/>
          <w:highlight w:val="none"/>
          <w:lang w:val="en-US" w:eastAsia="zh-CN" w:bidi="ar-SA"/>
        </w:rPr>
      </w:pPr>
    </w:p>
    <w:p w14:paraId="53B1777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致(采购人或采购代理机构):</w:t>
      </w:r>
    </w:p>
    <w:p w14:paraId="5C0809C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供应商名称:</w:t>
      </w:r>
    </w:p>
    <w:p w14:paraId="7AFB2A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统一社会信用代码:</w:t>
      </w:r>
    </w:p>
    <w:p w14:paraId="0154990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供应商地址:</w:t>
      </w:r>
    </w:p>
    <w:p w14:paraId="435DFE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A1778C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1.我单位具有符合采购文件资格要求独立承担民事责任的能力。</w:t>
      </w:r>
    </w:p>
    <w:p w14:paraId="03A024D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2.我单位具有符合采购文件资格要求的财务状况报告。</w:t>
      </w:r>
    </w:p>
    <w:p w14:paraId="7DC63A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3.我单位具有符合采购文件资格要求的依法缴纳税收和社会保障记录的良好记录。</w:t>
      </w:r>
    </w:p>
    <w:p w14:paraId="67FF775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4.我单位具有符合采购文件资格要求履行合同所必需的设备和专业技术能力。</w:t>
      </w:r>
    </w:p>
    <w:p w14:paraId="32375F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5.参加政府采购活动前三年内，在经营活动中没有重大违法记录。</w:t>
      </w:r>
    </w:p>
    <w:p w14:paraId="0D0AD7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若我单位承诺不实，自愿承担提供虚假材料谋取中标、成交的法律责任。</w:t>
      </w:r>
    </w:p>
    <w:p w14:paraId="4F7CEE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7ECEB57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31E6FD16">
      <w:pPr>
        <w:spacing w:line="360" w:lineRule="auto"/>
        <w:ind w:right="480"/>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Cs w:val="21"/>
          <w:highlight w:val="none"/>
        </w:rPr>
        <w:t>（手写签名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电子签名）</w:t>
      </w:r>
      <w:r>
        <w:rPr>
          <w:rFonts w:hint="eastAsia" w:ascii="宋体" w:hAnsi="宋体" w:eastAsia="宋体" w:cs="宋体"/>
          <w:color w:val="auto"/>
          <w:sz w:val="21"/>
          <w:szCs w:val="21"/>
          <w:highlight w:val="none"/>
        </w:rPr>
        <w:t>：</w:t>
      </w:r>
    </w:p>
    <w:p w14:paraId="69ABB7C0">
      <w:pPr>
        <w:spacing w:line="360" w:lineRule="auto"/>
        <w:ind w:right="480" w:firstLine="2940" w:firstLineChars="14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w:t>
      </w:r>
      <w:r>
        <w:rPr>
          <w:rFonts w:hint="eastAsia" w:ascii="宋体" w:hAnsi="宋体" w:cs="宋体"/>
          <w:color w:val="auto"/>
          <w:szCs w:val="21"/>
          <w:highlight w:val="none"/>
          <w:lang w:val="en-US" w:eastAsia="zh-CN"/>
        </w:rPr>
        <w:t>印</w:t>
      </w:r>
      <w:r>
        <w:rPr>
          <w:rFonts w:hint="eastAsia" w:ascii="宋体" w:hAnsi="宋体" w:eastAsia="宋体" w:cs="宋体"/>
          <w:color w:val="auto"/>
          <w:szCs w:val="21"/>
          <w:highlight w:val="none"/>
        </w:rPr>
        <w:t>章）</w:t>
      </w:r>
      <w:r>
        <w:rPr>
          <w:rFonts w:hint="eastAsia" w:ascii="宋体" w:hAnsi="宋体" w:eastAsia="宋体" w:cs="宋体"/>
          <w:color w:val="auto"/>
          <w:sz w:val="21"/>
          <w:szCs w:val="21"/>
          <w:highlight w:val="none"/>
        </w:rPr>
        <w:t xml:space="preserve">： </w:t>
      </w:r>
    </w:p>
    <w:p w14:paraId="2355D27C">
      <w:pPr>
        <w:spacing w:line="360" w:lineRule="auto"/>
        <w:ind w:right="480" w:firstLine="4620" w:firstLineChars="2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F8329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015D1B7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注:1.供应商须在投标(响应)文件中按此模板提供承诺函，未提供视为未实质性响应招标(采购)文件要求，按无效投标(响应)处理。</w:t>
      </w:r>
    </w:p>
    <w:p w14:paraId="6123BF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color w:val="auto"/>
          <w:sz w:val="21"/>
          <w:szCs w:val="21"/>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r>
        <w:rPr>
          <w:rFonts w:hint="eastAsia" w:ascii="宋体" w:hAnsi="宋体" w:eastAsia="宋体" w:cs="宋体"/>
          <w:color w:val="auto"/>
          <w:kern w:val="2"/>
          <w:sz w:val="21"/>
          <w:szCs w:val="21"/>
          <w:highlight w:val="none"/>
          <w:lang w:val="en-US" w:eastAsia="zh-CN" w:bidi="ar-SA"/>
        </w:rPr>
        <w:t>2.供应商的法定代表人(其他组织的为负责人)或者授权代表的签名或盖章应真实、有效，如由授权代表签名或盖章的，应提供“法定代表人授权书”</w:t>
      </w:r>
    </w:p>
    <w:p w14:paraId="26A22242">
      <w:pPr>
        <w:numPr>
          <w:ilvl w:val="0"/>
          <w:numId w:val="0"/>
        </w:numPr>
        <w:jc w:val="center"/>
        <w:rPr>
          <w:rFonts w:hint="eastAsia" w:ascii="宋体" w:hAnsi="宋体" w:eastAsia="宋体" w:cs="宋体"/>
          <w:b/>
          <w:color w:val="auto"/>
          <w:sz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kern w:val="0"/>
          <w:sz w:val="24"/>
          <w:szCs w:val="24"/>
          <w:highlight w:val="none"/>
        </w:rPr>
        <w:t>竞标人基本情况表</w:t>
      </w:r>
    </w:p>
    <w:p w14:paraId="7BA07FAC">
      <w:pPr>
        <w:pStyle w:val="44"/>
        <w:numPr>
          <w:ilvl w:val="0"/>
          <w:numId w:val="0"/>
        </w:numPr>
        <w:rPr>
          <w:rFonts w:hint="eastAsia" w:ascii="宋体" w:hAnsi="宋体" w:eastAsia="宋体" w:cs="宋体"/>
          <w:color w:val="auto"/>
          <w:highlight w:val="none"/>
        </w:rPr>
      </w:pP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40"/>
        <w:gridCol w:w="1265"/>
        <w:gridCol w:w="1076"/>
        <w:gridCol w:w="1413"/>
        <w:gridCol w:w="932"/>
        <w:gridCol w:w="2518"/>
      </w:tblGrid>
      <w:tr w14:paraId="2B37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686DC2C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竞标人名称</w:t>
            </w:r>
          </w:p>
        </w:tc>
        <w:tc>
          <w:tcPr>
            <w:tcW w:w="4202" w:type="pct"/>
            <w:gridSpan w:val="6"/>
            <w:vAlign w:val="center"/>
          </w:tcPr>
          <w:p w14:paraId="6FF71761">
            <w:pPr>
              <w:spacing w:line="300" w:lineRule="exact"/>
              <w:jc w:val="center"/>
              <w:rPr>
                <w:rFonts w:hint="eastAsia" w:ascii="宋体" w:hAnsi="宋体" w:eastAsia="宋体" w:cs="宋体"/>
                <w:color w:val="auto"/>
                <w:szCs w:val="21"/>
                <w:highlight w:val="none"/>
              </w:rPr>
            </w:pPr>
          </w:p>
        </w:tc>
      </w:tr>
      <w:tr w14:paraId="1F10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790B151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1662" w:type="pct"/>
            <w:gridSpan w:val="3"/>
            <w:vAlign w:val="center"/>
          </w:tcPr>
          <w:p w14:paraId="1ED041DF">
            <w:pPr>
              <w:spacing w:line="300" w:lineRule="exact"/>
              <w:jc w:val="center"/>
              <w:rPr>
                <w:rFonts w:hint="eastAsia" w:ascii="宋体" w:hAnsi="宋体" w:eastAsia="宋体" w:cs="宋体"/>
                <w:color w:val="auto"/>
                <w:szCs w:val="21"/>
                <w:highlight w:val="none"/>
              </w:rPr>
            </w:pPr>
          </w:p>
        </w:tc>
        <w:tc>
          <w:tcPr>
            <w:tcW w:w="738" w:type="pct"/>
            <w:vAlign w:val="center"/>
          </w:tcPr>
          <w:p w14:paraId="720823F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800" w:type="pct"/>
            <w:gridSpan w:val="2"/>
            <w:vAlign w:val="center"/>
          </w:tcPr>
          <w:p w14:paraId="6D53FECE">
            <w:pPr>
              <w:spacing w:line="300" w:lineRule="exact"/>
              <w:jc w:val="center"/>
              <w:rPr>
                <w:rFonts w:hint="eastAsia" w:ascii="宋体" w:hAnsi="宋体" w:eastAsia="宋体" w:cs="宋体"/>
                <w:color w:val="auto"/>
                <w:szCs w:val="21"/>
                <w:highlight w:val="none"/>
              </w:rPr>
            </w:pPr>
          </w:p>
        </w:tc>
      </w:tr>
      <w:tr w14:paraId="1D15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Merge w:val="restart"/>
            <w:vAlign w:val="center"/>
          </w:tcPr>
          <w:p w14:paraId="247A6B3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439" w:type="pct"/>
            <w:vAlign w:val="center"/>
          </w:tcPr>
          <w:p w14:paraId="0A80B05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222" w:type="pct"/>
            <w:gridSpan w:val="2"/>
            <w:vAlign w:val="center"/>
          </w:tcPr>
          <w:p w14:paraId="084A239A">
            <w:pPr>
              <w:spacing w:line="300" w:lineRule="exact"/>
              <w:jc w:val="center"/>
              <w:rPr>
                <w:rFonts w:hint="eastAsia" w:ascii="宋体" w:hAnsi="宋体" w:eastAsia="宋体" w:cs="宋体"/>
                <w:color w:val="auto"/>
                <w:szCs w:val="21"/>
                <w:highlight w:val="none"/>
              </w:rPr>
            </w:pPr>
          </w:p>
        </w:tc>
        <w:tc>
          <w:tcPr>
            <w:tcW w:w="738" w:type="pct"/>
            <w:vAlign w:val="center"/>
          </w:tcPr>
          <w:p w14:paraId="265C016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800" w:type="pct"/>
            <w:gridSpan w:val="2"/>
            <w:vAlign w:val="center"/>
          </w:tcPr>
          <w:p w14:paraId="42EE7029">
            <w:pPr>
              <w:spacing w:line="300" w:lineRule="exact"/>
              <w:jc w:val="center"/>
              <w:rPr>
                <w:rFonts w:hint="eastAsia" w:ascii="宋体" w:hAnsi="宋体" w:eastAsia="宋体" w:cs="宋体"/>
                <w:color w:val="auto"/>
                <w:szCs w:val="21"/>
                <w:highlight w:val="none"/>
              </w:rPr>
            </w:pPr>
          </w:p>
        </w:tc>
      </w:tr>
      <w:tr w14:paraId="118E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Merge w:val="continue"/>
            <w:vAlign w:val="center"/>
          </w:tcPr>
          <w:p w14:paraId="147EDDD3">
            <w:pPr>
              <w:spacing w:line="300" w:lineRule="exact"/>
              <w:jc w:val="center"/>
              <w:rPr>
                <w:rFonts w:hint="eastAsia" w:ascii="宋体" w:hAnsi="宋体" w:eastAsia="宋体" w:cs="宋体"/>
                <w:color w:val="auto"/>
                <w:szCs w:val="21"/>
                <w:highlight w:val="none"/>
              </w:rPr>
            </w:pPr>
          </w:p>
        </w:tc>
        <w:tc>
          <w:tcPr>
            <w:tcW w:w="439" w:type="pct"/>
            <w:vAlign w:val="center"/>
          </w:tcPr>
          <w:p w14:paraId="5902FEA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222" w:type="pct"/>
            <w:gridSpan w:val="2"/>
            <w:vAlign w:val="center"/>
          </w:tcPr>
          <w:p w14:paraId="7DEAD4A6">
            <w:pPr>
              <w:spacing w:line="300" w:lineRule="exact"/>
              <w:jc w:val="center"/>
              <w:rPr>
                <w:rFonts w:hint="eastAsia" w:ascii="宋体" w:hAnsi="宋体" w:eastAsia="宋体" w:cs="宋体"/>
                <w:color w:val="auto"/>
                <w:szCs w:val="21"/>
                <w:highlight w:val="none"/>
              </w:rPr>
            </w:pPr>
          </w:p>
        </w:tc>
        <w:tc>
          <w:tcPr>
            <w:tcW w:w="738" w:type="pct"/>
            <w:vAlign w:val="center"/>
          </w:tcPr>
          <w:p w14:paraId="5981F59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1800" w:type="pct"/>
            <w:gridSpan w:val="2"/>
            <w:vAlign w:val="center"/>
          </w:tcPr>
          <w:p w14:paraId="39AA1BA1">
            <w:pPr>
              <w:spacing w:line="300" w:lineRule="exact"/>
              <w:jc w:val="center"/>
              <w:rPr>
                <w:rFonts w:hint="eastAsia" w:ascii="宋体" w:hAnsi="宋体" w:eastAsia="宋体" w:cs="宋体"/>
                <w:color w:val="auto"/>
                <w:szCs w:val="21"/>
                <w:highlight w:val="none"/>
              </w:rPr>
            </w:pPr>
          </w:p>
        </w:tc>
      </w:tr>
      <w:tr w14:paraId="1558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717AF35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39" w:type="pct"/>
            <w:vAlign w:val="center"/>
          </w:tcPr>
          <w:p w14:paraId="007E9C3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60" w:type="pct"/>
            <w:vAlign w:val="center"/>
          </w:tcPr>
          <w:p w14:paraId="34B1C217">
            <w:pPr>
              <w:spacing w:line="300" w:lineRule="exact"/>
              <w:jc w:val="center"/>
              <w:rPr>
                <w:rFonts w:hint="eastAsia" w:ascii="宋体" w:hAnsi="宋体" w:eastAsia="宋体" w:cs="宋体"/>
                <w:color w:val="auto"/>
                <w:szCs w:val="21"/>
                <w:highlight w:val="none"/>
              </w:rPr>
            </w:pPr>
          </w:p>
        </w:tc>
        <w:tc>
          <w:tcPr>
            <w:tcW w:w="562" w:type="pct"/>
            <w:vAlign w:val="center"/>
          </w:tcPr>
          <w:p w14:paraId="6DF27CA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738" w:type="pct"/>
            <w:vAlign w:val="center"/>
          </w:tcPr>
          <w:p w14:paraId="08979D05">
            <w:pPr>
              <w:spacing w:line="300" w:lineRule="exact"/>
              <w:jc w:val="center"/>
              <w:rPr>
                <w:rFonts w:hint="eastAsia" w:ascii="宋体" w:hAnsi="宋体" w:eastAsia="宋体" w:cs="宋体"/>
                <w:color w:val="auto"/>
                <w:szCs w:val="21"/>
                <w:highlight w:val="none"/>
              </w:rPr>
            </w:pPr>
          </w:p>
        </w:tc>
        <w:tc>
          <w:tcPr>
            <w:tcW w:w="487" w:type="pct"/>
            <w:vAlign w:val="center"/>
          </w:tcPr>
          <w:p w14:paraId="700D0FF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13" w:type="pct"/>
            <w:vAlign w:val="center"/>
          </w:tcPr>
          <w:p w14:paraId="2DD19D5D">
            <w:pPr>
              <w:spacing w:line="300" w:lineRule="exact"/>
              <w:jc w:val="center"/>
              <w:rPr>
                <w:rFonts w:hint="eastAsia" w:ascii="宋体" w:hAnsi="宋体" w:eastAsia="宋体" w:cs="宋体"/>
                <w:color w:val="auto"/>
                <w:szCs w:val="21"/>
                <w:highlight w:val="none"/>
              </w:rPr>
            </w:pPr>
          </w:p>
        </w:tc>
      </w:tr>
      <w:tr w14:paraId="4FED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65B5246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439" w:type="pct"/>
            <w:vAlign w:val="center"/>
          </w:tcPr>
          <w:p w14:paraId="793C4EA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60" w:type="pct"/>
            <w:vAlign w:val="center"/>
          </w:tcPr>
          <w:p w14:paraId="2ED610F1">
            <w:pPr>
              <w:spacing w:line="300" w:lineRule="exact"/>
              <w:jc w:val="center"/>
              <w:rPr>
                <w:rFonts w:hint="eastAsia" w:ascii="宋体" w:hAnsi="宋体" w:eastAsia="宋体" w:cs="宋体"/>
                <w:color w:val="auto"/>
                <w:szCs w:val="21"/>
                <w:highlight w:val="none"/>
              </w:rPr>
            </w:pPr>
          </w:p>
        </w:tc>
        <w:tc>
          <w:tcPr>
            <w:tcW w:w="562" w:type="pct"/>
            <w:vAlign w:val="center"/>
          </w:tcPr>
          <w:p w14:paraId="1F730E5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738" w:type="pct"/>
            <w:vAlign w:val="center"/>
          </w:tcPr>
          <w:p w14:paraId="1FA87E3E">
            <w:pPr>
              <w:spacing w:line="300" w:lineRule="exact"/>
              <w:jc w:val="center"/>
              <w:rPr>
                <w:rFonts w:hint="eastAsia" w:ascii="宋体" w:hAnsi="宋体" w:eastAsia="宋体" w:cs="宋体"/>
                <w:color w:val="auto"/>
                <w:szCs w:val="21"/>
                <w:highlight w:val="none"/>
              </w:rPr>
            </w:pPr>
          </w:p>
        </w:tc>
        <w:tc>
          <w:tcPr>
            <w:tcW w:w="487" w:type="pct"/>
            <w:vAlign w:val="center"/>
          </w:tcPr>
          <w:p w14:paraId="324711D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13" w:type="pct"/>
            <w:vAlign w:val="center"/>
          </w:tcPr>
          <w:p w14:paraId="5535B457">
            <w:pPr>
              <w:spacing w:line="300" w:lineRule="exact"/>
              <w:jc w:val="center"/>
              <w:rPr>
                <w:rFonts w:hint="eastAsia" w:ascii="宋体" w:hAnsi="宋体" w:eastAsia="宋体" w:cs="宋体"/>
                <w:color w:val="auto"/>
                <w:szCs w:val="21"/>
                <w:highlight w:val="none"/>
              </w:rPr>
            </w:pPr>
          </w:p>
        </w:tc>
      </w:tr>
      <w:tr w14:paraId="27BA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331E371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100" w:type="pct"/>
            <w:gridSpan w:val="2"/>
            <w:vAlign w:val="center"/>
          </w:tcPr>
          <w:p w14:paraId="224242B2">
            <w:pPr>
              <w:spacing w:line="300" w:lineRule="exact"/>
              <w:jc w:val="center"/>
              <w:rPr>
                <w:rFonts w:hint="eastAsia" w:ascii="宋体" w:hAnsi="宋体" w:eastAsia="宋体" w:cs="宋体"/>
                <w:color w:val="auto"/>
                <w:szCs w:val="21"/>
                <w:highlight w:val="none"/>
              </w:rPr>
            </w:pPr>
          </w:p>
        </w:tc>
        <w:tc>
          <w:tcPr>
            <w:tcW w:w="3102" w:type="pct"/>
            <w:gridSpan w:val="4"/>
            <w:vAlign w:val="center"/>
          </w:tcPr>
          <w:p w14:paraId="2A335A9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4F12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26C854F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100" w:type="pct"/>
            <w:gridSpan w:val="2"/>
            <w:vAlign w:val="center"/>
          </w:tcPr>
          <w:p w14:paraId="066FAE99">
            <w:pPr>
              <w:spacing w:line="300" w:lineRule="exact"/>
              <w:jc w:val="center"/>
              <w:rPr>
                <w:rFonts w:hint="eastAsia" w:ascii="宋体" w:hAnsi="宋体" w:eastAsia="宋体" w:cs="宋体"/>
                <w:color w:val="auto"/>
                <w:szCs w:val="21"/>
                <w:highlight w:val="none"/>
              </w:rPr>
            </w:pPr>
          </w:p>
        </w:tc>
        <w:tc>
          <w:tcPr>
            <w:tcW w:w="562" w:type="pct"/>
            <w:vMerge w:val="restart"/>
            <w:vAlign w:val="center"/>
          </w:tcPr>
          <w:p w14:paraId="43836FB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738" w:type="pct"/>
            <w:vAlign w:val="center"/>
          </w:tcPr>
          <w:p w14:paraId="188C5D9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800" w:type="pct"/>
            <w:gridSpan w:val="2"/>
            <w:vAlign w:val="center"/>
          </w:tcPr>
          <w:p w14:paraId="200074F4">
            <w:pPr>
              <w:spacing w:line="300" w:lineRule="exact"/>
              <w:jc w:val="center"/>
              <w:rPr>
                <w:rFonts w:hint="eastAsia" w:ascii="宋体" w:hAnsi="宋体" w:eastAsia="宋体" w:cs="宋体"/>
                <w:color w:val="auto"/>
                <w:szCs w:val="21"/>
                <w:highlight w:val="none"/>
              </w:rPr>
            </w:pPr>
          </w:p>
        </w:tc>
      </w:tr>
      <w:tr w14:paraId="552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629B8293">
            <w:pPr>
              <w:spacing w:line="3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统一社会信用代码</w:t>
            </w:r>
          </w:p>
        </w:tc>
        <w:tc>
          <w:tcPr>
            <w:tcW w:w="1100" w:type="pct"/>
            <w:gridSpan w:val="2"/>
            <w:vAlign w:val="center"/>
          </w:tcPr>
          <w:p w14:paraId="2F438D7D">
            <w:pPr>
              <w:spacing w:line="300" w:lineRule="exact"/>
              <w:jc w:val="center"/>
              <w:rPr>
                <w:rFonts w:hint="eastAsia" w:ascii="宋体" w:hAnsi="宋体" w:eastAsia="宋体" w:cs="宋体"/>
                <w:color w:val="auto"/>
                <w:szCs w:val="21"/>
                <w:highlight w:val="none"/>
              </w:rPr>
            </w:pPr>
          </w:p>
        </w:tc>
        <w:tc>
          <w:tcPr>
            <w:tcW w:w="562" w:type="pct"/>
            <w:vMerge w:val="continue"/>
            <w:vAlign w:val="center"/>
          </w:tcPr>
          <w:p w14:paraId="3FAC2950">
            <w:pPr>
              <w:spacing w:line="300" w:lineRule="exact"/>
              <w:jc w:val="center"/>
              <w:rPr>
                <w:rFonts w:hint="eastAsia" w:ascii="宋体" w:hAnsi="宋体" w:eastAsia="宋体" w:cs="宋体"/>
                <w:color w:val="auto"/>
                <w:szCs w:val="21"/>
                <w:highlight w:val="none"/>
              </w:rPr>
            </w:pPr>
          </w:p>
        </w:tc>
        <w:tc>
          <w:tcPr>
            <w:tcW w:w="738" w:type="pct"/>
            <w:vAlign w:val="center"/>
          </w:tcPr>
          <w:p w14:paraId="703161A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00" w:type="pct"/>
            <w:gridSpan w:val="2"/>
            <w:vAlign w:val="center"/>
          </w:tcPr>
          <w:p w14:paraId="0353CE3E">
            <w:pPr>
              <w:spacing w:line="300" w:lineRule="exact"/>
              <w:jc w:val="center"/>
              <w:rPr>
                <w:rFonts w:hint="eastAsia" w:ascii="宋体" w:hAnsi="宋体" w:eastAsia="宋体" w:cs="宋体"/>
                <w:color w:val="auto"/>
                <w:szCs w:val="21"/>
                <w:highlight w:val="none"/>
              </w:rPr>
            </w:pPr>
          </w:p>
        </w:tc>
      </w:tr>
      <w:tr w14:paraId="016D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5B24A28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100" w:type="pct"/>
            <w:gridSpan w:val="2"/>
            <w:vAlign w:val="center"/>
          </w:tcPr>
          <w:p w14:paraId="62C23096">
            <w:pPr>
              <w:spacing w:line="300" w:lineRule="exact"/>
              <w:jc w:val="center"/>
              <w:rPr>
                <w:rFonts w:hint="eastAsia" w:ascii="宋体" w:hAnsi="宋体" w:eastAsia="宋体" w:cs="宋体"/>
                <w:color w:val="auto"/>
                <w:szCs w:val="21"/>
                <w:highlight w:val="none"/>
              </w:rPr>
            </w:pPr>
          </w:p>
        </w:tc>
        <w:tc>
          <w:tcPr>
            <w:tcW w:w="562" w:type="pct"/>
            <w:vMerge w:val="continue"/>
            <w:vAlign w:val="center"/>
          </w:tcPr>
          <w:p w14:paraId="1F17DEA4">
            <w:pPr>
              <w:spacing w:line="300" w:lineRule="exact"/>
              <w:jc w:val="center"/>
              <w:rPr>
                <w:rFonts w:hint="eastAsia" w:ascii="宋体" w:hAnsi="宋体" w:eastAsia="宋体" w:cs="宋体"/>
                <w:color w:val="auto"/>
                <w:szCs w:val="21"/>
                <w:highlight w:val="none"/>
              </w:rPr>
            </w:pPr>
          </w:p>
        </w:tc>
        <w:tc>
          <w:tcPr>
            <w:tcW w:w="738" w:type="pct"/>
            <w:vAlign w:val="center"/>
          </w:tcPr>
          <w:p w14:paraId="27B19E7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00" w:type="pct"/>
            <w:gridSpan w:val="2"/>
            <w:vAlign w:val="center"/>
          </w:tcPr>
          <w:p w14:paraId="31E426DD">
            <w:pPr>
              <w:spacing w:line="300" w:lineRule="exact"/>
              <w:jc w:val="center"/>
              <w:rPr>
                <w:rFonts w:hint="eastAsia" w:ascii="宋体" w:hAnsi="宋体" w:eastAsia="宋体" w:cs="宋体"/>
                <w:color w:val="auto"/>
                <w:szCs w:val="21"/>
                <w:highlight w:val="none"/>
              </w:rPr>
            </w:pPr>
          </w:p>
        </w:tc>
      </w:tr>
      <w:tr w14:paraId="06C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147230B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100" w:type="pct"/>
            <w:gridSpan w:val="2"/>
            <w:vAlign w:val="center"/>
          </w:tcPr>
          <w:p w14:paraId="53C2A051">
            <w:pPr>
              <w:spacing w:line="300" w:lineRule="exact"/>
              <w:jc w:val="center"/>
              <w:rPr>
                <w:rFonts w:hint="eastAsia" w:ascii="宋体" w:hAnsi="宋体" w:eastAsia="宋体" w:cs="宋体"/>
                <w:color w:val="auto"/>
                <w:szCs w:val="21"/>
                <w:highlight w:val="none"/>
              </w:rPr>
            </w:pPr>
          </w:p>
        </w:tc>
        <w:tc>
          <w:tcPr>
            <w:tcW w:w="562" w:type="pct"/>
            <w:vMerge w:val="continue"/>
            <w:vAlign w:val="center"/>
          </w:tcPr>
          <w:p w14:paraId="4C5BEB49">
            <w:pPr>
              <w:spacing w:line="300" w:lineRule="exact"/>
              <w:jc w:val="center"/>
              <w:rPr>
                <w:rFonts w:hint="eastAsia" w:ascii="宋体" w:hAnsi="宋体" w:eastAsia="宋体" w:cs="宋体"/>
                <w:color w:val="auto"/>
                <w:szCs w:val="21"/>
                <w:highlight w:val="none"/>
              </w:rPr>
            </w:pPr>
          </w:p>
        </w:tc>
        <w:tc>
          <w:tcPr>
            <w:tcW w:w="738" w:type="pct"/>
            <w:vAlign w:val="center"/>
          </w:tcPr>
          <w:p w14:paraId="188A5DB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00" w:type="pct"/>
            <w:gridSpan w:val="2"/>
            <w:vAlign w:val="center"/>
          </w:tcPr>
          <w:p w14:paraId="0072CA71">
            <w:pPr>
              <w:spacing w:line="300" w:lineRule="exact"/>
              <w:jc w:val="center"/>
              <w:rPr>
                <w:rFonts w:hint="eastAsia" w:ascii="宋体" w:hAnsi="宋体" w:eastAsia="宋体" w:cs="宋体"/>
                <w:color w:val="auto"/>
                <w:szCs w:val="21"/>
                <w:highlight w:val="none"/>
              </w:rPr>
            </w:pPr>
          </w:p>
        </w:tc>
      </w:tr>
      <w:tr w14:paraId="6473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53A3E13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100" w:type="pct"/>
            <w:gridSpan w:val="2"/>
            <w:vAlign w:val="center"/>
          </w:tcPr>
          <w:p w14:paraId="7436B653">
            <w:pPr>
              <w:spacing w:line="300" w:lineRule="exact"/>
              <w:jc w:val="center"/>
              <w:rPr>
                <w:rFonts w:hint="eastAsia" w:ascii="宋体" w:hAnsi="宋体" w:eastAsia="宋体" w:cs="宋体"/>
                <w:color w:val="auto"/>
                <w:szCs w:val="21"/>
                <w:highlight w:val="none"/>
              </w:rPr>
            </w:pPr>
          </w:p>
        </w:tc>
        <w:tc>
          <w:tcPr>
            <w:tcW w:w="562" w:type="pct"/>
            <w:vMerge w:val="continue"/>
            <w:vAlign w:val="center"/>
          </w:tcPr>
          <w:p w14:paraId="73CD615F">
            <w:pPr>
              <w:spacing w:line="300" w:lineRule="exact"/>
              <w:jc w:val="center"/>
              <w:rPr>
                <w:rFonts w:hint="eastAsia" w:ascii="宋体" w:hAnsi="宋体" w:eastAsia="宋体" w:cs="宋体"/>
                <w:color w:val="auto"/>
                <w:szCs w:val="21"/>
                <w:highlight w:val="none"/>
              </w:rPr>
            </w:pPr>
          </w:p>
        </w:tc>
        <w:tc>
          <w:tcPr>
            <w:tcW w:w="738" w:type="pct"/>
            <w:vAlign w:val="center"/>
          </w:tcPr>
          <w:p w14:paraId="27CB1DA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技工</w:t>
            </w:r>
          </w:p>
        </w:tc>
        <w:tc>
          <w:tcPr>
            <w:tcW w:w="1800" w:type="pct"/>
            <w:gridSpan w:val="2"/>
            <w:vAlign w:val="center"/>
          </w:tcPr>
          <w:p w14:paraId="0CABDFED">
            <w:pPr>
              <w:spacing w:line="300" w:lineRule="exact"/>
              <w:jc w:val="center"/>
              <w:rPr>
                <w:rFonts w:hint="eastAsia" w:ascii="宋体" w:hAnsi="宋体" w:eastAsia="宋体" w:cs="宋体"/>
                <w:color w:val="auto"/>
                <w:szCs w:val="21"/>
                <w:highlight w:val="none"/>
              </w:rPr>
            </w:pPr>
          </w:p>
        </w:tc>
      </w:tr>
      <w:tr w14:paraId="5899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2633C16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4202" w:type="pct"/>
            <w:gridSpan w:val="6"/>
            <w:vAlign w:val="center"/>
          </w:tcPr>
          <w:p w14:paraId="3BD79688">
            <w:pPr>
              <w:spacing w:line="300" w:lineRule="exact"/>
              <w:jc w:val="center"/>
              <w:rPr>
                <w:rFonts w:hint="eastAsia" w:ascii="宋体" w:hAnsi="宋体" w:eastAsia="宋体" w:cs="宋体"/>
                <w:color w:val="auto"/>
                <w:szCs w:val="21"/>
                <w:highlight w:val="none"/>
              </w:rPr>
            </w:pPr>
          </w:p>
        </w:tc>
      </w:tr>
      <w:tr w14:paraId="6B3E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14:paraId="178A1F9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4202" w:type="pct"/>
            <w:gridSpan w:val="6"/>
            <w:vAlign w:val="center"/>
          </w:tcPr>
          <w:p w14:paraId="11E2841D">
            <w:pPr>
              <w:spacing w:line="300" w:lineRule="exact"/>
              <w:jc w:val="center"/>
              <w:rPr>
                <w:rFonts w:hint="eastAsia" w:ascii="宋体" w:hAnsi="宋体" w:eastAsia="宋体" w:cs="宋体"/>
                <w:color w:val="auto"/>
                <w:szCs w:val="21"/>
                <w:highlight w:val="none"/>
              </w:rPr>
            </w:pPr>
          </w:p>
        </w:tc>
      </w:tr>
    </w:tbl>
    <w:p w14:paraId="394B1939">
      <w:pPr>
        <w:jc w:val="left"/>
        <w:rPr>
          <w:rFonts w:hint="eastAsia" w:ascii="宋体" w:hAnsi="宋体" w:eastAsia="宋体" w:cs="宋体"/>
          <w:b/>
          <w:bCs/>
          <w:color w:val="auto"/>
          <w:sz w:val="21"/>
          <w:szCs w:val="21"/>
          <w:highlight w:val="none"/>
          <w:lang w:val="en-US" w:eastAsia="zh-CN"/>
        </w:rPr>
      </w:pPr>
      <w:r>
        <w:rPr>
          <w:rFonts w:hint="eastAsia" w:hAnsi="宋体" w:cs="宋体"/>
          <w:b/>
          <w:bCs/>
          <w:color w:val="auto"/>
          <w:highlight w:val="none"/>
          <w:lang w:val="en-US" w:eastAsia="zh-CN"/>
        </w:rPr>
        <w:t>附：</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有效的营业执照副本</w:t>
      </w:r>
      <w:r>
        <w:rPr>
          <w:rFonts w:hint="eastAsia" w:hAnsi="宋体" w:cs="宋体"/>
          <w:b/>
          <w:bCs/>
          <w:color w:val="auto"/>
          <w:highlight w:val="none"/>
          <w:lang w:eastAsia="zh-CN"/>
        </w:rPr>
        <w:t>、</w:t>
      </w:r>
      <w:r>
        <w:rPr>
          <w:rFonts w:hint="eastAsia" w:ascii="宋体" w:hAnsi="宋体" w:eastAsia="宋体" w:cs="宋体"/>
          <w:b/>
          <w:bCs/>
          <w:color w:val="auto"/>
          <w:spacing w:val="-3"/>
          <w:sz w:val="21"/>
          <w:highlight w:val="none"/>
          <w:lang w:eastAsia="zh-CN"/>
        </w:rPr>
        <w:t>资质</w:t>
      </w:r>
      <w:r>
        <w:rPr>
          <w:rFonts w:hint="eastAsia" w:ascii="宋体" w:hAnsi="宋体" w:eastAsia="宋体" w:cs="宋体"/>
          <w:b/>
          <w:bCs/>
          <w:color w:val="auto"/>
          <w:highlight w:val="none"/>
          <w:lang w:eastAsia="zh-CN"/>
        </w:rPr>
        <w:t>证书</w:t>
      </w:r>
      <w:r>
        <w:rPr>
          <w:rFonts w:hint="eastAsia" w:ascii="宋体" w:hAnsi="宋体" w:cs="宋体"/>
          <w:b/>
          <w:bCs/>
          <w:color w:val="auto"/>
          <w:highlight w:val="none"/>
          <w:lang w:val="en-US" w:eastAsia="zh-CN"/>
        </w:rPr>
        <w:t>副本</w:t>
      </w:r>
      <w:r>
        <w:rPr>
          <w:rFonts w:hint="eastAsia" w:hAnsi="宋体" w:cs="宋体"/>
          <w:b/>
          <w:bCs/>
          <w:color w:val="auto"/>
          <w:highlight w:val="none"/>
          <w:lang w:eastAsia="zh-CN"/>
        </w:rPr>
        <w:t>、</w:t>
      </w:r>
      <w:r>
        <w:rPr>
          <w:rFonts w:hint="eastAsia" w:ascii="宋体" w:hAnsi="宋体" w:eastAsia="宋体" w:cs="宋体"/>
          <w:b/>
          <w:bCs/>
          <w:color w:val="auto"/>
          <w:highlight w:val="none"/>
        </w:rPr>
        <w:t>安全生产许可证</w:t>
      </w:r>
      <w:r>
        <w:rPr>
          <w:rFonts w:hint="eastAsia" w:ascii="宋体" w:hAnsi="宋体" w:eastAsia="宋体" w:cs="宋体"/>
          <w:b/>
          <w:bCs/>
          <w:color w:val="auto"/>
          <w:highlight w:val="none"/>
          <w:lang w:eastAsia="zh-CN"/>
        </w:rPr>
        <w:t>副本</w:t>
      </w:r>
      <w:r>
        <w:rPr>
          <w:rFonts w:hint="eastAsia" w:hAnsi="宋体" w:cs="宋体"/>
          <w:b/>
          <w:bCs/>
          <w:color w:val="auto"/>
          <w:highlight w:val="none"/>
          <w:lang w:val="en-US" w:eastAsia="zh-CN"/>
        </w:rPr>
        <w:t>的</w:t>
      </w:r>
      <w:r>
        <w:rPr>
          <w:rFonts w:hint="eastAsia" w:ascii="宋体" w:hAnsi="宋体" w:eastAsia="宋体" w:cs="宋体"/>
          <w:b/>
          <w:bCs/>
          <w:color w:val="auto"/>
          <w:highlight w:val="none"/>
        </w:rPr>
        <w:t>复印件</w:t>
      </w:r>
      <w:r>
        <w:rPr>
          <w:rFonts w:hint="eastAsia" w:ascii="宋体" w:hAnsi="宋体" w:cs="宋体"/>
          <w:b/>
          <w:bCs/>
          <w:color w:val="auto"/>
          <w:highlight w:val="none"/>
          <w:lang w:eastAsia="zh-CN"/>
        </w:rPr>
        <w:t>。</w:t>
      </w:r>
    </w:p>
    <w:p w14:paraId="46BB620F">
      <w:pPr>
        <w:jc w:val="center"/>
        <w:rPr>
          <w:rFonts w:hint="eastAsia" w:ascii="宋体" w:hAnsi="宋体" w:eastAsia="宋体" w:cs="宋体"/>
          <w:b/>
          <w:color w:val="auto"/>
          <w:sz w:val="28"/>
          <w:szCs w:val="28"/>
          <w:highlight w:val="none"/>
          <w:lang w:val="en-US" w:eastAsia="zh-CN"/>
        </w:rPr>
      </w:pPr>
    </w:p>
    <w:p w14:paraId="73B3DE6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w:t>
      </w:r>
      <w:r>
        <w:rPr>
          <w:rFonts w:hint="eastAsia" w:ascii="宋体" w:hAnsi="宋体" w:cs="宋体"/>
          <w:color w:val="auto"/>
          <w:szCs w:val="21"/>
          <w:highlight w:val="none"/>
          <w:lang w:val="en-US" w:eastAsia="zh-CN"/>
        </w:rPr>
        <w:t>印</w:t>
      </w:r>
      <w:r>
        <w:rPr>
          <w:rFonts w:hint="eastAsia" w:ascii="宋体" w:hAnsi="宋体" w:eastAsia="宋体" w:cs="宋体"/>
          <w:color w:val="auto"/>
          <w:szCs w:val="21"/>
          <w:highlight w:val="none"/>
        </w:rPr>
        <w:t>章）</w:t>
      </w:r>
    </w:p>
    <w:p w14:paraId="5370E6FA">
      <w:pPr>
        <w:spacing w:line="48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（手写签名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电子签名） </w:t>
      </w:r>
    </w:p>
    <w:p w14:paraId="31505E4F">
      <w:pPr>
        <w:autoSpaceDE w:val="0"/>
        <w:autoSpaceDN w:val="0"/>
        <w:adjustRightInd w:val="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Cs w:val="21"/>
          <w:highlight w:val="none"/>
          <w:u w:val="none"/>
          <w:lang w:eastAsia="zh-CN"/>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ED130E">
      <w:pPr>
        <w:autoSpaceDE w:val="0"/>
        <w:autoSpaceDN w:val="0"/>
        <w:adjustRightInd w:val="0"/>
        <w:jc w:val="both"/>
        <w:rPr>
          <w:rFonts w:hint="eastAsia" w:ascii="宋体" w:hAnsi="宋体" w:eastAsia="宋体" w:cs="宋体"/>
          <w:b/>
          <w:color w:val="auto"/>
          <w:sz w:val="24"/>
          <w:szCs w:val="24"/>
          <w:highlight w:val="none"/>
          <w:lang w:val="en-US" w:eastAsia="zh-CN"/>
        </w:rPr>
      </w:pPr>
    </w:p>
    <w:p w14:paraId="5262E705">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2FA479CB">
      <w:pPr>
        <w:autoSpaceDE w:val="0"/>
        <w:autoSpaceDN w:val="0"/>
        <w:adjustRightInd w:val="0"/>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法定代表人身份证明书（格式）</w:t>
      </w:r>
    </w:p>
    <w:p w14:paraId="09D144F8">
      <w:pPr>
        <w:autoSpaceDE w:val="0"/>
        <w:autoSpaceDN w:val="0"/>
        <w:adjustRightInd w:val="0"/>
        <w:rPr>
          <w:rFonts w:hint="eastAsia" w:ascii="宋体" w:hAnsi="宋体" w:eastAsia="宋体" w:cs="宋体"/>
          <w:b/>
          <w:color w:val="auto"/>
          <w:kern w:val="0"/>
          <w:szCs w:val="21"/>
          <w:highlight w:val="none"/>
        </w:rPr>
      </w:pPr>
    </w:p>
    <w:p w14:paraId="6A548CB0">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p>
    <w:p w14:paraId="478A5F53">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64CA8F9B">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14:paraId="020E62D4">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60C9D42">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经营期限：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14:paraId="7E9431DA">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049A2D4E">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14:paraId="719BDB53">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系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名称）的法定代表人。</w:t>
      </w:r>
    </w:p>
    <w:p w14:paraId="161AB06A">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14:paraId="2D5B4C61">
      <w:pPr>
        <w:autoSpaceDE w:val="0"/>
        <w:autoSpaceDN w:val="0"/>
        <w:adjustRightInd w:val="0"/>
        <w:spacing w:line="360" w:lineRule="auto"/>
        <w:ind w:firstLine="3150" w:firstLineChars="1500"/>
        <w:jc w:val="left"/>
        <w:rPr>
          <w:rFonts w:hint="eastAsia" w:ascii="宋体" w:hAnsi="宋体" w:eastAsia="宋体" w:cs="宋体"/>
          <w:color w:val="auto"/>
          <w:kern w:val="0"/>
          <w:szCs w:val="21"/>
          <w:highlight w:val="none"/>
        </w:rPr>
      </w:pPr>
    </w:p>
    <w:p w14:paraId="41C41530">
      <w:pPr>
        <w:autoSpaceDE w:val="0"/>
        <w:autoSpaceDN w:val="0"/>
        <w:adjustRightInd w:val="0"/>
        <w:spacing w:line="360" w:lineRule="auto"/>
        <w:ind w:firstLine="3150" w:firstLineChars="1500"/>
        <w:jc w:val="left"/>
        <w:rPr>
          <w:rFonts w:hint="eastAsia" w:ascii="宋体" w:hAnsi="宋体" w:eastAsia="宋体" w:cs="宋体"/>
          <w:color w:val="auto"/>
          <w:kern w:val="0"/>
          <w:szCs w:val="21"/>
          <w:highlight w:val="none"/>
        </w:rPr>
      </w:pPr>
    </w:p>
    <w:p w14:paraId="0C76D137">
      <w:pPr>
        <w:autoSpaceDE w:val="0"/>
        <w:autoSpaceDN w:val="0"/>
        <w:adjustRightInd w:val="0"/>
        <w:spacing w:line="360" w:lineRule="auto"/>
        <w:ind w:firstLine="3150" w:firstLineChars="15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电子</w:t>
      </w:r>
      <w:r>
        <w:rPr>
          <w:rFonts w:hint="eastAsia" w:ascii="宋体" w:hAnsi="宋体" w:cs="宋体"/>
          <w:color w:val="auto"/>
          <w:kern w:val="0"/>
          <w:szCs w:val="21"/>
          <w:highlight w:val="none"/>
          <w:lang w:val="en-US" w:eastAsia="zh-CN"/>
        </w:rPr>
        <w:t>印</w:t>
      </w:r>
      <w:r>
        <w:rPr>
          <w:rFonts w:hint="eastAsia" w:ascii="宋体" w:hAnsi="宋体" w:eastAsia="宋体" w:cs="宋体"/>
          <w:color w:val="auto"/>
          <w:kern w:val="0"/>
          <w:szCs w:val="21"/>
          <w:highlight w:val="none"/>
        </w:rPr>
        <w:t>章）</w:t>
      </w:r>
    </w:p>
    <w:p w14:paraId="7E3D549C">
      <w:pPr>
        <w:autoSpaceDE w:val="0"/>
        <w:autoSpaceDN w:val="0"/>
        <w:adjustRightInd w:val="0"/>
        <w:spacing w:line="36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6E9CB5D">
      <w:pPr>
        <w:autoSpaceDE w:val="0"/>
        <w:autoSpaceDN w:val="0"/>
        <w:adjustRightInd w:val="0"/>
        <w:spacing w:line="240" w:lineRule="exact"/>
        <w:ind w:firstLine="308" w:firstLineChars="147"/>
        <w:jc w:val="left"/>
        <w:rPr>
          <w:rFonts w:hint="eastAsia" w:ascii="宋体" w:hAnsi="宋体" w:eastAsia="宋体" w:cs="宋体"/>
          <w:b/>
          <w:color w:val="auto"/>
          <w:szCs w:val="21"/>
          <w:highlight w:val="none"/>
        </w:rPr>
      </w:pPr>
    </w:p>
    <w:p w14:paraId="7C1ADFD2">
      <w:pPr>
        <w:autoSpaceDE w:val="0"/>
        <w:autoSpaceDN w:val="0"/>
        <w:adjustRightInd w:val="0"/>
        <w:spacing w:line="360" w:lineRule="auto"/>
        <w:ind w:firstLine="308" w:firstLineChars="147"/>
        <w:jc w:val="left"/>
        <w:rPr>
          <w:rFonts w:hint="eastAsia" w:ascii="宋体" w:hAnsi="宋体" w:eastAsia="宋体" w:cs="宋体"/>
          <w:b/>
          <w:color w:val="auto"/>
          <w:szCs w:val="21"/>
          <w:highlight w:val="none"/>
        </w:rPr>
      </w:pPr>
    </w:p>
    <w:p w14:paraId="24F85255">
      <w:pPr>
        <w:autoSpaceDE w:val="0"/>
        <w:autoSpaceDN w:val="0"/>
        <w:adjustRightInd w:val="0"/>
        <w:spacing w:line="360" w:lineRule="auto"/>
        <w:ind w:firstLine="308" w:firstLineChars="147"/>
        <w:jc w:val="left"/>
        <w:rPr>
          <w:rFonts w:hint="eastAsia" w:ascii="宋体" w:hAnsi="宋体" w:eastAsia="宋体" w:cs="宋体"/>
          <w:b/>
          <w:color w:val="auto"/>
          <w:szCs w:val="21"/>
          <w:highlight w:val="none"/>
        </w:rPr>
      </w:pPr>
    </w:p>
    <w:p w14:paraId="189B9F95">
      <w:pPr>
        <w:autoSpaceDE w:val="0"/>
        <w:autoSpaceDN w:val="0"/>
        <w:adjustRightInd w:val="0"/>
        <w:spacing w:line="360" w:lineRule="auto"/>
        <w:ind w:firstLine="308" w:firstLineChars="147"/>
        <w:jc w:val="left"/>
        <w:rPr>
          <w:rFonts w:hint="eastAsia" w:ascii="宋体" w:hAnsi="宋体" w:eastAsia="宋体" w:cs="宋体"/>
          <w:color w:val="auto"/>
          <w:kern w:val="0"/>
          <w:szCs w:val="21"/>
          <w:highlight w:val="none"/>
          <w:lang w:eastAsia="zh-CN"/>
        </w:rPr>
      </w:pPr>
      <w:r>
        <w:rPr>
          <w:rFonts w:hint="eastAsia" w:ascii="宋体" w:hAnsi="宋体" w:eastAsia="宋体" w:cs="宋体"/>
          <w:b/>
          <w:color w:val="auto"/>
          <w:szCs w:val="21"/>
          <w:highlight w:val="none"/>
        </w:rPr>
        <w:t>附：法定代表人身份证</w:t>
      </w:r>
      <w:r>
        <w:rPr>
          <w:rFonts w:hint="eastAsia" w:ascii="宋体" w:hAnsi="宋体" w:cs="宋体"/>
          <w:b/>
          <w:color w:val="auto"/>
          <w:szCs w:val="21"/>
          <w:highlight w:val="none"/>
          <w:lang w:val="en-US" w:eastAsia="zh-CN"/>
        </w:rPr>
        <w:t>复印</w:t>
      </w:r>
      <w:r>
        <w:rPr>
          <w:rFonts w:hint="eastAsia" w:ascii="宋体" w:hAnsi="宋体" w:eastAsia="宋体" w:cs="宋体"/>
          <w:b/>
          <w:color w:val="auto"/>
          <w:szCs w:val="21"/>
          <w:highlight w:val="none"/>
          <w:lang w:eastAsia="zh-CN"/>
        </w:rPr>
        <w:t>件</w:t>
      </w:r>
      <w:r>
        <w:rPr>
          <w:rFonts w:hint="eastAsia" w:ascii="宋体" w:hAnsi="宋体" w:cs="宋体"/>
          <w:b/>
          <w:color w:val="auto"/>
          <w:szCs w:val="21"/>
          <w:highlight w:val="none"/>
          <w:lang w:eastAsia="zh-CN"/>
        </w:rPr>
        <w:t>、安全生产考核合格证书（A类）复印件。</w:t>
      </w:r>
    </w:p>
    <w:p w14:paraId="5B0DE781">
      <w:pPr>
        <w:autoSpaceDE w:val="0"/>
        <w:autoSpaceDN w:val="0"/>
        <w:adjustRightInd w:val="0"/>
        <w:spacing w:line="240" w:lineRule="exact"/>
        <w:ind w:firstLine="4620" w:firstLineChars="2200"/>
        <w:jc w:val="left"/>
        <w:rPr>
          <w:rFonts w:hint="eastAsia" w:ascii="宋体" w:hAnsi="宋体" w:eastAsia="宋体" w:cs="宋体"/>
          <w:color w:val="auto"/>
          <w:kern w:val="0"/>
          <w:szCs w:val="21"/>
          <w:highlight w:val="none"/>
        </w:rPr>
      </w:pPr>
    </w:p>
    <w:p w14:paraId="18F45985">
      <w:pPr>
        <w:autoSpaceDE w:val="0"/>
        <w:autoSpaceDN w:val="0"/>
        <w:adjustRightInd w:val="0"/>
        <w:jc w:val="center"/>
        <w:rPr>
          <w:rFonts w:hint="eastAsia" w:ascii="宋体" w:hAnsi="宋体" w:eastAsia="宋体" w:cs="宋体"/>
          <w:b/>
          <w:color w:val="auto"/>
          <w:szCs w:val="21"/>
          <w:highlight w:val="none"/>
        </w:rPr>
      </w:pPr>
    </w:p>
    <w:p w14:paraId="2602E1C5">
      <w:pPr>
        <w:autoSpaceDE w:val="0"/>
        <w:autoSpaceDN w:val="0"/>
        <w:adjustRightInd w:val="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br w:type="page"/>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授权委托书（格式）</w:t>
      </w:r>
    </w:p>
    <w:p w14:paraId="70439AE4">
      <w:pPr>
        <w:autoSpaceDE w:val="0"/>
        <w:autoSpaceDN w:val="0"/>
        <w:adjustRightInd w:val="0"/>
        <w:ind w:firstLine="3045" w:firstLineChars="1450"/>
        <w:rPr>
          <w:rFonts w:hint="eastAsia" w:ascii="宋体" w:hAnsi="宋体" w:eastAsia="宋体" w:cs="宋体"/>
          <w:b/>
          <w:color w:val="auto"/>
          <w:kern w:val="0"/>
          <w:szCs w:val="21"/>
          <w:highlight w:val="none"/>
        </w:rPr>
      </w:pPr>
    </w:p>
    <w:p w14:paraId="126CD96B">
      <w:pPr>
        <w:autoSpaceDE w:val="0"/>
        <w:autoSpaceDN w:val="0"/>
        <w:adjustRightInd w:val="0"/>
        <w:spacing w:line="360" w:lineRule="auto"/>
        <w:ind w:firstLine="525" w:firstLineChars="250"/>
        <w:jc w:val="left"/>
        <w:rPr>
          <w:rFonts w:hint="eastAsia" w:ascii="宋体" w:hAnsi="宋体" w:eastAsia="宋体" w:cs="宋体"/>
          <w:color w:val="auto"/>
          <w:kern w:val="0"/>
          <w:szCs w:val="21"/>
          <w:highlight w:val="none"/>
        </w:rPr>
      </w:pPr>
    </w:p>
    <w:p w14:paraId="1E86C8D8">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我</w:t>
      </w:r>
      <w:r>
        <w:rPr>
          <w:rFonts w:hint="eastAsia" w:ascii="宋体" w:hAnsi="宋体" w:cs="仿宋_GB2312"/>
          <w:color w:val="auto"/>
          <w:sz w:val="21"/>
          <w:szCs w:val="21"/>
          <w:highlight w:val="none"/>
          <w:u w:val="single"/>
        </w:rPr>
        <w:t xml:space="preserve">  （姓名）  </w:t>
      </w:r>
      <w:r>
        <w:rPr>
          <w:rFonts w:hint="eastAsia" w:ascii="宋体" w:hAnsi="宋体" w:cs="仿宋_GB2312"/>
          <w:color w:val="auto"/>
          <w:sz w:val="21"/>
          <w:szCs w:val="21"/>
          <w:highlight w:val="none"/>
        </w:rPr>
        <w:t>系</w:t>
      </w:r>
      <w:r>
        <w:rPr>
          <w:rFonts w:hint="eastAsia" w:ascii="宋体" w:hAnsi="宋体" w:cs="仿宋_GB2312"/>
          <w:color w:val="auto"/>
          <w:sz w:val="21"/>
          <w:szCs w:val="21"/>
          <w:highlight w:val="none"/>
          <w:u w:val="single"/>
        </w:rPr>
        <w:t xml:space="preserve">  （供应商名称）  </w:t>
      </w:r>
      <w:r>
        <w:rPr>
          <w:rFonts w:hint="eastAsia" w:ascii="宋体" w:hAnsi="宋体" w:cs="仿宋_GB2312"/>
          <w:color w:val="auto"/>
          <w:sz w:val="21"/>
          <w:szCs w:val="21"/>
          <w:highlight w:val="none"/>
        </w:rPr>
        <w:t>的（</w:t>
      </w:r>
      <w:r>
        <w:rPr>
          <w:rFonts w:hint="eastAsia" w:ascii="宋体" w:hAnsi="宋体" w:cs="仿宋_GB2312"/>
          <w:color w:val="auto"/>
          <w:sz w:val="21"/>
          <w:szCs w:val="21"/>
          <w:highlight w:val="none"/>
          <w:u w:val="single"/>
        </w:rPr>
        <w:sym w:font="Wingdings 2" w:char="00A3"/>
      </w:r>
      <w:r>
        <w:rPr>
          <w:rFonts w:hint="eastAsia" w:ascii="宋体" w:hAnsi="宋体" w:cs="仿宋_GB2312"/>
          <w:color w:val="auto"/>
          <w:sz w:val="21"/>
          <w:szCs w:val="21"/>
          <w:highlight w:val="none"/>
          <w:u w:val="single"/>
        </w:rPr>
        <w:t>法定代表人/□负责人/□自然人本人</w:t>
      </w:r>
      <w:r>
        <w:rPr>
          <w:rFonts w:hint="eastAsia" w:ascii="宋体" w:hAnsi="宋体" w:cs="仿宋_GB2312"/>
          <w:color w:val="auto"/>
          <w:sz w:val="21"/>
          <w:szCs w:val="21"/>
          <w:highlight w:val="none"/>
        </w:rPr>
        <w:t>），现授权</w:t>
      </w:r>
      <w:r>
        <w:rPr>
          <w:rFonts w:hint="eastAsia" w:ascii="宋体" w:hAnsi="宋体" w:cs="仿宋_GB2312"/>
          <w:color w:val="auto"/>
          <w:sz w:val="21"/>
          <w:szCs w:val="21"/>
          <w:highlight w:val="none"/>
          <w:u w:val="single"/>
        </w:rPr>
        <w:t xml:space="preserve"> （姓名） </w:t>
      </w:r>
      <w:r>
        <w:rPr>
          <w:rFonts w:hint="eastAsia" w:ascii="宋体" w:hAnsi="宋体" w:cs="仿宋_GB2312"/>
          <w:color w:val="auto"/>
          <w:sz w:val="21"/>
          <w:szCs w:val="21"/>
          <w:highlight w:val="none"/>
        </w:rPr>
        <w:t>以我方的名义参加</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u w:val="single"/>
          <w:lang w:val="en-US" w:eastAsia="zh-CN"/>
        </w:rPr>
        <w:t xml:space="preserve"> </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项目的竞标活动，并代表我方全权办理针对上述项目的所有采购程序和环节的具体事务和签署相关文件。</w:t>
      </w:r>
    </w:p>
    <w:p w14:paraId="53BAE92D">
      <w:pPr>
        <w:spacing w:line="360" w:lineRule="auto"/>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    我方对委托代理人的签字事项负全部责任。</w:t>
      </w:r>
    </w:p>
    <w:p w14:paraId="7B554F18">
      <w:pPr>
        <w:spacing w:line="360" w:lineRule="auto"/>
        <w:ind w:firstLine="420" w:firstLineChars="2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本授权书自签署之日起生效，在撤销授权的书面通知以前，本授权书一直有效。委托代理人在授权书有效期内签署的所有文件不因授权的撤销而失效。</w:t>
      </w:r>
    </w:p>
    <w:p w14:paraId="4208DCC3">
      <w:pPr>
        <w:spacing w:line="360" w:lineRule="auto"/>
        <w:ind w:firstLine="360"/>
        <w:rPr>
          <w:rFonts w:hint="eastAsia" w:ascii="宋体" w:hAnsi="宋体" w:eastAsia="宋体" w:cs="宋体"/>
          <w:color w:val="auto"/>
          <w:szCs w:val="21"/>
          <w:highlight w:val="none"/>
        </w:rPr>
      </w:pPr>
      <w:r>
        <w:rPr>
          <w:rFonts w:hint="eastAsia" w:ascii="宋体" w:hAnsi="宋体" w:cs="仿宋_GB2312"/>
          <w:color w:val="auto"/>
          <w:sz w:val="21"/>
          <w:szCs w:val="21"/>
          <w:highlight w:val="none"/>
        </w:rPr>
        <w:t>委托代理人无转委托权，特此委托</w:t>
      </w:r>
      <w:r>
        <w:rPr>
          <w:rFonts w:hint="eastAsia" w:ascii="宋体" w:hAnsi="宋体" w:eastAsia="宋体" w:cs="宋体"/>
          <w:color w:val="auto"/>
          <w:szCs w:val="21"/>
          <w:highlight w:val="none"/>
        </w:rPr>
        <w:t>。</w:t>
      </w:r>
    </w:p>
    <w:p w14:paraId="61128741">
      <w:pPr>
        <w:spacing w:line="400" w:lineRule="exact"/>
        <w:rPr>
          <w:rFonts w:hint="eastAsia" w:ascii="宋体" w:hAnsi="宋体" w:eastAsia="宋体" w:cs="宋体"/>
          <w:color w:val="auto"/>
          <w:szCs w:val="21"/>
          <w:highlight w:val="none"/>
        </w:rPr>
      </w:pPr>
    </w:p>
    <w:p w14:paraId="20941443">
      <w:pPr>
        <w:spacing w:line="400" w:lineRule="exact"/>
        <w:rPr>
          <w:rFonts w:hint="eastAsia" w:ascii="宋体" w:hAnsi="宋体" w:eastAsia="宋体" w:cs="宋体"/>
          <w:color w:val="auto"/>
          <w:szCs w:val="21"/>
          <w:highlight w:val="none"/>
        </w:rPr>
      </w:pPr>
    </w:p>
    <w:p w14:paraId="0F7FCED4">
      <w:pPr>
        <w:spacing w:line="400" w:lineRule="exact"/>
        <w:rPr>
          <w:rFonts w:hint="eastAsia" w:ascii="宋体" w:hAnsi="宋体" w:eastAsia="宋体" w:cs="宋体"/>
          <w:color w:val="auto"/>
          <w:szCs w:val="21"/>
          <w:highlight w:val="none"/>
        </w:rPr>
      </w:pPr>
    </w:p>
    <w:p w14:paraId="1755D4BE">
      <w:pPr>
        <w:spacing w:line="400" w:lineRule="exact"/>
        <w:rPr>
          <w:rFonts w:hint="eastAsia" w:ascii="宋体" w:hAnsi="宋体" w:eastAsia="宋体" w:cs="宋体"/>
          <w:color w:val="auto"/>
          <w:szCs w:val="21"/>
          <w:highlight w:val="none"/>
        </w:rPr>
      </w:pPr>
    </w:p>
    <w:p w14:paraId="7B3E80B0">
      <w:pPr>
        <w:keepNext w:val="0"/>
        <w:keepLines w:val="0"/>
        <w:pageBreakBefore w:val="0"/>
        <w:widowControl w:val="0"/>
        <w:kinsoku/>
        <w:wordWrap w:val="0"/>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cs="宋体"/>
          <w:color w:val="auto"/>
          <w:szCs w:val="21"/>
          <w:highlight w:val="none"/>
          <w:lang w:val="en-US" w:eastAsia="zh-CN"/>
        </w:rPr>
        <w:t>姓名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14:paraId="5BB23208">
      <w:pPr>
        <w:keepNext w:val="0"/>
        <w:keepLines w:val="0"/>
        <w:pageBreakBefore w:val="0"/>
        <w:widowControl w:val="0"/>
        <w:kinsoku/>
        <w:overflowPunct/>
        <w:topLinePunct w:val="0"/>
        <w:autoSpaceDE/>
        <w:autoSpaceDN/>
        <w:bidi w:val="0"/>
        <w:adjustRightInd/>
        <w:snapToGrid/>
        <w:spacing w:line="360" w:lineRule="auto"/>
        <w:ind w:left="420" w:leftChars="200" w:right="124"/>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695B8AA9">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（公章</w:t>
      </w:r>
      <w:r>
        <w:rPr>
          <w:rFonts w:hint="eastAsia" w:ascii="宋体" w:hAnsi="宋体" w:eastAsia="宋体" w:cs="宋体"/>
          <w:color w:val="auto"/>
          <w:szCs w:val="21"/>
          <w:highlight w:val="none"/>
          <w:u w:val="single"/>
          <w:lang w:val="en-US" w:eastAsia="zh-CN"/>
        </w:rPr>
        <w:t>或</w:t>
      </w:r>
      <w:r>
        <w:rPr>
          <w:rFonts w:hint="eastAsia" w:ascii="宋体" w:hAnsi="宋体" w:eastAsia="宋体" w:cs="宋体"/>
          <w:color w:val="auto"/>
          <w:szCs w:val="21"/>
          <w:highlight w:val="none"/>
          <w:u w:val="single"/>
        </w:rPr>
        <w:t>电子</w:t>
      </w:r>
      <w:r>
        <w:rPr>
          <w:rFonts w:hint="eastAsia" w:ascii="宋体" w:hAnsi="宋体" w:cs="宋体"/>
          <w:color w:val="auto"/>
          <w:szCs w:val="21"/>
          <w:highlight w:val="none"/>
          <w:u w:val="single"/>
          <w:lang w:val="en-US" w:eastAsia="zh-CN"/>
        </w:rPr>
        <w:t>印</w:t>
      </w:r>
      <w:r>
        <w:rPr>
          <w:rFonts w:hint="eastAsia" w:ascii="宋体" w:hAnsi="宋体" w:eastAsia="宋体" w:cs="宋体"/>
          <w:color w:val="auto"/>
          <w:szCs w:val="21"/>
          <w:highlight w:val="none"/>
          <w:u w:val="single"/>
        </w:rPr>
        <w:t>章）</w:t>
      </w:r>
    </w:p>
    <w:p w14:paraId="1391431F">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（手写签名</w:t>
      </w:r>
      <w:r>
        <w:rPr>
          <w:rFonts w:hint="eastAsia" w:ascii="宋体" w:hAnsi="宋体" w:eastAsia="宋体" w:cs="宋体"/>
          <w:color w:val="auto"/>
          <w:szCs w:val="21"/>
          <w:highlight w:val="none"/>
          <w:u w:val="single"/>
          <w:lang w:val="en-US" w:eastAsia="zh-CN"/>
        </w:rPr>
        <w:t>或</w:t>
      </w:r>
      <w:r>
        <w:rPr>
          <w:rFonts w:hint="eastAsia" w:ascii="宋体" w:hAnsi="宋体" w:eastAsia="宋体" w:cs="宋体"/>
          <w:color w:val="auto"/>
          <w:szCs w:val="21"/>
          <w:highlight w:val="none"/>
          <w:u w:val="single"/>
        </w:rPr>
        <w:t>电子签名）</w:t>
      </w:r>
    </w:p>
    <w:p w14:paraId="6B8BFDAD">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59A0C494">
      <w:pPr>
        <w:spacing w:line="400" w:lineRule="exact"/>
        <w:rPr>
          <w:rFonts w:hint="eastAsia" w:ascii="宋体" w:hAnsi="宋体" w:eastAsia="宋体" w:cs="宋体"/>
          <w:color w:val="auto"/>
          <w:highlight w:val="none"/>
        </w:rPr>
      </w:pPr>
    </w:p>
    <w:p w14:paraId="28A9D1C0">
      <w:pPr>
        <w:spacing w:line="400" w:lineRule="exact"/>
        <w:rPr>
          <w:rFonts w:hint="eastAsia" w:ascii="宋体" w:hAnsi="宋体" w:eastAsia="宋体" w:cs="宋体"/>
          <w:color w:val="auto"/>
          <w:highlight w:val="none"/>
        </w:rPr>
      </w:pPr>
    </w:p>
    <w:p w14:paraId="245AC113">
      <w:pPr>
        <w:spacing w:line="400" w:lineRule="exact"/>
        <w:rPr>
          <w:rFonts w:hint="eastAsia" w:ascii="宋体" w:hAnsi="宋体" w:eastAsia="宋体" w:cs="宋体"/>
          <w:color w:val="auto"/>
          <w:highlight w:val="none"/>
        </w:rPr>
      </w:pPr>
    </w:p>
    <w:p w14:paraId="3F221DFE">
      <w:pPr>
        <w:spacing w:line="400" w:lineRule="exact"/>
        <w:rPr>
          <w:rFonts w:hint="eastAsia" w:ascii="宋体" w:hAnsi="宋体" w:eastAsia="宋体" w:cs="宋体"/>
          <w:color w:val="auto"/>
          <w:highlight w:val="none"/>
        </w:rPr>
      </w:pPr>
    </w:p>
    <w:p w14:paraId="177E82C3">
      <w:pPr>
        <w:spacing w:line="400" w:lineRule="exact"/>
        <w:rPr>
          <w:rFonts w:hint="eastAsia" w:ascii="宋体" w:hAnsi="宋体" w:eastAsia="宋体" w:cs="宋体"/>
          <w:color w:val="auto"/>
          <w:highlight w:val="none"/>
        </w:rPr>
      </w:pPr>
    </w:p>
    <w:p w14:paraId="411CDD61">
      <w:pPr>
        <w:spacing w:line="400" w:lineRule="exact"/>
        <w:rPr>
          <w:rFonts w:hint="eastAsia" w:ascii="宋体" w:hAnsi="宋体" w:eastAsia="宋体" w:cs="宋体"/>
          <w:color w:val="auto"/>
          <w:highlight w:val="none"/>
        </w:rPr>
      </w:pPr>
    </w:p>
    <w:p w14:paraId="4FCD6D6B">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附：委托代理人</w:t>
      </w:r>
      <w:r>
        <w:rPr>
          <w:rFonts w:hint="eastAsia" w:ascii="宋体" w:hAnsi="宋体" w:eastAsia="宋体" w:cs="宋体"/>
          <w:b/>
          <w:bCs/>
          <w:color w:val="auto"/>
          <w:szCs w:val="21"/>
          <w:highlight w:val="none"/>
        </w:rPr>
        <w:t>身份证</w:t>
      </w:r>
      <w:r>
        <w:rPr>
          <w:rFonts w:hint="eastAsia" w:ascii="宋体" w:hAnsi="宋体" w:cs="宋体"/>
          <w:b/>
          <w:color w:val="auto"/>
          <w:szCs w:val="21"/>
          <w:highlight w:val="none"/>
          <w:lang w:val="en-US" w:eastAsia="zh-CN"/>
        </w:rPr>
        <w:t>复印</w:t>
      </w:r>
      <w:r>
        <w:rPr>
          <w:rFonts w:hint="eastAsia" w:ascii="宋体" w:hAnsi="宋体" w:eastAsia="宋体" w:cs="宋体"/>
          <w:b/>
          <w:bCs/>
          <w:color w:val="auto"/>
          <w:szCs w:val="21"/>
          <w:highlight w:val="none"/>
          <w:lang w:eastAsia="zh-CN"/>
        </w:rPr>
        <w:t>件</w:t>
      </w:r>
      <w:r>
        <w:rPr>
          <w:rFonts w:hint="eastAsia" w:ascii="宋体" w:hAnsi="宋体" w:eastAsia="宋体" w:cs="宋体"/>
          <w:b/>
          <w:bCs/>
          <w:color w:val="auto"/>
          <w:szCs w:val="21"/>
          <w:highlight w:val="none"/>
        </w:rPr>
        <w:t>。</w:t>
      </w:r>
    </w:p>
    <w:p w14:paraId="3B667521">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6158E002">
      <w:pPr>
        <w:numPr>
          <w:ilvl w:val="0"/>
          <w:numId w:val="0"/>
        </w:numPr>
        <w:jc w:val="left"/>
        <w:rPr>
          <w:rFonts w:hint="eastAsia" w:ascii="宋体" w:hAnsi="宋体" w:eastAsia="宋体" w:cs="宋体"/>
          <w:b/>
          <w:bCs/>
          <w:color w:val="auto"/>
          <w:sz w:val="24"/>
          <w:szCs w:val="24"/>
          <w:highlight w:val="none"/>
        </w:rPr>
      </w:pPr>
    </w:p>
    <w:p w14:paraId="18F9626A">
      <w:pPr>
        <w:numPr>
          <w:ilvl w:val="0"/>
          <w:numId w:val="0"/>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）拟投入本项目的项目经理有效的注册建造师证书及安全生产考核合格证书（B类）复印件（必须提供，否则响应文件按无效响应处理）；</w:t>
      </w:r>
    </w:p>
    <w:p w14:paraId="6D6D20F6">
      <w:pPr>
        <w:numPr>
          <w:ilvl w:val="0"/>
          <w:numId w:val="0"/>
        </w:numPr>
        <w:jc w:val="left"/>
        <w:rPr>
          <w:rFonts w:hint="eastAsia" w:ascii="宋体" w:hAnsi="宋体" w:eastAsia="宋体" w:cs="宋体"/>
          <w:b/>
          <w:bCs/>
          <w:color w:val="auto"/>
          <w:sz w:val="24"/>
          <w:szCs w:val="24"/>
          <w:highlight w:val="none"/>
        </w:rPr>
      </w:pPr>
    </w:p>
    <w:p w14:paraId="205523C1">
      <w:pPr>
        <w:numPr>
          <w:ilvl w:val="0"/>
          <w:numId w:val="0"/>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拟投入本项目安全员的安全生产考核合格证书（C类）复印件（必须提供，否则响应文件按无效响应处理）</w:t>
      </w:r>
      <w:r>
        <w:rPr>
          <w:rFonts w:hint="eastAsia" w:ascii="宋体" w:hAnsi="宋体" w:eastAsia="宋体" w:cs="宋体"/>
          <w:b/>
          <w:bCs/>
          <w:color w:val="auto"/>
          <w:sz w:val="24"/>
          <w:szCs w:val="24"/>
          <w:highlight w:val="none"/>
        </w:rPr>
        <w:t>；</w:t>
      </w:r>
    </w:p>
    <w:p w14:paraId="1510569E">
      <w:pPr>
        <w:numPr>
          <w:ilvl w:val="0"/>
          <w:numId w:val="0"/>
        </w:numPr>
        <w:jc w:val="left"/>
        <w:rPr>
          <w:rFonts w:hint="eastAsia" w:ascii="宋体" w:hAnsi="宋体" w:eastAsia="宋体" w:cs="宋体"/>
          <w:b/>
          <w:bCs/>
          <w:color w:val="auto"/>
          <w:sz w:val="24"/>
          <w:szCs w:val="24"/>
          <w:highlight w:val="none"/>
        </w:rPr>
      </w:pPr>
    </w:p>
    <w:p w14:paraId="56003F30">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62C7C731">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en-US" w:eastAsia="zh-CN" w:bidi="ar-SA"/>
        </w:rPr>
        <w:t>）中小企业声明函：提供《中小企业声明函》或监狱企业的证明文件或《残疾人福利性单位声明函》（必须提供，否则响应文件按无效响应处理）</w:t>
      </w:r>
    </w:p>
    <w:p w14:paraId="2289739A">
      <w:pPr>
        <w:widowControl w:val="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中小企业声明函（格式）</w:t>
      </w:r>
    </w:p>
    <w:p w14:paraId="4E9BFE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highlight w:val="none"/>
          <w:u w:val="single"/>
          <w:lang w:val="en-US" w:eastAsia="zh-CN" w:bidi="ar-SA"/>
        </w:rPr>
        <w:t xml:space="preserve">    （单位名称）    </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u w:val="single"/>
          <w:lang w:val="en-US" w:eastAsia="zh-CN" w:bidi="ar-SA"/>
        </w:rPr>
        <w:t xml:space="preserve">      （项目名称）     </w:t>
      </w:r>
      <w:r>
        <w:rPr>
          <w:rFonts w:hint="eastAsia" w:ascii="宋体" w:hAnsi="宋体" w:eastAsia="宋体" w:cs="宋体"/>
          <w:color w:val="auto"/>
          <w:kern w:val="2"/>
          <w:sz w:val="21"/>
          <w:szCs w:val="21"/>
          <w:highlight w:val="none"/>
          <w:lang w:val="en-US" w:eastAsia="zh-CN" w:bidi="ar-SA"/>
        </w:rPr>
        <w:t>采购活动，提供的工程全部由符合政策要求的中小企业建造。相关企业的具体情况如下：</w:t>
      </w:r>
    </w:p>
    <w:p w14:paraId="4F01AB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kern w:val="2"/>
          <w:sz w:val="21"/>
          <w:szCs w:val="21"/>
          <w:highlight w:val="none"/>
          <w:u w:val="single"/>
          <w:lang w:val="en-US" w:eastAsia="zh-CN" w:bidi="ar-SA"/>
        </w:rPr>
        <w:t xml:space="preserve">  （标的名称）   </w:t>
      </w:r>
      <w:r>
        <w:rPr>
          <w:rFonts w:hint="eastAsia" w:ascii="宋体" w:hAnsi="宋体" w:eastAsia="宋体" w:cs="宋体"/>
          <w:color w:val="auto"/>
          <w:kern w:val="2"/>
          <w:sz w:val="21"/>
          <w:szCs w:val="21"/>
          <w:highlight w:val="none"/>
          <w:lang w:val="en-US" w:eastAsia="zh-CN" w:bidi="ar-SA"/>
        </w:rPr>
        <w:t>，属于</w:t>
      </w:r>
      <w:r>
        <w:rPr>
          <w:rFonts w:hint="eastAsia" w:ascii="宋体" w:hAnsi="宋体" w:cs="宋体"/>
          <w:color w:val="auto"/>
          <w:kern w:val="2"/>
          <w:sz w:val="21"/>
          <w:szCs w:val="21"/>
          <w:highlight w:val="none"/>
          <w:u w:val="single"/>
          <w:lang w:val="en-US" w:eastAsia="zh-CN" w:bidi="ar-SA"/>
        </w:rPr>
        <w:t>建筑业</w:t>
      </w:r>
      <w:r>
        <w:rPr>
          <w:rFonts w:hint="eastAsia" w:ascii="宋体" w:hAnsi="宋体" w:eastAsia="宋体" w:cs="宋体"/>
          <w:color w:val="auto"/>
          <w:kern w:val="2"/>
          <w:sz w:val="21"/>
          <w:szCs w:val="21"/>
          <w:highlight w:val="none"/>
          <w:lang w:val="en-US" w:eastAsia="zh-CN" w:bidi="ar-SA"/>
        </w:rPr>
        <w:t>行业；建造商为</w:t>
      </w:r>
      <w:r>
        <w:rPr>
          <w:rFonts w:hint="eastAsia" w:ascii="宋体" w:hAnsi="宋体" w:eastAsia="宋体" w:cs="宋体"/>
          <w:color w:val="auto"/>
          <w:kern w:val="2"/>
          <w:sz w:val="21"/>
          <w:szCs w:val="21"/>
          <w:highlight w:val="none"/>
          <w:u w:val="single"/>
          <w:lang w:val="en-US" w:eastAsia="zh-CN" w:bidi="ar-SA"/>
        </w:rPr>
        <w:t xml:space="preserve">  （企业名称）   </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w:t>
      </w:r>
      <w:r>
        <w:rPr>
          <w:rFonts w:hint="eastAsia" w:ascii="宋体" w:hAnsi="宋体" w:eastAsia="宋体" w:cs="宋体"/>
          <w:color w:val="auto"/>
          <w:kern w:val="2"/>
          <w:sz w:val="21"/>
          <w:szCs w:val="21"/>
          <w:highlight w:val="none"/>
          <w:u w:val="single"/>
          <w:lang w:val="en-US" w:eastAsia="zh-CN" w:bidi="ar-SA"/>
        </w:rPr>
        <w:t>（中型企业、小型企业或微型企业）</w:t>
      </w:r>
      <w:r>
        <w:rPr>
          <w:rFonts w:hint="eastAsia" w:ascii="宋体" w:hAnsi="宋体" w:eastAsia="宋体" w:cs="宋体"/>
          <w:color w:val="auto"/>
          <w:kern w:val="2"/>
          <w:sz w:val="21"/>
          <w:szCs w:val="21"/>
          <w:highlight w:val="none"/>
          <w:lang w:val="en-US" w:eastAsia="zh-CN" w:bidi="ar-SA"/>
        </w:rPr>
        <w:t>；</w:t>
      </w:r>
    </w:p>
    <w:p w14:paraId="334D8E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2.</w:t>
      </w:r>
      <w:r>
        <w:rPr>
          <w:rFonts w:hint="eastAsia" w:ascii="宋体" w:hAnsi="宋体" w:eastAsia="宋体" w:cs="宋体"/>
          <w:color w:val="auto"/>
          <w:kern w:val="2"/>
          <w:sz w:val="21"/>
          <w:szCs w:val="21"/>
          <w:highlight w:val="none"/>
          <w:u w:val="single"/>
          <w:lang w:val="en-US" w:eastAsia="zh-CN" w:bidi="ar-SA"/>
        </w:rPr>
        <w:t xml:space="preserve">  （标的名称）  </w:t>
      </w:r>
      <w:r>
        <w:rPr>
          <w:rFonts w:hint="eastAsia" w:ascii="宋体" w:hAnsi="宋体" w:eastAsia="宋体" w:cs="宋体"/>
          <w:color w:val="auto"/>
          <w:kern w:val="2"/>
          <w:sz w:val="21"/>
          <w:szCs w:val="21"/>
          <w:highlight w:val="none"/>
          <w:lang w:val="en-US" w:eastAsia="zh-CN" w:bidi="ar-SA"/>
        </w:rPr>
        <w:t xml:space="preserve"> ，属于</w:t>
      </w:r>
      <w:r>
        <w:rPr>
          <w:rFonts w:hint="eastAsia" w:ascii="宋体" w:hAnsi="宋体" w:cs="宋体"/>
          <w:color w:val="auto"/>
          <w:kern w:val="2"/>
          <w:sz w:val="21"/>
          <w:szCs w:val="21"/>
          <w:highlight w:val="none"/>
          <w:u w:val="single"/>
          <w:lang w:val="en-US" w:eastAsia="zh-CN" w:bidi="ar-SA"/>
        </w:rPr>
        <w:t>建筑业</w:t>
      </w:r>
      <w:r>
        <w:rPr>
          <w:rFonts w:hint="eastAsia" w:ascii="宋体" w:hAnsi="宋体" w:eastAsia="宋体" w:cs="宋体"/>
          <w:color w:val="auto"/>
          <w:kern w:val="2"/>
          <w:sz w:val="21"/>
          <w:szCs w:val="21"/>
          <w:highlight w:val="none"/>
          <w:lang w:val="en-US" w:eastAsia="zh-CN" w:bidi="ar-SA"/>
        </w:rPr>
        <w:t>行业；建造商为</w:t>
      </w:r>
      <w:r>
        <w:rPr>
          <w:rFonts w:hint="eastAsia" w:ascii="宋体" w:hAnsi="宋体" w:eastAsia="宋体" w:cs="宋体"/>
          <w:color w:val="auto"/>
          <w:kern w:val="2"/>
          <w:sz w:val="21"/>
          <w:szCs w:val="21"/>
          <w:highlight w:val="none"/>
          <w:u w:val="single"/>
          <w:lang w:val="en-US" w:eastAsia="zh-CN" w:bidi="ar-SA"/>
        </w:rPr>
        <w:t xml:space="preserve">  （企业名称）   </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w:t>
      </w:r>
      <w:r>
        <w:rPr>
          <w:rFonts w:hint="eastAsia" w:ascii="宋体" w:hAnsi="宋体" w:eastAsia="宋体" w:cs="宋体"/>
          <w:color w:val="auto"/>
          <w:kern w:val="2"/>
          <w:sz w:val="21"/>
          <w:szCs w:val="21"/>
          <w:highlight w:val="none"/>
          <w:u w:val="single"/>
          <w:lang w:val="en-US" w:eastAsia="zh-CN" w:bidi="ar-SA"/>
        </w:rPr>
        <w:t>（中型企业、小型企业或微型企业）；</w:t>
      </w:r>
    </w:p>
    <w:p w14:paraId="119943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53A18C0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1462F2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1D4D1CBA">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20" w:firstLineChars="20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746E9F9C">
      <w:pPr>
        <w:widowControl w:val="0"/>
        <w:spacing w:line="400" w:lineRule="exact"/>
        <w:ind w:left="1120" w:hanging="112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企业名称（公章或电子签章）：</w:t>
      </w:r>
    </w:p>
    <w:p w14:paraId="3ED20E52">
      <w:pPr>
        <w:widowControl w:val="0"/>
        <w:spacing w:line="400" w:lineRule="exact"/>
        <w:ind w:left="1120" w:hanging="1120"/>
        <w:jc w:val="center"/>
        <w:rPr>
          <w:rFonts w:hint="eastAsia" w:ascii="宋体" w:hAnsi="宋体" w:eastAsia="宋体" w:cs="宋体"/>
          <w:b/>
          <w:bCs/>
          <w:color w:val="auto"/>
          <w:kern w:val="2"/>
          <w:sz w:val="21"/>
          <w:szCs w:val="28"/>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日 期：</w:t>
      </w:r>
      <w:r>
        <w:rPr>
          <w:rFonts w:hint="eastAsia" w:ascii="宋体" w:hAnsi="宋体" w:eastAsia="宋体" w:cs="宋体"/>
          <w:color w:val="auto"/>
          <w:kern w:val="2"/>
          <w:sz w:val="21"/>
          <w:szCs w:val="21"/>
          <w:highlight w:val="none"/>
          <w:u w:val="single"/>
          <w:lang w:val="en-US" w:eastAsia="zh-CN" w:bidi="ar-SA"/>
        </w:rPr>
        <w:t xml:space="preserve">      年   月   日</w:t>
      </w:r>
    </w:p>
    <w:p w14:paraId="17E1A9FF">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0A718370">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5F400796">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2C2A940F">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154C085F">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4A069BFE">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说明：</w:t>
      </w:r>
    </w:p>
    <w:p w14:paraId="06BF5F04">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1.从业人员、营业收入、资产总额填报上一年度数据，无上一年度数据的新成立公司可不填报。</w:t>
      </w:r>
    </w:p>
    <w:p w14:paraId="2F505792">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 xml:space="preserve">2.参加政府采购活动的小型、微型企业应当提供《中小企业声明函》。成交供应商的《中小企业声明函》随成交结果一并公告。 </w:t>
      </w:r>
    </w:p>
    <w:p w14:paraId="595C31B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p>
    <w:p w14:paraId="787D8728">
      <w:pPr>
        <w:pStyle w:val="13"/>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w:t>
      </w:r>
    </w:p>
    <w:p w14:paraId="5E911AFB">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中小微企业划型标准</w:t>
      </w:r>
    </w:p>
    <w:p w14:paraId="044F81DA">
      <w:pPr>
        <w:ind w:left="1871"/>
        <w:rPr>
          <w:rFonts w:hint="eastAsia" w:ascii="宋体" w:hAnsi="宋体" w:eastAsia="宋体" w:cs="宋体"/>
          <w:color w:val="auto"/>
          <w:szCs w:val="21"/>
          <w:highlight w:val="none"/>
        </w:rPr>
      </w:pPr>
    </w:p>
    <w:tbl>
      <w:tblPr>
        <w:tblStyle w:val="2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5F35986A">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A5FC8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92A360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2D9220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280E883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9E64132">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5258A63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6BECDB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3B4DDA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40D1FB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9C6AC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99BA5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F19BB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537F8B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67CE64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EC600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3D5274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06CCB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BCC0B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5D09F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1B9AF7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9B087E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975D40">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12194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E74E8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11D66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3573B8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EF542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C45655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27582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51A0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0E119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54E18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C6F6D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597BE0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F3768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88AAFB">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C40A2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22974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021C5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57118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82F1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5F48EE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EA5CB5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9A111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0A21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8C8B5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1A561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0D0DE8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D3D338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B8545D">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931BD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B2EC8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CB7EF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7723D9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398AF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2111182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7AFE4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63B39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723BE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C673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362C9CD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04F511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334B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FAC2A47">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4DF42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E5AE7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25A4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DF03B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43DFEF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8EA0D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305C5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3C48C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95F8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2415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FED78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031DC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1F20E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2C46D30">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8097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6E35D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D5C31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522A97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215D81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2611D7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7446D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35F4A5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4DC11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A24D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594AE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1ADEB4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CEEF6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C1A382C">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3FA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7724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5F2F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47751D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F47CB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0089E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34F43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1CF07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14B0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9C8D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4C145D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30C08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2910D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A9E566A">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9FF8D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709CF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C1D1D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52B51F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268A6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123684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24EA69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7D6126F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5DFAE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2D3A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B08C9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86202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89CB19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72BABAD">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904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86CD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95B3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352F2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C6F0C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59A338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8E6C4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13411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7F268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F99D3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87FD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11F62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52F1D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EC2D01">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CD63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D5CD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CA3A9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BA8EE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156F0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4C920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E7E892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60174E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B2E01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2EA4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462346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D0FE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F4867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5A762C1">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824C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D76B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887A9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09185D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130B7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FCDCD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68F713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4A514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38265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C2899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33245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EF1F2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9EB59B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593433">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2A8E3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6F90D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BB874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5FC764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328743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07B178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08D0A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1E0778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D0F91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15988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6D3EE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67E14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BDF8D3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F2B7EE7">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5FEE2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73BAE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3AED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48D9BC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27FF63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863547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E48E45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4BDAA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6E20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5024D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DEB89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251A63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B65CD4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BF77E94">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6CD7A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384B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A4879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00A836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37E4F8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24B228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819B87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342E8A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88A2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4EF48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FD23A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1128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B98506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7EAF3D">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2910F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852FA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07BC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62B2D5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251A9F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10AAF6B">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94B61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593FDA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E11B3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EAC3C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70E66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F41FB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A689F8C">
      <w:pPr>
        <w:spacing w:line="360" w:lineRule="auto"/>
        <w:ind w:firstLine="525" w:firstLineChars="250"/>
        <w:rPr>
          <w:rFonts w:hint="eastAsia" w:ascii="宋体" w:hAnsi="宋体" w:eastAsia="宋体" w:cs="宋体"/>
          <w:color w:val="auto"/>
          <w:szCs w:val="21"/>
          <w:highlight w:val="none"/>
        </w:rPr>
      </w:pPr>
    </w:p>
    <w:p w14:paraId="2F36F715">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94F4CF7">
      <w:pPr>
        <w:pStyle w:val="40"/>
        <w:rPr>
          <w:rFonts w:hint="eastAsia"/>
          <w:color w:val="auto"/>
          <w:highlight w:val="none"/>
          <w:lang w:val="en-US" w:eastAsia="zh-CN"/>
        </w:rPr>
      </w:pPr>
    </w:p>
    <w:p w14:paraId="51F5FA87">
      <w:pPr>
        <w:widowControl w:val="0"/>
        <w:spacing w:line="400" w:lineRule="exact"/>
        <w:ind w:firstLine="420" w:firstLineChars="200"/>
        <w:jc w:val="both"/>
        <w:rPr>
          <w:rFonts w:hint="eastAsia" w:ascii="宋体" w:hAnsi="宋体" w:eastAsia="宋体" w:cs="宋体"/>
          <w:bCs/>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br w:type="page"/>
      </w:r>
    </w:p>
    <w:p w14:paraId="1E9F6BFE">
      <w:pPr>
        <w:rPr>
          <w:rFonts w:hint="eastAsia" w:ascii="宋体" w:hAnsi="宋体" w:eastAsia="宋体" w:cs="宋体"/>
          <w:bCs/>
          <w:color w:val="auto"/>
          <w:sz w:val="21"/>
          <w:szCs w:val="21"/>
          <w:highlight w:val="none"/>
        </w:rPr>
      </w:pPr>
    </w:p>
    <w:p w14:paraId="512F8F7A">
      <w:pPr>
        <w:pageBreakBefore w:val="0"/>
        <w:widowControl w:val="0"/>
        <w:kinsoku/>
        <w:wordWrap/>
        <w:overflowPunct/>
        <w:topLinePunct w:val="0"/>
        <w:autoSpaceDE/>
        <w:autoSpaceDN/>
        <w:bidi w:val="0"/>
        <w:adjustRightInd/>
        <w:snapToGrid/>
        <w:spacing w:line="400" w:lineRule="exact"/>
        <w:ind w:firstLine="60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kern w:val="2"/>
          <w:sz w:val="30"/>
          <w:szCs w:val="30"/>
          <w:highlight w:val="none"/>
          <w:lang w:val="en-US" w:eastAsia="zh-CN" w:bidi="ar-SA"/>
        </w:rPr>
        <w:t>监狱企业证明文件（格式）</w:t>
      </w:r>
    </w:p>
    <w:p w14:paraId="1713022A">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p>
    <w:p w14:paraId="4EC2CD4D">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2BC4F84">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color w:val="auto"/>
          <w:kern w:val="2"/>
          <w:sz w:val="21"/>
          <w:szCs w:val="21"/>
          <w:highlight w:val="none"/>
          <w:lang w:val="en-US" w:eastAsia="zh-CN" w:bidi="ar-SA"/>
        </w:rPr>
      </w:pPr>
    </w:p>
    <w:p w14:paraId="2D8A7967">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说明：中标供应商的监狱企业证明文件随中标结果一并公告。</w:t>
      </w:r>
    </w:p>
    <w:p w14:paraId="7B8A447B">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0E10F7E9">
      <w:pPr>
        <w:widowControl w:val="0"/>
        <w:spacing w:line="400" w:lineRule="exact"/>
        <w:jc w:val="both"/>
        <w:outlineLvl w:val="9"/>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br w:type="page"/>
      </w:r>
    </w:p>
    <w:p w14:paraId="12B6241D">
      <w:pPr>
        <w:widowControl w:val="0"/>
        <w:spacing w:line="400" w:lineRule="exact"/>
        <w:ind w:left="0" w:leftChars="0" w:firstLine="0" w:firstLineChars="0"/>
        <w:jc w:val="both"/>
        <w:rPr>
          <w:rFonts w:hint="eastAsia" w:ascii="宋体" w:hAnsi="宋体" w:eastAsia="宋体" w:cs="宋体"/>
          <w:b/>
          <w:color w:val="auto"/>
          <w:kern w:val="2"/>
          <w:sz w:val="32"/>
          <w:szCs w:val="20"/>
          <w:highlight w:val="none"/>
          <w:lang w:val="en-US" w:eastAsia="zh-CN" w:bidi="ar-SA"/>
        </w:rPr>
      </w:pPr>
    </w:p>
    <w:p w14:paraId="35ED09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30"/>
          <w:szCs w:val="30"/>
          <w:highlight w:val="none"/>
          <w:lang w:val="en-US" w:eastAsia="zh-CN" w:bidi="ar-SA"/>
        </w:rPr>
      </w:pPr>
      <w:bookmarkStart w:id="269" w:name="OLE_LINK13"/>
      <w:bookmarkStart w:id="270" w:name="OLE_LINK14"/>
      <w:r>
        <w:rPr>
          <w:rFonts w:hint="eastAsia" w:ascii="宋体" w:hAnsi="宋体" w:eastAsia="宋体" w:cs="宋体"/>
          <w:b/>
          <w:color w:val="auto"/>
          <w:kern w:val="2"/>
          <w:sz w:val="30"/>
          <w:szCs w:val="30"/>
          <w:highlight w:val="none"/>
          <w:lang w:val="en-US" w:eastAsia="zh-CN" w:bidi="ar-SA"/>
        </w:rPr>
        <w:t>残疾人福利性单位声明函（格式）</w:t>
      </w:r>
    </w:p>
    <w:bookmarkEnd w:id="269"/>
    <w:bookmarkEnd w:id="270"/>
    <w:p w14:paraId="4F2002F8">
      <w:pPr>
        <w:spacing w:line="400" w:lineRule="exact"/>
        <w:rPr>
          <w:rFonts w:hint="eastAsia" w:ascii="宋体" w:hAnsi="宋体" w:eastAsia="宋体" w:cs="宋体"/>
          <w:b/>
          <w:color w:val="auto"/>
          <w:spacing w:val="6"/>
          <w:sz w:val="30"/>
          <w:szCs w:val="30"/>
          <w:highlight w:val="none"/>
        </w:rPr>
      </w:pPr>
    </w:p>
    <w:p w14:paraId="2E796DA7">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（采购人名称）     </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 xml:space="preserve">    （项目名称）     </w:t>
      </w:r>
      <w:r>
        <w:rPr>
          <w:rFonts w:hint="eastAsia" w:ascii="宋体" w:hAnsi="宋体" w:eastAsia="宋体" w:cs="宋体"/>
          <w:color w:val="auto"/>
          <w:spacing w:val="6"/>
          <w:szCs w:val="21"/>
          <w:highlight w:val="none"/>
        </w:rPr>
        <w:t>采购活动提供本单位制造的货物，或者提供其他残疾人福利性单位制造的货物（不包括使用非残疾人福利性单位注册商标的货物）。</w:t>
      </w:r>
    </w:p>
    <w:p w14:paraId="11424F12">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685254C0">
      <w:pPr>
        <w:spacing w:line="400" w:lineRule="exact"/>
        <w:ind w:firstLine="444" w:firstLineChars="200"/>
        <w:rPr>
          <w:rFonts w:hint="eastAsia" w:ascii="宋体" w:hAnsi="宋体" w:eastAsia="宋体" w:cs="宋体"/>
          <w:color w:val="auto"/>
          <w:spacing w:val="6"/>
          <w:szCs w:val="21"/>
          <w:highlight w:val="none"/>
        </w:rPr>
      </w:pPr>
    </w:p>
    <w:p w14:paraId="129E5C32">
      <w:pPr>
        <w:spacing w:line="400" w:lineRule="exact"/>
        <w:ind w:firstLine="444" w:firstLineChars="200"/>
        <w:rPr>
          <w:rFonts w:hint="eastAsia" w:ascii="宋体" w:hAnsi="宋体" w:eastAsia="宋体" w:cs="宋体"/>
          <w:color w:val="auto"/>
          <w:spacing w:val="6"/>
          <w:szCs w:val="21"/>
          <w:highlight w:val="none"/>
        </w:rPr>
      </w:pPr>
    </w:p>
    <w:p w14:paraId="4124DB32">
      <w:pPr>
        <w:widowControl w:val="0"/>
        <w:spacing w:line="400" w:lineRule="exact"/>
        <w:ind w:firstLine="2940" w:firstLineChars="14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单位名称（公章或电子签章）：</w:t>
      </w:r>
      <w:r>
        <w:rPr>
          <w:rFonts w:hint="eastAsia" w:ascii="宋体" w:hAnsi="宋体" w:eastAsia="宋体" w:cs="宋体"/>
          <w:color w:val="auto"/>
          <w:kern w:val="2"/>
          <w:sz w:val="21"/>
          <w:szCs w:val="21"/>
          <w:highlight w:val="none"/>
          <w:u w:val="single"/>
          <w:lang w:val="en-US" w:eastAsia="zh-CN" w:bidi="ar-SA"/>
        </w:rPr>
        <w:t xml:space="preserve">                                    </w:t>
      </w:r>
    </w:p>
    <w:p w14:paraId="57876C2F">
      <w:pPr>
        <w:widowControl w:val="0"/>
        <w:spacing w:line="400" w:lineRule="exact"/>
        <w:ind w:firstLine="2940" w:firstLineChars="1400"/>
        <w:jc w:val="both"/>
        <w:rPr>
          <w:rFonts w:hint="eastAsia" w:ascii="宋体" w:hAnsi="宋体" w:eastAsia="宋体" w:cs="宋体"/>
          <w:b/>
          <w:bCs/>
          <w:color w:val="auto"/>
          <w:kern w:val="2"/>
          <w:sz w:val="21"/>
          <w:szCs w:val="28"/>
          <w:highlight w:val="none"/>
          <w:lang w:val="en-US" w:eastAsia="zh-CN" w:bidi="ar-SA"/>
        </w:rPr>
      </w:pPr>
      <w:r>
        <w:rPr>
          <w:rFonts w:hint="eastAsia" w:ascii="宋体" w:hAnsi="宋体" w:eastAsia="宋体" w:cs="宋体"/>
          <w:color w:val="auto"/>
          <w:kern w:val="2"/>
          <w:sz w:val="21"/>
          <w:szCs w:val="21"/>
          <w:highlight w:val="none"/>
          <w:lang w:val="en-US" w:eastAsia="zh-CN" w:bidi="ar-SA"/>
        </w:rPr>
        <w:t>日  期：</w:t>
      </w:r>
      <w:r>
        <w:rPr>
          <w:rFonts w:hint="eastAsia" w:ascii="宋体" w:hAnsi="宋体" w:eastAsia="宋体" w:cs="宋体"/>
          <w:color w:val="auto"/>
          <w:kern w:val="2"/>
          <w:sz w:val="21"/>
          <w:szCs w:val="21"/>
          <w:highlight w:val="none"/>
          <w:u w:val="single"/>
          <w:lang w:val="en-US" w:eastAsia="zh-CN" w:bidi="ar-SA"/>
        </w:rPr>
        <w:t xml:space="preserve">      年   月   日</w:t>
      </w:r>
    </w:p>
    <w:p w14:paraId="7D92CE54">
      <w:pPr>
        <w:widowControl w:val="0"/>
        <w:spacing w:line="400" w:lineRule="exact"/>
        <w:jc w:val="both"/>
        <w:rPr>
          <w:rFonts w:hint="eastAsia" w:ascii="宋体" w:hAnsi="宋体" w:eastAsia="宋体" w:cs="宋体"/>
          <w:color w:val="auto"/>
          <w:kern w:val="2"/>
          <w:sz w:val="21"/>
          <w:szCs w:val="21"/>
          <w:highlight w:val="none"/>
          <w:u w:val="single"/>
          <w:lang w:val="en-US" w:eastAsia="zh-CN" w:bidi="ar-SA"/>
        </w:rPr>
      </w:pPr>
    </w:p>
    <w:p w14:paraId="71D9C75C">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p>
    <w:p w14:paraId="390FDA80">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p>
    <w:p w14:paraId="7F5473CF">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说明：参加政府采购活动的</w:t>
      </w:r>
      <w:r>
        <w:rPr>
          <w:rFonts w:hint="eastAsia" w:ascii="宋体" w:hAnsi="宋体" w:eastAsia="宋体" w:cs="宋体"/>
          <w:b/>
          <w:color w:val="auto"/>
          <w:highlight w:val="none"/>
        </w:rPr>
        <w:t>残疾人福利性单位</w:t>
      </w:r>
      <w:r>
        <w:rPr>
          <w:rFonts w:hint="eastAsia" w:ascii="宋体" w:hAnsi="宋体" w:eastAsia="宋体" w:cs="宋体"/>
          <w:b/>
          <w:bCs/>
          <w:color w:val="auto"/>
          <w:kern w:val="2"/>
          <w:sz w:val="21"/>
          <w:szCs w:val="20"/>
          <w:highlight w:val="none"/>
          <w:lang w:val="en-US" w:eastAsia="zh-CN" w:bidi="ar-SA"/>
        </w:rPr>
        <w:t>应当提供《</w:t>
      </w:r>
      <w:r>
        <w:rPr>
          <w:rFonts w:hint="eastAsia" w:ascii="宋体" w:hAnsi="宋体" w:eastAsia="宋体" w:cs="宋体"/>
          <w:b/>
          <w:color w:val="auto"/>
          <w:highlight w:val="none"/>
        </w:rPr>
        <w:t>残疾人福利性单位声明函</w:t>
      </w:r>
      <w:r>
        <w:rPr>
          <w:rFonts w:hint="eastAsia" w:ascii="宋体" w:hAnsi="宋体" w:eastAsia="宋体" w:cs="宋体"/>
          <w:b/>
          <w:bCs/>
          <w:color w:val="auto"/>
          <w:kern w:val="2"/>
          <w:sz w:val="21"/>
          <w:szCs w:val="20"/>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中标供应商的《残疾人福利性单位声明函》随中标结果一并公告。</w:t>
      </w:r>
      <w:r>
        <w:rPr>
          <w:rFonts w:hint="eastAsia" w:ascii="宋体" w:hAnsi="宋体" w:eastAsia="宋体" w:cs="宋体"/>
          <w:b/>
          <w:bCs/>
          <w:color w:val="auto"/>
          <w:kern w:val="2"/>
          <w:sz w:val="21"/>
          <w:szCs w:val="20"/>
          <w:highlight w:val="none"/>
          <w:lang w:val="en-US" w:eastAsia="zh-CN" w:bidi="ar-SA"/>
        </w:rPr>
        <w:t xml:space="preserve"> </w:t>
      </w:r>
    </w:p>
    <w:p w14:paraId="0B1013C8">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14:paraId="255DDC76">
      <w:pPr>
        <w:widowControl w:val="0"/>
        <w:spacing w:line="400" w:lineRule="exact"/>
        <w:ind w:left="1120" w:hanging="1120"/>
        <w:jc w:val="both"/>
        <w:rPr>
          <w:rFonts w:hint="eastAsia" w:ascii="宋体" w:hAnsi="宋体" w:eastAsia="宋体" w:cs="宋体"/>
          <w:b/>
          <w:bCs/>
          <w:color w:val="auto"/>
          <w:kern w:val="2"/>
          <w:sz w:val="21"/>
          <w:szCs w:val="20"/>
          <w:highlight w:val="none"/>
          <w:lang w:val="en-US" w:eastAsia="zh-CN" w:bidi="ar-SA"/>
        </w:rPr>
      </w:pPr>
    </w:p>
    <w:p w14:paraId="66A82F89">
      <w:pPr>
        <w:pStyle w:val="3"/>
        <w:spacing w:before="0"/>
        <w:jc w:val="center"/>
        <w:outlineLvl w:val="9"/>
        <w:rPr>
          <w:rFonts w:hint="eastAsia" w:ascii="宋体" w:hAnsi="宋体" w:eastAsia="宋体" w:cs="宋体"/>
          <w:color w:val="auto"/>
          <w:sz w:val="28"/>
          <w:szCs w:val="28"/>
          <w:highlight w:val="none"/>
        </w:rPr>
      </w:pPr>
    </w:p>
    <w:p w14:paraId="3AA0CA66">
      <w:pPr>
        <w:ind w:firstLine="560" w:firstLineChars="200"/>
        <w:jc w:val="center"/>
        <w:rPr>
          <w:rFonts w:hint="eastAsia" w:ascii="宋体" w:hAnsi="宋体" w:eastAsia="宋体" w:cs="宋体"/>
          <w:b/>
          <w:color w:val="auto"/>
          <w:kern w:val="44"/>
          <w:sz w:val="28"/>
          <w:szCs w:val="28"/>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p>
    <w:p w14:paraId="47AA0DC4">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lang w:val="en-US" w:eastAsia="zh-CN"/>
        </w:rPr>
        <w:t>第二节  报价</w:t>
      </w:r>
      <w:r>
        <w:rPr>
          <w:rFonts w:hint="eastAsia" w:ascii="宋体" w:hAnsi="宋体" w:eastAsia="宋体" w:cs="宋体"/>
          <w:b/>
          <w:color w:val="auto"/>
          <w:kern w:val="44"/>
          <w:sz w:val="28"/>
          <w:szCs w:val="28"/>
          <w:highlight w:val="none"/>
        </w:rPr>
        <w:t>文件格式</w:t>
      </w:r>
    </w:p>
    <w:p w14:paraId="24A582BD">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3059D0BD">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7571A98D">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0902FB70">
      <w:pPr>
        <w:pStyle w:val="41"/>
        <w:rPr>
          <w:rFonts w:hint="eastAsia" w:ascii="宋体" w:hAnsi="宋体" w:eastAsia="宋体" w:cs="宋体"/>
          <w:color w:val="auto"/>
          <w:highlight w:val="none"/>
        </w:rPr>
      </w:pPr>
    </w:p>
    <w:p w14:paraId="234C42EB">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14:paraId="471A61AE">
      <w:pPr>
        <w:jc w:val="both"/>
        <w:rPr>
          <w:rFonts w:hint="eastAsia" w:ascii="宋体" w:hAnsi="宋体" w:eastAsia="宋体" w:cs="宋体"/>
          <w:color w:val="auto"/>
          <w:sz w:val="28"/>
          <w:szCs w:val="28"/>
          <w:highlight w:val="none"/>
          <w:u w:val="single"/>
        </w:rPr>
      </w:pPr>
    </w:p>
    <w:p w14:paraId="2C92B55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报  价</w:t>
      </w:r>
      <w:r>
        <w:rPr>
          <w:rFonts w:hint="eastAsia" w:ascii="宋体" w:hAnsi="宋体" w:eastAsia="宋体" w:cs="宋体"/>
          <w:b/>
          <w:bCs/>
          <w:color w:val="auto"/>
          <w:sz w:val="28"/>
          <w:szCs w:val="28"/>
          <w:highlight w:val="none"/>
        </w:rPr>
        <w:t xml:space="preserve">  文  件（封面）</w:t>
      </w:r>
    </w:p>
    <w:p w14:paraId="562675CA">
      <w:pPr>
        <w:jc w:val="center"/>
        <w:rPr>
          <w:rFonts w:hint="eastAsia" w:ascii="宋体" w:hAnsi="宋体" w:eastAsia="宋体" w:cs="宋体"/>
          <w:b/>
          <w:bCs/>
          <w:color w:val="auto"/>
          <w:sz w:val="28"/>
          <w:szCs w:val="28"/>
          <w:highlight w:val="none"/>
        </w:rPr>
      </w:pPr>
    </w:p>
    <w:p w14:paraId="0D014453">
      <w:pPr>
        <w:jc w:val="center"/>
        <w:rPr>
          <w:rFonts w:hint="eastAsia" w:ascii="宋体" w:hAnsi="宋体" w:eastAsia="宋体" w:cs="宋体"/>
          <w:b/>
          <w:bCs/>
          <w:color w:val="auto"/>
          <w:sz w:val="28"/>
          <w:szCs w:val="28"/>
          <w:highlight w:val="none"/>
        </w:rPr>
      </w:pPr>
    </w:p>
    <w:p w14:paraId="4FDCB401">
      <w:pPr>
        <w:spacing w:before="312" w:beforeLines="10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14:paraId="06BC3C7E">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2E817A25">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35A8EFF2">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14:paraId="67606BC6">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14:paraId="13AF3F11">
      <w:pPr>
        <w:pStyle w:val="41"/>
        <w:rPr>
          <w:rFonts w:hint="eastAsia" w:ascii="宋体" w:hAnsi="宋体" w:eastAsia="宋体" w:cs="宋体"/>
          <w:color w:val="auto"/>
          <w:highlight w:val="none"/>
        </w:rPr>
      </w:pPr>
    </w:p>
    <w:p w14:paraId="4EF2656F">
      <w:pPr>
        <w:jc w:val="center"/>
        <w:rPr>
          <w:rFonts w:hint="eastAsia" w:ascii="宋体" w:hAnsi="宋体" w:eastAsia="宋体" w:cs="宋体"/>
          <w:b/>
          <w:bCs/>
          <w:color w:val="auto"/>
          <w:sz w:val="28"/>
          <w:szCs w:val="28"/>
          <w:highlight w:val="none"/>
        </w:rPr>
      </w:pPr>
    </w:p>
    <w:p w14:paraId="44A28434">
      <w:pPr>
        <w:rPr>
          <w:rFonts w:hint="eastAsia" w:ascii="宋体" w:hAnsi="宋体" w:eastAsia="宋体" w:cs="宋体"/>
          <w:b/>
          <w:bCs/>
          <w:color w:val="auto"/>
          <w:sz w:val="28"/>
          <w:szCs w:val="28"/>
          <w:highlight w:val="none"/>
        </w:rPr>
      </w:pPr>
    </w:p>
    <w:p w14:paraId="5AE897E7">
      <w:pPr>
        <w:jc w:val="center"/>
        <w:rPr>
          <w:rFonts w:hint="eastAsia" w:ascii="宋体" w:hAnsi="宋体" w:eastAsia="宋体" w:cs="宋体"/>
          <w:b/>
          <w:bCs/>
          <w:color w:val="auto"/>
          <w:sz w:val="28"/>
          <w:szCs w:val="28"/>
          <w:highlight w:val="none"/>
        </w:rPr>
      </w:pPr>
    </w:p>
    <w:p w14:paraId="7E35DC8B">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14:paraId="3F3A5346">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14:paraId="24960BC7">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128647D9">
      <w:pPr>
        <w:spacing w:line="336" w:lineRule="auto"/>
        <w:ind w:right="-153" w:rightChars="-73"/>
        <w:jc w:val="center"/>
        <w:rPr>
          <w:rFonts w:hint="eastAsia" w:ascii="宋体" w:hAnsi="宋体" w:eastAsia="宋体" w:cs="宋体"/>
          <w:b/>
          <w:color w:val="auto"/>
          <w:szCs w:val="21"/>
          <w:highlight w:val="none"/>
        </w:rPr>
      </w:pPr>
    </w:p>
    <w:p w14:paraId="0D38FB94">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1022BEC2">
      <w:pPr>
        <w:spacing w:line="336" w:lineRule="auto"/>
        <w:ind w:right="-153" w:rightChars="-7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14:paraId="59A2CE6C">
      <w:pPr>
        <w:pStyle w:val="13"/>
        <w:spacing w:line="390" w:lineRule="exact"/>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磋商函</w:t>
      </w:r>
      <w:r>
        <w:rPr>
          <w:rFonts w:hint="eastAsia" w:hAnsi="宋体" w:cs="宋体"/>
          <w:bCs/>
          <w:color w:val="auto"/>
          <w:sz w:val="21"/>
          <w:szCs w:val="21"/>
          <w:highlight w:val="none"/>
          <w:lang w:eastAsia="zh-CN"/>
        </w:rPr>
        <w:t>及磋商函附录</w:t>
      </w:r>
      <w:r>
        <w:rPr>
          <w:rFonts w:hint="eastAsia" w:ascii="宋体" w:hAnsi="宋体" w:eastAsia="宋体" w:cs="宋体"/>
          <w:b/>
          <w:bCs/>
          <w:color w:val="auto"/>
          <w:sz w:val="21"/>
          <w:szCs w:val="21"/>
          <w:highlight w:val="none"/>
          <w:lang w:val="en-US" w:eastAsia="zh-CN"/>
        </w:rPr>
        <w:t>（必须提供，否则响应文件按无效响应处理）</w:t>
      </w:r>
      <w:r>
        <w:rPr>
          <w:rFonts w:hint="eastAsia" w:ascii="宋体" w:hAnsi="宋体" w:eastAsia="宋体" w:cs="宋体"/>
          <w:color w:val="auto"/>
          <w:sz w:val="21"/>
          <w:szCs w:val="21"/>
          <w:highlight w:val="none"/>
          <w:lang w:eastAsia="zh-CN"/>
        </w:rPr>
        <w:t>；</w:t>
      </w:r>
    </w:p>
    <w:p w14:paraId="7D339A7A">
      <w:pPr>
        <w:pStyle w:val="13"/>
        <w:spacing w:line="390" w:lineRule="exact"/>
        <w:ind w:firstLine="0" w:firstLineChars="0"/>
        <w:rPr>
          <w:rFonts w:hint="eastAsia" w:hAnsi="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已标价工程量清单</w:t>
      </w:r>
      <w:r>
        <w:rPr>
          <w:rFonts w:hint="eastAsia" w:ascii="宋体" w:hAnsi="宋体" w:eastAsia="宋体" w:cs="宋体"/>
          <w:b/>
          <w:bCs/>
          <w:color w:val="auto"/>
          <w:sz w:val="21"/>
          <w:szCs w:val="21"/>
          <w:highlight w:val="none"/>
          <w:lang w:val="en-US" w:eastAsia="zh-CN"/>
        </w:rPr>
        <w:t>（必须提供，否则响应文件按无效响应处理）</w:t>
      </w:r>
      <w:r>
        <w:rPr>
          <w:rFonts w:hint="eastAsia" w:hAnsi="宋体" w:cs="宋体"/>
          <w:b/>
          <w:bCs/>
          <w:color w:val="auto"/>
          <w:sz w:val="21"/>
          <w:szCs w:val="21"/>
          <w:highlight w:val="none"/>
          <w:lang w:eastAsia="zh-CN"/>
        </w:rPr>
        <w:t>。</w:t>
      </w:r>
    </w:p>
    <w:p w14:paraId="0FE47105">
      <w:pPr>
        <w:spacing w:line="336" w:lineRule="auto"/>
        <w:ind w:right="-153" w:rightChars="-73"/>
        <w:jc w:val="both"/>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以上材料必须加盖供应商公章，否则响应文件按无效响应处理。</w:t>
      </w:r>
    </w:p>
    <w:p w14:paraId="40F8EAD7">
      <w:pPr>
        <w:pStyle w:val="13"/>
        <w:spacing w:line="390" w:lineRule="exact"/>
        <w:ind w:firstLine="0" w:firstLineChars="0"/>
        <w:rPr>
          <w:rFonts w:hint="eastAsia" w:hAnsi="宋体" w:cs="宋体"/>
          <w:b/>
          <w:bCs/>
          <w:color w:val="auto"/>
          <w:sz w:val="21"/>
          <w:szCs w:val="21"/>
          <w:highlight w:val="none"/>
          <w:lang w:eastAsia="zh-CN"/>
        </w:rPr>
      </w:pPr>
    </w:p>
    <w:p w14:paraId="2F724223">
      <w:pPr>
        <w:spacing w:line="336" w:lineRule="auto"/>
        <w:ind w:right="-153" w:rightChars="-73"/>
        <w:jc w:val="center"/>
        <w:rPr>
          <w:rFonts w:hint="eastAsia" w:ascii="宋体" w:hAnsi="宋体" w:eastAsia="宋体" w:cs="宋体"/>
          <w:b/>
          <w:color w:val="auto"/>
          <w:szCs w:val="21"/>
          <w:highlight w:val="none"/>
        </w:rPr>
      </w:pPr>
    </w:p>
    <w:p w14:paraId="559D2DE0">
      <w:pPr>
        <w:spacing w:line="336" w:lineRule="auto"/>
        <w:ind w:right="-153" w:rightChars="-73"/>
        <w:jc w:val="center"/>
        <w:rPr>
          <w:rFonts w:hint="eastAsia" w:ascii="宋体" w:hAnsi="宋体" w:eastAsia="宋体" w:cs="宋体"/>
          <w:b/>
          <w:color w:val="auto"/>
          <w:szCs w:val="21"/>
          <w:highlight w:val="none"/>
        </w:rPr>
      </w:pPr>
    </w:p>
    <w:p w14:paraId="2206FDA9">
      <w:pPr>
        <w:spacing w:line="336" w:lineRule="auto"/>
        <w:ind w:right="-153" w:rightChars="-73"/>
        <w:jc w:val="center"/>
        <w:rPr>
          <w:rFonts w:hint="eastAsia" w:ascii="宋体" w:hAnsi="宋体" w:eastAsia="宋体" w:cs="宋体"/>
          <w:b/>
          <w:color w:val="auto"/>
          <w:szCs w:val="21"/>
          <w:highlight w:val="none"/>
        </w:rPr>
      </w:pPr>
    </w:p>
    <w:p w14:paraId="4AEEBB8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F85EF3">
      <w:pPr>
        <w:spacing w:line="336" w:lineRule="auto"/>
        <w:ind w:right="-153" w:rightChars="-73"/>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8"/>
          <w:szCs w:val="28"/>
          <w:highlight w:val="none"/>
        </w:rPr>
        <w:t>一、磋商函</w:t>
      </w:r>
      <w:r>
        <w:rPr>
          <w:rFonts w:hint="eastAsia" w:ascii="宋体" w:hAnsi="宋体" w:cs="宋体"/>
          <w:b/>
          <w:color w:val="auto"/>
          <w:sz w:val="28"/>
          <w:szCs w:val="28"/>
          <w:highlight w:val="none"/>
          <w:lang w:eastAsia="zh-CN"/>
        </w:rPr>
        <w:t>及磋商函附录</w:t>
      </w:r>
    </w:p>
    <w:p w14:paraId="39FC844A">
      <w:pPr>
        <w:ind w:firstLine="2040" w:firstLineChars="850"/>
        <w:jc w:val="center"/>
        <w:rPr>
          <w:rFonts w:hint="eastAsia" w:ascii="宋体" w:hAnsi="宋体" w:eastAsia="宋体" w:cs="宋体"/>
          <w:b/>
          <w:color w:val="auto"/>
          <w:sz w:val="24"/>
          <w:highlight w:val="none"/>
        </w:rPr>
      </w:pPr>
    </w:p>
    <w:p w14:paraId="5880932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磋商函</w:t>
      </w:r>
    </w:p>
    <w:p w14:paraId="5E66F0EA">
      <w:pPr>
        <w:ind w:left="5250"/>
        <w:jc w:val="center"/>
        <w:rPr>
          <w:rFonts w:hint="eastAsia" w:ascii="宋体" w:hAnsi="宋体" w:eastAsia="宋体" w:cs="宋体"/>
          <w:b/>
          <w:bCs/>
          <w:color w:val="auto"/>
          <w:szCs w:val="21"/>
          <w:highlight w:val="none"/>
        </w:rPr>
      </w:pPr>
    </w:p>
    <w:p w14:paraId="798FB44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CN"/>
        </w:rPr>
        <w:t>人名称</w:t>
      </w:r>
      <w:r>
        <w:rPr>
          <w:rFonts w:hint="eastAsia" w:ascii="宋体" w:hAnsi="宋体" w:eastAsia="宋体" w:cs="宋体"/>
          <w:color w:val="auto"/>
          <w:szCs w:val="21"/>
          <w:highlight w:val="none"/>
        </w:rPr>
        <w:t>）：</w:t>
      </w:r>
    </w:p>
    <w:p w14:paraId="1F541FA9">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及项目编号</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）的磋商总报价，工期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日历天，按合同约定实施和完成承包工程，修补工程中的任何缺陷，工程质量</w:t>
      </w:r>
      <w:r>
        <w:rPr>
          <w:rFonts w:hint="eastAsia" w:ascii="宋体" w:hAnsi="宋体" w:eastAsia="宋体" w:cs="宋体"/>
          <w:color w:val="auto"/>
          <w:szCs w:val="21"/>
          <w:highlight w:val="none"/>
          <w:lang w:eastAsia="zh-CN"/>
        </w:rPr>
        <w:t>等级</w:t>
      </w:r>
      <w:r>
        <w:rPr>
          <w:rFonts w:hint="eastAsia" w:ascii="宋体" w:hAnsi="宋体" w:eastAsia="宋体" w:cs="宋体"/>
          <w:color w:val="auto"/>
          <w:szCs w:val="21"/>
          <w:highlight w:val="none"/>
        </w:rPr>
        <w:t>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5E74E1F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2、我方同意所递交的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须知前附表”第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条规定的磋商有效期内有效，在此期间内我方的磋商有可能成交，我方将受此约束。　</w:t>
      </w:r>
    </w:p>
    <w:p w14:paraId="148730E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3、我方承诺已经具备《中华人民共和国政府采购法》第二十二条中规定的参加政府采购活动的供应商应当具备的条件。</w:t>
      </w:r>
    </w:p>
    <w:p w14:paraId="225AAA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4、我方根据</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的规定，承担完成合同的责任和义务。</w:t>
      </w:r>
    </w:p>
    <w:p w14:paraId="6491E365">
      <w:pPr>
        <w:pStyle w:val="1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5、我方已详细审核</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，我方知道必须放弃提出含糊不清或误解问题的权利。</w:t>
      </w:r>
    </w:p>
    <w:p w14:paraId="4C54168D">
      <w:pPr>
        <w:pStyle w:val="1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6、如果在磋商截止时间后的磋商有效期内撤回磋商或者有其他违约行为，贵方可不退还我方的磋商保证金。</w:t>
      </w:r>
    </w:p>
    <w:p w14:paraId="2D4E296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7、同意向贵方提供贵方可能要求的与本磋商有关的任何数据或资料。</w:t>
      </w:r>
    </w:p>
    <w:p w14:paraId="13E6A0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8、我方完全理解贵方不一定要接受最低报价的</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为成交供应商。</w:t>
      </w:r>
    </w:p>
    <w:p w14:paraId="62B04B36">
      <w:pPr>
        <w:pStyle w:val="1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9.若贵方需要，我方愿意提供我方作出的一切承诺的证明材料。</w:t>
      </w:r>
    </w:p>
    <w:p w14:paraId="5B4ADD32">
      <w:pPr>
        <w:pStyle w:val="1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pacing w:val="-2"/>
          <w:szCs w:val="21"/>
          <w:highlight w:val="none"/>
        </w:rPr>
        <w:t>我方将严格遵守《中华人民共和国政府采购法》的规定，知悉作为政府采购供应商应负的法律责任。</w:t>
      </w:r>
    </w:p>
    <w:p w14:paraId="75E7A5A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highlight w:val="none"/>
        </w:rPr>
        <w:t>我方将与本磋商函一起，提交无条件保函（保证额度</w:t>
      </w:r>
      <w:r>
        <w:rPr>
          <w:rFonts w:hint="eastAsia" w:ascii="宋体" w:hAnsi="宋体" w:eastAsia="宋体" w:cs="宋体"/>
          <w:color w:val="auto"/>
          <w:highlight w:val="none"/>
          <w:u w:val="single"/>
        </w:rPr>
        <w:t xml:space="preserve">     元</w:t>
      </w:r>
      <w:r>
        <w:rPr>
          <w:rFonts w:hint="eastAsia" w:ascii="宋体" w:hAnsi="宋体" w:eastAsia="宋体" w:cs="宋体"/>
          <w:color w:val="auto"/>
          <w:highlight w:val="none"/>
        </w:rPr>
        <w:t>）或人民币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元作为</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保证金</w:t>
      </w:r>
      <w:r>
        <w:rPr>
          <w:rFonts w:hint="eastAsia" w:ascii="宋体" w:hAnsi="宋体" w:eastAsia="宋体" w:cs="宋体"/>
          <w:color w:val="auto"/>
          <w:szCs w:val="21"/>
          <w:highlight w:val="none"/>
        </w:rPr>
        <w:t>。</w:t>
      </w:r>
    </w:p>
    <w:p w14:paraId="044F0CF3">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u w:val="single"/>
        </w:rPr>
        <w:t xml:space="preserve">       （其他）        </w:t>
      </w:r>
      <w:r>
        <w:rPr>
          <w:rFonts w:hint="eastAsia" w:ascii="宋体" w:hAnsi="宋体" w:eastAsia="宋体" w:cs="宋体"/>
          <w:color w:val="auto"/>
          <w:szCs w:val="21"/>
          <w:highlight w:val="none"/>
        </w:rPr>
        <w:t>。</w:t>
      </w:r>
    </w:p>
    <w:p w14:paraId="7B992C4D">
      <w:pPr>
        <w:pStyle w:val="13"/>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与本项目磋商有关的正式通讯地址为：</w:t>
      </w:r>
    </w:p>
    <w:p w14:paraId="2D93C21F">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（公章</w:t>
      </w:r>
      <w:r>
        <w:rPr>
          <w:rFonts w:hint="eastAsia" w:ascii="宋体" w:hAnsi="宋体" w:eastAsia="宋体" w:cs="宋体"/>
          <w:b/>
          <w:bCs/>
          <w:color w:val="auto"/>
          <w:szCs w:val="21"/>
          <w:highlight w:val="none"/>
          <w:u w:val="single"/>
          <w:lang w:val="en-US" w:eastAsia="zh-CN"/>
        </w:rPr>
        <w:t>或</w:t>
      </w:r>
      <w:r>
        <w:rPr>
          <w:rFonts w:hint="eastAsia" w:ascii="宋体" w:hAnsi="宋体" w:eastAsia="宋体" w:cs="宋体"/>
          <w:b/>
          <w:bCs/>
          <w:color w:val="auto"/>
          <w:szCs w:val="21"/>
          <w:highlight w:val="none"/>
          <w:u w:val="single"/>
        </w:rPr>
        <w:t>电子</w:t>
      </w:r>
      <w:r>
        <w:rPr>
          <w:rFonts w:hint="eastAsia" w:ascii="宋体" w:hAnsi="宋体" w:eastAsia="宋体" w:cs="宋体"/>
          <w:b/>
          <w:bCs/>
          <w:color w:val="auto"/>
          <w:szCs w:val="21"/>
          <w:highlight w:val="none"/>
          <w:u w:val="single"/>
          <w:lang w:val="en-US" w:eastAsia="zh-CN"/>
        </w:rPr>
        <w:t>印</w:t>
      </w:r>
      <w:r>
        <w:rPr>
          <w:rFonts w:hint="eastAsia" w:ascii="宋体" w:hAnsi="宋体" w:eastAsia="宋体" w:cs="宋体"/>
          <w:b/>
          <w:bCs/>
          <w:color w:val="auto"/>
          <w:szCs w:val="21"/>
          <w:highlight w:val="none"/>
          <w:u w:val="single"/>
        </w:rPr>
        <w:t>章）</w:t>
      </w:r>
    </w:p>
    <w:p w14:paraId="3DAE6A63">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4B1F8431">
      <w:pPr>
        <w:pStyle w:val="13"/>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电话、电报、传真或电传：</w:t>
      </w:r>
      <w:r>
        <w:rPr>
          <w:rFonts w:hint="eastAsia" w:ascii="宋体" w:hAnsi="宋体" w:eastAsia="宋体" w:cs="宋体"/>
          <w:color w:val="auto"/>
          <w:szCs w:val="21"/>
          <w:highlight w:val="none"/>
          <w:u w:val="single"/>
        </w:rPr>
        <w:t xml:space="preserve">                     </w:t>
      </w:r>
    </w:p>
    <w:p w14:paraId="5DB39DC4">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14:paraId="4E4463E2">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2837F8B4">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rPr>
        <w:t xml:space="preserve">                                    </w:t>
      </w:r>
    </w:p>
    <w:p w14:paraId="7B6164FE">
      <w:pPr>
        <w:pStyle w:val="13"/>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b/>
          <w:bCs/>
          <w:color w:val="auto"/>
          <w:kern w:val="0"/>
          <w:szCs w:val="21"/>
          <w:highlight w:val="none"/>
        </w:rPr>
        <w:t>手写签名</w:t>
      </w:r>
      <w:r>
        <w:rPr>
          <w:rFonts w:hint="eastAsia" w:ascii="宋体" w:hAnsi="宋体" w:eastAsia="宋体" w:cs="宋体"/>
          <w:b/>
          <w:bCs/>
          <w:color w:val="auto"/>
          <w:kern w:val="0"/>
          <w:szCs w:val="21"/>
          <w:highlight w:val="none"/>
          <w:lang w:val="en-US" w:eastAsia="zh-CN"/>
        </w:rPr>
        <w:t>或</w:t>
      </w:r>
      <w:r>
        <w:rPr>
          <w:rFonts w:hint="eastAsia" w:ascii="宋体" w:hAnsi="宋体" w:eastAsia="宋体" w:cs="宋体"/>
          <w:b/>
          <w:bCs/>
          <w:color w:val="auto"/>
          <w:kern w:val="0"/>
          <w:szCs w:val="21"/>
          <w:highlight w:val="none"/>
        </w:rPr>
        <w:t>电子签名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8071FD1">
      <w:pPr>
        <w:pStyle w:val="13"/>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磋商日期：</w:t>
      </w:r>
      <w:r>
        <w:rPr>
          <w:rFonts w:hint="eastAsia" w:ascii="宋体" w:hAnsi="宋体" w:eastAsia="宋体" w:cs="宋体"/>
          <w:color w:val="auto"/>
          <w:szCs w:val="21"/>
          <w:highlight w:val="none"/>
          <w:u w:val="single"/>
        </w:rPr>
        <w:t xml:space="preserve">                                   </w:t>
      </w:r>
    </w:p>
    <w:p w14:paraId="6A4347DD">
      <w:pPr>
        <w:spacing w:line="48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p>
    <w:p w14:paraId="2445F9F0">
      <w:pPr>
        <w:spacing w:line="48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磋商函附录</w:t>
      </w:r>
    </w:p>
    <w:p w14:paraId="47DFC844">
      <w:pPr>
        <w:ind w:firstLine="514" w:firstLineChars="245"/>
        <w:rPr>
          <w:rFonts w:ascii="宋体" w:hAnsi="宋体"/>
          <w:color w:val="auto"/>
          <w:szCs w:val="21"/>
          <w:highlight w:val="none"/>
        </w:rPr>
      </w:pPr>
      <w:r>
        <w:rPr>
          <w:rFonts w:ascii="宋体" w:hAnsi="宋体"/>
          <w:color w:val="auto"/>
          <w:szCs w:val="21"/>
          <w:highlight w:val="none"/>
        </w:rPr>
        <w:t>工程名称：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bl>
      <w:tblPr>
        <w:tblStyle w:val="2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98"/>
        <w:gridCol w:w="1913"/>
        <w:gridCol w:w="2947"/>
        <w:gridCol w:w="880"/>
      </w:tblGrid>
      <w:tr w14:paraId="2809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5EE04DB">
            <w:pPr>
              <w:jc w:val="center"/>
              <w:rPr>
                <w:rFonts w:ascii="宋体" w:hAnsi="宋体"/>
                <w:color w:val="auto"/>
                <w:szCs w:val="21"/>
                <w:highlight w:val="none"/>
              </w:rPr>
            </w:pPr>
            <w:r>
              <w:rPr>
                <w:rFonts w:ascii="宋体" w:hAnsi="宋体"/>
                <w:color w:val="auto"/>
                <w:szCs w:val="21"/>
                <w:highlight w:val="none"/>
              </w:rPr>
              <w:t>序 号</w:t>
            </w:r>
          </w:p>
        </w:tc>
        <w:tc>
          <w:tcPr>
            <w:tcW w:w="2198" w:type="dxa"/>
            <w:vAlign w:val="center"/>
          </w:tcPr>
          <w:p w14:paraId="37E3DAD2">
            <w:pPr>
              <w:jc w:val="center"/>
              <w:rPr>
                <w:rFonts w:ascii="宋体" w:hAnsi="宋体"/>
                <w:color w:val="auto"/>
                <w:szCs w:val="21"/>
                <w:highlight w:val="none"/>
              </w:rPr>
            </w:pPr>
            <w:r>
              <w:rPr>
                <w:rFonts w:ascii="宋体" w:hAnsi="宋体"/>
                <w:color w:val="auto"/>
                <w:szCs w:val="21"/>
                <w:highlight w:val="none"/>
              </w:rPr>
              <w:t>条款内容</w:t>
            </w:r>
          </w:p>
        </w:tc>
        <w:tc>
          <w:tcPr>
            <w:tcW w:w="1913" w:type="dxa"/>
            <w:vAlign w:val="center"/>
          </w:tcPr>
          <w:p w14:paraId="3789D55F">
            <w:pPr>
              <w:jc w:val="center"/>
              <w:rPr>
                <w:rFonts w:ascii="宋体" w:hAnsi="宋体"/>
                <w:color w:val="auto"/>
                <w:szCs w:val="21"/>
                <w:highlight w:val="none"/>
              </w:rPr>
            </w:pPr>
            <w:r>
              <w:rPr>
                <w:rFonts w:ascii="宋体" w:hAnsi="宋体"/>
                <w:color w:val="auto"/>
                <w:szCs w:val="21"/>
                <w:highlight w:val="none"/>
              </w:rPr>
              <w:t>合同条款号</w:t>
            </w:r>
          </w:p>
        </w:tc>
        <w:tc>
          <w:tcPr>
            <w:tcW w:w="2947" w:type="dxa"/>
            <w:vAlign w:val="center"/>
          </w:tcPr>
          <w:p w14:paraId="3A28A5E9">
            <w:pPr>
              <w:jc w:val="center"/>
              <w:rPr>
                <w:rFonts w:ascii="宋体" w:hAnsi="宋体"/>
                <w:color w:val="auto"/>
                <w:szCs w:val="21"/>
                <w:highlight w:val="none"/>
              </w:rPr>
            </w:pPr>
            <w:r>
              <w:rPr>
                <w:rFonts w:ascii="宋体" w:hAnsi="宋体"/>
                <w:color w:val="auto"/>
                <w:szCs w:val="21"/>
                <w:highlight w:val="none"/>
              </w:rPr>
              <w:t>约定内容</w:t>
            </w:r>
          </w:p>
        </w:tc>
        <w:tc>
          <w:tcPr>
            <w:tcW w:w="880" w:type="dxa"/>
            <w:vAlign w:val="center"/>
          </w:tcPr>
          <w:p w14:paraId="5D2AEC8E">
            <w:pPr>
              <w:jc w:val="center"/>
              <w:rPr>
                <w:rFonts w:ascii="宋体" w:hAnsi="宋体"/>
                <w:color w:val="auto"/>
                <w:szCs w:val="21"/>
                <w:highlight w:val="none"/>
              </w:rPr>
            </w:pPr>
            <w:r>
              <w:rPr>
                <w:rFonts w:ascii="宋体" w:hAnsi="宋体"/>
                <w:color w:val="auto"/>
                <w:szCs w:val="21"/>
                <w:highlight w:val="none"/>
              </w:rPr>
              <w:t>备注</w:t>
            </w:r>
          </w:p>
        </w:tc>
      </w:tr>
      <w:tr w14:paraId="59FE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E010C6B">
            <w:pPr>
              <w:jc w:val="center"/>
              <w:rPr>
                <w:rFonts w:ascii="宋体" w:hAnsi="宋体"/>
                <w:color w:val="auto"/>
                <w:szCs w:val="21"/>
                <w:highlight w:val="none"/>
              </w:rPr>
            </w:pPr>
            <w:r>
              <w:rPr>
                <w:rFonts w:ascii="宋体" w:hAnsi="宋体"/>
                <w:color w:val="auto"/>
                <w:szCs w:val="21"/>
                <w:highlight w:val="none"/>
              </w:rPr>
              <w:t>1</w:t>
            </w:r>
          </w:p>
        </w:tc>
        <w:tc>
          <w:tcPr>
            <w:tcW w:w="2198" w:type="dxa"/>
            <w:vAlign w:val="center"/>
          </w:tcPr>
          <w:p w14:paraId="0616E855">
            <w:pPr>
              <w:jc w:val="center"/>
              <w:rPr>
                <w:rFonts w:ascii="宋体" w:hAnsi="宋体"/>
                <w:color w:val="auto"/>
                <w:szCs w:val="21"/>
                <w:highlight w:val="none"/>
              </w:rPr>
            </w:pPr>
            <w:r>
              <w:rPr>
                <w:rFonts w:ascii="宋体" w:hAnsi="宋体"/>
                <w:color w:val="auto"/>
                <w:szCs w:val="21"/>
                <w:highlight w:val="none"/>
              </w:rPr>
              <w:t>项目经理</w:t>
            </w:r>
          </w:p>
        </w:tc>
        <w:tc>
          <w:tcPr>
            <w:tcW w:w="1913" w:type="dxa"/>
            <w:tcMar>
              <w:left w:w="170" w:type="dxa"/>
            </w:tcMar>
            <w:vAlign w:val="center"/>
          </w:tcPr>
          <w:p w14:paraId="22C04707">
            <w:pPr>
              <w:jc w:val="center"/>
              <w:rPr>
                <w:rFonts w:ascii="宋体" w:hAnsi="宋体"/>
                <w:color w:val="auto"/>
                <w:szCs w:val="21"/>
                <w:highlight w:val="none"/>
              </w:rPr>
            </w:pPr>
            <w:r>
              <w:rPr>
                <w:rFonts w:hint="eastAsia" w:ascii="宋体" w:hAnsi="宋体"/>
                <w:color w:val="auto"/>
                <w:szCs w:val="21"/>
                <w:highlight w:val="none"/>
              </w:rPr>
              <w:t>专用条款</w:t>
            </w:r>
          </w:p>
        </w:tc>
        <w:tc>
          <w:tcPr>
            <w:tcW w:w="2947" w:type="dxa"/>
            <w:vAlign w:val="center"/>
          </w:tcPr>
          <w:p w14:paraId="43B7D96D">
            <w:pPr>
              <w:ind w:firstLine="525" w:firstLineChars="250"/>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880" w:type="dxa"/>
            <w:vAlign w:val="center"/>
          </w:tcPr>
          <w:p w14:paraId="62FD7542">
            <w:pPr>
              <w:jc w:val="center"/>
              <w:rPr>
                <w:rFonts w:ascii="宋体" w:hAnsi="宋体"/>
                <w:color w:val="auto"/>
                <w:szCs w:val="21"/>
                <w:highlight w:val="none"/>
              </w:rPr>
            </w:pPr>
          </w:p>
        </w:tc>
      </w:tr>
      <w:tr w14:paraId="376C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2C4F8F4">
            <w:pPr>
              <w:jc w:val="center"/>
              <w:rPr>
                <w:rFonts w:ascii="宋体" w:hAnsi="宋体"/>
                <w:color w:val="auto"/>
                <w:szCs w:val="21"/>
                <w:highlight w:val="none"/>
              </w:rPr>
            </w:pPr>
            <w:r>
              <w:rPr>
                <w:rFonts w:hint="eastAsia" w:ascii="宋体" w:hAnsi="宋体"/>
                <w:color w:val="auto"/>
                <w:szCs w:val="21"/>
                <w:highlight w:val="none"/>
              </w:rPr>
              <w:t>2</w:t>
            </w:r>
          </w:p>
        </w:tc>
        <w:tc>
          <w:tcPr>
            <w:tcW w:w="2198" w:type="dxa"/>
            <w:vAlign w:val="center"/>
          </w:tcPr>
          <w:p w14:paraId="13271ADC">
            <w:pPr>
              <w:jc w:val="center"/>
              <w:rPr>
                <w:rFonts w:ascii="宋体" w:hAnsi="宋体"/>
                <w:color w:val="auto"/>
                <w:szCs w:val="21"/>
                <w:highlight w:val="none"/>
              </w:rPr>
            </w:pPr>
            <w:r>
              <w:rPr>
                <w:rFonts w:hint="eastAsia" w:ascii="宋体" w:hAnsi="宋体"/>
                <w:color w:val="auto"/>
                <w:szCs w:val="21"/>
                <w:highlight w:val="none"/>
              </w:rPr>
              <w:t>投标有效期</w:t>
            </w:r>
          </w:p>
        </w:tc>
        <w:tc>
          <w:tcPr>
            <w:tcW w:w="1913" w:type="dxa"/>
            <w:tcMar>
              <w:left w:w="170" w:type="dxa"/>
            </w:tcMar>
            <w:vAlign w:val="center"/>
          </w:tcPr>
          <w:p w14:paraId="303E99B4">
            <w:pPr>
              <w:rPr>
                <w:rFonts w:ascii="宋体" w:hAnsi="宋体"/>
                <w:color w:val="auto"/>
                <w:szCs w:val="21"/>
                <w:highlight w:val="none"/>
              </w:rPr>
            </w:pPr>
          </w:p>
        </w:tc>
        <w:tc>
          <w:tcPr>
            <w:tcW w:w="2947" w:type="dxa"/>
            <w:vAlign w:val="center"/>
          </w:tcPr>
          <w:p w14:paraId="5BCD9B8C">
            <w:pPr>
              <w:jc w:val="center"/>
              <w:rPr>
                <w:rFonts w:ascii="宋体" w:hAnsi="宋体"/>
                <w:color w:val="auto"/>
                <w:szCs w:val="21"/>
                <w:highlight w:val="none"/>
                <w:u w:val="single"/>
              </w:rPr>
            </w:pPr>
            <w:r>
              <w:rPr>
                <w:rFonts w:ascii="宋体" w:hAnsi="宋体"/>
                <w:color w:val="auto"/>
                <w:szCs w:val="21"/>
                <w:highlight w:val="none"/>
                <w:u w:val="single"/>
              </w:rPr>
              <w:t xml:space="preserve">          </w:t>
            </w:r>
            <w:r>
              <w:rPr>
                <w:rFonts w:ascii="宋体" w:hAnsi="宋体"/>
                <w:color w:val="auto"/>
                <w:szCs w:val="21"/>
                <w:highlight w:val="none"/>
              </w:rPr>
              <w:t>日历天</w:t>
            </w:r>
          </w:p>
        </w:tc>
        <w:tc>
          <w:tcPr>
            <w:tcW w:w="880" w:type="dxa"/>
            <w:vAlign w:val="center"/>
          </w:tcPr>
          <w:p w14:paraId="51C61182">
            <w:pPr>
              <w:jc w:val="center"/>
              <w:rPr>
                <w:rFonts w:ascii="宋体" w:hAnsi="宋体"/>
                <w:color w:val="auto"/>
                <w:szCs w:val="21"/>
                <w:highlight w:val="none"/>
              </w:rPr>
            </w:pPr>
          </w:p>
        </w:tc>
      </w:tr>
      <w:tr w14:paraId="72B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F65A473">
            <w:pPr>
              <w:jc w:val="center"/>
              <w:rPr>
                <w:rFonts w:ascii="宋体" w:hAnsi="宋体"/>
                <w:color w:val="auto"/>
                <w:szCs w:val="21"/>
                <w:highlight w:val="none"/>
              </w:rPr>
            </w:pPr>
            <w:r>
              <w:rPr>
                <w:rFonts w:ascii="宋体" w:hAnsi="宋体"/>
                <w:color w:val="auto"/>
                <w:szCs w:val="21"/>
                <w:highlight w:val="none"/>
              </w:rPr>
              <w:t>3</w:t>
            </w:r>
          </w:p>
        </w:tc>
        <w:tc>
          <w:tcPr>
            <w:tcW w:w="2198" w:type="dxa"/>
            <w:vAlign w:val="center"/>
          </w:tcPr>
          <w:p w14:paraId="5B030D19">
            <w:pPr>
              <w:jc w:val="center"/>
              <w:rPr>
                <w:rFonts w:ascii="宋体" w:hAnsi="宋体"/>
                <w:color w:val="auto"/>
                <w:szCs w:val="21"/>
                <w:highlight w:val="none"/>
              </w:rPr>
            </w:pPr>
            <w:r>
              <w:rPr>
                <w:rFonts w:ascii="宋体" w:hAnsi="宋体"/>
                <w:color w:val="auto"/>
                <w:szCs w:val="21"/>
                <w:highlight w:val="none"/>
              </w:rPr>
              <w:t>工期</w:t>
            </w:r>
          </w:p>
        </w:tc>
        <w:tc>
          <w:tcPr>
            <w:tcW w:w="1913" w:type="dxa"/>
            <w:tcMar>
              <w:left w:w="170" w:type="dxa"/>
            </w:tcMar>
            <w:vAlign w:val="center"/>
          </w:tcPr>
          <w:p w14:paraId="2FD63C80">
            <w:pPr>
              <w:jc w:val="center"/>
              <w:rPr>
                <w:rFonts w:ascii="宋体" w:hAnsi="宋体"/>
                <w:color w:val="auto"/>
                <w:highlight w:val="none"/>
              </w:rPr>
            </w:pPr>
            <w:r>
              <w:rPr>
                <w:rFonts w:hint="eastAsia" w:ascii="宋体" w:hAnsi="宋体"/>
                <w:color w:val="auto"/>
                <w:szCs w:val="21"/>
                <w:highlight w:val="none"/>
              </w:rPr>
              <w:t>专用条款</w:t>
            </w:r>
          </w:p>
        </w:tc>
        <w:tc>
          <w:tcPr>
            <w:tcW w:w="2947" w:type="dxa"/>
            <w:vAlign w:val="center"/>
          </w:tcPr>
          <w:p w14:paraId="0EAE082C">
            <w:pPr>
              <w:jc w:val="center"/>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日历天</w:t>
            </w:r>
          </w:p>
        </w:tc>
        <w:tc>
          <w:tcPr>
            <w:tcW w:w="880" w:type="dxa"/>
            <w:vAlign w:val="center"/>
          </w:tcPr>
          <w:p w14:paraId="5CF1263C">
            <w:pPr>
              <w:jc w:val="center"/>
              <w:rPr>
                <w:rFonts w:ascii="宋体" w:hAnsi="宋体"/>
                <w:color w:val="auto"/>
                <w:szCs w:val="21"/>
                <w:highlight w:val="none"/>
              </w:rPr>
            </w:pPr>
          </w:p>
        </w:tc>
      </w:tr>
      <w:tr w14:paraId="0B7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C5A0FD3">
            <w:pPr>
              <w:jc w:val="center"/>
              <w:rPr>
                <w:rFonts w:ascii="宋体" w:hAnsi="宋体"/>
                <w:color w:val="auto"/>
                <w:szCs w:val="21"/>
                <w:highlight w:val="none"/>
              </w:rPr>
            </w:pPr>
            <w:r>
              <w:rPr>
                <w:rFonts w:ascii="宋体" w:hAnsi="宋体"/>
                <w:color w:val="auto"/>
                <w:szCs w:val="21"/>
                <w:highlight w:val="none"/>
              </w:rPr>
              <w:t>4</w:t>
            </w:r>
          </w:p>
        </w:tc>
        <w:tc>
          <w:tcPr>
            <w:tcW w:w="2198" w:type="dxa"/>
            <w:vAlign w:val="center"/>
          </w:tcPr>
          <w:p w14:paraId="40029911">
            <w:pPr>
              <w:jc w:val="center"/>
              <w:rPr>
                <w:rFonts w:ascii="宋体" w:hAnsi="宋体"/>
                <w:color w:val="auto"/>
                <w:szCs w:val="21"/>
                <w:highlight w:val="none"/>
              </w:rPr>
            </w:pPr>
            <w:r>
              <w:rPr>
                <w:rFonts w:ascii="宋体" w:hAnsi="宋体"/>
                <w:color w:val="auto"/>
                <w:szCs w:val="21"/>
                <w:highlight w:val="none"/>
              </w:rPr>
              <w:t>缺陷责任期</w:t>
            </w:r>
          </w:p>
        </w:tc>
        <w:tc>
          <w:tcPr>
            <w:tcW w:w="1913" w:type="dxa"/>
            <w:tcMar>
              <w:left w:w="170" w:type="dxa"/>
            </w:tcMar>
            <w:vAlign w:val="center"/>
          </w:tcPr>
          <w:p w14:paraId="68773F44">
            <w:pPr>
              <w:jc w:val="center"/>
              <w:rPr>
                <w:rFonts w:ascii="宋体" w:hAnsi="宋体"/>
                <w:color w:val="auto"/>
                <w:highlight w:val="none"/>
              </w:rPr>
            </w:pPr>
            <w:r>
              <w:rPr>
                <w:rFonts w:hint="eastAsia" w:ascii="宋体" w:hAnsi="宋体"/>
                <w:color w:val="auto"/>
                <w:szCs w:val="21"/>
                <w:highlight w:val="none"/>
              </w:rPr>
              <w:t>专用条款</w:t>
            </w:r>
          </w:p>
        </w:tc>
        <w:tc>
          <w:tcPr>
            <w:tcW w:w="2947" w:type="dxa"/>
            <w:vAlign w:val="center"/>
          </w:tcPr>
          <w:p w14:paraId="4CA5C0E8">
            <w:pPr>
              <w:spacing w:line="360" w:lineRule="auto"/>
              <w:ind w:firstLine="525" w:firstLineChars="250"/>
              <w:rPr>
                <w:rFonts w:hint="eastAsia" w:ascii="宋体" w:hAnsi="宋体" w:eastAsia="宋体"/>
                <w:color w:val="auto"/>
                <w:szCs w:val="21"/>
                <w:highlight w:val="none"/>
                <w:lang w:eastAsia="zh-CN"/>
              </w:rPr>
            </w:pP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年</w:t>
            </w:r>
          </w:p>
        </w:tc>
        <w:tc>
          <w:tcPr>
            <w:tcW w:w="880" w:type="dxa"/>
            <w:vAlign w:val="center"/>
          </w:tcPr>
          <w:p w14:paraId="312DF6CC">
            <w:pPr>
              <w:jc w:val="center"/>
              <w:rPr>
                <w:rFonts w:ascii="宋体" w:hAnsi="宋体"/>
                <w:color w:val="auto"/>
                <w:szCs w:val="21"/>
                <w:highlight w:val="none"/>
              </w:rPr>
            </w:pPr>
          </w:p>
        </w:tc>
      </w:tr>
      <w:tr w14:paraId="0B2E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92" w:type="dxa"/>
            <w:vAlign w:val="center"/>
          </w:tcPr>
          <w:p w14:paraId="34FFB4B8">
            <w:pPr>
              <w:jc w:val="center"/>
              <w:rPr>
                <w:rFonts w:hint="eastAsia" w:ascii="宋体" w:hAnsi="宋体"/>
                <w:color w:val="auto"/>
                <w:szCs w:val="21"/>
                <w:highlight w:val="none"/>
              </w:rPr>
            </w:pPr>
            <w:r>
              <w:rPr>
                <w:rFonts w:hint="eastAsia" w:ascii="宋体" w:hAnsi="宋体"/>
                <w:color w:val="auto"/>
                <w:szCs w:val="21"/>
                <w:highlight w:val="none"/>
              </w:rPr>
              <w:t>5</w:t>
            </w:r>
          </w:p>
        </w:tc>
        <w:tc>
          <w:tcPr>
            <w:tcW w:w="2198" w:type="dxa"/>
            <w:vAlign w:val="center"/>
          </w:tcPr>
          <w:p w14:paraId="68553C5B">
            <w:pPr>
              <w:jc w:val="center"/>
              <w:rPr>
                <w:rFonts w:ascii="宋体" w:hAnsi="宋体"/>
                <w:color w:val="auto"/>
                <w:szCs w:val="21"/>
                <w:highlight w:val="none"/>
              </w:rPr>
            </w:pPr>
            <w:r>
              <w:rPr>
                <w:rFonts w:ascii="宋体" w:hAnsi="宋体"/>
                <w:color w:val="auto"/>
                <w:szCs w:val="21"/>
                <w:highlight w:val="none"/>
              </w:rPr>
              <w:t>逾期竣工违约金</w:t>
            </w:r>
          </w:p>
        </w:tc>
        <w:tc>
          <w:tcPr>
            <w:tcW w:w="1913" w:type="dxa"/>
            <w:tcMar>
              <w:left w:w="170" w:type="dxa"/>
            </w:tcMar>
            <w:vAlign w:val="center"/>
          </w:tcPr>
          <w:p w14:paraId="15EFF11D">
            <w:pPr>
              <w:jc w:val="center"/>
              <w:rPr>
                <w:rFonts w:ascii="宋体" w:hAnsi="宋体"/>
                <w:color w:val="auto"/>
                <w:highlight w:val="none"/>
              </w:rPr>
            </w:pPr>
            <w:r>
              <w:rPr>
                <w:rFonts w:hint="eastAsia" w:ascii="宋体" w:hAnsi="宋体"/>
                <w:color w:val="auto"/>
                <w:szCs w:val="21"/>
                <w:highlight w:val="none"/>
              </w:rPr>
              <w:t>专用条款</w:t>
            </w:r>
          </w:p>
        </w:tc>
        <w:tc>
          <w:tcPr>
            <w:tcW w:w="2947" w:type="dxa"/>
            <w:vAlign w:val="center"/>
          </w:tcPr>
          <w:p w14:paraId="443247F7">
            <w:pPr>
              <w:spacing w:line="360" w:lineRule="exact"/>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元</w:t>
            </w:r>
            <w:r>
              <w:rPr>
                <w:rFonts w:hint="eastAsia" w:ascii="宋体" w:hAnsi="宋体"/>
                <w:color w:val="auto"/>
                <w:szCs w:val="21"/>
                <w:highlight w:val="none"/>
              </w:rPr>
              <w:t>/</w:t>
            </w:r>
            <w:r>
              <w:rPr>
                <w:rFonts w:ascii="宋体" w:hAnsi="宋体"/>
                <w:color w:val="auto"/>
                <w:szCs w:val="21"/>
                <w:highlight w:val="none"/>
              </w:rPr>
              <w:t>天</w:t>
            </w:r>
          </w:p>
        </w:tc>
        <w:tc>
          <w:tcPr>
            <w:tcW w:w="880" w:type="dxa"/>
            <w:vAlign w:val="center"/>
          </w:tcPr>
          <w:p w14:paraId="58252789">
            <w:pPr>
              <w:jc w:val="center"/>
              <w:rPr>
                <w:rFonts w:ascii="宋体" w:hAnsi="宋体"/>
                <w:color w:val="auto"/>
                <w:szCs w:val="21"/>
                <w:highlight w:val="none"/>
              </w:rPr>
            </w:pPr>
          </w:p>
        </w:tc>
      </w:tr>
      <w:tr w14:paraId="72A3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F455748">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2198" w:type="dxa"/>
            <w:vAlign w:val="center"/>
          </w:tcPr>
          <w:p w14:paraId="2A553A9E">
            <w:pPr>
              <w:jc w:val="center"/>
              <w:rPr>
                <w:rFonts w:ascii="宋体" w:hAnsi="宋体"/>
                <w:color w:val="auto"/>
                <w:szCs w:val="21"/>
                <w:highlight w:val="none"/>
              </w:rPr>
            </w:pPr>
            <w:r>
              <w:rPr>
                <w:rFonts w:ascii="宋体" w:hAnsi="宋体"/>
                <w:color w:val="auto"/>
                <w:szCs w:val="21"/>
                <w:highlight w:val="none"/>
              </w:rPr>
              <w:t>质量标准</w:t>
            </w:r>
          </w:p>
        </w:tc>
        <w:tc>
          <w:tcPr>
            <w:tcW w:w="1913" w:type="dxa"/>
            <w:tcMar>
              <w:left w:w="170" w:type="dxa"/>
            </w:tcMar>
            <w:vAlign w:val="center"/>
          </w:tcPr>
          <w:p w14:paraId="0687E420">
            <w:pPr>
              <w:jc w:val="center"/>
              <w:rPr>
                <w:rFonts w:ascii="宋体" w:hAnsi="宋体"/>
                <w:color w:val="auto"/>
                <w:highlight w:val="none"/>
              </w:rPr>
            </w:pPr>
            <w:r>
              <w:rPr>
                <w:rFonts w:hint="eastAsia" w:ascii="宋体" w:hAnsi="宋体"/>
                <w:color w:val="auto"/>
                <w:szCs w:val="21"/>
                <w:highlight w:val="none"/>
              </w:rPr>
              <w:t>专用条款</w:t>
            </w:r>
          </w:p>
        </w:tc>
        <w:tc>
          <w:tcPr>
            <w:tcW w:w="2947" w:type="dxa"/>
            <w:vAlign w:val="center"/>
          </w:tcPr>
          <w:p w14:paraId="7370AF95">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c>
          <w:tcPr>
            <w:tcW w:w="880" w:type="dxa"/>
            <w:vAlign w:val="center"/>
          </w:tcPr>
          <w:p w14:paraId="4086FA26">
            <w:pPr>
              <w:jc w:val="center"/>
              <w:rPr>
                <w:rFonts w:ascii="宋体" w:hAnsi="宋体"/>
                <w:color w:val="auto"/>
                <w:szCs w:val="21"/>
                <w:highlight w:val="none"/>
              </w:rPr>
            </w:pPr>
          </w:p>
        </w:tc>
      </w:tr>
      <w:tr w14:paraId="5A3E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6CABDAD">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198" w:type="dxa"/>
            <w:vAlign w:val="center"/>
          </w:tcPr>
          <w:p w14:paraId="1D85F119">
            <w:pPr>
              <w:jc w:val="center"/>
              <w:rPr>
                <w:rFonts w:ascii="宋体" w:hAnsi="宋体"/>
                <w:color w:val="auto"/>
                <w:szCs w:val="21"/>
                <w:highlight w:val="none"/>
              </w:rPr>
            </w:pPr>
            <w:r>
              <w:rPr>
                <w:rFonts w:ascii="宋体" w:hAnsi="宋体"/>
                <w:color w:val="auto"/>
                <w:szCs w:val="21"/>
                <w:highlight w:val="none"/>
              </w:rPr>
              <w:t>质量保证金额度</w:t>
            </w:r>
          </w:p>
        </w:tc>
        <w:tc>
          <w:tcPr>
            <w:tcW w:w="1913" w:type="dxa"/>
            <w:tcMar>
              <w:left w:w="170" w:type="dxa"/>
            </w:tcMar>
            <w:vAlign w:val="center"/>
          </w:tcPr>
          <w:p w14:paraId="48EF7126">
            <w:pPr>
              <w:jc w:val="center"/>
              <w:rPr>
                <w:rFonts w:ascii="宋体" w:hAnsi="宋体"/>
                <w:color w:val="auto"/>
                <w:highlight w:val="none"/>
              </w:rPr>
            </w:pPr>
            <w:r>
              <w:rPr>
                <w:rFonts w:hint="eastAsia" w:ascii="宋体" w:hAnsi="宋体"/>
                <w:color w:val="auto"/>
                <w:szCs w:val="21"/>
                <w:highlight w:val="none"/>
              </w:rPr>
              <w:t>专用条款</w:t>
            </w:r>
          </w:p>
        </w:tc>
        <w:tc>
          <w:tcPr>
            <w:tcW w:w="2947" w:type="dxa"/>
            <w:vAlign w:val="center"/>
          </w:tcPr>
          <w:p w14:paraId="7280920F">
            <w:pPr>
              <w:jc w:val="center"/>
              <w:rPr>
                <w:rFonts w:ascii="宋体" w:hAnsi="宋体"/>
                <w:color w:val="auto"/>
                <w:szCs w:val="21"/>
                <w:highlight w:val="none"/>
              </w:rPr>
            </w:pPr>
            <w:r>
              <w:rPr>
                <w:rFonts w:hint="eastAsia" w:ascii="宋体" w:hAnsi="宋体"/>
                <w:color w:val="auto"/>
                <w:szCs w:val="21"/>
                <w:highlight w:val="none"/>
              </w:rPr>
              <w:t>结算价的</w:t>
            </w:r>
            <w:r>
              <w:rPr>
                <w:rFonts w:hint="eastAsia" w:ascii="宋体" w:hAnsi="宋体"/>
                <w:b/>
                <w:color w:val="auto"/>
                <w:szCs w:val="21"/>
                <w:highlight w:val="none"/>
                <w:u w:val="single"/>
              </w:rPr>
              <w:t xml:space="preserve">     </w:t>
            </w:r>
            <w:r>
              <w:rPr>
                <w:rFonts w:hint="eastAsia"/>
                <w:b/>
                <w:color w:val="auto"/>
                <w:szCs w:val="21"/>
                <w:highlight w:val="none"/>
              </w:rPr>
              <w:t>%</w:t>
            </w:r>
            <w:r>
              <w:rPr>
                <w:rFonts w:hint="eastAsia" w:ascii="宋体" w:hAnsi="宋体"/>
                <w:color w:val="auto"/>
                <w:szCs w:val="21"/>
                <w:highlight w:val="none"/>
              </w:rPr>
              <w:t xml:space="preserve"> </w:t>
            </w:r>
          </w:p>
        </w:tc>
        <w:tc>
          <w:tcPr>
            <w:tcW w:w="880" w:type="dxa"/>
            <w:vAlign w:val="center"/>
          </w:tcPr>
          <w:p w14:paraId="19D9852D">
            <w:pPr>
              <w:jc w:val="center"/>
              <w:rPr>
                <w:rFonts w:ascii="宋体" w:hAnsi="宋体"/>
                <w:color w:val="auto"/>
                <w:szCs w:val="21"/>
                <w:highlight w:val="none"/>
              </w:rPr>
            </w:pPr>
          </w:p>
        </w:tc>
      </w:tr>
      <w:tr w14:paraId="1942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2F6DF16">
            <w:pPr>
              <w:jc w:val="center"/>
              <w:rPr>
                <w:rFonts w:ascii="宋体" w:hAnsi="宋体"/>
                <w:color w:val="auto"/>
                <w:szCs w:val="21"/>
                <w:highlight w:val="none"/>
              </w:rPr>
            </w:pPr>
            <w:r>
              <w:rPr>
                <w:rFonts w:ascii="宋体" w:hAnsi="宋体"/>
                <w:color w:val="auto"/>
                <w:szCs w:val="21"/>
                <w:highlight w:val="none"/>
              </w:rPr>
              <w:t>……</w:t>
            </w:r>
          </w:p>
        </w:tc>
        <w:tc>
          <w:tcPr>
            <w:tcW w:w="2198" w:type="dxa"/>
            <w:vAlign w:val="center"/>
          </w:tcPr>
          <w:p w14:paraId="7C7B4BAB">
            <w:pPr>
              <w:jc w:val="center"/>
              <w:rPr>
                <w:rFonts w:ascii="宋体" w:hAnsi="宋体"/>
                <w:color w:val="auto"/>
                <w:szCs w:val="21"/>
                <w:highlight w:val="none"/>
              </w:rPr>
            </w:pPr>
            <w:r>
              <w:rPr>
                <w:rFonts w:ascii="宋体" w:hAnsi="宋体"/>
                <w:color w:val="auto"/>
                <w:szCs w:val="21"/>
                <w:highlight w:val="none"/>
              </w:rPr>
              <w:t>……</w:t>
            </w:r>
          </w:p>
        </w:tc>
        <w:tc>
          <w:tcPr>
            <w:tcW w:w="1913" w:type="dxa"/>
            <w:tcMar>
              <w:left w:w="170" w:type="dxa"/>
            </w:tcMar>
            <w:vAlign w:val="center"/>
          </w:tcPr>
          <w:p w14:paraId="0BC2CFF1">
            <w:pPr>
              <w:rPr>
                <w:rFonts w:ascii="宋体" w:hAnsi="宋体"/>
                <w:color w:val="auto"/>
                <w:szCs w:val="21"/>
                <w:highlight w:val="none"/>
              </w:rPr>
            </w:pPr>
          </w:p>
        </w:tc>
        <w:tc>
          <w:tcPr>
            <w:tcW w:w="2947" w:type="dxa"/>
            <w:vAlign w:val="center"/>
          </w:tcPr>
          <w:p w14:paraId="68317C9C">
            <w:pPr>
              <w:jc w:val="center"/>
              <w:rPr>
                <w:rFonts w:ascii="宋体" w:hAnsi="宋体"/>
                <w:color w:val="auto"/>
                <w:szCs w:val="21"/>
                <w:highlight w:val="none"/>
              </w:rPr>
            </w:pPr>
          </w:p>
        </w:tc>
        <w:tc>
          <w:tcPr>
            <w:tcW w:w="880" w:type="dxa"/>
            <w:vAlign w:val="center"/>
          </w:tcPr>
          <w:p w14:paraId="35E493C8">
            <w:pPr>
              <w:jc w:val="center"/>
              <w:rPr>
                <w:rFonts w:ascii="宋体" w:hAnsi="宋体"/>
                <w:color w:val="auto"/>
                <w:szCs w:val="21"/>
                <w:highlight w:val="none"/>
              </w:rPr>
            </w:pPr>
          </w:p>
        </w:tc>
      </w:tr>
      <w:tr w14:paraId="53DD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30" w:type="dxa"/>
            <w:gridSpan w:val="5"/>
            <w:vAlign w:val="center"/>
          </w:tcPr>
          <w:p w14:paraId="27C47312">
            <w:pPr>
              <w:rPr>
                <w:rFonts w:ascii="宋体" w:hAnsi="宋体"/>
                <w:color w:val="auto"/>
                <w:szCs w:val="21"/>
                <w:highlight w:val="none"/>
              </w:rPr>
            </w:pPr>
            <w:r>
              <w:rPr>
                <w:rFonts w:ascii="宋体" w:hAnsi="宋体"/>
                <w:color w:val="auto"/>
                <w:szCs w:val="21"/>
                <w:highlight w:val="none"/>
              </w:rPr>
              <w:t>备注：投标人在响应招标文件中规定的实质性要求和条件的基础上，可做出其他有利于招标人的承诺。此类承诺可在本表中予以补充填写。</w:t>
            </w:r>
          </w:p>
        </w:tc>
      </w:tr>
    </w:tbl>
    <w:p w14:paraId="45CEB883">
      <w:pPr>
        <w:pStyle w:val="40"/>
        <w:rPr>
          <w:rFonts w:hint="eastAsia"/>
          <w:color w:val="auto"/>
          <w:highlight w:val="none"/>
          <w:lang w:eastAsia="zh-CN"/>
        </w:rPr>
      </w:pPr>
    </w:p>
    <w:p w14:paraId="59CD00EF">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w:t>
      </w:r>
      <w:r>
        <w:rPr>
          <w:rFonts w:hint="eastAsia" w:ascii="宋体" w:hAnsi="宋体" w:cs="宋体"/>
          <w:color w:val="auto"/>
          <w:szCs w:val="21"/>
          <w:highlight w:val="none"/>
          <w:lang w:val="en-US" w:eastAsia="zh-CN"/>
        </w:rPr>
        <w:t>印</w:t>
      </w:r>
      <w:r>
        <w:rPr>
          <w:rFonts w:hint="eastAsia" w:ascii="宋体" w:hAnsi="宋体" w:eastAsia="宋体" w:cs="宋体"/>
          <w:color w:val="auto"/>
          <w:szCs w:val="21"/>
          <w:highlight w:val="none"/>
        </w:rPr>
        <w:t>章）</w:t>
      </w:r>
    </w:p>
    <w:p w14:paraId="734A5C6C">
      <w:pPr>
        <w:spacing w:line="48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（手写签名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电子签名） </w:t>
      </w:r>
    </w:p>
    <w:p w14:paraId="2356EA2C">
      <w:pPr>
        <w:rPr>
          <w:rFonts w:hint="eastAsia" w:ascii="宋体" w:hAnsi="宋体" w:cs="宋体"/>
          <w:b/>
          <w:color w:val="auto"/>
          <w:sz w:val="28"/>
          <w:szCs w:val="28"/>
          <w:highlight w:val="none"/>
          <w:lang w:val="en-US" w:eastAsia="zh-CN"/>
        </w:rPr>
      </w:pPr>
      <w:r>
        <w:rPr>
          <w:rFonts w:hint="eastAsia" w:ascii="宋体" w:hAnsi="宋体" w:eastAsia="宋体" w:cs="宋体"/>
          <w:color w:val="auto"/>
          <w:szCs w:val="21"/>
          <w:highlight w:val="none"/>
          <w:u w:val="none"/>
          <w:lang w:eastAsia="zh-CN"/>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cs="宋体"/>
          <w:b/>
          <w:color w:val="auto"/>
          <w:sz w:val="28"/>
          <w:szCs w:val="28"/>
          <w:highlight w:val="none"/>
          <w:lang w:val="en-US" w:eastAsia="zh-CN"/>
        </w:rPr>
        <w:br w:type="page"/>
      </w:r>
    </w:p>
    <w:p w14:paraId="6B4B786C">
      <w:pPr>
        <w:jc w:val="center"/>
        <w:rPr>
          <w:rFonts w:hint="eastAsia" w:ascii="宋体" w:hAnsi="宋体" w:eastAsia="宋体" w:cs="宋体"/>
          <w:b/>
          <w:color w:val="auto"/>
          <w:szCs w:val="21"/>
          <w:highlight w:val="none"/>
          <w:lang w:eastAsia="zh-CN"/>
        </w:rPr>
      </w:pPr>
      <w:r>
        <w:rPr>
          <w:rFonts w:hint="eastAsia" w:ascii="宋体" w:hAnsi="宋体" w:cs="宋体"/>
          <w:b/>
          <w:color w:val="auto"/>
          <w:sz w:val="28"/>
          <w:szCs w:val="28"/>
          <w:highlight w:val="none"/>
          <w:lang w:val="en-US" w:eastAsia="zh-CN"/>
        </w:rPr>
        <w:t>二</w:t>
      </w:r>
      <w:r>
        <w:rPr>
          <w:rFonts w:hint="eastAsia" w:ascii="宋体" w:hAnsi="宋体" w:eastAsia="宋体" w:cs="宋体"/>
          <w:b/>
          <w:color w:val="auto"/>
          <w:sz w:val="28"/>
          <w:szCs w:val="28"/>
          <w:highlight w:val="none"/>
        </w:rPr>
        <w:t>、已标价工程量清单</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eastAsia="zh-CN"/>
        </w:rPr>
        <w:t>）</w:t>
      </w:r>
    </w:p>
    <w:p w14:paraId="68A22855">
      <w:pPr>
        <w:jc w:val="center"/>
        <w:rPr>
          <w:rFonts w:hint="eastAsia" w:ascii="宋体" w:hAnsi="宋体" w:eastAsia="宋体" w:cs="宋体"/>
          <w:color w:val="auto"/>
          <w:szCs w:val="21"/>
          <w:highlight w:val="none"/>
        </w:rPr>
      </w:pPr>
    </w:p>
    <w:p w14:paraId="0AA844ED">
      <w:pPr>
        <w:ind w:left="2100"/>
        <w:rPr>
          <w:rFonts w:hint="eastAsia" w:ascii="宋体" w:hAnsi="宋体" w:eastAsia="宋体" w:cs="宋体"/>
          <w:color w:val="auto"/>
          <w:szCs w:val="21"/>
          <w:highlight w:val="none"/>
        </w:rPr>
      </w:pPr>
    </w:p>
    <w:p w14:paraId="231932F7">
      <w:pPr>
        <w:ind w:left="2100"/>
        <w:rPr>
          <w:rFonts w:hint="eastAsia" w:ascii="宋体" w:hAnsi="宋体" w:eastAsia="宋体" w:cs="宋体"/>
          <w:color w:val="auto"/>
          <w:szCs w:val="21"/>
          <w:highlight w:val="none"/>
        </w:rPr>
      </w:pPr>
    </w:p>
    <w:p w14:paraId="44BFD420">
      <w:pPr>
        <w:ind w:left="2100"/>
        <w:rPr>
          <w:rFonts w:hint="eastAsia" w:ascii="宋体" w:hAnsi="宋体" w:eastAsia="宋体" w:cs="宋体"/>
          <w:color w:val="auto"/>
          <w:szCs w:val="21"/>
          <w:highlight w:val="none"/>
        </w:rPr>
      </w:pPr>
    </w:p>
    <w:p w14:paraId="4034804F">
      <w:pPr>
        <w:ind w:left="2100"/>
        <w:rPr>
          <w:rFonts w:hint="eastAsia" w:ascii="宋体" w:hAnsi="宋体" w:eastAsia="宋体" w:cs="宋体"/>
          <w:color w:val="auto"/>
          <w:szCs w:val="21"/>
          <w:highlight w:val="none"/>
        </w:rPr>
      </w:pPr>
    </w:p>
    <w:p w14:paraId="4D27086E">
      <w:pPr>
        <w:ind w:left="2100"/>
        <w:rPr>
          <w:rFonts w:hint="eastAsia" w:ascii="宋体" w:hAnsi="宋体" w:eastAsia="宋体" w:cs="宋体"/>
          <w:color w:val="auto"/>
          <w:szCs w:val="21"/>
          <w:highlight w:val="none"/>
        </w:rPr>
      </w:pPr>
    </w:p>
    <w:p w14:paraId="630AA311">
      <w:pPr>
        <w:ind w:left="2100"/>
        <w:rPr>
          <w:rFonts w:hint="eastAsia" w:ascii="宋体" w:hAnsi="宋体" w:eastAsia="宋体" w:cs="宋体"/>
          <w:color w:val="auto"/>
          <w:szCs w:val="21"/>
          <w:highlight w:val="none"/>
        </w:rPr>
      </w:pPr>
    </w:p>
    <w:p w14:paraId="67C0BFAD">
      <w:pPr>
        <w:ind w:left="2100"/>
        <w:rPr>
          <w:rFonts w:hint="eastAsia" w:ascii="宋体" w:hAnsi="宋体" w:eastAsia="宋体" w:cs="宋体"/>
          <w:color w:val="auto"/>
          <w:szCs w:val="21"/>
          <w:highlight w:val="none"/>
        </w:rPr>
      </w:pPr>
    </w:p>
    <w:p w14:paraId="52F064FD">
      <w:pPr>
        <w:ind w:left="2100"/>
        <w:rPr>
          <w:rFonts w:hint="eastAsia" w:ascii="宋体" w:hAnsi="宋体" w:eastAsia="宋体" w:cs="宋体"/>
          <w:color w:val="auto"/>
          <w:szCs w:val="21"/>
          <w:highlight w:val="none"/>
        </w:rPr>
      </w:pPr>
    </w:p>
    <w:p w14:paraId="6DCA3222">
      <w:pPr>
        <w:ind w:left="2100"/>
        <w:rPr>
          <w:rFonts w:hint="eastAsia" w:ascii="宋体" w:hAnsi="宋体" w:eastAsia="宋体" w:cs="宋体"/>
          <w:color w:val="auto"/>
          <w:szCs w:val="21"/>
          <w:highlight w:val="none"/>
        </w:rPr>
      </w:pPr>
    </w:p>
    <w:p w14:paraId="5BD28C1A">
      <w:pPr>
        <w:ind w:left="2100"/>
        <w:rPr>
          <w:rFonts w:hint="eastAsia" w:ascii="宋体" w:hAnsi="宋体" w:eastAsia="宋体" w:cs="宋体"/>
          <w:color w:val="auto"/>
          <w:szCs w:val="21"/>
          <w:highlight w:val="none"/>
        </w:rPr>
      </w:pPr>
    </w:p>
    <w:p w14:paraId="18DDEECF">
      <w:pPr>
        <w:ind w:left="2100"/>
        <w:rPr>
          <w:rFonts w:hint="eastAsia" w:ascii="宋体" w:hAnsi="宋体" w:eastAsia="宋体" w:cs="宋体"/>
          <w:color w:val="auto"/>
          <w:szCs w:val="21"/>
          <w:highlight w:val="none"/>
        </w:rPr>
      </w:pPr>
    </w:p>
    <w:p w14:paraId="7B3D552E">
      <w:pPr>
        <w:ind w:left="2100"/>
        <w:rPr>
          <w:rFonts w:hint="eastAsia" w:ascii="宋体" w:hAnsi="宋体" w:eastAsia="宋体" w:cs="宋体"/>
          <w:color w:val="auto"/>
          <w:szCs w:val="21"/>
          <w:highlight w:val="none"/>
        </w:rPr>
      </w:pPr>
    </w:p>
    <w:p w14:paraId="38D92627">
      <w:pPr>
        <w:ind w:left="2100"/>
        <w:rPr>
          <w:rFonts w:hint="eastAsia" w:ascii="宋体" w:hAnsi="宋体" w:eastAsia="宋体" w:cs="宋体"/>
          <w:color w:val="auto"/>
          <w:szCs w:val="21"/>
          <w:highlight w:val="none"/>
        </w:rPr>
      </w:pPr>
    </w:p>
    <w:p w14:paraId="2659ED70">
      <w:pPr>
        <w:ind w:left="2100"/>
        <w:rPr>
          <w:rFonts w:hint="eastAsia" w:ascii="宋体" w:hAnsi="宋体" w:eastAsia="宋体" w:cs="宋体"/>
          <w:color w:val="auto"/>
          <w:szCs w:val="21"/>
          <w:highlight w:val="none"/>
        </w:rPr>
      </w:pPr>
    </w:p>
    <w:p w14:paraId="59902A05">
      <w:pPr>
        <w:ind w:left="2100"/>
        <w:rPr>
          <w:rFonts w:hint="eastAsia" w:ascii="宋体" w:hAnsi="宋体" w:eastAsia="宋体" w:cs="宋体"/>
          <w:color w:val="auto"/>
          <w:szCs w:val="21"/>
          <w:highlight w:val="none"/>
        </w:rPr>
      </w:pPr>
    </w:p>
    <w:p w14:paraId="7A581EF7">
      <w:pPr>
        <w:ind w:left="2100"/>
        <w:rPr>
          <w:rFonts w:hint="eastAsia" w:ascii="宋体" w:hAnsi="宋体" w:eastAsia="宋体" w:cs="宋体"/>
          <w:color w:val="auto"/>
          <w:szCs w:val="21"/>
          <w:highlight w:val="none"/>
        </w:rPr>
      </w:pPr>
    </w:p>
    <w:p w14:paraId="573C692A">
      <w:pPr>
        <w:spacing w:line="336" w:lineRule="auto"/>
        <w:ind w:right="-153" w:rightChars="-73"/>
        <w:jc w:val="center"/>
        <w:rPr>
          <w:rFonts w:hint="eastAsia" w:ascii="宋体" w:hAnsi="宋体" w:eastAsia="宋体" w:cs="宋体"/>
          <w:b/>
          <w:color w:val="auto"/>
          <w:szCs w:val="21"/>
          <w:highlight w:val="none"/>
        </w:rPr>
      </w:pPr>
    </w:p>
    <w:p w14:paraId="53AA0AB5">
      <w:pPr>
        <w:rPr>
          <w:rFonts w:hint="eastAsia" w:ascii="宋体" w:hAnsi="宋体" w:eastAsia="宋体" w:cs="宋体"/>
          <w:b/>
          <w:color w:val="auto"/>
          <w:kern w:val="44"/>
          <w:sz w:val="28"/>
          <w:szCs w:val="28"/>
          <w:highlight w:val="none"/>
          <w:lang w:val="en-US" w:eastAsia="zh-CN"/>
        </w:rPr>
      </w:pPr>
      <w:r>
        <w:rPr>
          <w:rFonts w:hint="eastAsia" w:ascii="宋体" w:hAnsi="宋体" w:eastAsia="宋体" w:cs="宋体"/>
          <w:b/>
          <w:color w:val="auto"/>
          <w:kern w:val="44"/>
          <w:sz w:val="28"/>
          <w:szCs w:val="28"/>
          <w:highlight w:val="none"/>
          <w:lang w:val="en-US" w:eastAsia="zh-CN"/>
        </w:rPr>
        <w:br w:type="page"/>
      </w:r>
    </w:p>
    <w:p w14:paraId="3E1CC227">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lang w:val="en-US" w:eastAsia="zh-CN"/>
        </w:rPr>
        <w:t>第三节  商务技术</w:t>
      </w:r>
      <w:r>
        <w:rPr>
          <w:rFonts w:hint="eastAsia" w:ascii="宋体" w:hAnsi="宋体" w:eastAsia="宋体" w:cs="宋体"/>
          <w:b/>
          <w:color w:val="auto"/>
          <w:kern w:val="44"/>
          <w:sz w:val="28"/>
          <w:szCs w:val="28"/>
          <w:highlight w:val="none"/>
        </w:rPr>
        <w:t>文件格式</w:t>
      </w:r>
    </w:p>
    <w:p w14:paraId="3AD2BB3E">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7353D43B">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658FFCCE">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14:paraId="5F3C5B22">
      <w:pPr>
        <w:pStyle w:val="41"/>
        <w:rPr>
          <w:rFonts w:hint="eastAsia" w:ascii="宋体" w:hAnsi="宋体" w:eastAsia="宋体" w:cs="宋体"/>
          <w:color w:val="auto"/>
          <w:highlight w:val="none"/>
        </w:rPr>
      </w:pPr>
    </w:p>
    <w:p w14:paraId="61714346">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14:paraId="2AB58750">
      <w:pPr>
        <w:jc w:val="both"/>
        <w:rPr>
          <w:rFonts w:hint="eastAsia" w:ascii="宋体" w:hAnsi="宋体" w:eastAsia="宋体" w:cs="宋体"/>
          <w:color w:val="auto"/>
          <w:sz w:val="28"/>
          <w:szCs w:val="28"/>
          <w:highlight w:val="none"/>
          <w:u w:val="single"/>
        </w:rPr>
      </w:pPr>
    </w:p>
    <w:p w14:paraId="1B46ADA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商  务  技  术</w:t>
      </w:r>
      <w:r>
        <w:rPr>
          <w:rFonts w:hint="eastAsia" w:ascii="宋体" w:hAnsi="宋体" w:eastAsia="宋体" w:cs="宋体"/>
          <w:b/>
          <w:bCs/>
          <w:color w:val="auto"/>
          <w:sz w:val="28"/>
          <w:szCs w:val="28"/>
          <w:highlight w:val="none"/>
        </w:rPr>
        <w:t xml:space="preserve"> 文  件（封面）</w:t>
      </w:r>
    </w:p>
    <w:p w14:paraId="2BD9F437">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63348C3C">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14:paraId="65635ACA">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14:paraId="5FB36AF6">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14:paraId="2EAAD24C">
      <w:pPr>
        <w:pStyle w:val="41"/>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color w:val="auto"/>
          <w:highlight w:val="none"/>
        </w:rPr>
      </w:pPr>
    </w:p>
    <w:p w14:paraId="4D8C7BDA">
      <w:pPr>
        <w:keepNext w:val="0"/>
        <w:keepLines w:val="0"/>
        <w:pageBreakBefore w:val="0"/>
        <w:widowControl w:val="0"/>
        <w:kinsoku/>
        <w:wordWrap/>
        <w:overflowPunct/>
        <w:topLinePunct w:val="0"/>
        <w:bidi w:val="0"/>
        <w:snapToGrid/>
        <w:ind w:left="420" w:leftChars="200"/>
        <w:jc w:val="center"/>
        <w:textAlignment w:val="auto"/>
        <w:rPr>
          <w:rFonts w:hint="eastAsia" w:ascii="宋体" w:hAnsi="宋体" w:eastAsia="宋体" w:cs="宋体"/>
          <w:b/>
          <w:bCs/>
          <w:color w:val="auto"/>
          <w:sz w:val="28"/>
          <w:szCs w:val="28"/>
          <w:highlight w:val="none"/>
        </w:rPr>
      </w:pPr>
    </w:p>
    <w:p w14:paraId="0F9C3866">
      <w:pPr>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b/>
          <w:bCs/>
          <w:color w:val="auto"/>
          <w:sz w:val="28"/>
          <w:szCs w:val="28"/>
          <w:highlight w:val="none"/>
        </w:rPr>
      </w:pPr>
    </w:p>
    <w:p w14:paraId="1128191F">
      <w:pPr>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b/>
          <w:bCs/>
          <w:color w:val="auto"/>
          <w:sz w:val="28"/>
          <w:szCs w:val="28"/>
          <w:highlight w:val="none"/>
        </w:rPr>
      </w:pPr>
    </w:p>
    <w:p w14:paraId="51B31E75">
      <w:pPr>
        <w:keepNext w:val="0"/>
        <w:keepLines w:val="0"/>
        <w:pageBreakBefore w:val="0"/>
        <w:widowControl w:val="0"/>
        <w:kinsoku/>
        <w:wordWrap/>
        <w:overflowPunct/>
        <w:topLinePunct w:val="0"/>
        <w:bidi w:val="0"/>
        <w:snapToGrid/>
        <w:ind w:left="420" w:leftChars="200"/>
        <w:jc w:val="center"/>
        <w:textAlignment w:val="auto"/>
        <w:rPr>
          <w:rFonts w:hint="eastAsia" w:ascii="宋体" w:hAnsi="宋体" w:eastAsia="宋体" w:cs="宋体"/>
          <w:b/>
          <w:bCs/>
          <w:color w:val="auto"/>
          <w:sz w:val="28"/>
          <w:szCs w:val="28"/>
          <w:highlight w:val="none"/>
        </w:rPr>
      </w:pPr>
    </w:p>
    <w:p w14:paraId="48487F8D">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14:paraId="3F8C6EED">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14:paraId="352E248B">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14:paraId="2797824E">
      <w:pPr>
        <w:jc w:val="center"/>
        <w:rPr>
          <w:rFonts w:hint="eastAsia" w:ascii="宋体" w:hAnsi="宋体" w:eastAsia="宋体" w:cs="宋体"/>
          <w:b/>
          <w:bCs/>
          <w:color w:val="auto"/>
          <w:sz w:val="28"/>
          <w:szCs w:val="28"/>
          <w:highlight w:val="none"/>
        </w:rPr>
      </w:pPr>
    </w:p>
    <w:p w14:paraId="1798AE21">
      <w:pPr>
        <w:spacing w:line="336" w:lineRule="auto"/>
        <w:ind w:right="-153" w:rightChars="-73"/>
        <w:jc w:val="center"/>
        <w:rPr>
          <w:rFonts w:hint="eastAsia" w:ascii="宋体" w:hAnsi="宋体" w:eastAsia="宋体" w:cs="宋体"/>
          <w:b/>
          <w:color w:val="auto"/>
          <w:szCs w:val="21"/>
          <w:highlight w:val="none"/>
        </w:rPr>
      </w:pPr>
    </w:p>
    <w:p w14:paraId="0CD6C6EC">
      <w:pPr>
        <w:pStyle w:val="2"/>
        <w:rPr>
          <w:rFonts w:hint="eastAsia"/>
          <w:color w:val="auto"/>
          <w:highlight w:val="none"/>
        </w:rPr>
      </w:pPr>
    </w:p>
    <w:p w14:paraId="76A09A2C">
      <w:pPr>
        <w:spacing w:line="336" w:lineRule="auto"/>
        <w:ind w:right="-153" w:rightChars="-73"/>
        <w:jc w:val="center"/>
        <w:rPr>
          <w:rFonts w:hint="eastAsia" w:ascii="宋体" w:hAnsi="宋体" w:eastAsia="宋体" w:cs="宋体"/>
          <w:b/>
          <w:color w:val="auto"/>
          <w:szCs w:val="21"/>
          <w:highlight w:val="none"/>
        </w:rPr>
      </w:pPr>
    </w:p>
    <w:p w14:paraId="2D2E7B54">
      <w:pPr>
        <w:spacing w:line="336" w:lineRule="auto"/>
        <w:ind w:right="-153" w:rightChars="-73"/>
        <w:jc w:val="both"/>
        <w:rPr>
          <w:rFonts w:hint="eastAsia" w:ascii="宋体" w:hAnsi="宋体" w:eastAsia="宋体" w:cs="宋体"/>
          <w:b/>
          <w:color w:val="auto"/>
          <w:szCs w:val="21"/>
          <w:highlight w:val="none"/>
        </w:rPr>
      </w:pPr>
    </w:p>
    <w:p w14:paraId="2136E129">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2B89CEFC">
      <w:pPr>
        <w:spacing w:line="336" w:lineRule="auto"/>
        <w:ind w:right="-153" w:rightChars="-73"/>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14:paraId="51C51328">
      <w:pPr>
        <w:pStyle w:val="13"/>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（1）主要管理人员表</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Cs/>
          <w:color w:val="auto"/>
          <w:sz w:val="21"/>
          <w:szCs w:val="21"/>
          <w:highlight w:val="none"/>
        </w:rPr>
        <w:t>；</w:t>
      </w:r>
    </w:p>
    <w:p w14:paraId="54D9B031">
      <w:pPr>
        <w:pStyle w:val="13"/>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（2）施工组织设计；</w:t>
      </w:r>
    </w:p>
    <w:p w14:paraId="098066F8">
      <w:pPr>
        <w:pStyle w:val="13"/>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（3）业绩（如有）；</w:t>
      </w:r>
    </w:p>
    <w:p w14:paraId="22ABA49E">
      <w:pPr>
        <w:pStyle w:val="13"/>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（4）磋商保证金缴纳凭证</w:t>
      </w:r>
      <w:r>
        <w:rPr>
          <w:rFonts w:hint="eastAsia" w:ascii="宋体" w:hAnsi="宋体" w:eastAsia="宋体" w:cs="宋体"/>
          <w:b/>
          <w:bCs/>
          <w:color w:val="auto"/>
          <w:sz w:val="21"/>
          <w:szCs w:val="21"/>
          <w:highlight w:val="none"/>
          <w:lang w:eastAsia="zh-CN"/>
        </w:rPr>
        <w:t>（如要求提交投标保证金的则必须提供，否则按无效投标处理）</w:t>
      </w:r>
      <w:r>
        <w:rPr>
          <w:rFonts w:hint="eastAsia" w:ascii="宋体" w:hAnsi="宋体" w:eastAsia="宋体" w:cs="宋体"/>
          <w:bCs/>
          <w:color w:val="auto"/>
          <w:sz w:val="21"/>
          <w:szCs w:val="21"/>
          <w:highlight w:val="none"/>
        </w:rPr>
        <w:t>；</w:t>
      </w:r>
    </w:p>
    <w:p w14:paraId="5445E585">
      <w:pPr>
        <w:pStyle w:val="13"/>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（5）磋商供应商认为必要提供的声明及其它资料。</w:t>
      </w:r>
    </w:p>
    <w:p w14:paraId="1B531E94">
      <w:pPr>
        <w:spacing w:line="336" w:lineRule="auto"/>
        <w:ind w:right="-153" w:rightChars="-73"/>
        <w:jc w:val="both"/>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以上材料必须加盖供应商公章，否则响应文件按无效响应处理</w:t>
      </w:r>
      <w:r>
        <w:rPr>
          <w:rFonts w:hint="eastAsia" w:ascii="宋体" w:hAnsi="宋体" w:eastAsia="宋体" w:cs="宋体"/>
          <w:b/>
          <w:bCs/>
          <w:color w:val="auto"/>
          <w:sz w:val="21"/>
          <w:szCs w:val="21"/>
          <w:highlight w:val="none"/>
          <w:lang w:val="en-US" w:eastAsia="zh-CN"/>
        </w:rPr>
        <w:t>。</w:t>
      </w:r>
    </w:p>
    <w:p w14:paraId="532D7A1B">
      <w:pPr>
        <w:spacing w:line="336" w:lineRule="auto"/>
        <w:ind w:right="-153" w:rightChars="-73"/>
        <w:jc w:val="left"/>
        <w:rPr>
          <w:rFonts w:hint="eastAsia" w:ascii="宋体" w:hAnsi="宋体" w:eastAsia="宋体" w:cs="宋体"/>
          <w:b/>
          <w:color w:val="auto"/>
          <w:szCs w:val="21"/>
          <w:highlight w:val="none"/>
        </w:rPr>
      </w:pPr>
    </w:p>
    <w:p w14:paraId="391E929C">
      <w:pPr>
        <w:spacing w:line="336" w:lineRule="auto"/>
        <w:ind w:right="-153" w:rightChars="-73"/>
        <w:jc w:val="center"/>
        <w:rPr>
          <w:rFonts w:hint="eastAsia" w:ascii="宋体" w:hAnsi="宋体" w:eastAsia="宋体" w:cs="宋体"/>
          <w:b/>
          <w:color w:val="auto"/>
          <w:szCs w:val="21"/>
          <w:highlight w:val="none"/>
        </w:rPr>
      </w:pPr>
    </w:p>
    <w:p w14:paraId="453400D8">
      <w:pPr>
        <w:spacing w:line="336" w:lineRule="auto"/>
        <w:ind w:right="-153" w:rightChars="-73"/>
        <w:jc w:val="center"/>
        <w:rPr>
          <w:rFonts w:hint="eastAsia" w:ascii="宋体" w:hAnsi="宋体" w:eastAsia="宋体" w:cs="宋体"/>
          <w:b/>
          <w:color w:val="auto"/>
          <w:szCs w:val="21"/>
          <w:highlight w:val="none"/>
        </w:rPr>
      </w:pPr>
    </w:p>
    <w:p w14:paraId="4D48F11B">
      <w:pPr>
        <w:spacing w:line="336" w:lineRule="auto"/>
        <w:ind w:right="-153" w:rightChars="-73"/>
        <w:jc w:val="center"/>
        <w:rPr>
          <w:rFonts w:hint="eastAsia" w:ascii="宋体" w:hAnsi="宋体" w:eastAsia="宋体" w:cs="宋体"/>
          <w:b/>
          <w:color w:val="auto"/>
          <w:szCs w:val="21"/>
          <w:highlight w:val="none"/>
        </w:rPr>
      </w:pPr>
    </w:p>
    <w:p w14:paraId="0E20A1AA">
      <w:pPr>
        <w:spacing w:line="336" w:lineRule="auto"/>
        <w:ind w:right="-153" w:rightChars="-73"/>
        <w:jc w:val="center"/>
        <w:rPr>
          <w:rFonts w:hint="eastAsia" w:ascii="宋体" w:hAnsi="宋体" w:eastAsia="宋体" w:cs="宋体"/>
          <w:b/>
          <w:color w:val="auto"/>
          <w:szCs w:val="21"/>
          <w:highlight w:val="none"/>
        </w:rPr>
      </w:pPr>
    </w:p>
    <w:p w14:paraId="473FCB98">
      <w:pPr>
        <w:spacing w:line="336" w:lineRule="auto"/>
        <w:ind w:right="-153" w:rightChars="-73"/>
        <w:jc w:val="center"/>
        <w:rPr>
          <w:rFonts w:hint="eastAsia" w:ascii="宋体" w:hAnsi="宋体" w:eastAsia="宋体" w:cs="宋体"/>
          <w:b/>
          <w:color w:val="auto"/>
          <w:szCs w:val="21"/>
          <w:highlight w:val="none"/>
        </w:rPr>
      </w:pPr>
    </w:p>
    <w:p w14:paraId="3630B23F">
      <w:pPr>
        <w:spacing w:line="336" w:lineRule="auto"/>
        <w:ind w:right="-153" w:rightChars="-73"/>
        <w:jc w:val="center"/>
        <w:rPr>
          <w:rFonts w:hint="eastAsia" w:ascii="宋体" w:hAnsi="宋体" w:eastAsia="宋体" w:cs="宋体"/>
          <w:b/>
          <w:color w:val="auto"/>
          <w:szCs w:val="21"/>
          <w:highlight w:val="none"/>
        </w:rPr>
      </w:pPr>
    </w:p>
    <w:p w14:paraId="00CA5FD1">
      <w:pPr>
        <w:pStyle w:val="10"/>
        <w:rPr>
          <w:rFonts w:hint="eastAsia" w:ascii="宋体" w:hAnsi="宋体" w:eastAsia="宋体" w:cs="宋体"/>
          <w:color w:val="auto"/>
          <w:highlight w:val="none"/>
        </w:rPr>
      </w:pPr>
    </w:p>
    <w:p w14:paraId="05D608F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F506E26">
      <w:pPr>
        <w:jc w:val="center"/>
        <w:rPr>
          <w:rFonts w:hint="eastAsia" w:ascii="宋体" w:hAnsi="宋体" w:eastAsia="宋体" w:cs="宋体"/>
          <w:color w:val="auto"/>
          <w:sz w:val="24"/>
          <w:szCs w:val="24"/>
          <w:highlight w:val="none"/>
        </w:rPr>
      </w:pPr>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lang w:val="en-US" w:eastAsia="zh-CN"/>
        </w:rPr>
        <w:t>、主要管理人员表</w:t>
      </w:r>
    </w:p>
    <w:p w14:paraId="2901472D">
      <w:pPr>
        <w:rPr>
          <w:rFonts w:hint="eastAsia" w:ascii="宋体" w:hAnsi="宋体" w:eastAsia="宋体" w:cs="宋体"/>
          <w:color w:val="auto"/>
          <w:szCs w:val="21"/>
          <w:highlight w:val="none"/>
        </w:r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1"/>
        <w:gridCol w:w="905"/>
        <w:gridCol w:w="4538"/>
        <w:gridCol w:w="1129"/>
        <w:gridCol w:w="1701"/>
      </w:tblGrid>
      <w:tr w14:paraId="35C7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Merge w:val="restart"/>
            <w:vAlign w:val="center"/>
          </w:tcPr>
          <w:p w14:paraId="4F17E21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w:t>
            </w:r>
          </w:p>
        </w:tc>
        <w:tc>
          <w:tcPr>
            <w:tcW w:w="483" w:type="pct"/>
            <w:vMerge w:val="restart"/>
            <w:vAlign w:val="center"/>
          </w:tcPr>
          <w:p w14:paraId="2D3FAE3C">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2423" w:type="pct"/>
            <w:vMerge w:val="restart"/>
            <w:vAlign w:val="center"/>
          </w:tcPr>
          <w:p w14:paraId="6BE309BF">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《注册执业资格</w:t>
            </w:r>
          </w:p>
          <w:p w14:paraId="142FE700">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（或职业或职称或岗位或培训或学历（位）证书）》</w:t>
            </w:r>
          </w:p>
        </w:tc>
        <w:tc>
          <w:tcPr>
            <w:tcW w:w="1509" w:type="pct"/>
            <w:gridSpan w:val="2"/>
            <w:vAlign w:val="center"/>
          </w:tcPr>
          <w:p w14:paraId="5923A16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承担完工工程情况</w:t>
            </w:r>
          </w:p>
        </w:tc>
      </w:tr>
      <w:tr w14:paraId="350D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Merge w:val="continue"/>
            <w:vAlign w:val="center"/>
          </w:tcPr>
          <w:p w14:paraId="0666A027">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483" w:type="pct"/>
            <w:vMerge w:val="continue"/>
            <w:vAlign w:val="center"/>
          </w:tcPr>
          <w:p w14:paraId="3DC05C90">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53AFD7A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5093ADF2">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项目数</w:t>
            </w:r>
            <w:r>
              <w:rPr>
                <w:rFonts w:hint="eastAsia" w:ascii="宋体" w:hAnsi="宋体" w:eastAsia="宋体" w:cs="宋体"/>
                <w:b/>
                <w:bCs/>
                <w:color w:val="auto"/>
                <w:szCs w:val="21"/>
                <w:highlight w:val="none"/>
                <w:lang w:val="en-US" w:eastAsia="zh-CN"/>
              </w:rPr>
              <w:t>量</w:t>
            </w:r>
          </w:p>
        </w:tc>
        <w:tc>
          <w:tcPr>
            <w:tcW w:w="905" w:type="pct"/>
            <w:vAlign w:val="center"/>
          </w:tcPr>
          <w:p w14:paraId="04D94202">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主要项目名称</w:t>
            </w:r>
          </w:p>
        </w:tc>
      </w:tr>
      <w:tr w14:paraId="0C22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634F48A0">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483" w:type="pct"/>
            <w:vAlign w:val="center"/>
          </w:tcPr>
          <w:p w14:paraId="595E8387">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restart"/>
            <w:vAlign w:val="center"/>
          </w:tcPr>
          <w:p w14:paraId="0FBF11B0">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p w14:paraId="712EDB4A">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◆证书证号：</w:t>
            </w:r>
          </w:p>
          <w:p w14:paraId="6E3468B5">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◆专业（如有）：</w:t>
            </w:r>
          </w:p>
          <w:p w14:paraId="32FB4130">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◆专业所属类别（如有）：</w:t>
            </w:r>
          </w:p>
          <w:p w14:paraId="4EFD94D4">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◆授予（或签发或批准或发证）日期：</w:t>
            </w:r>
          </w:p>
        </w:tc>
        <w:tc>
          <w:tcPr>
            <w:tcW w:w="603" w:type="pct"/>
            <w:vAlign w:val="center"/>
          </w:tcPr>
          <w:p w14:paraId="6BA60F8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75A922A3">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257E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6ABCC138">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483" w:type="pct"/>
            <w:vAlign w:val="center"/>
          </w:tcPr>
          <w:p w14:paraId="554E0C1D">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198FFB07">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7E722B53">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23C75C2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3D8A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51788FC1">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施工员</w:t>
            </w:r>
          </w:p>
        </w:tc>
        <w:tc>
          <w:tcPr>
            <w:tcW w:w="483" w:type="pct"/>
            <w:vAlign w:val="center"/>
          </w:tcPr>
          <w:p w14:paraId="696BCD70">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7C141421">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32D455F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7063B649">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0D26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1667417B">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质量员</w:t>
            </w:r>
          </w:p>
        </w:tc>
        <w:tc>
          <w:tcPr>
            <w:tcW w:w="483" w:type="pct"/>
            <w:vAlign w:val="center"/>
          </w:tcPr>
          <w:p w14:paraId="13A7A5F3">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31F082EE">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6B7EA949">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0EC5FAA8">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2AEB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039CC8E5">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安全员</w:t>
            </w:r>
          </w:p>
        </w:tc>
        <w:tc>
          <w:tcPr>
            <w:tcW w:w="483" w:type="pct"/>
            <w:vAlign w:val="center"/>
          </w:tcPr>
          <w:p w14:paraId="20EDB020">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11663AEE">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6D86B5F1">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1CA1D5DD">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7D3F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70158DFF">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材料员</w:t>
            </w:r>
          </w:p>
        </w:tc>
        <w:tc>
          <w:tcPr>
            <w:tcW w:w="483" w:type="pct"/>
            <w:vAlign w:val="center"/>
          </w:tcPr>
          <w:p w14:paraId="46719A7B">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50A8C4B7">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25031685">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600D78B9">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17AB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14:paraId="7BC30344">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p>
        </w:tc>
        <w:tc>
          <w:tcPr>
            <w:tcW w:w="483" w:type="pct"/>
            <w:vAlign w:val="center"/>
          </w:tcPr>
          <w:p w14:paraId="0CA9054E">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14:paraId="638FAAF2">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14:paraId="19D09CA1">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14:paraId="476F6A35">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14:paraId="7126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000" w:type="pct"/>
            <w:gridSpan w:val="5"/>
            <w:vAlign w:val="center"/>
          </w:tcPr>
          <w:p w14:paraId="0796025A">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一旦我单位</w:t>
            </w:r>
            <w:r>
              <w:rPr>
                <w:rFonts w:hint="eastAsia" w:ascii="宋体" w:hAnsi="宋体" w:eastAsia="宋体" w:cs="宋体"/>
                <w:b w:val="0"/>
                <w:bCs w:val="0"/>
                <w:color w:val="auto"/>
                <w:szCs w:val="21"/>
                <w:highlight w:val="none"/>
                <w:lang w:val="en-US" w:eastAsia="zh-CN"/>
              </w:rPr>
              <w:t>成交</w:t>
            </w:r>
            <w:r>
              <w:rPr>
                <w:rFonts w:hint="eastAsia" w:ascii="宋体" w:hAnsi="宋体" w:eastAsia="宋体" w:cs="宋体"/>
                <w:b w:val="0"/>
                <w:bCs w:val="0"/>
                <w:color w:val="auto"/>
                <w:szCs w:val="21"/>
                <w:highlight w:val="none"/>
              </w:rPr>
              <w:t>，将实行项目经理负责制，我方保证并配备上述项目管理机构。上述填报内容真实，若不真实，愿按有关规定接受处理。</w:t>
            </w:r>
          </w:p>
        </w:tc>
      </w:tr>
    </w:tbl>
    <w:p w14:paraId="2D5A8824">
      <w:pPr>
        <w:spacing w:line="360" w:lineRule="auto"/>
        <w:ind w:left="-2" w:right="-153" w:rightChars="-73"/>
        <w:rPr>
          <w:rFonts w:hint="eastAsia" w:ascii="宋体" w:hAnsi="宋体" w:eastAsia="宋体" w:cs="宋体"/>
          <w:b w:val="0"/>
          <w:bCs w:val="0"/>
          <w:color w:val="auto"/>
          <w:highlight w:val="none"/>
          <w:lang w:eastAsia="zh-CN"/>
        </w:rPr>
      </w:pPr>
      <w:r>
        <w:rPr>
          <w:rFonts w:hint="eastAsia" w:ascii="宋体" w:hAnsi="宋体" w:eastAsia="宋体" w:cs="宋体"/>
          <w:b/>
          <w:bCs/>
          <w:color w:val="auto"/>
          <w:szCs w:val="21"/>
          <w:highlight w:val="none"/>
        </w:rPr>
        <w:t>附：</w:t>
      </w:r>
      <w:r>
        <w:rPr>
          <w:rFonts w:hint="eastAsia" w:ascii="宋体" w:hAnsi="宋体" w:eastAsia="宋体" w:cs="宋体"/>
          <w:b w:val="0"/>
          <w:bCs w:val="0"/>
          <w:color w:val="auto"/>
          <w:szCs w:val="21"/>
          <w:highlight w:val="none"/>
        </w:rPr>
        <w:t>①项目经理（注册建造师）简历表（格式）</w:t>
      </w:r>
      <w:r>
        <w:rPr>
          <w:rFonts w:hint="eastAsia" w:ascii="宋体" w:hAnsi="宋体" w:eastAsia="宋体" w:cs="宋体"/>
          <w:b w:val="0"/>
          <w:bCs w:val="0"/>
          <w:color w:val="auto"/>
          <w:szCs w:val="21"/>
          <w:highlight w:val="none"/>
          <w:lang w:eastAsia="zh-CN"/>
        </w:rPr>
        <w:t>；</w:t>
      </w:r>
    </w:p>
    <w:p w14:paraId="0E9ACE67">
      <w:pPr>
        <w:spacing w:line="360" w:lineRule="auto"/>
        <w:ind w:left="-2" w:right="-153" w:rightChars="-73"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②</w:t>
      </w:r>
      <w:r>
        <w:rPr>
          <w:rFonts w:hint="eastAsia" w:ascii="宋体" w:hAnsi="宋体" w:cs="宋体"/>
          <w:b w:val="0"/>
          <w:bCs w:val="0"/>
          <w:color w:val="auto"/>
          <w:szCs w:val="21"/>
          <w:highlight w:val="none"/>
          <w:lang w:eastAsia="zh-CN"/>
        </w:rPr>
        <w:t>项目总工（技术负责人）</w:t>
      </w:r>
      <w:r>
        <w:rPr>
          <w:rFonts w:hint="eastAsia" w:ascii="宋体" w:hAnsi="宋体" w:eastAsia="宋体" w:cs="宋体"/>
          <w:b w:val="0"/>
          <w:bCs w:val="0"/>
          <w:color w:val="auto"/>
          <w:szCs w:val="21"/>
          <w:highlight w:val="none"/>
        </w:rPr>
        <w:t>简历表（格式）；</w:t>
      </w:r>
    </w:p>
    <w:p w14:paraId="68196555">
      <w:pPr>
        <w:spacing w:line="360" w:lineRule="auto"/>
        <w:ind w:left="-2" w:right="-153" w:rightChars="-73"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③其他主要人员应附</w:t>
      </w:r>
      <w:r>
        <w:rPr>
          <w:rFonts w:hint="eastAsia" w:ascii="宋体" w:hAnsi="宋体" w:eastAsia="宋体" w:cs="宋体"/>
          <w:color w:val="auto"/>
          <w:szCs w:val="21"/>
          <w:highlight w:val="none"/>
          <w:lang w:eastAsia="zh-CN"/>
        </w:rPr>
        <w:t>岗位证书</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职称证（</w:t>
      </w:r>
      <w:r>
        <w:rPr>
          <w:rFonts w:hint="eastAsia" w:ascii="宋体" w:hAnsi="宋体" w:cs="宋体"/>
          <w:color w:val="auto"/>
          <w:szCs w:val="21"/>
          <w:highlight w:val="none"/>
          <w:lang w:val="en-US" w:eastAsia="zh-CN"/>
        </w:rPr>
        <w:t>如</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扫描件；</w:t>
      </w:r>
    </w:p>
    <w:p w14:paraId="22C46C14">
      <w:pPr>
        <w:spacing w:line="360" w:lineRule="auto"/>
        <w:ind w:left="-2" w:right="-153" w:rightChars="-73" w:firstLine="420" w:firstLineChars="200"/>
        <w:rPr>
          <w:rFonts w:hint="eastAsia" w:ascii="宋体" w:hAnsi="宋体" w:eastAsia="宋体" w:cs="宋体"/>
          <w:color w:val="auto"/>
          <w:szCs w:val="21"/>
          <w:highlight w:val="none"/>
          <w:lang w:val="en-US" w:eastAsia="zh-CN"/>
        </w:rPr>
      </w:pPr>
    </w:p>
    <w:p w14:paraId="777A7FC5">
      <w:pPr>
        <w:pStyle w:val="41"/>
        <w:rPr>
          <w:rFonts w:hint="eastAsia" w:ascii="宋体" w:hAnsi="宋体" w:eastAsia="宋体" w:cs="宋体"/>
          <w:b/>
          <w:color w:val="auto"/>
          <w:sz w:val="24"/>
          <w:highlight w:val="none"/>
          <w:u w:val="single"/>
          <w:lang w:val="en-US" w:eastAsia="zh-CN"/>
        </w:rPr>
      </w:pPr>
    </w:p>
    <w:p w14:paraId="136DC7C1">
      <w:pPr>
        <w:pStyle w:val="41"/>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u w:val="single"/>
          <w:lang w:val="en-US" w:eastAsia="zh-CN"/>
        </w:rPr>
        <w:t>注：文件 《一、主要管理人员表 》中所有提及的证件材料属于复印件</w:t>
      </w:r>
      <w:r>
        <w:rPr>
          <w:rFonts w:hint="eastAsia" w:hAnsi="宋体" w:cs="宋体"/>
          <w:b/>
          <w:color w:val="auto"/>
          <w:sz w:val="24"/>
          <w:highlight w:val="none"/>
          <w:u w:val="single"/>
          <w:lang w:val="en-US" w:eastAsia="zh-CN"/>
        </w:rPr>
        <w:t>或</w:t>
      </w:r>
      <w:r>
        <w:rPr>
          <w:rFonts w:hint="eastAsia" w:ascii="宋体" w:hAnsi="宋体" w:eastAsia="宋体" w:cs="宋体"/>
          <w:b/>
          <w:color w:val="auto"/>
          <w:sz w:val="24"/>
          <w:highlight w:val="none"/>
          <w:u w:val="single"/>
          <w:lang w:val="en-US" w:eastAsia="zh-CN"/>
        </w:rPr>
        <w:t>扫描件的，必须加盖供应商公章，否则响应文件按无效响应处理。</w:t>
      </w:r>
    </w:p>
    <w:p w14:paraId="01547355">
      <w:pPr>
        <w:widowControl/>
        <w:spacing w:line="300" w:lineRule="exact"/>
        <w:ind w:right="-147" w:rightChars="-7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en-US" w:eastAsia="zh-CN"/>
        </w:rPr>
        <w:br w:type="page"/>
      </w:r>
      <w:r>
        <w:rPr>
          <w:rFonts w:hint="eastAsia" w:ascii="宋体" w:hAnsi="宋体" w:eastAsia="宋体" w:cs="宋体"/>
          <w:color w:val="auto"/>
          <w:szCs w:val="21"/>
          <w:highlight w:val="none"/>
          <w:lang w:val="en-US" w:eastAsia="zh-CN"/>
        </w:rPr>
        <w:t>附表</w:t>
      </w:r>
      <w:r>
        <w:rPr>
          <w:rFonts w:hint="eastAsia" w:ascii="宋体" w:hAnsi="宋体" w:eastAsia="宋体" w:cs="宋体"/>
          <w:b w:val="0"/>
          <w:bCs w:val="0"/>
          <w:color w:val="auto"/>
          <w:szCs w:val="21"/>
          <w:highlight w:val="none"/>
        </w:rPr>
        <w:t>①项目经理（注册建造师）简历表（格式）</w:t>
      </w:r>
    </w:p>
    <w:p w14:paraId="360AACF6">
      <w:pPr>
        <w:pStyle w:val="41"/>
        <w:rPr>
          <w:rFonts w:hint="eastAsia" w:ascii="宋体" w:hAnsi="宋体" w:eastAsia="宋体" w:cs="宋体"/>
          <w:color w:val="auto"/>
          <w:highlight w:val="none"/>
          <w:lang w:val="en-US" w:eastAsia="zh-CN"/>
        </w:rPr>
      </w:pPr>
    </w:p>
    <w:p w14:paraId="6CBF1FBF">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项目经理（注册建造师）简历表</w:t>
      </w:r>
    </w:p>
    <w:p w14:paraId="7D9E39DE">
      <w:pPr>
        <w:spacing w:line="400" w:lineRule="exact"/>
        <w:rPr>
          <w:rFonts w:hint="eastAsia" w:ascii="宋体" w:hAnsi="宋体" w:eastAsia="宋体" w:cs="宋体"/>
          <w:b/>
          <w:color w:val="auto"/>
          <w:sz w:val="28"/>
          <w:szCs w:val="28"/>
          <w:highlight w:val="none"/>
        </w:rPr>
      </w:pPr>
    </w:p>
    <w:p w14:paraId="063CBBCF">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552D5FA8">
      <w:pPr>
        <w:pStyle w:val="46"/>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项目采购编号：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36"/>
        <w:gridCol w:w="1454"/>
        <w:gridCol w:w="310"/>
        <w:gridCol w:w="1144"/>
        <w:gridCol w:w="635"/>
        <w:gridCol w:w="819"/>
        <w:gridCol w:w="670"/>
        <w:gridCol w:w="785"/>
        <w:gridCol w:w="258"/>
        <w:gridCol w:w="2039"/>
      </w:tblGrid>
      <w:tr w14:paraId="15D5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2" w:type="pct"/>
            <w:vAlign w:val="center"/>
          </w:tcPr>
          <w:p w14:paraId="236F472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49" w:type="pct"/>
            <w:gridSpan w:val="3"/>
            <w:vAlign w:val="center"/>
          </w:tcPr>
          <w:p w14:paraId="3A2D7140">
            <w:pPr>
              <w:spacing w:line="300" w:lineRule="exact"/>
              <w:jc w:val="center"/>
              <w:rPr>
                <w:rFonts w:hint="eastAsia" w:ascii="宋体" w:hAnsi="宋体" w:eastAsia="宋体" w:cs="宋体"/>
                <w:color w:val="auto"/>
                <w:szCs w:val="21"/>
                <w:highlight w:val="none"/>
              </w:rPr>
            </w:pPr>
          </w:p>
        </w:tc>
        <w:tc>
          <w:tcPr>
            <w:tcW w:w="930" w:type="pct"/>
            <w:gridSpan w:val="2"/>
            <w:vAlign w:val="center"/>
          </w:tcPr>
          <w:p w14:paraId="6A60DDF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8" w:type="pct"/>
            <w:gridSpan w:val="2"/>
            <w:vAlign w:val="center"/>
          </w:tcPr>
          <w:p w14:paraId="17FC686F">
            <w:pPr>
              <w:spacing w:line="300" w:lineRule="exact"/>
              <w:jc w:val="center"/>
              <w:rPr>
                <w:rFonts w:hint="eastAsia" w:ascii="宋体" w:hAnsi="宋体" w:eastAsia="宋体" w:cs="宋体"/>
                <w:color w:val="auto"/>
                <w:szCs w:val="21"/>
                <w:highlight w:val="none"/>
              </w:rPr>
            </w:pPr>
          </w:p>
        </w:tc>
        <w:tc>
          <w:tcPr>
            <w:tcW w:w="544" w:type="pct"/>
            <w:gridSpan w:val="2"/>
            <w:vAlign w:val="center"/>
          </w:tcPr>
          <w:p w14:paraId="40B34DA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063" w:type="pct"/>
            <w:vAlign w:val="center"/>
          </w:tcPr>
          <w:p w14:paraId="0ADF42F6">
            <w:pPr>
              <w:spacing w:line="300" w:lineRule="exact"/>
              <w:jc w:val="center"/>
              <w:rPr>
                <w:rFonts w:hint="eastAsia" w:ascii="宋体" w:hAnsi="宋体" w:eastAsia="宋体" w:cs="宋体"/>
                <w:color w:val="auto"/>
                <w:szCs w:val="21"/>
                <w:highlight w:val="none"/>
              </w:rPr>
            </w:pPr>
          </w:p>
        </w:tc>
      </w:tr>
      <w:tr w14:paraId="4285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2" w:type="pct"/>
            <w:vAlign w:val="center"/>
          </w:tcPr>
          <w:p w14:paraId="30F8B50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49" w:type="pct"/>
            <w:gridSpan w:val="3"/>
            <w:vAlign w:val="center"/>
          </w:tcPr>
          <w:p w14:paraId="096A2601">
            <w:pPr>
              <w:spacing w:line="300" w:lineRule="exact"/>
              <w:jc w:val="center"/>
              <w:rPr>
                <w:rFonts w:hint="eastAsia" w:ascii="宋体" w:hAnsi="宋体" w:eastAsia="宋体" w:cs="宋体"/>
                <w:color w:val="auto"/>
                <w:szCs w:val="21"/>
                <w:highlight w:val="none"/>
              </w:rPr>
            </w:pPr>
          </w:p>
        </w:tc>
        <w:tc>
          <w:tcPr>
            <w:tcW w:w="930" w:type="pct"/>
            <w:gridSpan w:val="2"/>
            <w:vAlign w:val="center"/>
          </w:tcPr>
          <w:p w14:paraId="04C4969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8" w:type="pct"/>
            <w:gridSpan w:val="2"/>
            <w:vAlign w:val="center"/>
          </w:tcPr>
          <w:p w14:paraId="0059B2B6">
            <w:pPr>
              <w:spacing w:line="300" w:lineRule="exact"/>
              <w:jc w:val="center"/>
              <w:rPr>
                <w:rFonts w:hint="eastAsia" w:ascii="宋体" w:hAnsi="宋体" w:eastAsia="宋体" w:cs="宋体"/>
                <w:color w:val="auto"/>
                <w:szCs w:val="21"/>
                <w:highlight w:val="none"/>
              </w:rPr>
            </w:pPr>
          </w:p>
        </w:tc>
        <w:tc>
          <w:tcPr>
            <w:tcW w:w="544" w:type="pct"/>
            <w:gridSpan w:val="2"/>
            <w:vAlign w:val="center"/>
          </w:tcPr>
          <w:p w14:paraId="0CD0674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063" w:type="pct"/>
            <w:vAlign w:val="center"/>
          </w:tcPr>
          <w:p w14:paraId="6D79E801">
            <w:pPr>
              <w:spacing w:line="300" w:lineRule="exact"/>
              <w:jc w:val="center"/>
              <w:rPr>
                <w:rFonts w:hint="eastAsia" w:ascii="宋体" w:hAnsi="宋体" w:eastAsia="宋体" w:cs="宋体"/>
                <w:color w:val="auto"/>
                <w:szCs w:val="21"/>
                <w:highlight w:val="none"/>
              </w:rPr>
            </w:pPr>
          </w:p>
        </w:tc>
      </w:tr>
      <w:tr w14:paraId="0ABB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pct"/>
            <w:gridSpan w:val="4"/>
            <w:vAlign w:val="center"/>
          </w:tcPr>
          <w:p w14:paraId="1FA962B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930" w:type="pct"/>
            <w:gridSpan w:val="2"/>
            <w:vAlign w:val="center"/>
          </w:tcPr>
          <w:p w14:paraId="2025B59B">
            <w:pPr>
              <w:spacing w:line="300" w:lineRule="exact"/>
              <w:jc w:val="center"/>
              <w:rPr>
                <w:rFonts w:hint="eastAsia" w:ascii="宋体" w:hAnsi="宋体" w:eastAsia="宋体" w:cs="宋体"/>
                <w:color w:val="auto"/>
                <w:szCs w:val="21"/>
                <w:highlight w:val="none"/>
              </w:rPr>
            </w:pPr>
          </w:p>
        </w:tc>
        <w:tc>
          <w:tcPr>
            <w:tcW w:w="1323" w:type="pct"/>
            <w:gridSpan w:val="4"/>
            <w:vAlign w:val="center"/>
          </w:tcPr>
          <w:p w14:paraId="66E0058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担任项目经理年限</w:t>
            </w:r>
          </w:p>
        </w:tc>
        <w:tc>
          <w:tcPr>
            <w:tcW w:w="1063" w:type="pct"/>
            <w:vAlign w:val="center"/>
          </w:tcPr>
          <w:p w14:paraId="6AA078E2">
            <w:pPr>
              <w:spacing w:line="300" w:lineRule="exact"/>
              <w:jc w:val="center"/>
              <w:rPr>
                <w:rFonts w:hint="eastAsia" w:ascii="宋体" w:hAnsi="宋体" w:eastAsia="宋体" w:cs="宋体"/>
                <w:color w:val="auto"/>
                <w:szCs w:val="21"/>
                <w:highlight w:val="none"/>
              </w:rPr>
            </w:pPr>
          </w:p>
        </w:tc>
      </w:tr>
      <w:tr w14:paraId="4A9A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pct"/>
            <w:gridSpan w:val="4"/>
            <w:vAlign w:val="center"/>
          </w:tcPr>
          <w:p w14:paraId="1E38CF0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项目经理注册证书编号</w:t>
            </w:r>
          </w:p>
        </w:tc>
        <w:tc>
          <w:tcPr>
            <w:tcW w:w="3317" w:type="pct"/>
            <w:gridSpan w:val="7"/>
            <w:vAlign w:val="center"/>
          </w:tcPr>
          <w:p w14:paraId="2D90F950">
            <w:pPr>
              <w:spacing w:line="300" w:lineRule="exact"/>
              <w:jc w:val="center"/>
              <w:rPr>
                <w:rFonts w:hint="eastAsia" w:ascii="宋体" w:hAnsi="宋体" w:eastAsia="宋体" w:cs="宋体"/>
                <w:color w:val="auto"/>
                <w:szCs w:val="21"/>
                <w:highlight w:val="none"/>
              </w:rPr>
            </w:pPr>
          </w:p>
        </w:tc>
      </w:tr>
      <w:tr w14:paraId="56D0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14:paraId="74CC78C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在建和已完工程项目情况</w:t>
            </w:r>
          </w:p>
        </w:tc>
      </w:tr>
      <w:tr w14:paraId="493A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14:paraId="2BD2DB6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760" w:type="pct"/>
            <w:vAlign w:val="center"/>
          </w:tcPr>
          <w:p w14:paraId="7CDFB73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60" w:type="pct"/>
            <w:gridSpan w:val="2"/>
            <w:vAlign w:val="center"/>
          </w:tcPr>
          <w:p w14:paraId="76AC526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760" w:type="pct"/>
            <w:gridSpan w:val="2"/>
            <w:vAlign w:val="center"/>
          </w:tcPr>
          <w:p w14:paraId="13D61A9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开、竣工日期</w:t>
            </w:r>
          </w:p>
        </w:tc>
        <w:tc>
          <w:tcPr>
            <w:tcW w:w="760" w:type="pct"/>
            <w:gridSpan w:val="2"/>
            <w:vAlign w:val="center"/>
          </w:tcPr>
          <w:p w14:paraId="7BB795F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在建或已完</w:t>
            </w:r>
          </w:p>
        </w:tc>
        <w:tc>
          <w:tcPr>
            <w:tcW w:w="1198" w:type="pct"/>
            <w:gridSpan w:val="2"/>
            <w:vAlign w:val="center"/>
          </w:tcPr>
          <w:p w14:paraId="6356479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r>
      <w:tr w14:paraId="442F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14:paraId="2BC44B2F">
            <w:pPr>
              <w:spacing w:line="300" w:lineRule="exact"/>
              <w:jc w:val="center"/>
              <w:rPr>
                <w:rFonts w:hint="eastAsia" w:ascii="宋体" w:hAnsi="宋体" w:eastAsia="宋体" w:cs="宋体"/>
                <w:color w:val="auto"/>
                <w:szCs w:val="21"/>
                <w:highlight w:val="none"/>
              </w:rPr>
            </w:pPr>
          </w:p>
        </w:tc>
        <w:tc>
          <w:tcPr>
            <w:tcW w:w="760" w:type="pct"/>
            <w:vAlign w:val="center"/>
          </w:tcPr>
          <w:p w14:paraId="15A38A58">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5A1070D5">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7D54B3B9">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6C672DC8">
            <w:pPr>
              <w:spacing w:line="300" w:lineRule="exact"/>
              <w:jc w:val="center"/>
              <w:rPr>
                <w:rFonts w:hint="eastAsia" w:ascii="宋体" w:hAnsi="宋体" w:eastAsia="宋体" w:cs="宋体"/>
                <w:color w:val="auto"/>
                <w:szCs w:val="21"/>
                <w:highlight w:val="none"/>
              </w:rPr>
            </w:pPr>
          </w:p>
        </w:tc>
        <w:tc>
          <w:tcPr>
            <w:tcW w:w="1198" w:type="pct"/>
            <w:gridSpan w:val="2"/>
            <w:vAlign w:val="center"/>
          </w:tcPr>
          <w:p w14:paraId="3B969ECA">
            <w:pPr>
              <w:spacing w:line="300" w:lineRule="exact"/>
              <w:jc w:val="center"/>
              <w:rPr>
                <w:rFonts w:hint="eastAsia" w:ascii="宋体" w:hAnsi="宋体" w:eastAsia="宋体" w:cs="宋体"/>
                <w:color w:val="auto"/>
                <w:szCs w:val="21"/>
                <w:highlight w:val="none"/>
              </w:rPr>
            </w:pPr>
          </w:p>
        </w:tc>
      </w:tr>
      <w:tr w14:paraId="7E70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14:paraId="538EFCCD">
            <w:pPr>
              <w:spacing w:line="300" w:lineRule="exact"/>
              <w:jc w:val="center"/>
              <w:rPr>
                <w:rFonts w:hint="eastAsia" w:ascii="宋体" w:hAnsi="宋体" w:eastAsia="宋体" w:cs="宋体"/>
                <w:color w:val="auto"/>
                <w:szCs w:val="21"/>
                <w:highlight w:val="none"/>
              </w:rPr>
            </w:pPr>
          </w:p>
        </w:tc>
        <w:tc>
          <w:tcPr>
            <w:tcW w:w="760" w:type="pct"/>
            <w:vAlign w:val="center"/>
          </w:tcPr>
          <w:p w14:paraId="7E5F691C">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1C5AB422">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1D548DB3">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0052B347">
            <w:pPr>
              <w:spacing w:line="300" w:lineRule="exact"/>
              <w:jc w:val="center"/>
              <w:rPr>
                <w:rFonts w:hint="eastAsia" w:ascii="宋体" w:hAnsi="宋体" w:eastAsia="宋体" w:cs="宋体"/>
                <w:color w:val="auto"/>
                <w:szCs w:val="21"/>
                <w:highlight w:val="none"/>
              </w:rPr>
            </w:pPr>
          </w:p>
        </w:tc>
        <w:tc>
          <w:tcPr>
            <w:tcW w:w="1198" w:type="pct"/>
            <w:gridSpan w:val="2"/>
            <w:vAlign w:val="center"/>
          </w:tcPr>
          <w:p w14:paraId="5AFC458D">
            <w:pPr>
              <w:spacing w:line="300" w:lineRule="exact"/>
              <w:jc w:val="center"/>
              <w:rPr>
                <w:rFonts w:hint="eastAsia" w:ascii="宋体" w:hAnsi="宋体" w:eastAsia="宋体" w:cs="宋体"/>
                <w:color w:val="auto"/>
                <w:szCs w:val="21"/>
                <w:highlight w:val="none"/>
              </w:rPr>
            </w:pPr>
          </w:p>
        </w:tc>
      </w:tr>
      <w:tr w14:paraId="046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14:paraId="6B27F42E">
            <w:pPr>
              <w:spacing w:line="300" w:lineRule="exact"/>
              <w:jc w:val="center"/>
              <w:rPr>
                <w:rFonts w:hint="eastAsia" w:ascii="宋体" w:hAnsi="宋体" w:eastAsia="宋体" w:cs="宋体"/>
                <w:color w:val="auto"/>
                <w:szCs w:val="21"/>
                <w:highlight w:val="none"/>
              </w:rPr>
            </w:pPr>
          </w:p>
        </w:tc>
        <w:tc>
          <w:tcPr>
            <w:tcW w:w="760" w:type="pct"/>
            <w:vAlign w:val="center"/>
          </w:tcPr>
          <w:p w14:paraId="65531C69">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743B542B">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1720C8D7">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583D7017">
            <w:pPr>
              <w:spacing w:line="300" w:lineRule="exact"/>
              <w:jc w:val="center"/>
              <w:rPr>
                <w:rFonts w:hint="eastAsia" w:ascii="宋体" w:hAnsi="宋体" w:eastAsia="宋体" w:cs="宋体"/>
                <w:color w:val="auto"/>
                <w:szCs w:val="21"/>
                <w:highlight w:val="none"/>
              </w:rPr>
            </w:pPr>
          </w:p>
        </w:tc>
        <w:tc>
          <w:tcPr>
            <w:tcW w:w="1198" w:type="pct"/>
            <w:gridSpan w:val="2"/>
            <w:vAlign w:val="center"/>
          </w:tcPr>
          <w:p w14:paraId="2AD3875C">
            <w:pPr>
              <w:spacing w:line="300" w:lineRule="exact"/>
              <w:jc w:val="center"/>
              <w:rPr>
                <w:rFonts w:hint="eastAsia" w:ascii="宋体" w:hAnsi="宋体" w:eastAsia="宋体" w:cs="宋体"/>
                <w:color w:val="auto"/>
                <w:szCs w:val="21"/>
                <w:highlight w:val="none"/>
              </w:rPr>
            </w:pPr>
          </w:p>
        </w:tc>
      </w:tr>
      <w:tr w14:paraId="3D1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14:paraId="3EE8D021">
            <w:pPr>
              <w:spacing w:line="300" w:lineRule="exact"/>
              <w:jc w:val="center"/>
              <w:rPr>
                <w:rFonts w:hint="eastAsia" w:ascii="宋体" w:hAnsi="宋体" w:eastAsia="宋体" w:cs="宋体"/>
                <w:color w:val="auto"/>
                <w:szCs w:val="21"/>
                <w:highlight w:val="none"/>
              </w:rPr>
            </w:pPr>
          </w:p>
        </w:tc>
        <w:tc>
          <w:tcPr>
            <w:tcW w:w="760" w:type="pct"/>
            <w:vAlign w:val="center"/>
          </w:tcPr>
          <w:p w14:paraId="1C2A253F">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0424C557">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70575D58">
            <w:pPr>
              <w:spacing w:line="300" w:lineRule="exact"/>
              <w:jc w:val="center"/>
              <w:rPr>
                <w:rFonts w:hint="eastAsia" w:ascii="宋体" w:hAnsi="宋体" w:eastAsia="宋体" w:cs="宋体"/>
                <w:color w:val="auto"/>
                <w:szCs w:val="21"/>
                <w:highlight w:val="none"/>
              </w:rPr>
            </w:pPr>
          </w:p>
        </w:tc>
        <w:tc>
          <w:tcPr>
            <w:tcW w:w="760" w:type="pct"/>
            <w:gridSpan w:val="2"/>
            <w:vAlign w:val="center"/>
          </w:tcPr>
          <w:p w14:paraId="65E495F0">
            <w:pPr>
              <w:spacing w:line="300" w:lineRule="exact"/>
              <w:jc w:val="center"/>
              <w:rPr>
                <w:rFonts w:hint="eastAsia" w:ascii="宋体" w:hAnsi="宋体" w:eastAsia="宋体" w:cs="宋体"/>
                <w:color w:val="auto"/>
                <w:szCs w:val="21"/>
                <w:highlight w:val="none"/>
              </w:rPr>
            </w:pPr>
          </w:p>
        </w:tc>
        <w:tc>
          <w:tcPr>
            <w:tcW w:w="1198" w:type="pct"/>
            <w:gridSpan w:val="2"/>
            <w:vAlign w:val="center"/>
          </w:tcPr>
          <w:p w14:paraId="07C2C8C2">
            <w:pPr>
              <w:spacing w:line="300" w:lineRule="exact"/>
              <w:jc w:val="center"/>
              <w:rPr>
                <w:rFonts w:hint="eastAsia" w:ascii="宋体" w:hAnsi="宋体" w:eastAsia="宋体" w:cs="宋体"/>
                <w:color w:val="auto"/>
                <w:szCs w:val="21"/>
                <w:highlight w:val="none"/>
              </w:rPr>
            </w:pPr>
          </w:p>
        </w:tc>
      </w:tr>
    </w:tbl>
    <w:p w14:paraId="6D799BD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835F41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1.附项目经理</w:t>
      </w:r>
      <w:r>
        <w:rPr>
          <w:rFonts w:hint="eastAsia" w:ascii="宋体" w:hAnsi="宋体" w:eastAsia="宋体" w:cs="宋体"/>
          <w:bCs/>
          <w:color w:val="auto"/>
          <w:kern w:val="2"/>
          <w:sz w:val="21"/>
          <w:szCs w:val="21"/>
          <w:highlight w:val="none"/>
          <w:lang w:val="en-US" w:eastAsia="zh-CN" w:bidi="ar-SA"/>
        </w:rPr>
        <w:t>执业资格证书、</w:t>
      </w:r>
      <w:r>
        <w:rPr>
          <w:rFonts w:hint="eastAsia" w:ascii="宋体" w:hAnsi="宋体" w:eastAsia="宋体" w:cs="宋体"/>
          <w:color w:val="auto"/>
          <w:szCs w:val="21"/>
          <w:highlight w:val="none"/>
        </w:rPr>
        <w:t>《安全生产考核合格证书（</w:t>
      </w:r>
      <w:r>
        <w:rPr>
          <w:rFonts w:hint="eastAsia" w:ascii="宋体" w:hAnsi="宋体" w:eastAsia="宋体" w:cs="宋体"/>
          <w:color w:val="auto"/>
          <w:szCs w:val="21"/>
          <w:highlight w:val="none"/>
          <w:lang w:val="en-US" w:eastAsia="zh-CN"/>
        </w:rPr>
        <w:t>B证</w:t>
      </w:r>
      <w:r>
        <w:rPr>
          <w:rFonts w:hint="eastAsia" w:ascii="宋体" w:hAnsi="宋体" w:eastAsia="宋体" w:cs="宋体"/>
          <w:color w:val="auto"/>
          <w:szCs w:val="21"/>
          <w:highlight w:val="none"/>
        </w:rPr>
        <w:t>）》、职称证</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、学历证（</w:t>
      </w:r>
      <w:r>
        <w:rPr>
          <w:rFonts w:hint="eastAsia" w:ascii="宋体" w:hAnsi="宋体" w:cs="宋体"/>
          <w:color w:val="auto"/>
          <w:szCs w:val="21"/>
          <w:highlight w:val="none"/>
          <w:lang w:eastAsia="zh-CN"/>
        </w:rPr>
        <w:t>如</w:t>
      </w:r>
      <w:r>
        <w:rPr>
          <w:rFonts w:hint="eastAsia" w:ascii="宋体" w:hAnsi="宋体" w:eastAsia="宋体" w:cs="宋体"/>
          <w:color w:val="auto"/>
          <w:szCs w:val="21"/>
          <w:highlight w:val="none"/>
        </w:rPr>
        <w:t>有）和已完工程（如有）《中标通知书》、工程合同协议书（如有）、工程竣工验收证明材料的扫描件（如有），以及</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认为需要增加的其他证明材料</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以上</w:t>
      </w:r>
      <w:r>
        <w:rPr>
          <w:rFonts w:hint="eastAsia" w:ascii="宋体" w:hAnsi="宋体" w:eastAsia="宋体" w:cs="宋体"/>
          <w:b/>
          <w:bCs/>
          <w:color w:val="auto"/>
          <w:szCs w:val="21"/>
          <w:highlight w:val="none"/>
          <w:lang w:val="en-US" w:eastAsia="zh-CN"/>
        </w:rPr>
        <w:t>材料是复印件的扫描件的，</w:t>
      </w:r>
      <w:r>
        <w:rPr>
          <w:rFonts w:hint="eastAsia" w:ascii="宋体" w:hAnsi="宋体" w:eastAsia="宋体" w:cs="宋体"/>
          <w:b/>
          <w:bCs/>
          <w:color w:val="auto"/>
          <w:szCs w:val="21"/>
          <w:highlight w:val="none"/>
        </w:rPr>
        <w:t>均须加盖</w:t>
      </w:r>
      <w:r>
        <w:rPr>
          <w:rFonts w:hint="eastAsia" w:ascii="宋体" w:hAnsi="宋体" w:eastAsia="宋体" w:cs="宋体"/>
          <w:b/>
          <w:bCs/>
          <w:color w:val="auto"/>
          <w:szCs w:val="21"/>
          <w:highlight w:val="none"/>
          <w:lang w:eastAsia="zh-CN"/>
        </w:rPr>
        <w:t>竞标人</w:t>
      </w:r>
      <w:r>
        <w:rPr>
          <w:rFonts w:hint="eastAsia" w:ascii="宋体" w:hAnsi="宋体" w:eastAsia="宋体" w:cs="宋体"/>
          <w:b/>
          <w:bCs/>
          <w:color w:val="auto"/>
          <w:szCs w:val="21"/>
          <w:highlight w:val="none"/>
        </w:rPr>
        <w:t>单位公章</w:t>
      </w:r>
      <w:r>
        <w:rPr>
          <w:rFonts w:hint="eastAsia" w:ascii="宋体" w:hAnsi="宋体" w:eastAsia="宋体" w:cs="宋体"/>
          <w:b/>
          <w:bCs/>
          <w:color w:val="auto"/>
          <w:szCs w:val="21"/>
          <w:highlight w:val="none"/>
          <w:lang w:val="en-US" w:eastAsia="zh-CN"/>
        </w:rPr>
        <w:t>或电子</w:t>
      </w:r>
      <w:r>
        <w:rPr>
          <w:rFonts w:hint="eastAsia" w:ascii="宋体" w:hAnsi="宋体" w:cs="宋体"/>
          <w:b/>
          <w:bCs/>
          <w:color w:val="auto"/>
          <w:szCs w:val="21"/>
          <w:highlight w:val="none"/>
          <w:lang w:val="en-US" w:eastAsia="zh-CN"/>
        </w:rPr>
        <w:t>印</w:t>
      </w:r>
      <w:r>
        <w:rPr>
          <w:rFonts w:hint="eastAsia" w:ascii="宋体" w:hAnsi="宋体" w:eastAsia="宋体" w:cs="宋体"/>
          <w:b/>
          <w:bCs/>
          <w:color w:val="auto"/>
          <w:szCs w:val="21"/>
          <w:highlight w:val="none"/>
          <w:lang w:val="en-US" w:eastAsia="zh-CN"/>
        </w:rPr>
        <w:t>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5F4A4383">
      <w:pPr>
        <w:widowControl/>
        <w:spacing w:line="300" w:lineRule="exact"/>
        <w:ind w:right="-147" w:rightChars="-7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en-US" w:eastAsia="zh-CN"/>
        </w:rPr>
        <w:br w:type="page"/>
      </w:r>
      <w:r>
        <w:rPr>
          <w:rFonts w:hint="eastAsia" w:ascii="宋体" w:hAnsi="宋体" w:eastAsia="宋体" w:cs="宋体"/>
          <w:color w:val="auto"/>
          <w:szCs w:val="21"/>
          <w:highlight w:val="none"/>
          <w:lang w:val="en-US" w:eastAsia="zh-CN"/>
        </w:rPr>
        <w:t>附表</w:t>
      </w:r>
      <w:r>
        <w:rPr>
          <w:rFonts w:hint="eastAsia" w:ascii="宋体" w:hAnsi="宋体" w:eastAsia="宋体" w:cs="宋体"/>
          <w:b w:val="0"/>
          <w:bCs w:val="0"/>
          <w:color w:val="auto"/>
          <w:szCs w:val="21"/>
          <w:highlight w:val="none"/>
        </w:rPr>
        <w:t>②</w:t>
      </w:r>
      <w:r>
        <w:rPr>
          <w:rFonts w:hint="eastAsia" w:ascii="宋体" w:hAnsi="宋体" w:cs="宋体"/>
          <w:b w:val="0"/>
          <w:bCs w:val="0"/>
          <w:color w:val="auto"/>
          <w:szCs w:val="21"/>
          <w:highlight w:val="none"/>
          <w:lang w:eastAsia="zh-CN"/>
        </w:rPr>
        <w:t>项目总工（技术负责人）</w:t>
      </w:r>
      <w:r>
        <w:rPr>
          <w:rFonts w:hint="eastAsia" w:ascii="宋体" w:hAnsi="宋体" w:eastAsia="宋体" w:cs="宋体"/>
          <w:b w:val="0"/>
          <w:bCs w:val="0"/>
          <w:color w:val="auto"/>
          <w:szCs w:val="21"/>
          <w:highlight w:val="none"/>
        </w:rPr>
        <w:t>简历表（格式）</w:t>
      </w:r>
    </w:p>
    <w:p w14:paraId="7309B3D6">
      <w:pPr>
        <w:pStyle w:val="41"/>
        <w:rPr>
          <w:rFonts w:hint="eastAsia" w:ascii="宋体" w:hAnsi="宋体" w:eastAsia="宋体" w:cs="宋体"/>
          <w:color w:val="auto"/>
          <w:highlight w:val="none"/>
        </w:rPr>
      </w:pPr>
    </w:p>
    <w:p w14:paraId="43BE67C1">
      <w:pPr>
        <w:spacing w:line="40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项目总工（技术负责人）</w:t>
      </w:r>
      <w:r>
        <w:rPr>
          <w:rFonts w:hint="eastAsia" w:ascii="宋体" w:hAnsi="宋体" w:eastAsia="宋体" w:cs="宋体"/>
          <w:b/>
          <w:color w:val="auto"/>
          <w:szCs w:val="21"/>
          <w:highlight w:val="none"/>
        </w:rPr>
        <w:t>简历表</w:t>
      </w:r>
    </w:p>
    <w:p w14:paraId="0D215D61">
      <w:pPr>
        <w:spacing w:line="400" w:lineRule="exact"/>
        <w:rPr>
          <w:rFonts w:hint="eastAsia" w:ascii="宋体" w:hAnsi="宋体" w:eastAsia="宋体" w:cs="宋体"/>
          <w:b/>
          <w:color w:val="auto"/>
          <w:sz w:val="28"/>
          <w:szCs w:val="28"/>
          <w:highlight w:val="none"/>
        </w:rPr>
      </w:pPr>
    </w:p>
    <w:p w14:paraId="2CBCD959">
      <w:pPr>
        <w:spacing w:line="400" w:lineRule="exact"/>
        <w:rPr>
          <w:rFonts w:hint="eastAsia" w:ascii="宋体" w:hAnsi="宋体" w:eastAsia="宋体" w:cs="宋体"/>
          <w:color w:val="auto"/>
          <w:szCs w:val="21"/>
          <w:highlight w:val="none"/>
          <w:u w:val="single"/>
        </w:rPr>
      </w:pPr>
      <w:bookmarkStart w:id="271" w:name="_Toc251052220"/>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1BDE753C">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项目采购编号：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bookmarkEnd w:id="271"/>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29"/>
        <w:gridCol w:w="1435"/>
        <w:gridCol w:w="306"/>
        <w:gridCol w:w="1127"/>
        <w:gridCol w:w="628"/>
        <w:gridCol w:w="808"/>
        <w:gridCol w:w="662"/>
        <w:gridCol w:w="771"/>
        <w:gridCol w:w="256"/>
        <w:gridCol w:w="2141"/>
      </w:tblGrid>
      <w:tr w14:paraId="3F16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5" w:type="pct"/>
            <w:vAlign w:val="center"/>
          </w:tcPr>
          <w:p w14:paraId="1CED5E1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pct"/>
            <w:gridSpan w:val="3"/>
            <w:vAlign w:val="center"/>
          </w:tcPr>
          <w:p w14:paraId="6E341145">
            <w:pPr>
              <w:spacing w:line="300" w:lineRule="exact"/>
              <w:jc w:val="center"/>
              <w:rPr>
                <w:rFonts w:hint="eastAsia" w:ascii="宋体" w:hAnsi="宋体" w:eastAsia="宋体" w:cs="宋体"/>
                <w:color w:val="auto"/>
                <w:szCs w:val="21"/>
                <w:highlight w:val="none"/>
              </w:rPr>
            </w:pPr>
          </w:p>
        </w:tc>
        <w:tc>
          <w:tcPr>
            <w:tcW w:w="917" w:type="pct"/>
            <w:gridSpan w:val="2"/>
            <w:vAlign w:val="center"/>
          </w:tcPr>
          <w:p w14:paraId="3A4B2C9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68" w:type="pct"/>
            <w:gridSpan w:val="2"/>
            <w:vAlign w:val="center"/>
          </w:tcPr>
          <w:p w14:paraId="71E82F5B">
            <w:pPr>
              <w:spacing w:line="300" w:lineRule="exact"/>
              <w:jc w:val="center"/>
              <w:rPr>
                <w:rFonts w:hint="eastAsia" w:ascii="宋体" w:hAnsi="宋体" w:eastAsia="宋体" w:cs="宋体"/>
                <w:color w:val="auto"/>
                <w:szCs w:val="21"/>
                <w:highlight w:val="none"/>
              </w:rPr>
            </w:pPr>
          </w:p>
        </w:tc>
        <w:tc>
          <w:tcPr>
            <w:tcW w:w="537" w:type="pct"/>
            <w:gridSpan w:val="2"/>
            <w:vAlign w:val="center"/>
          </w:tcPr>
          <w:p w14:paraId="2275CE6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17" w:type="pct"/>
            <w:vAlign w:val="center"/>
          </w:tcPr>
          <w:p w14:paraId="07FBF65A">
            <w:pPr>
              <w:spacing w:line="300" w:lineRule="exact"/>
              <w:jc w:val="center"/>
              <w:rPr>
                <w:rFonts w:hint="eastAsia" w:ascii="宋体" w:hAnsi="宋体" w:eastAsia="宋体" w:cs="宋体"/>
                <w:color w:val="auto"/>
                <w:szCs w:val="21"/>
                <w:highlight w:val="none"/>
              </w:rPr>
            </w:pPr>
          </w:p>
        </w:tc>
      </w:tr>
      <w:tr w14:paraId="267F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5" w:type="pct"/>
            <w:vAlign w:val="center"/>
          </w:tcPr>
          <w:p w14:paraId="41C8C6E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pct"/>
            <w:gridSpan w:val="3"/>
            <w:vAlign w:val="center"/>
          </w:tcPr>
          <w:p w14:paraId="033A44C7">
            <w:pPr>
              <w:spacing w:line="300" w:lineRule="exact"/>
              <w:jc w:val="center"/>
              <w:rPr>
                <w:rFonts w:hint="eastAsia" w:ascii="宋体" w:hAnsi="宋体" w:eastAsia="宋体" w:cs="宋体"/>
                <w:color w:val="auto"/>
                <w:szCs w:val="21"/>
                <w:highlight w:val="none"/>
              </w:rPr>
            </w:pPr>
          </w:p>
        </w:tc>
        <w:tc>
          <w:tcPr>
            <w:tcW w:w="917" w:type="pct"/>
            <w:gridSpan w:val="2"/>
            <w:vAlign w:val="center"/>
          </w:tcPr>
          <w:p w14:paraId="229E51F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68" w:type="pct"/>
            <w:gridSpan w:val="2"/>
            <w:vAlign w:val="center"/>
          </w:tcPr>
          <w:p w14:paraId="38AB3FC8">
            <w:pPr>
              <w:spacing w:line="300" w:lineRule="exact"/>
              <w:jc w:val="center"/>
              <w:rPr>
                <w:rFonts w:hint="eastAsia" w:ascii="宋体" w:hAnsi="宋体" w:eastAsia="宋体" w:cs="宋体"/>
                <w:color w:val="auto"/>
                <w:szCs w:val="21"/>
                <w:highlight w:val="none"/>
              </w:rPr>
            </w:pPr>
          </w:p>
        </w:tc>
        <w:tc>
          <w:tcPr>
            <w:tcW w:w="537" w:type="pct"/>
            <w:gridSpan w:val="2"/>
            <w:vAlign w:val="center"/>
          </w:tcPr>
          <w:p w14:paraId="3E38BDE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17" w:type="pct"/>
            <w:vAlign w:val="center"/>
          </w:tcPr>
          <w:p w14:paraId="436FA70B">
            <w:pPr>
              <w:spacing w:line="300" w:lineRule="exact"/>
              <w:jc w:val="center"/>
              <w:rPr>
                <w:rFonts w:hint="eastAsia" w:ascii="宋体" w:hAnsi="宋体" w:eastAsia="宋体" w:cs="宋体"/>
                <w:color w:val="auto"/>
                <w:szCs w:val="21"/>
                <w:highlight w:val="none"/>
              </w:rPr>
            </w:pPr>
          </w:p>
        </w:tc>
      </w:tr>
      <w:tr w14:paraId="4071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9" w:type="pct"/>
            <w:gridSpan w:val="4"/>
            <w:vAlign w:val="center"/>
          </w:tcPr>
          <w:p w14:paraId="5B00C9D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917" w:type="pct"/>
            <w:gridSpan w:val="2"/>
            <w:vAlign w:val="center"/>
          </w:tcPr>
          <w:p w14:paraId="0F3A6E04">
            <w:pPr>
              <w:spacing w:line="300" w:lineRule="exact"/>
              <w:jc w:val="center"/>
              <w:rPr>
                <w:rFonts w:hint="eastAsia" w:ascii="宋体" w:hAnsi="宋体" w:eastAsia="宋体" w:cs="宋体"/>
                <w:color w:val="auto"/>
                <w:szCs w:val="21"/>
                <w:highlight w:val="none"/>
              </w:rPr>
            </w:pPr>
          </w:p>
        </w:tc>
        <w:tc>
          <w:tcPr>
            <w:tcW w:w="1305" w:type="pct"/>
            <w:gridSpan w:val="4"/>
            <w:vAlign w:val="center"/>
          </w:tcPr>
          <w:p w14:paraId="1F0095C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cs="宋体"/>
                <w:color w:val="auto"/>
                <w:szCs w:val="21"/>
                <w:highlight w:val="none"/>
                <w:lang w:eastAsia="zh-CN"/>
              </w:rPr>
              <w:t>总工</w:t>
            </w:r>
            <w:r>
              <w:rPr>
                <w:rFonts w:hint="eastAsia" w:ascii="宋体" w:hAnsi="宋体" w:eastAsia="宋体" w:cs="宋体"/>
                <w:color w:val="auto"/>
                <w:szCs w:val="21"/>
                <w:highlight w:val="none"/>
              </w:rPr>
              <w:t>年限</w:t>
            </w:r>
          </w:p>
        </w:tc>
        <w:tc>
          <w:tcPr>
            <w:tcW w:w="1117" w:type="pct"/>
            <w:vAlign w:val="center"/>
          </w:tcPr>
          <w:p w14:paraId="5BA18E26">
            <w:pPr>
              <w:spacing w:line="300" w:lineRule="exact"/>
              <w:jc w:val="center"/>
              <w:rPr>
                <w:rFonts w:hint="eastAsia" w:ascii="宋体" w:hAnsi="宋体" w:eastAsia="宋体" w:cs="宋体"/>
                <w:color w:val="auto"/>
                <w:szCs w:val="21"/>
                <w:highlight w:val="none"/>
              </w:rPr>
            </w:pPr>
          </w:p>
        </w:tc>
      </w:tr>
      <w:tr w14:paraId="7F90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14:paraId="47A8C6F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在建和已完工程项目情况</w:t>
            </w:r>
          </w:p>
        </w:tc>
      </w:tr>
      <w:tr w14:paraId="4DD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14:paraId="2A38F11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750" w:type="pct"/>
            <w:vAlign w:val="center"/>
          </w:tcPr>
          <w:p w14:paraId="6E1C3EB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9" w:type="pct"/>
            <w:gridSpan w:val="2"/>
            <w:vAlign w:val="center"/>
          </w:tcPr>
          <w:p w14:paraId="2A4C9D8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750" w:type="pct"/>
            <w:gridSpan w:val="2"/>
            <w:vAlign w:val="center"/>
          </w:tcPr>
          <w:p w14:paraId="267FE53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开、竣工日期</w:t>
            </w:r>
          </w:p>
        </w:tc>
        <w:tc>
          <w:tcPr>
            <w:tcW w:w="749" w:type="pct"/>
            <w:gridSpan w:val="2"/>
            <w:vAlign w:val="center"/>
          </w:tcPr>
          <w:p w14:paraId="2C9D7D7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在建或已完</w:t>
            </w:r>
          </w:p>
        </w:tc>
        <w:tc>
          <w:tcPr>
            <w:tcW w:w="1249" w:type="pct"/>
            <w:gridSpan w:val="2"/>
            <w:vAlign w:val="center"/>
          </w:tcPr>
          <w:p w14:paraId="08BAB2B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r>
      <w:tr w14:paraId="2AF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14:paraId="3CD7D682">
            <w:pPr>
              <w:spacing w:line="300" w:lineRule="exact"/>
              <w:jc w:val="center"/>
              <w:rPr>
                <w:rFonts w:hint="eastAsia" w:ascii="宋体" w:hAnsi="宋体" w:eastAsia="宋体" w:cs="宋体"/>
                <w:color w:val="auto"/>
                <w:szCs w:val="21"/>
                <w:highlight w:val="none"/>
              </w:rPr>
            </w:pPr>
          </w:p>
        </w:tc>
        <w:tc>
          <w:tcPr>
            <w:tcW w:w="750" w:type="pct"/>
            <w:vAlign w:val="center"/>
          </w:tcPr>
          <w:p w14:paraId="786635DA">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1673BD90">
            <w:pPr>
              <w:spacing w:line="300" w:lineRule="exact"/>
              <w:jc w:val="center"/>
              <w:rPr>
                <w:rFonts w:hint="eastAsia" w:ascii="宋体" w:hAnsi="宋体" w:eastAsia="宋体" w:cs="宋体"/>
                <w:color w:val="auto"/>
                <w:szCs w:val="21"/>
                <w:highlight w:val="none"/>
              </w:rPr>
            </w:pPr>
          </w:p>
        </w:tc>
        <w:tc>
          <w:tcPr>
            <w:tcW w:w="750" w:type="pct"/>
            <w:gridSpan w:val="2"/>
            <w:vAlign w:val="center"/>
          </w:tcPr>
          <w:p w14:paraId="49628DE1">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2ED37FD3">
            <w:pPr>
              <w:spacing w:line="300" w:lineRule="exact"/>
              <w:jc w:val="center"/>
              <w:rPr>
                <w:rFonts w:hint="eastAsia" w:ascii="宋体" w:hAnsi="宋体" w:eastAsia="宋体" w:cs="宋体"/>
                <w:color w:val="auto"/>
                <w:szCs w:val="21"/>
                <w:highlight w:val="none"/>
              </w:rPr>
            </w:pPr>
          </w:p>
        </w:tc>
        <w:tc>
          <w:tcPr>
            <w:tcW w:w="1249" w:type="pct"/>
            <w:gridSpan w:val="2"/>
            <w:vAlign w:val="center"/>
          </w:tcPr>
          <w:p w14:paraId="44D06507">
            <w:pPr>
              <w:spacing w:line="300" w:lineRule="exact"/>
              <w:jc w:val="center"/>
              <w:rPr>
                <w:rFonts w:hint="eastAsia" w:ascii="宋体" w:hAnsi="宋体" w:eastAsia="宋体" w:cs="宋体"/>
                <w:color w:val="auto"/>
                <w:szCs w:val="21"/>
                <w:highlight w:val="none"/>
              </w:rPr>
            </w:pPr>
          </w:p>
        </w:tc>
      </w:tr>
      <w:tr w14:paraId="3E84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14:paraId="37916A27">
            <w:pPr>
              <w:spacing w:line="300" w:lineRule="exact"/>
              <w:jc w:val="center"/>
              <w:rPr>
                <w:rFonts w:hint="eastAsia" w:ascii="宋体" w:hAnsi="宋体" w:eastAsia="宋体" w:cs="宋体"/>
                <w:color w:val="auto"/>
                <w:szCs w:val="21"/>
                <w:highlight w:val="none"/>
              </w:rPr>
            </w:pPr>
          </w:p>
        </w:tc>
        <w:tc>
          <w:tcPr>
            <w:tcW w:w="750" w:type="pct"/>
            <w:vAlign w:val="center"/>
          </w:tcPr>
          <w:p w14:paraId="057BF0A6">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56558CF1">
            <w:pPr>
              <w:spacing w:line="300" w:lineRule="exact"/>
              <w:jc w:val="center"/>
              <w:rPr>
                <w:rFonts w:hint="eastAsia" w:ascii="宋体" w:hAnsi="宋体" w:eastAsia="宋体" w:cs="宋体"/>
                <w:color w:val="auto"/>
                <w:szCs w:val="21"/>
                <w:highlight w:val="none"/>
              </w:rPr>
            </w:pPr>
          </w:p>
        </w:tc>
        <w:tc>
          <w:tcPr>
            <w:tcW w:w="750" w:type="pct"/>
            <w:gridSpan w:val="2"/>
            <w:vAlign w:val="center"/>
          </w:tcPr>
          <w:p w14:paraId="48585E6B">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7AC6D10C">
            <w:pPr>
              <w:spacing w:line="300" w:lineRule="exact"/>
              <w:jc w:val="center"/>
              <w:rPr>
                <w:rFonts w:hint="eastAsia" w:ascii="宋体" w:hAnsi="宋体" w:eastAsia="宋体" w:cs="宋体"/>
                <w:color w:val="auto"/>
                <w:szCs w:val="21"/>
                <w:highlight w:val="none"/>
              </w:rPr>
            </w:pPr>
          </w:p>
        </w:tc>
        <w:tc>
          <w:tcPr>
            <w:tcW w:w="1249" w:type="pct"/>
            <w:gridSpan w:val="2"/>
            <w:vAlign w:val="center"/>
          </w:tcPr>
          <w:p w14:paraId="5C2002C3">
            <w:pPr>
              <w:spacing w:line="300" w:lineRule="exact"/>
              <w:jc w:val="center"/>
              <w:rPr>
                <w:rFonts w:hint="eastAsia" w:ascii="宋体" w:hAnsi="宋体" w:eastAsia="宋体" w:cs="宋体"/>
                <w:color w:val="auto"/>
                <w:szCs w:val="21"/>
                <w:highlight w:val="none"/>
              </w:rPr>
            </w:pPr>
          </w:p>
        </w:tc>
      </w:tr>
      <w:tr w14:paraId="5A3F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14:paraId="3565FC98">
            <w:pPr>
              <w:spacing w:line="300" w:lineRule="exact"/>
              <w:jc w:val="center"/>
              <w:rPr>
                <w:rFonts w:hint="eastAsia" w:ascii="宋体" w:hAnsi="宋体" w:eastAsia="宋体" w:cs="宋体"/>
                <w:color w:val="auto"/>
                <w:szCs w:val="21"/>
                <w:highlight w:val="none"/>
              </w:rPr>
            </w:pPr>
          </w:p>
        </w:tc>
        <w:tc>
          <w:tcPr>
            <w:tcW w:w="750" w:type="pct"/>
            <w:vAlign w:val="center"/>
          </w:tcPr>
          <w:p w14:paraId="153B1289">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32AB13C2">
            <w:pPr>
              <w:spacing w:line="300" w:lineRule="exact"/>
              <w:jc w:val="center"/>
              <w:rPr>
                <w:rFonts w:hint="eastAsia" w:ascii="宋体" w:hAnsi="宋体" w:eastAsia="宋体" w:cs="宋体"/>
                <w:color w:val="auto"/>
                <w:szCs w:val="21"/>
                <w:highlight w:val="none"/>
              </w:rPr>
            </w:pPr>
          </w:p>
        </w:tc>
        <w:tc>
          <w:tcPr>
            <w:tcW w:w="750" w:type="pct"/>
            <w:gridSpan w:val="2"/>
            <w:vAlign w:val="center"/>
          </w:tcPr>
          <w:p w14:paraId="3FE7FEEC">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165566F2">
            <w:pPr>
              <w:spacing w:line="300" w:lineRule="exact"/>
              <w:jc w:val="center"/>
              <w:rPr>
                <w:rFonts w:hint="eastAsia" w:ascii="宋体" w:hAnsi="宋体" w:eastAsia="宋体" w:cs="宋体"/>
                <w:color w:val="auto"/>
                <w:szCs w:val="21"/>
                <w:highlight w:val="none"/>
              </w:rPr>
            </w:pPr>
          </w:p>
        </w:tc>
        <w:tc>
          <w:tcPr>
            <w:tcW w:w="1249" w:type="pct"/>
            <w:gridSpan w:val="2"/>
            <w:vAlign w:val="center"/>
          </w:tcPr>
          <w:p w14:paraId="34388AF9">
            <w:pPr>
              <w:spacing w:line="300" w:lineRule="exact"/>
              <w:jc w:val="center"/>
              <w:rPr>
                <w:rFonts w:hint="eastAsia" w:ascii="宋体" w:hAnsi="宋体" w:eastAsia="宋体" w:cs="宋体"/>
                <w:color w:val="auto"/>
                <w:szCs w:val="21"/>
                <w:highlight w:val="none"/>
              </w:rPr>
            </w:pPr>
          </w:p>
        </w:tc>
      </w:tr>
      <w:tr w14:paraId="6F48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14:paraId="278D4706">
            <w:pPr>
              <w:spacing w:line="300" w:lineRule="exact"/>
              <w:jc w:val="center"/>
              <w:rPr>
                <w:rFonts w:hint="eastAsia" w:ascii="宋体" w:hAnsi="宋体" w:eastAsia="宋体" w:cs="宋体"/>
                <w:color w:val="auto"/>
                <w:szCs w:val="21"/>
                <w:highlight w:val="none"/>
              </w:rPr>
            </w:pPr>
          </w:p>
        </w:tc>
        <w:tc>
          <w:tcPr>
            <w:tcW w:w="750" w:type="pct"/>
            <w:vAlign w:val="center"/>
          </w:tcPr>
          <w:p w14:paraId="6F281ACF">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3BB72E7E">
            <w:pPr>
              <w:spacing w:line="300" w:lineRule="exact"/>
              <w:jc w:val="center"/>
              <w:rPr>
                <w:rFonts w:hint="eastAsia" w:ascii="宋体" w:hAnsi="宋体" w:eastAsia="宋体" w:cs="宋体"/>
                <w:color w:val="auto"/>
                <w:szCs w:val="21"/>
                <w:highlight w:val="none"/>
              </w:rPr>
            </w:pPr>
          </w:p>
        </w:tc>
        <w:tc>
          <w:tcPr>
            <w:tcW w:w="750" w:type="pct"/>
            <w:gridSpan w:val="2"/>
            <w:vAlign w:val="center"/>
          </w:tcPr>
          <w:p w14:paraId="58A9C948">
            <w:pPr>
              <w:spacing w:line="300" w:lineRule="exact"/>
              <w:jc w:val="center"/>
              <w:rPr>
                <w:rFonts w:hint="eastAsia" w:ascii="宋体" w:hAnsi="宋体" w:eastAsia="宋体" w:cs="宋体"/>
                <w:color w:val="auto"/>
                <w:szCs w:val="21"/>
                <w:highlight w:val="none"/>
              </w:rPr>
            </w:pPr>
          </w:p>
        </w:tc>
        <w:tc>
          <w:tcPr>
            <w:tcW w:w="749" w:type="pct"/>
            <w:gridSpan w:val="2"/>
            <w:vAlign w:val="center"/>
          </w:tcPr>
          <w:p w14:paraId="23617A4C">
            <w:pPr>
              <w:spacing w:line="300" w:lineRule="exact"/>
              <w:jc w:val="center"/>
              <w:rPr>
                <w:rFonts w:hint="eastAsia" w:ascii="宋体" w:hAnsi="宋体" w:eastAsia="宋体" w:cs="宋体"/>
                <w:color w:val="auto"/>
                <w:szCs w:val="21"/>
                <w:highlight w:val="none"/>
              </w:rPr>
            </w:pPr>
          </w:p>
        </w:tc>
        <w:tc>
          <w:tcPr>
            <w:tcW w:w="1249" w:type="pct"/>
            <w:gridSpan w:val="2"/>
            <w:vAlign w:val="center"/>
          </w:tcPr>
          <w:p w14:paraId="627ACB3B">
            <w:pPr>
              <w:spacing w:line="300" w:lineRule="exact"/>
              <w:jc w:val="center"/>
              <w:rPr>
                <w:rFonts w:hint="eastAsia" w:ascii="宋体" w:hAnsi="宋体" w:eastAsia="宋体" w:cs="宋体"/>
                <w:color w:val="auto"/>
                <w:szCs w:val="21"/>
                <w:highlight w:val="none"/>
              </w:rPr>
            </w:pPr>
          </w:p>
        </w:tc>
      </w:tr>
    </w:tbl>
    <w:p w14:paraId="1A124A2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050A23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1.附</w:t>
      </w:r>
      <w:r>
        <w:rPr>
          <w:rFonts w:hint="eastAsia" w:ascii="宋体" w:hAnsi="宋体" w:cs="宋体"/>
          <w:color w:val="auto"/>
          <w:szCs w:val="21"/>
          <w:highlight w:val="none"/>
          <w:lang w:eastAsia="zh-CN"/>
        </w:rPr>
        <w:t>项目总工（技术负责人）</w:t>
      </w:r>
      <w:r>
        <w:rPr>
          <w:rFonts w:hint="eastAsia" w:ascii="宋体" w:hAnsi="宋体" w:eastAsia="宋体" w:cs="宋体"/>
          <w:color w:val="auto"/>
          <w:szCs w:val="21"/>
          <w:highlight w:val="none"/>
        </w:rPr>
        <w:t>的职称证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学历证（</w:t>
      </w:r>
      <w:r>
        <w:rPr>
          <w:rFonts w:hint="eastAsia" w:ascii="宋体" w:hAnsi="宋体" w:cs="宋体"/>
          <w:color w:val="auto"/>
          <w:szCs w:val="21"/>
          <w:highlight w:val="none"/>
          <w:lang w:eastAsia="zh-CN"/>
        </w:rPr>
        <w:t>如</w:t>
      </w:r>
      <w:r>
        <w:rPr>
          <w:rFonts w:hint="eastAsia" w:ascii="宋体" w:hAnsi="宋体" w:eastAsia="宋体" w:cs="宋体"/>
          <w:color w:val="auto"/>
          <w:szCs w:val="21"/>
          <w:highlight w:val="none"/>
        </w:rPr>
        <w:t>有）和已完工程（如有）《中标通知书》、工程合同协议书（如有）、工程竣工验收证明材料的扫描件（如有），以及</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认为需要增加的其他证明材料</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以上</w:t>
      </w:r>
      <w:r>
        <w:rPr>
          <w:rFonts w:hint="eastAsia" w:ascii="宋体" w:hAnsi="宋体" w:eastAsia="宋体" w:cs="宋体"/>
          <w:b/>
          <w:bCs/>
          <w:color w:val="auto"/>
          <w:szCs w:val="21"/>
          <w:highlight w:val="none"/>
          <w:lang w:val="en-US" w:eastAsia="zh-CN"/>
        </w:rPr>
        <w:t>材料是复印件的扫描件的，</w:t>
      </w:r>
      <w:r>
        <w:rPr>
          <w:rFonts w:hint="eastAsia" w:ascii="宋体" w:hAnsi="宋体" w:eastAsia="宋体" w:cs="宋体"/>
          <w:b/>
          <w:bCs/>
          <w:color w:val="auto"/>
          <w:szCs w:val="21"/>
          <w:highlight w:val="none"/>
        </w:rPr>
        <w:t>均须加盖</w:t>
      </w:r>
      <w:r>
        <w:rPr>
          <w:rFonts w:hint="eastAsia" w:ascii="宋体" w:hAnsi="宋体" w:eastAsia="宋体" w:cs="宋体"/>
          <w:b/>
          <w:bCs/>
          <w:color w:val="auto"/>
          <w:szCs w:val="21"/>
          <w:highlight w:val="none"/>
          <w:lang w:eastAsia="zh-CN"/>
        </w:rPr>
        <w:t>竞标人</w:t>
      </w:r>
      <w:r>
        <w:rPr>
          <w:rFonts w:hint="eastAsia" w:ascii="宋体" w:hAnsi="宋体" w:eastAsia="宋体" w:cs="宋体"/>
          <w:b/>
          <w:bCs/>
          <w:color w:val="auto"/>
          <w:szCs w:val="21"/>
          <w:highlight w:val="none"/>
        </w:rPr>
        <w:t>单位公章</w:t>
      </w:r>
      <w:r>
        <w:rPr>
          <w:rFonts w:hint="eastAsia" w:ascii="宋体" w:hAnsi="宋体" w:eastAsia="宋体" w:cs="宋体"/>
          <w:b/>
          <w:bCs/>
          <w:color w:val="auto"/>
          <w:szCs w:val="21"/>
          <w:highlight w:val="none"/>
          <w:lang w:val="en-US" w:eastAsia="zh-CN"/>
        </w:rPr>
        <w:t>或电子</w:t>
      </w:r>
      <w:r>
        <w:rPr>
          <w:rFonts w:hint="eastAsia" w:ascii="宋体" w:hAnsi="宋体" w:cs="宋体"/>
          <w:b/>
          <w:bCs/>
          <w:color w:val="auto"/>
          <w:szCs w:val="21"/>
          <w:highlight w:val="none"/>
          <w:lang w:val="en-US" w:eastAsia="zh-CN"/>
        </w:rPr>
        <w:t>印</w:t>
      </w:r>
      <w:r>
        <w:rPr>
          <w:rFonts w:hint="eastAsia" w:ascii="宋体" w:hAnsi="宋体" w:eastAsia="宋体" w:cs="宋体"/>
          <w:b/>
          <w:bCs/>
          <w:color w:val="auto"/>
          <w:szCs w:val="21"/>
          <w:highlight w:val="none"/>
          <w:lang w:val="en-US" w:eastAsia="zh-CN"/>
        </w:rPr>
        <w:t>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2F85CCB8">
      <w:pPr>
        <w:spacing w:line="400" w:lineRule="exact"/>
        <w:ind w:firstLine="420" w:firstLineChars="200"/>
        <w:rPr>
          <w:rFonts w:hint="eastAsia" w:ascii="宋体" w:hAnsi="宋体" w:eastAsia="宋体" w:cs="宋体"/>
          <w:color w:val="auto"/>
          <w:szCs w:val="21"/>
          <w:highlight w:val="none"/>
        </w:rPr>
      </w:pPr>
    </w:p>
    <w:p w14:paraId="397E51F1">
      <w:pPr>
        <w:spacing w:line="400" w:lineRule="exact"/>
        <w:rPr>
          <w:rFonts w:hint="eastAsia" w:ascii="宋体" w:hAnsi="宋体" w:eastAsia="宋体" w:cs="宋体"/>
          <w:color w:val="auto"/>
          <w:szCs w:val="21"/>
          <w:highlight w:val="none"/>
        </w:rPr>
      </w:pPr>
    </w:p>
    <w:p w14:paraId="65884446">
      <w:pPr>
        <w:widowControl/>
        <w:spacing w:line="300" w:lineRule="exact"/>
        <w:ind w:right="-147" w:rightChars="-70"/>
        <w:jc w:val="center"/>
        <w:rPr>
          <w:rFonts w:hint="eastAsia" w:ascii="宋体" w:hAnsi="宋体" w:eastAsia="宋体" w:cs="宋体"/>
          <w:color w:val="auto"/>
          <w:szCs w:val="21"/>
          <w:highlight w:val="none"/>
        </w:rPr>
      </w:pPr>
    </w:p>
    <w:p w14:paraId="63087C90">
      <w:pPr>
        <w:widowControl/>
        <w:spacing w:line="300" w:lineRule="exact"/>
        <w:ind w:right="-147" w:rightChars="-70"/>
        <w:jc w:val="center"/>
        <w:rPr>
          <w:rFonts w:hint="eastAsia" w:ascii="宋体" w:hAnsi="宋体" w:eastAsia="宋体" w:cs="宋体"/>
          <w:color w:val="auto"/>
          <w:szCs w:val="21"/>
          <w:highlight w:val="none"/>
        </w:rPr>
      </w:pPr>
    </w:p>
    <w:p w14:paraId="143BD67C">
      <w:pPr>
        <w:widowControl/>
        <w:spacing w:line="300" w:lineRule="exact"/>
        <w:ind w:right="-147" w:rightChars="-70"/>
        <w:jc w:val="center"/>
        <w:rPr>
          <w:rFonts w:hint="eastAsia" w:ascii="宋体" w:hAnsi="宋体" w:eastAsia="宋体" w:cs="宋体"/>
          <w:color w:val="auto"/>
          <w:szCs w:val="21"/>
          <w:highlight w:val="none"/>
        </w:rPr>
      </w:pPr>
    </w:p>
    <w:p w14:paraId="19B97F33">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17FD1DFA">
      <w:pPr>
        <w:widowControl/>
        <w:numPr>
          <w:ilvl w:val="0"/>
          <w:numId w:val="0"/>
        </w:numPr>
        <w:spacing w:line="300" w:lineRule="exact"/>
        <w:ind w:right="-147" w:rightChars="-70"/>
        <w:jc w:val="center"/>
        <w:rPr>
          <w:rFonts w:hint="eastAsia" w:ascii="宋体" w:hAnsi="宋体" w:eastAsia="宋体" w:cs="宋体"/>
          <w:b/>
          <w:color w:val="auto"/>
          <w:sz w:val="28"/>
          <w:szCs w:val="28"/>
          <w:highlight w:val="none"/>
          <w:lang w:val="en-US" w:eastAsia="zh-CN"/>
        </w:rPr>
      </w:pPr>
    </w:p>
    <w:p w14:paraId="1A7A48F7">
      <w:pP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二</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施工组织设计</w:t>
      </w:r>
    </w:p>
    <w:p w14:paraId="5F09CDFC">
      <w:pPr>
        <w:pStyle w:val="41"/>
        <w:numPr>
          <w:ilvl w:val="0"/>
          <w:numId w:val="0"/>
        </w:numPr>
        <w:ind w:leftChars="200"/>
        <w:rPr>
          <w:rFonts w:hint="eastAsia" w:ascii="宋体" w:hAnsi="宋体" w:eastAsia="宋体" w:cs="宋体"/>
          <w:color w:val="auto"/>
          <w:highlight w:val="none"/>
        </w:rPr>
      </w:pPr>
    </w:p>
    <w:p w14:paraId="442C701F">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7A865B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2.施工组织设计除采用文字表述外可附下列图表，图表及格式附后。</w:t>
      </w:r>
    </w:p>
    <w:p w14:paraId="5A4AE1B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14:paraId="3219E92C">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14:paraId="21792F0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14:paraId="4391E004">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14:paraId="047A620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14:paraId="5CF5CC92">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14:paraId="2235401A">
      <w:pPr>
        <w:spacing w:line="400" w:lineRule="exact"/>
        <w:rPr>
          <w:rFonts w:hint="eastAsia" w:ascii="宋体" w:hAnsi="宋体" w:eastAsia="宋体" w:cs="宋体"/>
          <w:color w:val="auto"/>
          <w:highlight w:val="none"/>
        </w:rPr>
      </w:pPr>
    </w:p>
    <w:p w14:paraId="57C12E3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970"/>
        <w:gridCol w:w="970"/>
        <w:gridCol w:w="972"/>
        <w:gridCol w:w="970"/>
        <w:gridCol w:w="970"/>
        <w:gridCol w:w="1056"/>
        <w:gridCol w:w="970"/>
        <w:gridCol w:w="971"/>
        <w:gridCol w:w="973"/>
      </w:tblGrid>
      <w:tr w14:paraId="3C88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Align w:val="center"/>
          </w:tcPr>
          <w:p w14:paraId="250AB33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11" w:type="pct"/>
            <w:vAlign w:val="center"/>
          </w:tcPr>
          <w:p w14:paraId="0107A2C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511" w:type="pct"/>
            <w:vAlign w:val="center"/>
          </w:tcPr>
          <w:p w14:paraId="477B193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512" w:type="pct"/>
            <w:vAlign w:val="center"/>
          </w:tcPr>
          <w:p w14:paraId="0FA4FC2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11" w:type="pct"/>
            <w:vAlign w:val="center"/>
          </w:tcPr>
          <w:p w14:paraId="0C9FE86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511" w:type="pct"/>
            <w:vAlign w:val="center"/>
          </w:tcPr>
          <w:p w14:paraId="556E774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512" w:type="pct"/>
            <w:vAlign w:val="center"/>
          </w:tcPr>
          <w:p w14:paraId="18E6C0D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49173C1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KW ）</w:t>
            </w:r>
          </w:p>
        </w:tc>
        <w:tc>
          <w:tcPr>
            <w:tcW w:w="511" w:type="pct"/>
            <w:vAlign w:val="center"/>
          </w:tcPr>
          <w:p w14:paraId="2EC3473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511" w:type="pct"/>
            <w:vAlign w:val="center"/>
          </w:tcPr>
          <w:p w14:paraId="6D64033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用于施工部位</w:t>
            </w:r>
          </w:p>
        </w:tc>
        <w:tc>
          <w:tcPr>
            <w:tcW w:w="512" w:type="pct"/>
            <w:vAlign w:val="center"/>
          </w:tcPr>
          <w:p w14:paraId="4641540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BA8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Align w:val="center"/>
          </w:tcPr>
          <w:p w14:paraId="563DFEC9">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11" w:type="pct"/>
            <w:vAlign w:val="center"/>
          </w:tcPr>
          <w:p w14:paraId="007D45E5">
            <w:pPr>
              <w:spacing w:line="300" w:lineRule="exact"/>
              <w:ind w:firstLine="420" w:firstLineChars="200"/>
              <w:jc w:val="center"/>
              <w:rPr>
                <w:rFonts w:hint="eastAsia" w:ascii="宋体" w:hAnsi="宋体" w:eastAsia="宋体" w:cs="宋体"/>
                <w:color w:val="auto"/>
                <w:szCs w:val="21"/>
                <w:highlight w:val="none"/>
              </w:rPr>
            </w:pPr>
          </w:p>
        </w:tc>
        <w:tc>
          <w:tcPr>
            <w:tcW w:w="511" w:type="pct"/>
            <w:vAlign w:val="center"/>
          </w:tcPr>
          <w:p w14:paraId="23DAD8B3">
            <w:pPr>
              <w:spacing w:line="300" w:lineRule="exact"/>
              <w:jc w:val="center"/>
              <w:rPr>
                <w:rFonts w:hint="eastAsia" w:ascii="宋体" w:hAnsi="宋体" w:eastAsia="宋体" w:cs="宋体"/>
                <w:color w:val="auto"/>
                <w:szCs w:val="21"/>
                <w:highlight w:val="none"/>
              </w:rPr>
            </w:pPr>
          </w:p>
        </w:tc>
        <w:tc>
          <w:tcPr>
            <w:tcW w:w="512" w:type="pct"/>
            <w:vAlign w:val="center"/>
          </w:tcPr>
          <w:p w14:paraId="67056840">
            <w:pPr>
              <w:spacing w:line="300" w:lineRule="exact"/>
              <w:jc w:val="center"/>
              <w:rPr>
                <w:rFonts w:hint="eastAsia" w:ascii="宋体" w:hAnsi="宋体" w:eastAsia="宋体" w:cs="宋体"/>
                <w:color w:val="auto"/>
                <w:szCs w:val="21"/>
                <w:highlight w:val="none"/>
              </w:rPr>
            </w:pPr>
          </w:p>
        </w:tc>
        <w:tc>
          <w:tcPr>
            <w:tcW w:w="511" w:type="pct"/>
            <w:vAlign w:val="center"/>
          </w:tcPr>
          <w:p w14:paraId="5C97B28B">
            <w:pPr>
              <w:spacing w:line="300" w:lineRule="exact"/>
              <w:jc w:val="center"/>
              <w:rPr>
                <w:rFonts w:hint="eastAsia" w:ascii="宋体" w:hAnsi="宋体" w:eastAsia="宋体" w:cs="宋体"/>
                <w:color w:val="auto"/>
                <w:szCs w:val="21"/>
                <w:highlight w:val="none"/>
              </w:rPr>
            </w:pPr>
          </w:p>
        </w:tc>
        <w:tc>
          <w:tcPr>
            <w:tcW w:w="511" w:type="pct"/>
            <w:vAlign w:val="center"/>
          </w:tcPr>
          <w:p w14:paraId="7EBCE2B5">
            <w:pPr>
              <w:spacing w:line="300" w:lineRule="exact"/>
              <w:jc w:val="center"/>
              <w:rPr>
                <w:rFonts w:hint="eastAsia" w:ascii="宋体" w:hAnsi="宋体" w:eastAsia="宋体" w:cs="宋体"/>
                <w:color w:val="auto"/>
                <w:szCs w:val="21"/>
                <w:highlight w:val="none"/>
              </w:rPr>
            </w:pPr>
          </w:p>
        </w:tc>
        <w:tc>
          <w:tcPr>
            <w:tcW w:w="512" w:type="pct"/>
            <w:vAlign w:val="center"/>
          </w:tcPr>
          <w:p w14:paraId="7646A0EE">
            <w:pPr>
              <w:spacing w:line="300" w:lineRule="exact"/>
              <w:jc w:val="center"/>
              <w:rPr>
                <w:rFonts w:hint="eastAsia" w:ascii="宋体" w:hAnsi="宋体" w:eastAsia="宋体" w:cs="宋体"/>
                <w:color w:val="auto"/>
                <w:szCs w:val="21"/>
                <w:highlight w:val="none"/>
              </w:rPr>
            </w:pPr>
          </w:p>
        </w:tc>
        <w:tc>
          <w:tcPr>
            <w:tcW w:w="511" w:type="pct"/>
            <w:vAlign w:val="center"/>
          </w:tcPr>
          <w:p w14:paraId="47D3729F">
            <w:pPr>
              <w:spacing w:line="300" w:lineRule="exact"/>
              <w:jc w:val="center"/>
              <w:rPr>
                <w:rFonts w:hint="eastAsia" w:ascii="宋体" w:hAnsi="宋体" w:eastAsia="宋体" w:cs="宋体"/>
                <w:color w:val="auto"/>
                <w:szCs w:val="21"/>
                <w:highlight w:val="none"/>
              </w:rPr>
            </w:pPr>
          </w:p>
        </w:tc>
        <w:tc>
          <w:tcPr>
            <w:tcW w:w="511" w:type="pct"/>
            <w:vAlign w:val="center"/>
          </w:tcPr>
          <w:p w14:paraId="6E013666">
            <w:pPr>
              <w:spacing w:line="300" w:lineRule="exact"/>
              <w:jc w:val="center"/>
              <w:rPr>
                <w:rFonts w:hint="eastAsia" w:ascii="宋体" w:hAnsi="宋体" w:eastAsia="宋体" w:cs="宋体"/>
                <w:color w:val="auto"/>
                <w:szCs w:val="21"/>
                <w:highlight w:val="none"/>
              </w:rPr>
            </w:pPr>
          </w:p>
        </w:tc>
        <w:tc>
          <w:tcPr>
            <w:tcW w:w="512" w:type="pct"/>
            <w:vAlign w:val="center"/>
          </w:tcPr>
          <w:p w14:paraId="22CF0708">
            <w:pPr>
              <w:spacing w:line="300" w:lineRule="exact"/>
              <w:jc w:val="center"/>
              <w:rPr>
                <w:rFonts w:hint="eastAsia" w:ascii="宋体" w:hAnsi="宋体" w:eastAsia="宋体" w:cs="宋体"/>
                <w:color w:val="auto"/>
                <w:szCs w:val="21"/>
                <w:highlight w:val="none"/>
              </w:rPr>
            </w:pPr>
          </w:p>
        </w:tc>
      </w:tr>
      <w:tr w14:paraId="619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Align w:val="center"/>
          </w:tcPr>
          <w:p w14:paraId="54C30764">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511" w:type="pct"/>
            <w:vAlign w:val="center"/>
          </w:tcPr>
          <w:p w14:paraId="5422BED7">
            <w:pPr>
              <w:spacing w:line="300" w:lineRule="exact"/>
              <w:jc w:val="center"/>
              <w:rPr>
                <w:rFonts w:hint="eastAsia" w:ascii="宋体" w:hAnsi="宋体" w:eastAsia="宋体" w:cs="宋体"/>
                <w:color w:val="auto"/>
                <w:szCs w:val="21"/>
                <w:highlight w:val="none"/>
              </w:rPr>
            </w:pPr>
          </w:p>
        </w:tc>
        <w:tc>
          <w:tcPr>
            <w:tcW w:w="511" w:type="pct"/>
            <w:vAlign w:val="center"/>
          </w:tcPr>
          <w:p w14:paraId="2F8B29C4">
            <w:pPr>
              <w:spacing w:line="300" w:lineRule="exact"/>
              <w:jc w:val="center"/>
              <w:rPr>
                <w:rFonts w:hint="eastAsia" w:ascii="宋体" w:hAnsi="宋体" w:eastAsia="宋体" w:cs="宋体"/>
                <w:color w:val="auto"/>
                <w:szCs w:val="21"/>
                <w:highlight w:val="none"/>
              </w:rPr>
            </w:pPr>
          </w:p>
        </w:tc>
        <w:tc>
          <w:tcPr>
            <w:tcW w:w="512" w:type="pct"/>
            <w:vAlign w:val="center"/>
          </w:tcPr>
          <w:p w14:paraId="189A498B">
            <w:pPr>
              <w:spacing w:line="300" w:lineRule="exact"/>
              <w:jc w:val="center"/>
              <w:rPr>
                <w:rFonts w:hint="eastAsia" w:ascii="宋体" w:hAnsi="宋体" w:eastAsia="宋体" w:cs="宋体"/>
                <w:color w:val="auto"/>
                <w:szCs w:val="21"/>
                <w:highlight w:val="none"/>
              </w:rPr>
            </w:pPr>
          </w:p>
        </w:tc>
        <w:tc>
          <w:tcPr>
            <w:tcW w:w="511" w:type="pct"/>
            <w:vAlign w:val="center"/>
          </w:tcPr>
          <w:p w14:paraId="710EFFE1">
            <w:pPr>
              <w:spacing w:line="300" w:lineRule="exact"/>
              <w:jc w:val="center"/>
              <w:rPr>
                <w:rFonts w:hint="eastAsia" w:ascii="宋体" w:hAnsi="宋体" w:eastAsia="宋体" w:cs="宋体"/>
                <w:color w:val="auto"/>
                <w:szCs w:val="21"/>
                <w:highlight w:val="none"/>
              </w:rPr>
            </w:pPr>
          </w:p>
        </w:tc>
        <w:tc>
          <w:tcPr>
            <w:tcW w:w="511" w:type="pct"/>
            <w:vAlign w:val="center"/>
          </w:tcPr>
          <w:p w14:paraId="04632BF3">
            <w:pPr>
              <w:spacing w:line="300" w:lineRule="exact"/>
              <w:jc w:val="center"/>
              <w:rPr>
                <w:rFonts w:hint="eastAsia" w:ascii="宋体" w:hAnsi="宋体" w:eastAsia="宋体" w:cs="宋体"/>
                <w:color w:val="auto"/>
                <w:szCs w:val="21"/>
                <w:highlight w:val="none"/>
              </w:rPr>
            </w:pPr>
          </w:p>
        </w:tc>
        <w:tc>
          <w:tcPr>
            <w:tcW w:w="512" w:type="pct"/>
            <w:vAlign w:val="center"/>
          </w:tcPr>
          <w:p w14:paraId="55B75FEE">
            <w:pPr>
              <w:spacing w:line="300" w:lineRule="exact"/>
              <w:jc w:val="center"/>
              <w:rPr>
                <w:rFonts w:hint="eastAsia" w:ascii="宋体" w:hAnsi="宋体" w:eastAsia="宋体" w:cs="宋体"/>
                <w:color w:val="auto"/>
                <w:szCs w:val="21"/>
                <w:highlight w:val="none"/>
              </w:rPr>
            </w:pPr>
          </w:p>
        </w:tc>
        <w:tc>
          <w:tcPr>
            <w:tcW w:w="511" w:type="pct"/>
            <w:vAlign w:val="center"/>
          </w:tcPr>
          <w:p w14:paraId="61A75A53">
            <w:pPr>
              <w:spacing w:line="300" w:lineRule="exact"/>
              <w:jc w:val="center"/>
              <w:rPr>
                <w:rFonts w:hint="eastAsia" w:ascii="宋体" w:hAnsi="宋体" w:eastAsia="宋体" w:cs="宋体"/>
                <w:color w:val="auto"/>
                <w:szCs w:val="21"/>
                <w:highlight w:val="none"/>
              </w:rPr>
            </w:pPr>
          </w:p>
        </w:tc>
        <w:tc>
          <w:tcPr>
            <w:tcW w:w="511" w:type="pct"/>
            <w:vAlign w:val="center"/>
          </w:tcPr>
          <w:p w14:paraId="5BDEB7CA">
            <w:pPr>
              <w:spacing w:line="300" w:lineRule="exact"/>
              <w:jc w:val="center"/>
              <w:rPr>
                <w:rFonts w:hint="eastAsia" w:ascii="宋体" w:hAnsi="宋体" w:eastAsia="宋体" w:cs="宋体"/>
                <w:color w:val="auto"/>
                <w:szCs w:val="21"/>
                <w:highlight w:val="none"/>
              </w:rPr>
            </w:pPr>
          </w:p>
        </w:tc>
        <w:tc>
          <w:tcPr>
            <w:tcW w:w="512" w:type="pct"/>
            <w:vAlign w:val="center"/>
          </w:tcPr>
          <w:p w14:paraId="2651CCAC">
            <w:pPr>
              <w:spacing w:line="300" w:lineRule="exact"/>
              <w:jc w:val="center"/>
              <w:rPr>
                <w:rFonts w:hint="eastAsia" w:ascii="宋体" w:hAnsi="宋体" w:eastAsia="宋体" w:cs="宋体"/>
                <w:color w:val="auto"/>
                <w:szCs w:val="21"/>
                <w:highlight w:val="none"/>
              </w:rPr>
            </w:pPr>
          </w:p>
        </w:tc>
      </w:tr>
    </w:tbl>
    <w:p w14:paraId="64CAC4B4">
      <w:pPr>
        <w:spacing w:line="400" w:lineRule="exact"/>
        <w:rPr>
          <w:rFonts w:hint="eastAsia" w:ascii="宋体" w:hAnsi="宋体" w:eastAsia="宋体" w:cs="宋体"/>
          <w:color w:val="auto"/>
          <w:highlight w:val="none"/>
        </w:rPr>
      </w:pPr>
    </w:p>
    <w:p w14:paraId="6A2C87D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16"/>
        <w:gridCol w:w="1116"/>
        <w:gridCol w:w="1116"/>
        <w:gridCol w:w="1116"/>
        <w:gridCol w:w="1116"/>
        <w:gridCol w:w="1116"/>
        <w:gridCol w:w="1116"/>
        <w:gridCol w:w="1116"/>
      </w:tblGrid>
      <w:tr w14:paraId="5290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14:paraId="55D49BC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86" w:type="pct"/>
            <w:vAlign w:val="center"/>
          </w:tcPr>
          <w:p w14:paraId="0E023BE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w:t>
            </w:r>
          </w:p>
          <w:p w14:paraId="110246B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86" w:type="pct"/>
            <w:vAlign w:val="center"/>
          </w:tcPr>
          <w:p w14:paraId="4737B59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59C4AA8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586" w:type="pct"/>
            <w:vAlign w:val="center"/>
          </w:tcPr>
          <w:p w14:paraId="2F06DD6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86" w:type="pct"/>
            <w:vAlign w:val="center"/>
          </w:tcPr>
          <w:p w14:paraId="4F18293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3687CF7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586" w:type="pct"/>
            <w:vAlign w:val="center"/>
          </w:tcPr>
          <w:p w14:paraId="377FDF2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586" w:type="pct"/>
            <w:vAlign w:val="center"/>
          </w:tcPr>
          <w:p w14:paraId="74D17A8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w:t>
            </w:r>
          </w:p>
          <w:p w14:paraId="65EAF1B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台时数</w:t>
            </w:r>
          </w:p>
        </w:tc>
        <w:tc>
          <w:tcPr>
            <w:tcW w:w="586" w:type="pct"/>
            <w:vAlign w:val="center"/>
          </w:tcPr>
          <w:p w14:paraId="378DF21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586" w:type="pct"/>
            <w:vAlign w:val="center"/>
          </w:tcPr>
          <w:p w14:paraId="3D3697A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A18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14:paraId="783BD51B">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86" w:type="pct"/>
            <w:vAlign w:val="center"/>
          </w:tcPr>
          <w:p w14:paraId="375B4D9C">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57C25F0D">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54DF46B0">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6BA0E625">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40C33B28">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6076A678">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79341519">
            <w:pPr>
              <w:spacing w:line="300" w:lineRule="exact"/>
              <w:ind w:firstLine="420" w:firstLineChars="200"/>
              <w:rPr>
                <w:rFonts w:hint="eastAsia" w:ascii="宋体" w:hAnsi="宋体" w:eastAsia="宋体" w:cs="宋体"/>
                <w:color w:val="auto"/>
                <w:szCs w:val="21"/>
                <w:highlight w:val="none"/>
              </w:rPr>
            </w:pPr>
          </w:p>
        </w:tc>
        <w:tc>
          <w:tcPr>
            <w:tcW w:w="586" w:type="pct"/>
            <w:vAlign w:val="top"/>
          </w:tcPr>
          <w:p w14:paraId="4C303D68">
            <w:pPr>
              <w:spacing w:line="300" w:lineRule="exact"/>
              <w:ind w:firstLine="420" w:firstLineChars="200"/>
              <w:rPr>
                <w:rFonts w:hint="eastAsia" w:ascii="宋体" w:hAnsi="宋体" w:eastAsia="宋体" w:cs="宋体"/>
                <w:color w:val="auto"/>
                <w:szCs w:val="21"/>
                <w:highlight w:val="none"/>
              </w:rPr>
            </w:pPr>
          </w:p>
        </w:tc>
      </w:tr>
      <w:tr w14:paraId="771E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14:paraId="6E34A760">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586" w:type="pct"/>
            <w:vAlign w:val="center"/>
          </w:tcPr>
          <w:p w14:paraId="18E788FC">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3D1E7378">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62173A2B">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08844D51">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7D06F99D">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28644CC5">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14:paraId="6F371849">
            <w:pPr>
              <w:spacing w:line="300" w:lineRule="exact"/>
              <w:ind w:firstLine="420" w:firstLineChars="200"/>
              <w:rPr>
                <w:rFonts w:hint="eastAsia" w:ascii="宋体" w:hAnsi="宋体" w:eastAsia="宋体" w:cs="宋体"/>
                <w:color w:val="auto"/>
                <w:szCs w:val="21"/>
                <w:highlight w:val="none"/>
              </w:rPr>
            </w:pPr>
          </w:p>
        </w:tc>
        <w:tc>
          <w:tcPr>
            <w:tcW w:w="586" w:type="pct"/>
            <w:vAlign w:val="top"/>
          </w:tcPr>
          <w:p w14:paraId="02C36633">
            <w:pPr>
              <w:spacing w:line="300" w:lineRule="exact"/>
              <w:ind w:firstLine="420" w:firstLineChars="200"/>
              <w:rPr>
                <w:rFonts w:hint="eastAsia" w:ascii="宋体" w:hAnsi="宋体" w:eastAsia="宋体" w:cs="宋体"/>
                <w:color w:val="auto"/>
                <w:szCs w:val="21"/>
                <w:highlight w:val="none"/>
              </w:rPr>
            </w:pPr>
          </w:p>
        </w:tc>
      </w:tr>
    </w:tbl>
    <w:p w14:paraId="6E578BA9">
      <w:pPr>
        <w:spacing w:line="400" w:lineRule="exact"/>
        <w:rPr>
          <w:rFonts w:hint="eastAsia" w:ascii="宋体" w:hAnsi="宋体" w:eastAsia="宋体" w:cs="宋体"/>
          <w:color w:val="auto"/>
          <w:highlight w:val="none"/>
        </w:rPr>
      </w:pPr>
    </w:p>
    <w:p w14:paraId="6C98B094">
      <w:pPr>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附表三：劳动力计划表</w:t>
      </w:r>
    </w:p>
    <w:p w14:paraId="68C2234F">
      <w:pPr>
        <w:spacing w:line="400" w:lineRule="exact"/>
        <w:ind w:firstLine="7245" w:firstLineChars="3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86"/>
        <w:gridCol w:w="1158"/>
        <w:gridCol w:w="1160"/>
        <w:gridCol w:w="1158"/>
        <w:gridCol w:w="1160"/>
        <w:gridCol w:w="1158"/>
        <w:gridCol w:w="2103"/>
      </w:tblGrid>
      <w:tr w14:paraId="3FBC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14:paraId="273094F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4588" w:type="pct"/>
            <w:gridSpan w:val="7"/>
            <w:vAlign w:val="center"/>
          </w:tcPr>
          <w:p w14:paraId="1955B90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1D7D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14:paraId="678A7D0D">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63" w:type="pct"/>
            <w:vAlign w:val="center"/>
          </w:tcPr>
          <w:p w14:paraId="0F011F07">
            <w:pPr>
              <w:spacing w:line="300" w:lineRule="exact"/>
              <w:rPr>
                <w:rFonts w:hint="eastAsia" w:ascii="宋体" w:hAnsi="宋体" w:eastAsia="宋体" w:cs="宋体"/>
                <w:color w:val="auto"/>
                <w:szCs w:val="21"/>
                <w:highlight w:val="none"/>
              </w:rPr>
            </w:pPr>
          </w:p>
        </w:tc>
        <w:tc>
          <w:tcPr>
            <w:tcW w:w="605" w:type="pct"/>
            <w:vAlign w:val="center"/>
          </w:tcPr>
          <w:p w14:paraId="6B552409">
            <w:pPr>
              <w:spacing w:line="300" w:lineRule="exact"/>
              <w:rPr>
                <w:rFonts w:hint="eastAsia" w:ascii="宋体" w:hAnsi="宋体" w:eastAsia="宋体" w:cs="宋体"/>
                <w:color w:val="auto"/>
                <w:szCs w:val="21"/>
                <w:highlight w:val="none"/>
              </w:rPr>
            </w:pPr>
          </w:p>
        </w:tc>
        <w:tc>
          <w:tcPr>
            <w:tcW w:w="606" w:type="pct"/>
            <w:vAlign w:val="center"/>
          </w:tcPr>
          <w:p w14:paraId="4B81FFEF">
            <w:pPr>
              <w:spacing w:line="300" w:lineRule="exact"/>
              <w:rPr>
                <w:rFonts w:hint="eastAsia" w:ascii="宋体" w:hAnsi="宋体" w:eastAsia="宋体" w:cs="宋体"/>
                <w:color w:val="auto"/>
                <w:szCs w:val="21"/>
                <w:highlight w:val="none"/>
              </w:rPr>
            </w:pPr>
          </w:p>
        </w:tc>
        <w:tc>
          <w:tcPr>
            <w:tcW w:w="605" w:type="pct"/>
            <w:vAlign w:val="center"/>
          </w:tcPr>
          <w:p w14:paraId="795027CA">
            <w:pPr>
              <w:spacing w:line="300" w:lineRule="exact"/>
              <w:rPr>
                <w:rFonts w:hint="eastAsia" w:ascii="宋体" w:hAnsi="宋体" w:eastAsia="宋体" w:cs="宋体"/>
                <w:color w:val="auto"/>
                <w:szCs w:val="21"/>
                <w:highlight w:val="none"/>
              </w:rPr>
            </w:pPr>
          </w:p>
        </w:tc>
        <w:tc>
          <w:tcPr>
            <w:tcW w:w="606" w:type="pct"/>
            <w:vAlign w:val="center"/>
          </w:tcPr>
          <w:p w14:paraId="722AC54C">
            <w:pPr>
              <w:spacing w:line="300" w:lineRule="exact"/>
              <w:rPr>
                <w:rFonts w:hint="eastAsia" w:ascii="宋体" w:hAnsi="宋体" w:eastAsia="宋体" w:cs="宋体"/>
                <w:color w:val="auto"/>
                <w:szCs w:val="21"/>
                <w:highlight w:val="none"/>
              </w:rPr>
            </w:pPr>
          </w:p>
        </w:tc>
        <w:tc>
          <w:tcPr>
            <w:tcW w:w="605" w:type="pct"/>
            <w:vAlign w:val="center"/>
          </w:tcPr>
          <w:p w14:paraId="55FA1B3F">
            <w:pPr>
              <w:spacing w:line="300" w:lineRule="exact"/>
              <w:rPr>
                <w:rFonts w:hint="eastAsia" w:ascii="宋体" w:hAnsi="宋体" w:eastAsia="宋体" w:cs="宋体"/>
                <w:color w:val="auto"/>
                <w:szCs w:val="21"/>
                <w:highlight w:val="none"/>
              </w:rPr>
            </w:pPr>
          </w:p>
        </w:tc>
        <w:tc>
          <w:tcPr>
            <w:tcW w:w="1094" w:type="pct"/>
            <w:vAlign w:val="center"/>
          </w:tcPr>
          <w:p w14:paraId="461CAA1C">
            <w:pPr>
              <w:spacing w:line="300" w:lineRule="exact"/>
              <w:rPr>
                <w:rFonts w:hint="eastAsia" w:ascii="宋体" w:hAnsi="宋体" w:eastAsia="宋体" w:cs="宋体"/>
                <w:color w:val="auto"/>
                <w:szCs w:val="21"/>
                <w:highlight w:val="none"/>
              </w:rPr>
            </w:pPr>
          </w:p>
        </w:tc>
      </w:tr>
      <w:tr w14:paraId="75D2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14:paraId="6B692AE1">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463" w:type="pct"/>
            <w:vAlign w:val="center"/>
          </w:tcPr>
          <w:p w14:paraId="3D578BA4">
            <w:pPr>
              <w:spacing w:line="300" w:lineRule="exact"/>
              <w:rPr>
                <w:rFonts w:hint="eastAsia" w:ascii="宋体" w:hAnsi="宋体" w:eastAsia="宋体" w:cs="宋体"/>
                <w:color w:val="auto"/>
                <w:szCs w:val="21"/>
                <w:highlight w:val="none"/>
              </w:rPr>
            </w:pPr>
          </w:p>
        </w:tc>
        <w:tc>
          <w:tcPr>
            <w:tcW w:w="605" w:type="pct"/>
            <w:vAlign w:val="center"/>
          </w:tcPr>
          <w:p w14:paraId="03DFB28F">
            <w:pPr>
              <w:spacing w:line="300" w:lineRule="exact"/>
              <w:rPr>
                <w:rFonts w:hint="eastAsia" w:ascii="宋体" w:hAnsi="宋体" w:eastAsia="宋体" w:cs="宋体"/>
                <w:color w:val="auto"/>
                <w:szCs w:val="21"/>
                <w:highlight w:val="none"/>
              </w:rPr>
            </w:pPr>
          </w:p>
        </w:tc>
        <w:tc>
          <w:tcPr>
            <w:tcW w:w="606" w:type="pct"/>
            <w:vAlign w:val="center"/>
          </w:tcPr>
          <w:p w14:paraId="1854D7EB">
            <w:pPr>
              <w:spacing w:line="300" w:lineRule="exact"/>
              <w:rPr>
                <w:rFonts w:hint="eastAsia" w:ascii="宋体" w:hAnsi="宋体" w:eastAsia="宋体" w:cs="宋体"/>
                <w:color w:val="auto"/>
                <w:szCs w:val="21"/>
                <w:highlight w:val="none"/>
              </w:rPr>
            </w:pPr>
          </w:p>
        </w:tc>
        <w:tc>
          <w:tcPr>
            <w:tcW w:w="605" w:type="pct"/>
            <w:vAlign w:val="center"/>
          </w:tcPr>
          <w:p w14:paraId="33D5827A">
            <w:pPr>
              <w:spacing w:line="300" w:lineRule="exact"/>
              <w:rPr>
                <w:rFonts w:hint="eastAsia" w:ascii="宋体" w:hAnsi="宋体" w:eastAsia="宋体" w:cs="宋体"/>
                <w:color w:val="auto"/>
                <w:szCs w:val="21"/>
                <w:highlight w:val="none"/>
              </w:rPr>
            </w:pPr>
          </w:p>
        </w:tc>
        <w:tc>
          <w:tcPr>
            <w:tcW w:w="606" w:type="pct"/>
            <w:vAlign w:val="center"/>
          </w:tcPr>
          <w:p w14:paraId="5EF226A7">
            <w:pPr>
              <w:spacing w:line="300" w:lineRule="exact"/>
              <w:rPr>
                <w:rFonts w:hint="eastAsia" w:ascii="宋体" w:hAnsi="宋体" w:eastAsia="宋体" w:cs="宋体"/>
                <w:color w:val="auto"/>
                <w:szCs w:val="21"/>
                <w:highlight w:val="none"/>
              </w:rPr>
            </w:pPr>
          </w:p>
        </w:tc>
        <w:tc>
          <w:tcPr>
            <w:tcW w:w="605" w:type="pct"/>
            <w:vAlign w:val="center"/>
          </w:tcPr>
          <w:p w14:paraId="16CEDFB7">
            <w:pPr>
              <w:spacing w:line="300" w:lineRule="exact"/>
              <w:rPr>
                <w:rFonts w:hint="eastAsia" w:ascii="宋体" w:hAnsi="宋体" w:eastAsia="宋体" w:cs="宋体"/>
                <w:color w:val="auto"/>
                <w:szCs w:val="21"/>
                <w:highlight w:val="none"/>
              </w:rPr>
            </w:pPr>
          </w:p>
        </w:tc>
        <w:tc>
          <w:tcPr>
            <w:tcW w:w="1094" w:type="pct"/>
            <w:vAlign w:val="center"/>
          </w:tcPr>
          <w:p w14:paraId="0340A8BA">
            <w:pPr>
              <w:spacing w:line="300" w:lineRule="exact"/>
              <w:rPr>
                <w:rFonts w:hint="eastAsia" w:ascii="宋体" w:hAnsi="宋体" w:eastAsia="宋体" w:cs="宋体"/>
                <w:color w:val="auto"/>
                <w:szCs w:val="21"/>
                <w:highlight w:val="none"/>
              </w:rPr>
            </w:pPr>
          </w:p>
        </w:tc>
      </w:tr>
    </w:tbl>
    <w:p w14:paraId="4B467075">
      <w:pPr>
        <w:spacing w:line="400" w:lineRule="exact"/>
        <w:rPr>
          <w:rFonts w:hint="eastAsia" w:ascii="宋体" w:hAnsi="宋体" w:eastAsia="宋体" w:cs="宋体"/>
          <w:color w:val="auto"/>
          <w:highlight w:val="none"/>
        </w:rPr>
      </w:pPr>
    </w:p>
    <w:p w14:paraId="718C9C6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附表四：计划开、竣工日期和施工进度网络图</w:t>
      </w:r>
    </w:p>
    <w:p w14:paraId="4EB7F0E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应提交的施工进度网络图或施工进度表，说明按《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》要求的工期进行施工的各个关键日期。</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还应按合同条件有关条款的要求提交详细的施工进度计划。</w:t>
      </w:r>
    </w:p>
    <w:p w14:paraId="6015B9D3">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2.施工进度表可采用网络图（或横道图）表示，说明计划开工日期和各分项工程各阶段的完工日期和分包合同签订的日期。</w:t>
      </w:r>
    </w:p>
    <w:p w14:paraId="45399BBF">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3.施工进度计划应与施工组织设计相适应。</w:t>
      </w:r>
    </w:p>
    <w:p w14:paraId="0008E10D">
      <w:pPr>
        <w:spacing w:line="400" w:lineRule="exact"/>
        <w:rPr>
          <w:rFonts w:hint="eastAsia" w:ascii="宋体" w:hAnsi="宋体" w:eastAsia="宋体" w:cs="宋体"/>
          <w:color w:val="auto"/>
          <w:highlight w:val="none"/>
        </w:rPr>
      </w:pPr>
    </w:p>
    <w:p w14:paraId="36241482">
      <w:pPr>
        <w:spacing w:line="480" w:lineRule="auto"/>
        <w:jc w:val="center"/>
        <w:rPr>
          <w:rFonts w:hint="eastAsia" w:ascii="宋体" w:hAnsi="宋体" w:eastAsia="宋体" w:cs="宋体"/>
          <w:color w:val="auto"/>
          <w:sz w:val="24"/>
          <w:highlight w:val="none"/>
        </w:rPr>
      </w:pPr>
    </w:p>
    <w:p w14:paraId="0C80A1BD">
      <w:pPr>
        <w:spacing w:line="480" w:lineRule="auto"/>
        <w:rPr>
          <w:rFonts w:hint="eastAsia" w:ascii="宋体" w:hAnsi="宋体" w:eastAsia="宋体" w:cs="宋体"/>
          <w:b/>
          <w:color w:val="auto"/>
          <w:sz w:val="24"/>
          <w:highlight w:val="none"/>
        </w:rPr>
      </w:pPr>
    </w:p>
    <w:p w14:paraId="0EE0918D">
      <w:pPr>
        <w:spacing w:line="480" w:lineRule="auto"/>
        <w:rPr>
          <w:rFonts w:hint="eastAsia" w:ascii="宋体" w:hAnsi="宋体" w:eastAsia="宋体" w:cs="宋体"/>
          <w:b/>
          <w:color w:val="auto"/>
          <w:sz w:val="24"/>
          <w:highlight w:val="none"/>
        </w:rPr>
      </w:pPr>
    </w:p>
    <w:p w14:paraId="70580EA4">
      <w:pPr>
        <w:spacing w:line="480" w:lineRule="auto"/>
        <w:rPr>
          <w:rFonts w:hint="eastAsia" w:ascii="宋体" w:hAnsi="宋体" w:eastAsia="宋体" w:cs="宋体"/>
          <w:b/>
          <w:color w:val="auto"/>
          <w:sz w:val="24"/>
          <w:highlight w:val="none"/>
        </w:rPr>
      </w:pPr>
    </w:p>
    <w:p w14:paraId="23626E5C">
      <w:pPr>
        <w:spacing w:line="480" w:lineRule="auto"/>
        <w:rPr>
          <w:rFonts w:hint="eastAsia" w:ascii="宋体" w:hAnsi="宋体" w:eastAsia="宋体" w:cs="宋体"/>
          <w:b/>
          <w:color w:val="auto"/>
          <w:sz w:val="24"/>
          <w:highlight w:val="none"/>
        </w:rPr>
      </w:pPr>
    </w:p>
    <w:p w14:paraId="7D3934A2">
      <w:pPr>
        <w:spacing w:line="480" w:lineRule="auto"/>
        <w:rPr>
          <w:rFonts w:hint="eastAsia" w:ascii="宋体" w:hAnsi="宋体" w:eastAsia="宋体" w:cs="宋体"/>
          <w:b/>
          <w:color w:val="auto"/>
          <w:sz w:val="24"/>
          <w:highlight w:val="none"/>
        </w:rPr>
      </w:pPr>
    </w:p>
    <w:p w14:paraId="0B07F35D">
      <w:pPr>
        <w:spacing w:line="480" w:lineRule="auto"/>
        <w:rPr>
          <w:rFonts w:hint="eastAsia" w:ascii="宋体" w:hAnsi="宋体" w:eastAsia="宋体" w:cs="宋体"/>
          <w:b/>
          <w:color w:val="auto"/>
          <w:sz w:val="24"/>
          <w:highlight w:val="none"/>
        </w:rPr>
      </w:pPr>
    </w:p>
    <w:p w14:paraId="52DBC014">
      <w:pPr>
        <w:spacing w:line="480" w:lineRule="auto"/>
        <w:rPr>
          <w:rFonts w:hint="eastAsia" w:ascii="宋体" w:hAnsi="宋体" w:eastAsia="宋体" w:cs="宋体"/>
          <w:b/>
          <w:color w:val="auto"/>
          <w:sz w:val="24"/>
          <w:highlight w:val="none"/>
        </w:rPr>
      </w:pPr>
    </w:p>
    <w:p w14:paraId="23183F3B">
      <w:pPr>
        <w:spacing w:line="480" w:lineRule="auto"/>
        <w:rPr>
          <w:rFonts w:hint="eastAsia" w:ascii="宋体" w:hAnsi="宋体" w:eastAsia="宋体" w:cs="宋体"/>
          <w:b/>
          <w:color w:val="auto"/>
          <w:sz w:val="24"/>
          <w:highlight w:val="none"/>
        </w:rPr>
      </w:pPr>
    </w:p>
    <w:p w14:paraId="779ABCBF">
      <w:pPr>
        <w:spacing w:line="480" w:lineRule="auto"/>
        <w:rPr>
          <w:rFonts w:hint="eastAsia" w:ascii="宋体" w:hAnsi="宋体" w:eastAsia="宋体" w:cs="宋体"/>
          <w:b/>
          <w:color w:val="auto"/>
          <w:sz w:val="24"/>
          <w:highlight w:val="none"/>
        </w:rPr>
      </w:pPr>
    </w:p>
    <w:p w14:paraId="419A20F5">
      <w:pPr>
        <w:spacing w:line="480" w:lineRule="auto"/>
        <w:rPr>
          <w:rFonts w:hint="eastAsia" w:ascii="宋体" w:hAnsi="宋体" w:eastAsia="宋体" w:cs="宋体"/>
          <w:b/>
          <w:color w:val="auto"/>
          <w:sz w:val="24"/>
          <w:highlight w:val="none"/>
        </w:rPr>
      </w:pPr>
    </w:p>
    <w:p w14:paraId="5273BB1D">
      <w:pPr>
        <w:spacing w:line="480" w:lineRule="auto"/>
        <w:rPr>
          <w:rFonts w:hint="eastAsia" w:ascii="宋体" w:hAnsi="宋体" w:eastAsia="宋体" w:cs="宋体"/>
          <w:b/>
          <w:color w:val="auto"/>
          <w:sz w:val="24"/>
          <w:highlight w:val="none"/>
        </w:rPr>
      </w:pPr>
    </w:p>
    <w:p w14:paraId="0EC8C841">
      <w:pPr>
        <w:spacing w:line="480" w:lineRule="auto"/>
        <w:rPr>
          <w:rFonts w:hint="eastAsia" w:ascii="宋体" w:hAnsi="宋体" w:eastAsia="宋体" w:cs="宋体"/>
          <w:b/>
          <w:color w:val="auto"/>
          <w:sz w:val="24"/>
          <w:highlight w:val="none"/>
        </w:rPr>
      </w:pPr>
    </w:p>
    <w:p w14:paraId="5E595F94">
      <w:pPr>
        <w:spacing w:line="480" w:lineRule="auto"/>
        <w:rPr>
          <w:rFonts w:hint="eastAsia" w:ascii="宋体" w:hAnsi="宋体" w:eastAsia="宋体" w:cs="宋体"/>
          <w:b/>
          <w:color w:val="auto"/>
          <w:sz w:val="24"/>
          <w:highlight w:val="none"/>
        </w:rPr>
      </w:pPr>
    </w:p>
    <w:p w14:paraId="10FDA2B6">
      <w:pPr>
        <w:spacing w:line="480" w:lineRule="auto"/>
        <w:rPr>
          <w:rFonts w:hint="eastAsia" w:ascii="宋体" w:hAnsi="宋体" w:eastAsia="宋体" w:cs="宋体"/>
          <w:b/>
          <w:color w:val="auto"/>
          <w:sz w:val="24"/>
          <w:highlight w:val="none"/>
        </w:rPr>
      </w:pPr>
    </w:p>
    <w:p w14:paraId="277C83A7">
      <w:pPr>
        <w:rPr>
          <w:rFonts w:hint="eastAsia" w:ascii="宋体" w:hAnsi="宋体" w:cs="宋体"/>
          <w:bCs w:val="0"/>
          <w:color w:val="auto"/>
          <w:sz w:val="28"/>
          <w:szCs w:val="28"/>
          <w:highlight w:val="none"/>
          <w:lang w:val="en-US" w:eastAsia="zh-CN"/>
        </w:rPr>
      </w:pPr>
      <w:bookmarkStart w:id="272" w:name="_Toc9014"/>
      <w:bookmarkStart w:id="273" w:name="_Toc459103912"/>
      <w:r>
        <w:rPr>
          <w:rFonts w:hint="eastAsia" w:ascii="宋体" w:hAnsi="宋体" w:cs="宋体"/>
          <w:bCs w:val="0"/>
          <w:color w:val="auto"/>
          <w:sz w:val="28"/>
          <w:szCs w:val="28"/>
          <w:highlight w:val="none"/>
          <w:lang w:val="en-US" w:eastAsia="zh-CN"/>
        </w:rPr>
        <w:br w:type="page"/>
      </w:r>
    </w:p>
    <w:p w14:paraId="2DAC1F98">
      <w:pPr>
        <w:pageBreakBefore w:val="0"/>
        <w:widowControl w:val="0"/>
        <w:numPr>
          <w:ilvl w:val="0"/>
          <w:numId w:val="0"/>
        </w:numPr>
        <w:kinsoku/>
        <w:wordWrap/>
        <w:overflowPunct/>
        <w:topLinePunct w:val="0"/>
        <w:bidi w:val="0"/>
        <w:snapToGrid/>
        <w:spacing w:before="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业绩</w:t>
      </w:r>
      <w:bookmarkEnd w:id="272"/>
      <w:r>
        <w:rPr>
          <w:rFonts w:hint="eastAsia" w:ascii="宋体" w:hAnsi="宋体" w:eastAsia="宋体" w:cs="宋体"/>
          <w:b/>
          <w:bCs/>
          <w:color w:val="auto"/>
          <w:sz w:val="28"/>
          <w:szCs w:val="28"/>
          <w:highlight w:val="none"/>
          <w:lang w:val="en-US" w:eastAsia="zh-CN"/>
        </w:rPr>
        <w:t>（如有）</w:t>
      </w:r>
    </w:p>
    <w:p w14:paraId="4BC91BAC">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p>
    <w:p w14:paraId="28102246">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p>
    <w:p w14:paraId="1AE7DA66">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7C32A27C">
      <w:pPr>
        <w:pStyle w:val="41"/>
        <w:pageBreakBefore w:val="0"/>
        <w:widowControl w:val="0"/>
        <w:kinsoku/>
        <w:wordWrap/>
        <w:overflowPunct/>
        <w:topLinePunct w:val="0"/>
        <w:bidi w:val="0"/>
        <w:snapToGrid/>
        <w:textAlignment w:val="auto"/>
        <w:outlineLvl w:val="9"/>
        <w:rPr>
          <w:rFonts w:hint="eastAsia" w:ascii="宋体" w:hAnsi="宋体" w:eastAsia="宋体" w:cs="宋体"/>
          <w:color w:val="auto"/>
          <w:highlight w:val="none"/>
          <w:lang w:val="en-US" w:eastAsia="zh-CN"/>
        </w:rPr>
      </w:pPr>
    </w:p>
    <w:p w14:paraId="3480E19F">
      <w:pPr>
        <w:pStyle w:val="42"/>
        <w:rPr>
          <w:rFonts w:hint="eastAsia" w:ascii="宋体" w:hAnsi="宋体" w:eastAsia="宋体" w:cs="宋体"/>
          <w:color w:val="auto"/>
          <w:highlight w:val="none"/>
          <w:lang w:val="en-US" w:eastAsia="zh-CN"/>
        </w:rPr>
      </w:pPr>
    </w:p>
    <w:p w14:paraId="7429E99A">
      <w:pPr>
        <w:rPr>
          <w:rFonts w:hint="eastAsia"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br w:type="page"/>
      </w:r>
    </w:p>
    <w:p w14:paraId="012FC511">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kern w:val="44"/>
          <w:sz w:val="28"/>
          <w:szCs w:val="28"/>
          <w:highlight w:val="none"/>
          <w:lang w:val="en-US" w:eastAsia="zh-CN" w:bidi="ar-SA"/>
        </w:rPr>
      </w:pPr>
      <w:bookmarkStart w:id="274" w:name="_Toc24272"/>
      <w:r>
        <w:rPr>
          <w:rFonts w:hint="eastAsia" w:ascii="宋体" w:hAnsi="宋体" w:eastAsia="宋体" w:cs="宋体"/>
          <w:b/>
          <w:bCs w:val="0"/>
          <w:color w:val="auto"/>
          <w:kern w:val="44"/>
          <w:sz w:val="28"/>
          <w:szCs w:val="28"/>
          <w:highlight w:val="none"/>
          <w:lang w:val="en-US" w:eastAsia="zh-CN" w:bidi="ar-SA"/>
        </w:rPr>
        <w:t>四、磋商保证金缴纳凭证（如有要求缴纳保证金，必须提供）</w:t>
      </w:r>
    </w:p>
    <w:p w14:paraId="2C5060DE">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cs="宋体"/>
          <w:b/>
          <w:bCs w:val="0"/>
          <w:color w:val="auto"/>
          <w:sz w:val="28"/>
          <w:szCs w:val="28"/>
          <w:highlight w:val="none"/>
          <w:lang w:val="en-US" w:eastAsia="zh-CN"/>
        </w:rPr>
      </w:pPr>
    </w:p>
    <w:p w14:paraId="69A34C8F">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cs="宋体"/>
          <w:b/>
          <w:bCs w:val="0"/>
          <w:color w:val="auto"/>
          <w:sz w:val="28"/>
          <w:szCs w:val="28"/>
          <w:highlight w:val="none"/>
          <w:lang w:val="en-US" w:eastAsia="zh-CN"/>
        </w:rPr>
      </w:pPr>
    </w:p>
    <w:p w14:paraId="71726743">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cs="宋体"/>
          <w:b/>
          <w:bCs w:val="0"/>
          <w:color w:val="auto"/>
          <w:sz w:val="28"/>
          <w:szCs w:val="28"/>
          <w:highlight w:val="none"/>
          <w:lang w:val="en-US" w:eastAsia="zh-CN"/>
        </w:rPr>
      </w:pPr>
    </w:p>
    <w:p w14:paraId="4654BB58">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sz w:val="28"/>
          <w:szCs w:val="28"/>
          <w:highlight w:val="none"/>
          <w:lang w:eastAsia="zh-CN"/>
        </w:rPr>
      </w:pPr>
      <w:r>
        <w:rPr>
          <w:rFonts w:hint="eastAsia" w:ascii="宋体" w:hAnsi="宋体" w:cs="宋体"/>
          <w:b/>
          <w:bCs w:val="0"/>
          <w:color w:val="auto"/>
          <w:sz w:val="28"/>
          <w:szCs w:val="28"/>
          <w:highlight w:val="none"/>
          <w:lang w:val="en-US" w:eastAsia="zh-CN"/>
        </w:rPr>
        <w:t>五、磋商供应商认为必要提供的声明及其它资料</w:t>
      </w:r>
      <w:r>
        <w:rPr>
          <w:rFonts w:hint="eastAsia" w:ascii="宋体" w:hAnsi="宋体" w:eastAsia="宋体" w:cs="宋体"/>
          <w:b/>
          <w:bCs w:val="0"/>
          <w:color w:val="auto"/>
          <w:sz w:val="28"/>
          <w:szCs w:val="28"/>
          <w:highlight w:val="none"/>
          <w:lang w:eastAsia="zh-CN"/>
        </w:rPr>
        <w:t>（如有）</w:t>
      </w:r>
      <w:bookmarkEnd w:id="274"/>
    </w:p>
    <w:p w14:paraId="0082C1DA">
      <w:pPr>
        <w:pageBreakBefore w:val="0"/>
        <w:widowControl w:val="0"/>
        <w:numPr>
          <w:ilvl w:val="0"/>
          <w:numId w:val="0"/>
        </w:numPr>
        <w:kinsoku/>
        <w:wordWrap/>
        <w:overflowPunct/>
        <w:topLinePunct w:val="0"/>
        <w:autoSpaceDE/>
        <w:autoSpaceDN/>
        <w:bidi w:val="0"/>
        <w:adjustRightInd/>
        <w:snapToGrid/>
        <w:spacing w:before="0"/>
        <w:jc w:val="both"/>
        <w:textAlignment w:val="auto"/>
        <w:outlineLvl w:val="9"/>
        <w:rPr>
          <w:rFonts w:hint="eastAsia" w:ascii="宋体" w:hAnsi="宋体" w:eastAsia="宋体" w:cs="宋体"/>
          <w:b/>
          <w:color w:val="auto"/>
          <w:kern w:val="2"/>
          <w:sz w:val="21"/>
          <w:szCs w:val="20"/>
          <w:highlight w:val="none"/>
          <w:lang w:val="en-US" w:eastAsia="zh-CN" w:bidi="ar-SA"/>
        </w:rPr>
      </w:pPr>
    </w:p>
    <w:p w14:paraId="1B79F67F">
      <w:pPr>
        <w:pageBreakBefore w:val="0"/>
        <w:widowControl w:val="0"/>
        <w:numPr>
          <w:ilvl w:val="0"/>
          <w:numId w:val="0"/>
        </w:numPr>
        <w:kinsoku/>
        <w:wordWrap/>
        <w:overflowPunct/>
        <w:topLinePunct w:val="0"/>
        <w:autoSpaceDE/>
        <w:autoSpaceDN/>
        <w:bidi w:val="0"/>
        <w:adjustRightInd/>
        <w:snapToGrid/>
        <w:spacing w:before="0"/>
        <w:jc w:val="both"/>
        <w:textAlignment w:val="auto"/>
        <w:outlineLvl w:val="9"/>
        <w:rPr>
          <w:rFonts w:hint="eastAsia" w:ascii="宋体" w:hAnsi="宋体" w:eastAsia="宋体" w:cs="宋体"/>
          <w:b/>
          <w:color w:val="auto"/>
          <w:kern w:val="2"/>
          <w:sz w:val="21"/>
          <w:szCs w:val="20"/>
          <w:highlight w:val="none"/>
          <w:lang w:val="en-US" w:eastAsia="zh-CN" w:bidi="ar-SA"/>
        </w:rPr>
      </w:pPr>
    </w:p>
    <w:p w14:paraId="46D0C68B">
      <w:pPr>
        <w:pStyle w:val="3"/>
        <w:spacing w:before="0"/>
        <w:jc w:val="center"/>
        <w:outlineLvl w:val="9"/>
        <w:rPr>
          <w:rFonts w:hint="eastAsia" w:ascii="宋体" w:hAnsi="宋体" w:eastAsia="宋体" w:cs="宋体"/>
          <w:color w:val="auto"/>
          <w:sz w:val="28"/>
          <w:szCs w:val="28"/>
          <w:highlight w:val="none"/>
        </w:rPr>
      </w:pPr>
    </w:p>
    <w:p w14:paraId="6E1644BD">
      <w:pPr>
        <w:pStyle w:val="3"/>
        <w:spacing w:before="0"/>
        <w:jc w:val="center"/>
        <w:outlineLvl w:val="9"/>
        <w:rPr>
          <w:rFonts w:hint="eastAsia" w:ascii="宋体" w:hAnsi="宋体" w:eastAsia="宋体" w:cs="宋体"/>
          <w:color w:val="auto"/>
          <w:sz w:val="28"/>
          <w:szCs w:val="28"/>
          <w:highlight w:val="none"/>
        </w:rPr>
      </w:pPr>
    </w:p>
    <w:p w14:paraId="6301B7A0">
      <w:pPr>
        <w:pStyle w:val="3"/>
        <w:spacing w:before="0"/>
        <w:jc w:val="both"/>
        <w:outlineLvl w:val="9"/>
        <w:rPr>
          <w:rFonts w:hint="eastAsia" w:ascii="宋体" w:hAnsi="宋体" w:eastAsia="宋体" w:cs="宋体"/>
          <w:color w:val="auto"/>
          <w:sz w:val="28"/>
          <w:szCs w:val="28"/>
          <w:highlight w:val="none"/>
        </w:rPr>
      </w:pPr>
    </w:p>
    <w:p w14:paraId="129EF6A3">
      <w:pPr>
        <w:rPr>
          <w:rFonts w:hint="eastAsia" w:ascii="宋体" w:hAnsi="宋体" w:eastAsia="宋体" w:cs="宋体"/>
          <w:color w:val="auto"/>
          <w:highlight w:val="none"/>
        </w:rPr>
      </w:pPr>
    </w:p>
    <w:p w14:paraId="09694D11">
      <w:pPr>
        <w:pStyle w:val="3"/>
        <w:spacing w:before="0"/>
        <w:jc w:val="center"/>
        <w:rPr>
          <w:rFonts w:hint="eastAsia" w:ascii="宋体" w:hAnsi="宋体" w:eastAsia="宋体" w:cs="宋体"/>
          <w:color w:val="auto"/>
          <w:sz w:val="44"/>
          <w:szCs w:val="44"/>
          <w:highlight w:val="none"/>
        </w:rPr>
        <w:sectPr>
          <w:pgSz w:w="11850" w:h="16783"/>
          <w:pgMar w:top="1247" w:right="1247" w:bottom="1247" w:left="1247" w:header="680" w:footer="680" w:gutter="0"/>
          <w:pgNumType w:fmt="numberInDash"/>
          <w:cols w:space="0" w:num="1"/>
          <w:rtlGutter w:val="0"/>
          <w:docGrid w:type="linesAndChars" w:linePitch="312" w:charSpace="0"/>
        </w:sectPr>
      </w:pPr>
    </w:p>
    <w:p w14:paraId="073524D0">
      <w:pPr>
        <w:pStyle w:val="3"/>
        <w:spacing w:before="0"/>
        <w:jc w:val="center"/>
        <w:rPr>
          <w:rFonts w:hint="eastAsia" w:ascii="宋体" w:hAnsi="宋体" w:eastAsia="宋体" w:cs="宋体"/>
          <w:color w:val="auto"/>
          <w:sz w:val="44"/>
          <w:szCs w:val="44"/>
          <w:highlight w:val="none"/>
        </w:rPr>
      </w:pPr>
      <w:bookmarkStart w:id="275" w:name="_Toc3208"/>
      <w:r>
        <w:rPr>
          <w:rFonts w:hint="eastAsia" w:ascii="宋体" w:hAnsi="宋体" w:eastAsia="宋体" w:cs="宋体"/>
          <w:color w:val="auto"/>
          <w:sz w:val="44"/>
          <w:szCs w:val="44"/>
          <w:highlight w:val="none"/>
        </w:rPr>
        <w:t>第八章  评标办法</w:t>
      </w:r>
      <w:bookmarkEnd w:id="273"/>
      <w:bookmarkEnd w:id="275"/>
    </w:p>
    <w:p w14:paraId="23E59EBB">
      <w:pPr>
        <w:keepNext w:val="0"/>
        <w:keepLines w:val="0"/>
        <w:pageBreakBefore w:val="0"/>
        <w:widowControl w:val="0"/>
        <w:kinsoku/>
        <w:wordWrap/>
        <w:overflowPunct/>
        <w:topLinePunct w:val="0"/>
        <w:autoSpaceDE/>
        <w:autoSpaceDN/>
        <w:bidi w:val="0"/>
        <w:adjustRightInd/>
        <w:snapToGrid/>
        <w:spacing w:after="120"/>
        <w:jc w:val="center"/>
        <w:textAlignment w:val="auto"/>
        <w:outlineLvl w:val="9"/>
        <w:rPr>
          <w:rFonts w:hint="eastAsia" w:ascii="宋体" w:hAnsi="宋体" w:eastAsia="宋体" w:cs="宋体"/>
          <w:color w:val="auto"/>
          <w:kern w:val="2"/>
          <w:sz w:val="21"/>
          <w:szCs w:val="24"/>
          <w:highlight w:val="none"/>
          <w:lang w:val="en-US" w:eastAsia="zh-CN" w:bidi="ar-SA"/>
        </w:rPr>
      </w:pPr>
      <w:bookmarkStart w:id="276" w:name="_Toc20866"/>
      <w:bookmarkStart w:id="277" w:name="_Toc440877588"/>
      <w:r>
        <w:rPr>
          <w:rFonts w:hint="eastAsia" w:ascii="宋体" w:hAnsi="宋体" w:eastAsia="宋体" w:cs="宋体"/>
          <w:b/>
          <w:color w:val="auto"/>
          <w:kern w:val="2"/>
          <w:sz w:val="28"/>
          <w:szCs w:val="28"/>
          <w:highlight w:val="none"/>
          <w:lang w:val="en-US" w:eastAsia="zh-CN" w:bidi="ar-SA"/>
        </w:rPr>
        <w:t>评分办法前附表</w:t>
      </w:r>
      <w:bookmarkEnd w:id="276"/>
    </w:p>
    <w:tbl>
      <w:tblPr>
        <w:tblStyle w:val="2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1974"/>
        <w:gridCol w:w="5973"/>
      </w:tblGrid>
      <w:tr w14:paraId="3A19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Align w:val="center"/>
          </w:tcPr>
          <w:p w14:paraId="35F5BB31">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1974" w:type="dxa"/>
            <w:vAlign w:val="center"/>
          </w:tcPr>
          <w:p w14:paraId="2F8BDB85">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973" w:type="dxa"/>
            <w:vAlign w:val="center"/>
          </w:tcPr>
          <w:p w14:paraId="6DCD4D71">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1CBF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restart"/>
            <w:vAlign w:val="center"/>
          </w:tcPr>
          <w:p w14:paraId="628DAADE">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初步评审</w:t>
            </w:r>
          </w:p>
        </w:tc>
        <w:tc>
          <w:tcPr>
            <w:tcW w:w="832" w:type="dxa"/>
            <w:vMerge w:val="restart"/>
            <w:vAlign w:val="center"/>
          </w:tcPr>
          <w:p w14:paraId="79C4EFFA">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资格审查</w:t>
            </w:r>
          </w:p>
        </w:tc>
        <w:tc>
          <w:tcPr>
            <w:tcW w:w="1974" w:type="dxa"/>
            <w:vAlign w:val="center"/>
          </w:tcPr>
          <w:p w14:paraId="6F872AB2">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贺州市平桂区政府采购供应商信用承诺函</w:t>
            </w:r>
          </w:p>
        </w:tc>
        <w:tc>
          <w:tcPr>
            <w:tcW w:w="5973" w:type="dxa"/>
            <w:vAlign w:val="center"/>
          </w:tcPr>
          <w:p w14:paraId="0FF7A24A">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符合“磋商供应商须知前附表”第11项规定。</w:t>
            </w:r>
          </w:p>
        </w:tc>
      </w:tr>
      <w:tr w14:paraId="2AFF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continue"/>
            <w:vAlign w:val="center"/>
          </w:tcPr>
          <w:p w14:paraId="6340B376">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7A70C4DB">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463D52BE">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竞标人基本情况表</w:t>
            </w:r>
          </w:p>
        </w:tc>
        <w:tc>
          <w:tcPr>
            <w:tcW w:w="5973" w:type="dxa"/>
            <w:vAlign w:val="center"/>
          </w:tcPr>
          <w:p w14:paraId="2C3DA38D">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第11项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14:paraId="2473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4302A3F8">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348F410C">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090E3AA6">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5973" w:type="dxa"/>
            <w:vAlign w:val="center"/>
          </w:tcPr>
          <w:p w14:paraId="5491FEC2">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法定代表人身份证明书原件、身份证复印件、安全生产考核合格证书（A类）复印件</w:t>
            </w:r>
            <w:r>
              <w:rPr>
                <w:rFonts w:hint="eastAsia" w:ascii="宋体" w:hAnsi="宋体" w:eastAsia="宋体" w:cs="宋体"/>
                <w:color w:val="auto"/>
                <w:sz w:val="21"/>
                <w:szCs w:val="21"/>
                <w:highlight w:val="none"/>
                <w:lang w:eastAsia="zh-CN"/>
              </w:rPr>
              <w:t>。</w:t>
            </w:r>
          </w:p>
        </w:tc>
      </w:tr>
      <w:tr w14:paraId="74AA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1354B606">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4F4354C5">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06E8685E">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项目经理</w:t>
            </w:r>
          </w:p>
        </w:tc>
        <w:tc>
          <w:tcPr>
            <w:tcW w:w="5973" w:type="dxa"/>
            <w:vAlign w:val="center"/>
          </w:tcPr>
          <w:p w14:paraId="176F87EA">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第6项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14:paraId="6BE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364F908B">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6D026718">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65DD168A">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专职安全员</w:t>
            </w:r>
          </w:p>
        </w:tc>
        <w:tc>
          <w:tcPr>
            <w:tcW w:w="5973" w:type="dxa"/>
            <w:vAlign w:val="center"/>
          </w:tcPr>
          <w:p w14:paraId="502CD677">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第6项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14:paraId="08C6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1CEAB2A9">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5FE8B83C">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20BFF263">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授权委托书</w:t>
            </w:r>
          </w:p>
        </w:tc>
        <w:tc>
          <w:tcPr>
            <w:tcW w:w="5973" w:type="dxa"/>
            <w:vAlign w:val="center"/>
          </w:tcPr>
          <w:p w14:paraId="3C06A19F">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授权委托书原件和委托代理人身份证复印件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委托时提供</w:t>
            </w:r>
            <w:r>
              <w:rPr>
                <w:rFonts w:hint="eastAsia" w:ascii="宋体" w:hAnsi="宋体" w:eastAsia="宋体" w:cs="宋体"/>
                <w:color w:val="auto"/>
                <w:sz w:val="21"/>
                <w:szCs w:val="21"/>
                <w:highlight w:val="none"/>
                <w:lang w:eastAsia="zh-CN"/>
              </w:rPr>
              <w:t>）。</w:t>
            </w:r>
          </w:p>
        </w:tc>
      </w:tr>
      <w:tr w14:paraId="162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vAlign w:val="center"/>
          </w:tcPr>
          <w:p w14:paraId="09614031">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010F35D6">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6D2A751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信用查询</w:t>
            </w:r>
          </w:p>
        </w:tc>
        <w:tc>
          <w:tcPr>
            <w:tcW w:w="5973" w:type="dxa"/>
            <w:vAlign w:val="center"/>
          </w:tcPr>
          <w:p w14:paraId="33536870">
            <w:pPr>
              <w:spacing w:line="440" w:lineRule="exact"/>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供应商在“信用中国”网站(www.creditchina.gov.cn) 、中国政府采购网(www.ccgp.gov.cn)未被列入失信被执行人、重大税收违法失信主体、政府采购严重违法失信行为记录名单。</w:t>
            </w:r>
          </w:p>
        </w:tc>
      </w:tr>
      <w:tr w14:paraId="10BF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vAlign w:val="center"/>
          </w:tcPr>
          <w:p w14:paraId="0AA10318">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5FCE7A38">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6CBDC3B2">
            <w:pPr>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中小企业声明函</w:t>
            </w:r>
          </w:p>
        </w:tc>
        <w:tc>
          <w:tcPr>
            <w:tcW w:w="5973" w:type="dxa"/>
            <w:vAlign w:val="center"/>
          </w:tcPr>
          <w:p w14:paraId="150DDBA9">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提供《中小企业声明函》或监狱企业的证明文件或《残疾人福利性单位声明函》。</w:t>
            </w:r>
          </w:p>
        </w:tc>
      </w:tr>
      <w:tr w14:paraId="5A73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12ED624F">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14:paraId="10D015A7">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7C31AA10">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5973" w:type="dxa"/>
            <w:vAlign w:val="center"/>
          </w:tcPr>
          <w:p w14:paraId="607F6D23">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符合“磋商供应商须知前附表”第6项、第11项规定及且按要求提交了“磋商供应商须知正文”第8项《响应文件》要求的所有内容。</w:t>
            </w:r>
          </w:p>
        </w:tc>
      </w:tr>
      <w:tr w14:paraId="7B33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574A6F38">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779" w:type="dxa"/>
            <w:gridSpan w:val="3"/>
            <w:vAlign w:val="center"/>
          </w:tcPr>
          <w:p w14:paraId="4474530F">
            <w:pPr>
              <w:autoSpaceDE w:val="0"/>
              <w:autoSpaceDN w:val="0"/>
              <w:adjustRightInd w:val="0"/>
              <w:spacing w:line="42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资格性审查</w:t>
            </w:r>
            <w:r>
              <w:rPr>
                <w:rFonts w:hint="eastAsia" w:ascii="宋体" w:hAnsi="宋体" w:eastAsia="宋体" w:cs="宋体"/>
                <w:b/>
                <w:color w:val="auto"/>
                <w:sz w:val="21"/>
                <w:szCs w:val="21"/>
                <w:highlight w:val="none"/>
              </w:rPr>
              <w:t>项中缺少任何一项或有任何一项不合格者其</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审查视为不合格，</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评审不合格的磋商人不</w:t>
            </w:r>
            <w:r>
              <w:rPr>
                <w:rFonts w:hint="eastAsia" w:ascii="宋体" w:hAnsi="宋体" w:eastAsia="宋体" w:cs="宋体"/>
                <w:b/>
                <w:color w:val="auto"/>
                <w:sz w:val="21"/>
                <w:szCs w:val="21"/>
                <w:highlight w:val="none"/>
                <w:lang w:val="en-US" w:eastAsia="zh-CN"/>
              </w:rPr>
              <w:t>得</w:t>
            </w:r>
            <w:r>
              <w:rPr>
                <w:rFonts w:hint="eastAsia" w:ascii="宋体" w:hAnsi="宋体" w:eastAsia="宋体" w:cs="宋体"/>
                <w:b/>
                <w:color w:val="auto"/>
                <w:sz w:val="21"/>
                <w:szCs w:val="21"/>
                <w:highlight w:val="none"/>
              </w:rPr>
              <w:t>进入</w:t>
            </w:r>
            <w:r>
              <w:rPr>
                <w:rFonts w:hint="eastAsia" w:ascii="宋体" w:hAnsi="宋体" w:eastAsia="宋体" w:cs="宋体"/>
                <w:b/>
                <w:color w:val="auto"/>
                <w:sz w:val="21"/>
                <w:szCs w:val="21"/>
                <w:highlight w:val="none"/>
                <w:lang w:val="en-US" w:eastAsia="zh-CN"/>
              </w:rPr>
              <w:t>符合性评审</w:t>
            </w:r>
            <w:r>
              <w:rPr>
                <w:rFonts w:hint="eastAsia" w:ascii="宋体" w:hAnsi="宋体" w:eastAsia="宋体" w:cs="宋体"/>
                <w:b/>
                <w:color w:val="auto"/>
                <w:sz w:val="21"/>
                <w:szCs w:val="21"/>
                <w:highlight w:val="none"/>
              </w:rPr>
              <w:t>。</w:t>
            </w:r>
          </w:p>
        </w:tc>
      </w:tr>
      <w:tr w14:paraId="008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0743B1A6">
            <w:pPr>
              <w:autoSpaceDE w:val="0"/>
              <w:autoSpaceDN w:val="0"/>
              <w:adjustRightInd w:val="0"/>
              <w:spacing w:line="420" w:lineRule="exact"/>
              <w:jc w:val="center"/>
              <w:rPr>
                <w:rFonts w:hint="eastAsia" w:ascii="宋体" w:hAnsi="宋体" w:eastAsia="宋体" w:cs="宋体"/>
                <w:color w:val="auto"/>
                <w:kern w:val="0"/>
                <w:sz w:val="21"/>
                <w:szCs w:val="21"/>
                <w:highlight w:val="none"/>
                <w:lang w:eastAsia="zh-CN"/>
              </w:rPr>
            </w:pPr>
          </w:p>
        </w:tc>
        <w:tc>
          <w:tcPr>
            <w:tcW w:w="832" w:type="dxa"/>
            <w:vMerge w:val="restart"/>
            <w:vAlign w:val="center"/>
          </w:tcPr>
          <w:p w14:paraId="7941277C">
            <w:pPr>
              <w:autoSpaceDE w:val="0"/>
              <w:autoSpaceDN w:val="0"/>
              <w:adjustRightInd w:val="0"/>
              <w:spacing w:line="4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符合性审查</w:t>
            </w:r>
          </w:p>
        </w:tc>
        <w:tc>
          <w:tcPr>
            <w:tcW w:w="1974" w:type="dxa"/>
            <w:vAlign w:val="center"/>
          </w:tcPr>
          <w:p w14:paraId="7211B559">
            <w:pPr>
              <w:autoSpaceDE w:val="0"/>
              <w:autoSpaceDN w:val="0"/>
              <w:adjustRightInd w:val="0"/>
              <w:spacing w:line="4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磋商报价</w:t>
            </w:r>
          </w:p>
        </w:tc>
        <w:tc>
          <w:tcPr>
            <w:tcW w:w="5973" w:type="dxa"/>
            <w:vAlign w:val="center"/>
          </w:tcPr>
          <w:p w14:paraId="21CED350">
            <w:pPr>
              <w:numPr>
                <w:ilvl w:val="0"/>
                <w:numId w:val="0"/>
              </w:numPr>
              <w:autoSpaceDE w:val="0"/>
              <w:autoSpaceDN w:val="0"/>
              <w:adjustRightInd w:val="0"/>
              <w:spacing w:line="4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供应商未提交可选择的报价，且磋商报价未</w:t>
            </w:r>
            <w:r>
              <w:rPr>
                <w:rFonts w:hint="eastAsia" w:ascii="宋体" w:hAnsi="宋体" w:eastAsia="宋体" w:cs="宋体"/>
                <w:color w:val="auto"/>
                <w:sz w:val="21"/>
                <w:szCs w:val="21"/>
                <w:highlight w:val="none"/>
              </w:rPr>
              <w:t>超过采购预算价。</w:t>
            </w:r>
          </w:p>
        </w:tc>
      </w:tr>
      <w:tr w14:paraId="5788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0125D3FB">
            <w:pPr>
              <w:autoSpaceDE w:val="0"/>
              <w:autoSpaceDN w:val="0"/>
              <w:adjustRightInd w:val="0"/>
              <w:spacing w:line="420" w:lineRule="exact"/>
              <w:jc w:val="center"/>
              <w:rPr>
                <w:rFonts w:hint="eastAsia" w:ascii="宋体" w:hAnsi="宋体" w:eastAsia="宋体" w:cs="宋体"/>
                <w:color w:val="auto"/>
                <w:kern w:val="0"/>
                <w:sz w:val="21"/>
                <w:szCs w:val="21"/>
                <w:highlight w:val="none"/>
                <w:lang w:eastAsia="zh-CN"/>
              </w:rPr>
            </w:pPr>
          </w:p>
        </w:tc>
        <w:tc>
          <w:tcPr>
            <w:tcW w:w="832" w:type="dxa"/>
            <w:vMerge w:val="continue"/>
            <w:vAlign w:val="center"/>
          </w:tcPr>
          <w:p w14:paraId="36066FEB">
            <w:pPr>
              <w:autoSpaceDE w:val="0"/>
              <w:autoSpaceDN w:val="0"/>
              <w:adjustRightInd w:val="0"/>
              <w:spacing w:line="420" w:lineRule="exact"/>
              <w:jc w:val="center"/>
              <w:rPr>
                <w:rFonts w:hint="eastAsia" w:ascii="宋体" w:hAnsi="宋体" w:eastAsia="宋体" w:cs="宋体"/>
                <w:b/>
                <w:bCs/>
                <w:color w:val="auto"/>
                <w:kern w:val="0"/>
                <w:sz w:val="21"/>
                <w:szCs w:val="21"/>
                <w:highlight w:val="none"/>
                <w:lang w:eastAsia="zh-CN"/>
              </w:rPr>
            </w:pPr>
          </w:p>
        </w:tc>
        <w:tc>
          <w:tcPr>
            <w:tcW w:w="1974" w:type="dxa"/>
            <w:vAlign w:val="center"/>
          </w:tcPr>
          <w:p w14:paraId="3C5EFC87">
            <w:pPr>
              <w:autoSpaceDE w:val="0"/>
              <w:autoSpaceDN w:val="0"/>
              <w:adjustRightInd w:val="0"/>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磋商人</w:t>
            </w:r>
            <w:r>
              <w:rPr>
                <w:rFonts w:hint="eastAsia" w:ascii="宋体" w:hAnsi="宋体" w:eastAsia="宋体" w:cs="宋体"/>
                <w:color w:val="auto"/>
                <w:kern w:val="0"/>
                <w:sz w:val="21"/>
                <w:szCs w:val="21"/>
                <w:highlight w:val="none"/>
              </w:rPr>
              <w:t>名称</w:t>
            </w:r>
          </w:p>
        </w:tc>
        <w:tc>
          <w:tcPr>
            <w:tcW w:w="5973" w:type="dxa"/>
            <w:vAlign w:val="center"/>
          </w:tcPr>
          <w:p w14:paraId="2986884C">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营业执照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r>
              <w:rPr>
                <w:rFonts w:hint="eastAsia" w:ascii="宋体" w:hAnsi="宋体" w:eastAsia="宋体" w:cs="宋体"/>
                <w:color w:val="auto"/>
                <w:kern w:val="0"/>
                <w:sz w:val="21"/>
                <w:szCs w:val="21"/>
                <w:highlight w:val="none"/>
                <w:lang w:eastAsia="zh-CN"/>
              </w:rPr>
              <w:t>。</w:t>
            </w:r>
          </w:p>
        </w:tc>
      </w:tr>
      <w:tr w14:paraId="517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33AD2204">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14:paraId="58D89FF4">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14:paraId="3AF589A4">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kern w:val="0"/>
                <w:sz w:val="21"/>
                <w:szCs w:val="21"/>
                <w:highlight w:val="none"/>
                <w:lang w:val="en-US" w:eastAsia="zh-CN"/>
              </w:rPr>
              <w:t>编制、签署、</w:t>
            </w:r>
            <w:r>
              <w:rPr>
                <w:rFonts w:hint="eastAsia" w:ascii="宋体" w:hAnsi="宋体" w:eastAsia="宋体" w:cs="宋体"/>
                <w:color w:val="auto"/>
                <w:kern w:val="0"/>
                <w:sz w:val="21"/>
                <w:szCs w:val="21"/>
                <w:highlight w:val="none"/>
              </w:rPr>
              <w:t>盖章</w:t>
            </w:r>
          </w:p>
        </w:tc>
        <w:tc>
          <w:tcPr>
            <w:tcW w:w="5973" w:type="dxa"/>
            <w:vAlign w:val="center"/>
          </w:tcPr>
          <w:p w14:paraId="112F6C0F">
            <w:pPr>
              <w:autoSpaceDE w:val="0"/>
              <w:autoSpaceDN w:val="0"/>
              <w:adjustRightInd w:val="0"/>
              <w:spacing w:line="4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章</w:t>
            </w:r>
            <w:r>
              <w:rPr>
                <w:rFonts w:hint="eastAsia" w:ascii="宋体" w:hAnsi="宋体" w:eastAsia="宋体" w:cs="宋体"/>
                <w:color w:val="auto"/>
                <w:sz w:val="21"/>
                <w:szCs w:val="21"/>
                <w:highlight w:val="none"/>
                <w:lang w:val="en-US" w:eastAsia="zh-CN"/>
              </w:rPr>
              <w:t>“磋商供应商须知正文”</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条规定进行编制、签署、盖章的。</w:t>
            </w:r>
          </w:p>
        </w:tc>
      </w:tr>
      <w:tr w14:paraId="1D28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14:paraId="2F66A97A">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14:paraId="2C4AFDEB">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14:paraId="4308A9E8">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响应文件格式</w:t>
            </w:r>
          </w:p>
        </w:tc>
        <w:tc>
          <w:tcPr>
            <w:tcW w:w="5973" w:type="dxa"/>
            <w:vAlign w:val="center"/>
          </w:tcPr>
          <w:p w14:paraId="3B528122">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章“响应文件格式”的要求</w:t>
            </w:r>
            <w:r>
              <w:rPr>
                <w:rFonts w:hint="eastAsia" w:ascii="宋体" w:hAnsi="宋体" w:eastAsia="宋体" w:cs="宋体"/>
                <w:color w:val="auto"/>
                <w:kern w:val="0"/>
                <w:sz w:val="21"/>
                <w:szCs w:val="21"/>
                <w:highlight w:val="none"/>
                <w:lang w:eastAsia="zh-CN"/>
              </w:rPr>
              <w:t>。</w:t>
            </w:r>
          </w:p>
        </w:tc>
      </w:tr>
      <w:tr w14:paraId="5DF0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14:paraId="330C1448">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14:paraId="1970274D">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14:paraId="2B24B67D">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要求</w:t>
            </w:r>
          </w:p>
        </w:tc>
        <w:tc>
          <w:tcPr>
            <w:tcW w:w="5973" w:type="dxa"/>
            <w:vAlign w:val="center"/>
          </w:tcPr>
          <w:p w14:paraId="71B184E1">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第5项</w:t>
            </w:r>
            <w:r>
              <w:rPr>
                <w:rFonts w:hint="eastAsia" w:ascii="宋体" w:hAnsi="宋体" w:eastAsia="宋体" w:cs="宋体"/>
                <w:color w:val="auto"/>
                <w:sz w:val="21"/>
                <w:szCs w:val="21"/>
                <w:highlight w:val="none"/>
              </w:rPr>
              <w:t>规定。</w:t>
            </w:r>
          </w:p>
        </w:tc>
      </w:tr>
      <w:tr w14:paraId="2380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14:paraId="6114DD9C">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14:paraId="6BE53C7B">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14:paraId="32A8DA6B">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工期</w:t>
            </w:r>
          </w:p>
        </w:tc>
        <w:tc>
          <w:tcPr>
            <w:tcW w:w="5973" w:type="dxa"/>
            <w:vAlign w:val="center"/>
          </w:tcPr>
          <w:p w14:paraId="425CF590">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第4项</w:t>
            </w:r>
            <w:r>
              <w:rPr>
                <w:rFonts w:hint="eastAsia" w:ascii="宋体" w:hAnsi="宋体" w:eastAsia="宋体" w:cs="宋体"/>
                <w:color w:val="auto"/>
                <w:sz w:val="21"/>
                <w:szCs w:val="21"/>
                <w:highlight w:val="none"/>
              </w:rPr>
              <w:t>规定。</w:t>
            </w:r>
          </w:p>
        </w:tc>
      </w:tr>
      <w:tr w14:paraId="0DD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14:paraId="49191245">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14:paraId="792FE949">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14:paraId="3CDB25E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磋商保证金</w:t>
            </w:r>
          </w:p>
        </w:tc>
        <w:tc>
          <w:tcPr>
            <w:tcW w:w="5973" w:type="dxa"/>
            <w:vAlign w:val="center"/>
          </w:tcPr>
          <w:p w14:paraId="34A09D9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第10项</w:t>
            </w:r>
            <w:r>
              <w:rPr>
                <w:rFonts w:hint="eastAsia" w:ascii="宋体" w:hAnsi="宋体" w:eastAsia="宋体" w:cs="宋体"/>
                <w:color w:val="auto"/>
                <w:sz w:val="21"/>
                <w:szCs w:val="21"/>
                <w:highlight w:val="none"/>
              </w:rPr>
              <w:t>规定。</w:t>
            </w:r>
          </w:p>
        </w:tc>
      </w:tr>
      <w:tr w14:paraId="0E81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3" w:type="dxa"/>
            <w:vMerge w:val="continue"/>
            <w:vAlign w:val="top"/>
          </w:tcPr>
          <w:p w14:paraId="52CE5857">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top"/>
          </w:tcPr>
          <w:p w14:paraId="02F68B97">
            <w:pPr>
              <w:autoSpaceDE w:val="0"/>
              <w:autoSpaceDN w:val="0"/>
              <w:adjustRightInd w:val="0"/>
              <w:spacing w:line="420" w:lineRule="exact"/>
              <w:rPr>
                <w:rFonts w:hint="eastAsia" w:ascii="宋体" w:hAnsi="宋体" w:eastAsia="宋体" w:cs="宋体"/>
                <w:b/>
                <w:color w:val="auto"/>
                <w:sz w:val="21"/>
                <w:szCs w:val="21"/>
                <w:highlight w:val="none"/>
                <w:lang w:eastAsia="zh-CN"/>
              </w:rPr>
            </w:pPr>
          </w:p>
        </w:tc>
        <w:tc>
          <w:tcPr>
            <w:tcW w:w="1974" w:type="dxa"/>
            <w:vAlign w:val="top"/>
          </w:tcPr>
          <w:p w14:paraId="0E1B0EE8">
            <w:pPr>
              <w:autoSpaceDE w:val="0"/>
              <w:autoSpaceDN w:val="0"/>
              <w:adjustRightInd w:val="0"/>
              <w:spacing w:line="42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lang w:eastAsia="zh-CN"/>
              </w:rPr>
              <w:t>其他要求</w:t>
            </w:r>
          </w:p>
        </w:tc>
        <w:tc>
          <w:tcPr>
            <w:tcW w:w="5973" w:type="dxa"/>
            <w:vAlign w:val="top"/>
          </w:tcPr>
          <w:p w14:paraId="6EB7E2F9">
            <w:pPr>
              <w:autoSpaceDE w:val="0"/>
              <w:autoSpaceDN w:val="0"/>
              <w:adjustRightInd w:val="0"/>
              <w:spacing w:line="420" w:lineRule="exact"/>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lang w:eastAsia="zh-CN"/>
              </w:rPr>
              <w:t>不存在</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val="en-US" w:eastAsia="zh-CN"/>
              </w:rPr>
              <w:t>磋商供应商</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正文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中任意一项否决或无效投标情形。</w:t>
            </w:r>
          </w:p>
        </w:tc>
      </w:tr>
      <w:tr w14:paraId="1FB6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Align w:val="top"/>
          </w:tcPr>
          <w:p w14:paraId="3CEA2C76">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779" w:type="dxa"/>
            <w:gridSpan w:val="3"/>
            <w:vAlign w:val="top"/>
          </w:tcPr>
          <w:p w14:paraId="77895724">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符合性审查</w:t>
            </w:r>
            <w:r>
              <w:rPr>
                <w:rFonts w:hint="eastAsia" w:ascii="宋体" w:hAnsi="宋体" w:eastAsia="宋体" w:cs="宋体"/>
                <w:b/>
                <w:color w:val="auto"/>
                <w:sz w:val="21"/>
                <w:szCs w:val="21"/>
                <w:highlight w:val="none"/>
              </w:rPr>
              <w:t>项中缺少任何一项或有任何一项不合格者其初步审查视为不合格，初步评审不合格的磋商人不再进入以下各项组成的详细评审。</w:t>
            </w:r>
          </w:p>
        </w:tc>
      </w:tr>
      <w:tr w14:paraId="5AF3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42" w:type="dxa"/>
            <w:gridSpan w:val="4"/>
            <w:vAlign w:val="top"/>
          </w:tcPr>
          <w:p w14:paraId="1717925A">
            <w:pPr>
              <w:autoSpaceDE w:val="0"/>
              <w:autoSpaceDN w:val="0"/>
              <w:adjustRightInd w:val="0"/>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详细评审标准</w:t>
            </w:r>
          </w:p>
        </w:tc>
      </w:tr>
      <w:tr w14:paraId="4114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vAlign w:val="center"/>
          </w:tcPr>
          <w:p w14:paraId="07FE1506">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报价分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c>
          <w:tcPr>
            <w:tcW w:w="7947" w:type="dxa"/>
            <w:gridSpan w:val="2"/>
            <w:tcBorders>
              <w:top w:val="single" w:color="auto" w:sz="4" w:space="0"/>
              <w:left w:val="single" w:color="auto" w:sz="4" w:space="0"/>
              <w:bottom w:val="single" w:color="auto" w:sz="4" w:space="0"/>
            </w:tcBorders>
            <w:vAlign w:val="center"/>
          </w:tcPr>
          <w:p w14:paraId="2259F7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评标基准价的计算方法：</w:t>
            </w:r>
          </w:p>
          <w:p w14:paraId="41F4C74C">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1、竞标报价有效报价范围：有效报价范围为竞标总价低于或等于招标控制价，且通过初步评审的供应商竞标总价。</w:t>
            </w:r>
          </w:p>
          <w:p w14:paraId="6043D9D2">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2、将有效报价范围内的供应商，按其竞标报价由低到高的顺序依次排出名次。</w:t>
            </w:r>
          </w:p>
          <w:p w14:paraId="579327BD">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3、评标基准价=竞标人最低报价（最终报价）</w:t>
            </w:r>
          </w:p>
          <w:p w14:paraId="6B9A18C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本项目为专门面向“中小企业”的项目或者采购包，不再执行价格评审优惠的扶持政策。（注：供应商为监狱企业、残疾人福利性单位的，视同小型、微型企业，同样不再执行价格评审优惠的扶持政策。）</w:t>
            </w:r>
          </w:p>
          <w:p w14:paraId="0BE62A71">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报价分=（评标基准价/评标报价）×</w:t>
            </w:r>
            <w:r>
              <w:rPr>
                <w:rFonts w:hint="eastAsia" w:ascii="宋体" w:hAnsi="宋体" w:eastAsia="宋体" w:cs="宋体"/>
                <w:color w:val="auto"/>
                <w:sz w:val="21"/>
                <w:szCs w:val="21"/>
                <w:highlight w:val="none"/>
                <w:lang w:val="en-US" w:eastAsia="zh-CN"/>
              </w:rPr>
              <w:t>20。</w:t>
            </w:r>
          </w:p>
        </w:tc>
      </w:tr>
      <w:tr w14:paraId="5757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vAlign w:val="center"/>
          </w:tcPr>
          <w:p w14:paraId="394CCF6C">
            <w:pPr>
              <w:spacing w:line="400" w:lineRule="exact"/>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0"/>
                <w:sz w:val="21"/>
                <w:szCs w:val="21"/>
                <w:highlight w:val="none"/>
              </w:rPr>
              <w:t>施工组织设计</w:t>
            </w:r>
            <w:r>
              <w:rPr>
                <w:rFonts w:hint="eastAsia" w:ascii="宋体" w:hAnsi="宋体" w:eastAsia="宋体" w:cs="宋体"/>
                <w:b/>
                <w:color w:val="auto"/>
                <w:kern w:val="0"/>
                <w:sz w:val="21"/>
                <w:szCs w:val="21"/>
                <w:highlight w:val="none"/>
                <w:lang w:val="en-US" w:eastAsia="zh-CN"/>
              </w:rPr>
              <w:t>分</w:t>
            </w:r>
          </w:p>
          <w:p w14:paraId="523C2E54">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60</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lang w:val="en-US" w:eastAsia="zh-CN"/>
              </w:rPr>
              <w:t>：某供应商的技术标得分取磋商小组所有评委成员打分的算数平均值。</w:t>
            </w:r>
          </w:p>
          <w:p w14:paraId="34DFB0AA">
            <w:pPr>
              <w:spacing w:line="400" w:lineRule="exact"/>
              <w:jc w:val="left"/>
              <w:rPr>
                <w:rFonts w:hint="eastAsia" w:ascii="宋体" w:hAnsi="宋体" w:eastAsia="宋体" w:cs="宋体"/>
                <w:b/>
                <w:color w:val="auto"/>
                <w:kern w:val="0"/>
                <w:sz w:val="21"/>
                <w:szCs w:val="21"/>
                <w:highlight w:val="none"/>
              </w:rPr>
            </w:pPr>
          </w:p>
          <w:p w14:paraId="04A03F4A">
            <w:pPr>
              <w:spacing w:line="400" w:lineRule="exact"/>
              <w:jc w:val="left"/>
              <w:rPr>
                <w:rFonts w:hint="eastAsia" w:ascii="宋体" w:hAnsi="宋体" w:eastAsia="宋体" w:cs="宋体"/>
                <w:b/>
                <w:color w:val="auto"/>
                <w:kern w:val="0"/>
                <w:sz w:val="21"/>
                <w:szCs w:val="21"/>
                <w:highlight w:val="none"/>
              </w:rPr>
            </w:pPr>
          </w:p>
          <w:p w14:paraId="26EC2F9B">
            <w:pPr>
              <w:spacing w:line="400" w:lineRule="exact"/>
              <w:jc w:val="left"/>
              <w:rPr>
                <w:rFonts w:hint="eastAsia" w:ascii="宋体" w:hAnsi="宋体" w:eastAsia="宋体" w:cs="宋体"/>
                <w:b/>
                <w:color w:val="auto"/>
                <w:kern w:val="0"/>
                <w:sz w:val="21"/>
                <w:szCs w:val="21"/>
                <w:highlight w:val="none"/>
              </w:rPr>
            </w:pPr>
          </w:p>
          <w:p w14:paraId="4D45B6B9">
            <w:pPr>
              <w:spacing w:line="400" w:lineRule="exact"/>
              <w:jc w:val="left"/>
              <w:rPr>
                <w:rFonts w:hint="eastAsia" w:ascii="宋体" w:hAnsi="宋体" w:eastAsia="宋体" w:cs="宋体"/>
                <w:b/>
                <w:color w:val="auto"/>
                <w:kern w:val="0"/>
                <w:sz w:val="21"/>
                <w:szCs w:val="21"/>
                <w:highlight w:val="none"/>
              </w:rPr>
            </w:pPr>
          </w:p>
          <w:p w14:paraId="35A9AD31">
            <w:pPr>
              <w:spacing w:line="420" w:lineRule="exact"/>
              <w:jc w:val="center"/>
              <w:rPr>
                <w:rFonts w:hint="eastAsia" w:ascii="宋体" w:hAnsi="宋体" w:eastAsia="宋体" w:cs="宋体"/>
                <w:color w:val="auto"/>
                <w:kern w:val="0"/>
                <w:sz w:val="21"/>
                <w:szCs w:val="21"/>
                <w:highlight w:val="none"/>
              </w:rPr>
            </w:pPr>
          </w:p>
        </w:tc>
        <w:tc>
          <w:tcPr>
            <w:tcW w:w="1974" w:type="dxa"/>
            <w:vAlign w:val="center"/>
          </w:tcPr>
          <w:p w14:paraId="5464008B">
            <w:pPr>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主要施工方法（6分</w:t>
            </w:r>
            <w:r>
              <w:rPr>
                <w:rFonts w:hint="eastAsia" w:ascii="宋体" w:hAnsi="宋体" w:eastAsia="宋体" w:cs="宋体"/>
                <w:b/>
                <w:color w:val="auto"/>
                <w:sz w:val="21"/>
                <w:szCs w:val="21"/>
                <w:highlight w:val="none"/>
                <w:lang w:eastAsia="zh-CN"/>
              </w:rPr>
              <w:t>）</w:t>
            </w:r>
          </w:p>
        </w:tc>
        <w:tc>
          <w:tcPr>
            <w:tcW w:w="5973" w:type="dxa"/>
            <w:vAlign w:val="center"/>
          </w:tcPr>
          <w:p w14:paraId="0D450565">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）各主要分部施工方法不符合项目实际，没有详尽的施工技术方案，方法不合理、不可行，不能指导具体施工并确保安全；</w:t>
            </w:r>
          </w:p>
          <w:p w14:paraId="30FEBEDF">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）各主要分部施工方法基本符合项目实际，有施工技术方案，方法基本合理、可行，基本能指导具体施工并确保安全；</w:t>
            </w:r>
          </w:p>
          <w:p w14:paraId="6CF089B9">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三档（6分）各主要分部施工方法符合项目实际，有详尽的施工技术方案，工艺先进、方法科学合理、可行，能指导具体施工并确保安全。</w:t>
            </w:r>
          </w:p>
          <w:p w14:paraId="4F8C9859">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r>
      <w:tr w14:paraId="050F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5AEFB64C">
            <w:pPr>
              <w:spacing w:line="420" w:lineRule="exact"/>
              <w:jc w:val="center"/>
              <w:rPr>
                <w:rFonts w:hint="eastAsia" w:ascii="宋体" w:hAnsi="宋体" w:eastAsia="宋体" w:cs="宋体"/>
                <w:b/>
                <w:color w:val="auto"/>
                <w:kern w:val="0"/>
                <w:sz w:val="21"/>
                <w:szCs w:val="21"/>
                <w:highlight w:val="none"/>
              </w:rPr>
            </w:pPr>
          </w:p>
        </w:tc>
        <w:tc>
          <w:tcPr>
            <w:tcW w:w="1974" w:type="dxa"/>
            <w:vAlign w:val="center"/>
          </w:tcPr>
          <w:p w14:paraId="1B65442F">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拟投入的主要物资计划（6分）</w:t>
            </w:r>
          </w:p>
        </w:tc>
        <w:tc>
          <w:tcPr>
            <w:tcW w:w="5973" w:type="dxa"/>
            <w:vAlign w:val="center"/>
          </w:tcPr>
          <w:p w14:paraId="160C4746">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）拟投入的施工材料没有详细的组织计划，数量、选型配置、进场时间安排不合理，不满足施工需要；</w:t>
            </w:r>
          </w:p>
          <w:p w14:paraId="2F21A4B7">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）拟投入的施工材料有组织计划，数量、选型配置、进场时间安排基本合理，基本满足施工需要；</w:t>
            </w:r>
          </w:p>
          <w:p w14:paraId="37F2DD57">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）拟投入的施工材料有详细的组织计划且计划周密，数量、选型配置、进场时间安排合理，满足施工需要。</w:t>
            </w:r>
          </w:p>
          <w:p w14:paraId="3C88FF64">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0B27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vAlign w:val="center"/>
          </w:tcPr>
          <w:p w14:paraId="4AFEE0CD">
            <w:pPr>
              <w:spacing w:line="420" w:lineRule="exact"/>
              <w:ind w:firstLine="420" w:firstLineChars="200"/>
              <w:rPr>
                <w:rFonts w:hint="eastAsia" w:ascii="宋体" w:hAnsi="宋体" w:eastAsia="宋体" w:cs="宋体"/>
                <w:color w:val="auto"/>
                <w:sz w:val="21"/>
                <w:szCs w:val="21"/>
                <w:highlight w:val="none"/>
              </w:rPr>
            </w:pPr>
          </w:p>
        </w:tc>
        <w:tc>
          <w:tcPr>
            <w:tcW w:w="1974" w:type="dxa"/>
            <w:vAlign w:val="center"/>
          </w:tcPr>
          <w:p w14:paraId="58F075F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拟投入的主要施工机械、设备计划（6分）</w:t>
            </w:r>
          </w:p>
        </w:tc>
        <w:tc>
          <w:tcPr>
            <w:tcW w:w="5973" w:type="dxa"/>
            <w:vAlign w:val="center"/>
          </w:tcPr>
          <w:p w14:paraId="4DBC004D">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）拟投入的施工机械、设备、机具没有详细的组织计划，设备数量、选型配置、进场时间安排不合理，不满足施工需要；</w:t>
            </w:r>
          </w:p>
          <w:p w14:paraId="2BA6C04C">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）拟投入的施工机械、设备、机具有组织计划，设备数量、选型配置、进场时间安排基本合理，基本满足施工需要；</w:t>
            </w:r>
          </w:p>
          <w:p w14:paraId="4A93D2F3">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）拟投入的施工机械、设备、机具有详细的组织计划且计划周密，设备数量、选型配置、进场时间安排合理，满足施工需要。</w:t>
            </w:r>
          </w:p>
          <w:p w14:paraId="48B00955">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56FE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41472186">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241EB0E4">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劳动力安排计划（6分）</w:t>
            </w:r>
          </w:p>
        </w:tc>
        <w:tc>
          <w:tcPr>
            <w:tcW w:w="5973" w:type="dxa"/>
            <w:vAlign w:val="center"/>
          </w:tcPr>
          <w:p w14:paraId="6B45D0D6">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）各主要施工工序没有详细周密的劳动力安排计划，没有各工种劳动力安排计划，劳动力投入不合理，不满足施工需要；</w:t>
            </w:r>
          </w:p>
          <w:p w14:paraId="65ED8751">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）各主要施工工序有劳动力安排计划，有各工种劳动力安排计划，劳动力投入基本合理，基本满足施工需要；</w:t>
            </w:r>
          </w:p>
          <w:p w14:paraId="01DB165D">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）各主要施工工序有详细周密的劳动力安排计划，有各工种劳动力安排计划，劳动力投入合理，满足施工需要。</w:t>
            </w:r>
          </w:p>
          <w:p w14:paraId="0F7A1CB5">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7819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vAlign w:val="center"/>
          </w:tcPr>
          <w:p w14:paraId="6F0EDF67">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771BEEC6">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确保工程质量的技术组织措施（6分）</w:t>
            </w:r>
          </w:p>
        </w:tc>
        <w:tc>
          <w:tcPr>
            <w:tcW w:w="5973" w:type="dxa"/>
            <w:vAlign w:val="center"/>
          </w:tcPr>
          <w:p w14:paraId="2FF2C5D4">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）没有专门的质量技术管理班子和制度，且人员配备不合理，制度不健全。主要工序没有质量技术保证措施和手段，自控体系不完整，不能有效保证技术质量；</w:t>
            </w:r>
          </w:p>
          <w:p w14:paraId="5C66CBA2">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）有质量技术管理班子和制度，且人员配备基本合理，制度基本健全。主要工序有质量技术保证措施和手段，基本能保证技术质量，基本能达到承诺的质量标准；</w:t>
            </w:r>
          </w:p>
          <w:p w14:paraId="617481BE">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）有专门的质量技术管理班子和制度，且人员配备合理，制度健全。主要工序应有质量技术保证措施和手段，自控体系完整，能有效保证技术质量，达到承诺的质量标准。</w:t>
            </w:r>
          </w:p>
          <w:p w14:paraId="32645C43">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15C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3138F385">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5BF3B1AC">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确保安全生产的技术组织措施（6分）</w:t>
            </w:r>
          </w:p>
        </w:tc>
        <w:tc>
          <w:tcPr>
            <w:tcW w:w="5973" w:type="dxa"/>
            <w:vAlign w:val="center"/>
          </w:tcPr>
          <w:p w14:paraId="168D4F0F">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）没有专门的安全管理人员和制度，且人员配备不合理，制度不健全，各道工序安全技术措施无针对性，不满足有关安全技术标准要求。现场防火、应急救援、社会治安安全措施不得力；</w:t>
            </w:r>
          </w:p>
          <w:p w14:paraId="3CF48ADB">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）有安全管理人员和制度，且人员配备基本合理，制度基本健全，各道工序安全技术措施有一定的针对性，且基本满足有关安全技术标准要求。现场防火、应急救援、社会治安安全措施基本满足项目要求；</w:t>
            </w:r>
          </w:p>
          <w:p w14:paraId="70235B76">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）有专门的安全管理人员和制度，且人员配备合理，制度健全，各道工序安全技术措施针对性强，符合实际且满足有关安全技术标准要求。现场防火、应急救援、社会治安安全措施得力。</w:t>
            </w:r>
          </w:p>
          <w:p w14:paraId="1F8DA15E">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192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35BAA74B">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26E4AC44">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确保工期的技术组织措施（6分）</w:t>
            </w:r>
          </w:p>
        </w:tc>
        <w:tc>
          <w:tcPr>
            <w:tcW w:w="5973" w:type="dxa"/>
            <w:vAlign w:val="center"/>
          </w:tcPr>
          <w:p w14:paraId="57B87C01">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在施工工艺、施工方法、材料选用、劳动力安排、技术等方面没有保证工期的具体措施。没有控制工期的施工进度计划。没有施工总进度表或施工网络图，各项计划图表编制不完善，安排不合理，不符合本项目施工实际要求；</w:t>
            </w:r>
          </w:p>
          <w:p w14:paraId="71992513">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在施工工艺、施工方法、材料选用、劳动力安排、技术等方面有保证工期的措施。有控制工期的施工进度计划。有施工总进度表或施工网络图，各项计划图表编制基本完善，安排基本合理，基本符合本项目施工实际要求；</w:t>
            </w:r>
          </w:p>
          <w:p w14:paraId="5B9C9DD6">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6E5B1965">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7AC5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47B55591">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3C0DA50D">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确保文明施工的技术组织措施（6分）</w:t>
            </w:r>
          </w:p>
        </w:tc>
        <w:tc>
          <w:tcPr>
            <w:tcW w:w="5973" w:type="dxa"/>
            <w:vAlign w:val="center"/>
          </w:tcPr>
          <w:p w14:paraId="740BB94A">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）未针对本工程项目特点，没有现场文明施工、环境保护措施，各项措施不周全、不具体。没有具体实现现场文明施工目标的承诺；</w:t>
            </w:r>
          </w:p>
          <w:p w14:paraId="097E7FF9">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现场文明施工、环境保护措施，且措施内容基本达到《建筑施工安全生产检查标准》（JGJ59-2011）合格标准并基本符合《广西壮族自治区建筑工程文明施工导则》要求。各项措施基本完整、有效。有实现现场文明施工目标的承诺；</w:t>
            </w:r>
          </w:p>
          <w:p w14:paraId="61FD4F2A">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03A0B1E8">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53B7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485F03D3">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1CA4241D">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工程施工的重点和难点及保证措施（6分）</w:t>
            </w:r>
          </w:p>
        </w:tc>
        <w:tc>
          <w:tcPr>
            <w:tcW w:w="5973" w:type="dxa"/>
            <w:vAlign w:val="center"/>
          </w:tcPr>
          <w:p w14:paraId="0B9EFF04">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）未针对本工程的特点，阐述本工程的重点和难点，解决重点和难点问题的方法不合理；</w:t>
            </w:r>
          </w:p>
          <w:p w14:paraId="0D8D9CE0">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）有阐述本工程的重点和难点，解决重点和难点问题的方法基本合理；</w:t>
            </w:r>
          </w:p>
          <w:p w14:paraId="6491F161">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三档（6分）针对本工程的特点，阐述本工程的重点和难点，解决重点和难点问题的方法科学合理、可行。</w:t>
            </w:r>
          </w:p>
          <w:p w14:paraId="553D729F">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6E85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14:paraId="6235F556">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14:paraId="2A108DD8">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施工总平面布置图 （6分）</w:t>
            </w:r>
          </w:p>
        </w:tc>
        <w:tc>
          <w:tcPr>
            <w:tcW w:w="5973" w:type="dxa"/>
            <w:vAlign w:val="center"/>
          </w:tcPr>
          <w:p w14:paraId="6D4D0411">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）施工总平面布置图不合理，不符合本项目施工实际要求；</w:t>
            </w:r>
          </w:p>
          <w:p w14:paraId="2B9F0F91">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）施工总平面布置图基本合理，基本符合本项目施工实际要求；</w:t>
            </w:r>
          </w:p>
          <w:p w14:paraId="0D249C37">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）施工总平面布置图安排科学合理，符合本项目施工实际要求，切实、合理、可行。</w:t>
            </w:r>
          </w:p>
          <w:p w14:paraId="0DB822F3">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14:paraId="61B7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vAlign w:val="center"/>
          </w:tcPr>
          <w:p w14:paraId="210A86C1">
            <w:pPr>
              <w:pStyle w:val="40"/>
              <w:ind w:left="0" w:leftChars="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项目管理机构分（满分10分）</w:t>
            </w:r>
          </w:p>
        </w:tc>
        <w:tc>
          <w:tcPr>
            <w:tcW w:w="1974" w:type="dxa"/>
            <w:vAlign w:val="center"/>
          </w:tcPr>
          <w:p w14:paraId="19E3EA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项目经理任职资格（</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分）</w:t>
            </w:r>
          </w:p>
        </w:tc>
        <w:tc>
          <w:tcPr>
            <w:tcW w:w="5973" w:type="dxa"/>
            <w:vAlign w:val="top"/>
          </w:tcPr>
          <w:p w14:paraId="7228B5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拟派任项目经理具有工程类专业中级</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rPr>
              <w:t>以上技术职称得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分，具有初级职称的得2分。本项满分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分。（附相关证明材料）</w:t>
            </w:r>
          </w:p>
        </w:tc>
      </w:tr>
      <w:tr w14:paraId="3256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continue"/>
            <w:vAlign w:val="center"/>
          </w:tcPr>
          <w:p w14:paraId="6EC51245">
            <w:pPr>
              <w:pStyle w:val="40"/>
              <w:ind w:left="0" w:leftChars="0" w:firstLine="0" w:firstLineChars="0"/>
              <w:jc w:val="center"/>
              <w:rPr>
                <w:rFonts w:hint="eastAsia" w:ascii="宋体" w:hAnsi="宋体" w:eastAsia="宋体" w:cs="宋体"/>
                <w:b/>
                <w:color w:val="auto"/>
                <w:sz w:val="21"/>
                <w:szCs w:val="21"/>
                <w:highlight w:val="none"/>
                <w:lang w:val="en-US" w:eastAsia="zh-CN"/>
              </w:rPr>
            </w:pPr>
          </w:p>
        </w:tc>
        <w:tc>
          <w:tcPr>
            <w:tcW w:w="1974" w:type="dxa"/>
            <w:vAlign w:val="center"/>
          </w:tcPr>
          <w:p w14:paraId="49B9AF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其他主要人员（</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分）</w:t>
            </w:r>
          </w:p>
        </w:tc>
        <w:tc>
          <w:tcPr>
            <w:tcW w:w="5973" w:type="dxa"/>
            <w:vAlign w:val="top"/>
          </w:tcPr>
          <w:p w14:paraId="080D23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拟投入本项目的技术负责人</w:t>
            </w:r>
            <w:r>
              <w:rPr>
                <w:rFonts w:hint="eastAsia" w:ascii="宋体" w:hAnsi="宋体" w:cs="宋体"/>
                <w:color w:val="auto"/>
                <w:sz w:val="21"/>
                <w:szCs w:val="21"/>
                <w:highlight w:val="none"/>
                <w:lang w:val="en-US" w:eastAsia="zh-CN"/>
              </w:rPr>
              <w:t>具有中级及以上</w:t>
            </w:r>
            <w:r>
              <w:rPr>
                <w:rFonts w:hint="eastAsia" w:ascii="宋体" w:hAnsi="宋体" w:eastAsia="宋体" w:cs="宋体"/>
                <w:color w:val="auto"/>
                <w:sz w:val="21"/>
                <w:szCs w:val="21"/>
                <w:highlight w:val="none"/>
                <w:lang w:val="en-US"/>
              </w:rPr>
              <w:t>职称的得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分。（附相关证明材料）</w:t>
            </w:r>
          </w:p>
        </w:tc>
      </w:tr>
      <w:tr w14:paraId="329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Align w:val="center"/>
          </w:tcPr>
          <w:p w14:paraId="3D2D4671">
            <w:pPr>
              <w:pStyle w:val="4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项目业绩分（满分10分）</w:t>
            </w:r>
          </w:p>
        </w:tc>
        <w:tc>
          <w:tcPr>
            <w:tcW w:w="7947" w:type="dxa"/>
            <w:gridSpan w:val="2"/>
            <w:vAlign w:val="top"/>
          </w:tcPr>
          <w:p w14:paraId="13F5D9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月1日</w:t>
            </w:r>
            <w:r>
              <w:rPr>
                <w:rFonts w:hint="eastAsia" w:ascii="宋体" w:hAnsi="宋体" w:eastAsia="宋体" w:cs="宋体"/>
                <w:color w:val="auto"/>
                <w:sz w:val="21"/>
                <w:szCs w:val="21"/>
                <w:highlight w:val="none"/>
                <w:lang w:val="en-US"/>
              </w:rPr>
              <w:t>以来承接过</w:t>
            </w:r>
            <w:r>
              <w:rPr>
                <w:rFonts w:hint="eastAsia" w:ascii="宋体" w:hAnsi="宋体" w:eastAsia="宋体" w:cs="宋体"/>
                <w:color w:val="auto"/>
                <w:sz w:val="21"/>
                <w:szCs w:val="21"/>
                <w:highlight w:val="none"/>
                <w:lang w:val="en-US" w:eastAsia="zh-CN"/>
              </w:rPr>
              <w:t>类似</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rPr>
              <w:t>业绩</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rPr>
              <w:t>，每个得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rPr>
              <w:t>分；（提供中标通知书或合同扫描件，时间以中标通知书或合同签署时间为准，否则不予计分。）</w:t>
            </w:r>
          </w:p>
        </w:tc>
      </w:tr>
      <w:tr w14:paraId="02DD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42" w:type="dxa"/>
            <w:gridSpan w:val="4"/>
            <w:vAlign w:val="top"/>
          </w:tcPr>
          <w:p w14:paraId="704FB268">
            <w:pPr>
              <w:spacing w:line="40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综合总得分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满分100分</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施工组织设计</w:t>
            </w:r>
            <w:r>
              <w:rPr>
                <w:rFonts w:hint="eastAsia" w:ascii="宋体" w:hAnsi="宋体" w:eastAsia="宋体" w:cs="宋体"/>
                <w:b/>
                <w:bCs/>
                <w:color w:val="auto"/>
                <w:kern w:val="0"/>
                <w:sz w:val="21"/>
                <w:szCs w:val="21"/>
                <w:highlight w:val="none"/>
                <w:lang w:val="en-US" w:eastAsia="zh-CN"/>
              </w:rPr>
              <w:t>分+项目管理机构分+</w:t>
            </w:r>
            <w:r>
              <w:rPr>
                <w:rFonts w:hint="eastAsia" w:ascii="宋体" w:hAnsi="宋体" w:eastAsia="宋体" w:cs="宋体"/>
                <w:b/>
                <w:bCs/>
                <w:color w:val="auto"/>
                <w:sz w:val="21"/>
                <w:szCs w:val="21"/>
                <w:highlight w:val="none"/>
              </w:rPr>
              <w:t>项目业绩</w:t>
            </w:r>
            <w:r>
              <w:rPr>
                <w:rFonts w:hint="eastAsia" w:ascii="宋体" w:hAnsi="宋体" w:eastAsia="宋体" w:cs="宋体"/>
                <w:b/>
                <w:bCs/>
                <w:color w:val="auto"/>
                <w:sz w:val="21"/>
                <w:szCs w:val="21"/>
                <w:highlight w:val="none"/>
                <w:lang w:val="en-US" w:eastAsia="zh-CN"/>
              </w:rPr>
              <w:t>分</w:t>
            </w:r>
          </w:p>
        </w:tc>
      </w:tr>
    </w:tbl>
    <w:p w14:paraId="3D983A6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Start w:id="278" w:name="_Toc25119"/>
      <w:r>
        <w:rPr>
          <w:rFonts w:hint="eastAsia" w:ascii="宋体" w:hAnsi="宋体" w:eastAsia="宋体" w:cs="宋体"/>
          <w:b/>
          <w:color w:val="auto"/>
          <w:sz w:val="28"/>
          <w:szCs w:val="28"/>
          <w:highlight w:val="none"/>
        </w:rPr>
        <w:t>评标办法正文</w:t>
      </w:r>
      <w:bookmarkEnd w:id="278"/>
    </w:p>
    <w:p w14:paraId="1C7907F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评标原则：</w:t>
      </w:r>
    </w:p>
    <w:p w14:paraId="32D1744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1、坚持公开、公平、公正、适用合理原则。</w:t>
      </w:r>
    </w:p>
    <w:p w14:paraId="22AAE768">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开标前</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采购代理机构在</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Cs w:val="21"/>
          <w:highlight w:val="none"/>
          <w:lang w:val="en-US" w:eastAsia="zh-CN"/>
        </w:rPr>
        <w:t>广西评审专家库</w:t>
      </w:r>
      <w:r>
        <w:rPr>
          <w:rFonts w:hint="eastAsia" w:ascii="宋体" w:hAnsi="宋体" w:eastAsia="宋体" w:cs="宋体"/>
          <w:color w:val="auto"/>
          <w:szCs w:val="21"/>
          <w:highlight w:val="none"/>
        </w:rPr>
        <w:t>中随机抽取的评标专家组成。评标小组为3人，其中，采购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评标代表1人，评标专家库中随机抽取2人。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小组以</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为评标依据，本项目采用</w:t>
      </w:r>
      <w:r>
        <w:rPr>
          <w:rFonts w:hint="eastAsia" w:ascii="宋体" w:hAnsi="宋体" w:eastAsia="宋体" w:cs="宋体"/>
          <w:b/>
          <w:bCs/>
          <w:color w:val="auto"/>
          <w:szCs w:val="21"/>
          <w:highlight w:val="none"/>
          <w:u w:val="single"/>
        </w:rPr>
        <w:t>综合评分法</w:t>
      </w:r>
      <w:r>
        <w:rPr>
          <w:rFonts w:hint="eastAsia" w:ascii="宋体" w:hAnsi="宋体" w:eastAsia="宋体" w:cs="宋体"/>
          <w:bCs/>
          <w:color w:val="auto"/>
          <w:szCs w:val="21"/>
          <w:highlight w:val="none"/>
        </w:rPr>
        <w:t>进行</w:t>
      </w:r>
      <w:r>
        <w:rPr>
          <w:rFonts w:hint="eastAsia" w:ascii="宋体" w:hAnsi="宋体" w:eastAsia="宋体" w:cs="宋体"/>
          <w:color w:val="auto"/>
          <w:szCs w:val="21"/>
          <w:highlight w:val="none"/>
        </w:rPr>
        <w:t>评标。</w:t>
      </w:r>
    </w:p>
    <w:p w14:paraId="231F245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评标次序：</w:t>
      </w:r>
    </w:p>
    <w:p w14:paraId="3E482A5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w:t>
      </w:r>
      <w:r>
        <w:rPr>
          <w:rFonts w:hint="eastAsia" w:ascii="宋体" w:hAnsi="宋体" w:cs="宋体"/>
          <w:b/>
          <w:color w:val="auto"/>
          <w:szCs w:val="21"/>
          <w:highlight w:val="none"/>
          <w:lang w:val="en-US" w:eastAsia="zh-CN"/>
        </w:rPr>
        <w:t>初步评审</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本项目采用资格后审方式进行资格审查，参加本次</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的单位均要通过资格</w:t>
      </w:r>
      <w:r>
        <w:rPr>
          <w:rFonts w:hint="eastAsia" w:ascii="宋体" w:hAnsi="宋体" w:cs="宋体"/>
          <w:color w:val="auto"/>
          <w:szCs w:val="21"/>
          <w:highlight w:val="none"/>
          <w:lang w:val="en-US" w:eastAsia="zh-CN"/>
        </w:rPr>
        <w:t>审查、符合性审查</w:t>
      </w:r>
      <w:r>
        <w:rPr>
          <w:rFonts w:hint="eastAsia" w:ascii="宋体" w:hAnsi="宋体" w:eastAsia="宋体" w:cs="宋体"/>
          <w:color w:val="auto"/>
          <w:szCs w:val="21"/>
          <w:highlight w:val="none"/>
        </w:rPr>
        <w:t>才能获得</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资格。</w:t>
      </w:r>
      <w:r>
        <w:rPr>
          <w:rFonts w:hint="eastAsia" w:ascii="宋体" w:hAnsi="宋体" w:cs="宋体"/>
          <w:color w:val="auto"/>
          <w:szCs w:val="21"/>
          <w:highlight w:val="none"/>
          <w:lang w:val="en-US" w:eastAsia="zh-CN"/>
        </w:rPr>
        <w:t>初步评审</w:t>
      </w:r>
      <w:r>
        <w:rPr>
          <w:rFonts w:hint="eastAsia" w:ascii="宋体" w:hAnsi="宋体" w:eastAsia="宋体" w:cs="宋体"/>
          <w:color w:val="auto"/>
          <w:szCs w:val="21"/>
          <w:highlight w:val="none"/>
        </w:rPr>
        <w:t>内容</w:t>
      </w:r>
      <w:r>
        <w:rPr>
          <w:rFonts w:hint="eastAsia" w:ascii="宋体" w:hAnsi="宋体" w:cs="宋体"/>
          <w:color w:val="auto"/>
          <w:szCs w:val="21"/>
          <w:highlight w:val="none"/>
          <w:lang w:val="en-US" w:eastAsia="zh-CN"/>
        </w:rPr>
        <w:t>详</w:t>
      </w:r>
      <w:r>
        <w:rPr>
          <w:rFonts w:hint="eastAsia" w:ascii="宋体" w:hAnsi="宋体" w:eastAsia="宋体" w:cs="宋体"/>
          <w:color w:val="auto"/>
          <w:szCs w:val="21"/>
          <w:highlight w:val="none"/>
        </w:rPr>
        <w:t>见评标办法前附表。</w:t>
      </w:r>
    </w:p>
    <w:p w14:paraId="731DDB6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详细评审（即综合评审）</w:t>
      </w:r>
    </w:p>
    <w:p w14:paraId="1CC38C4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各评委根据评标办法中相应的要求进行科学评分。在进行</w:t>
      </w:r>
      <w:r>
        <w:rPr>
          <w:rFonts w:hint="eastAsia" w:ascii="宋体" w:hAnsi="宋体" w:eastAsia="宋体" w:cs="宋体"/>
          <w:color w:val="auto"/>
          <w:szCs w:val="21"/>
          <w:highlight w:val="none"/>
          <w:lang w:val="en-US" w:eastAsia="zh-CN"/>
        </w:rPr>
        <w:t>施工组织设计</w:t>
      </w:r>
      <w:r>
        <w:rPr>
          <w:rFonts w:hint="eastAsia" w:ascii="宋体" w:hAnsi="宋体" w:eastAsia="宋体" w:cs="宋体"/>
          <w:color w:val="auto"/>
          <w:szCs w:val="21"/>
          <w:highlight w:val="none"/>
        </w:rPr>
        <w:t>方案文件的评审时，各评委评分的算术平均值为该</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的最终得分。</w:t>
      </w:r>
    </w:p>
    <w:p w14:paraId="36C0D61A">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的澄清与修正</w:t>
      </w:r>
    </w:p>
    <w:p w14:paraId="2117F82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3.1为了有助于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的审查、评价和比较，</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可以要求</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澄清其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。有关澄清的要求与答复，应以书面形式进行。</w:t>
      </w:r>
      <w:r>
        <w:rPr>
          <w:rFonts w:hint="eastAsia" w:ascii="宋体" w:hAnsi="宋体" w:eastAsia="宋体" w:cs="宋体"/>
          <w:bCs/>
          <w:color w:val="auto"/>
          <w:szCs w:val="21"/>
          <w:highlight w:val="none"/>
        </w:rPr>
        <w:t>不按</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要求澄清、说明或补正的，</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作废标处理。</w:t>
      </w:r>
    </w:p>
    <w:p w14:paraId="022DF8A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计算错误的修正</w:t>
      </w:r>
    </w:p>
    <w:p w14:paraId="1AC631A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3.2.1 </w:t>
      </w:r>
      <w:r>
        <w:rPr>
          <w:rFonts w:hint="eastAsia" w:ascii="宋体" w:hAnsi="宋体" w:eastAsia="宋体" w:cs="宋体"/>
          <w:bCs/>
          <w:color w:val="auto"/>
          <w:szCs w:val="21"/>
          <w:highlight w:val="none"/>
          <w:lang w:eastAsia="zh-CN"/>
        </w:rPr>
        <w:t>磋商小组</w:t>
      </w:r>
      <w:r>
        <w:rPr>
          <w:rFonts w:hint="eastAsia" w:ascii="宋体" w:hAnsi="宋体" w:eastAsia="宋体" w:cs="宋体"/>
          <w:color w:val="auto"/>
          <w:szCs w:val="21"/>
          <w:highlight w:val="none"/>
        </w:rPr>
        <w:t>将对确定为实质上响应</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进行校核，看其是否有计算或表达上的错误，修正错误的原则如下：</w:t>
      </w:r>
    </w:p>
    <w:p w14:paraId="60A443F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如果数字表示的金额和用文字表示的金额不一致时，应以文字表示的金额为准；</w:t>
      </w:r>
    </w:p>
    <w:p w14:paraId="6C76870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按上述修正错误的原则及方法调整或修正</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的投标报价，在</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确认后，调整或修正后的磋商报价对</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起约束作用。如果</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不接受调整或修正后的报价，则其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将被拒绝并且其磋商保证金也将被没收，并不影响评标工作。</w:t>
      </w:r>
    </w:p>
    <w:p w14:paraId="3572190E">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三、</w:t>
      </w:r>
      <w:r>
        <w:rPr>
          <w:rFonts w:hint="eastAsia" w:ascii="宋体" w:hAnsi="宋体" w:eastAsia="宋体" w:cs="宋体"/>
          <w:b/>
          <w:bCs/>
          <w:color w:val="auto"/>
          <w:szCs w:val="21"/>
          <w:highlight w:val="none"/>
          <w:lang w:val="en-US" w:eastAsia="zh-CN"/>
        </w:rPr>
        <w:t>推荐成交候选供应商原则</w:t>
      </w:r>
    </w:p>
    <w:bookmarkEnd w:id="277"/>
    <w:p w14:paraId="483A9468">
      <w:pPr>
        <w:widowControl w:val="0"/>
        <w:tabs>
          <w:tab w:val="left" w:pos="4214"/>
        </w:tabs>
        <w:spacing w:line="500" w:lineRule="exact"/>
        <w:ind w:firstLine="420"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1、磋商小组将根据总得分由高到低排列次序并推荐</w:t>
      </w:r>
      <w:r>
        <w:rPr>
          <w:rFonts w:hint="eastAsia" w:ascii="宋体" w:hAnsi="宋体" w:cs="宋体"/>
          <w:color w:val="auto"/>
          <w:kern w:val="2"/>
          <w:sz w:val="21"/>
          <w:szCs w:val="21"/>
          <w:highlight w:val="none"/>
          <w:lang w:val="en-US" w:eastAsia="zh-CN" w:bidi="ar-SA"/>
        </w:rPr>
        <w:t>3名</w:t>
      </w:r>
      <w:r>
        <w:rPr>
          <w:rFonts w:hint="eastAsia" w:ascii="宋体" w:hAnsi="宋体" w:eastAsia="宋体" w:cs="宋体"/>
          <w:color w:val="auto"/>
          <w:kern w:val="2"/>
          <w:sz w:val="21"/>
          <w:szCs w:val="21"/>
          <w:highlight w:val="none"/>
          <w:lang w:val="en-US" w:eastAsia="zh-CN" w:bidi="ar-SA"/>
        </w:rPr>
        <w:t>成交候选供应商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（总得分相同的，按照最后报价由低到高的顺序推荐。总得分且最后报价相同的，则按供应商的施工组织设计等方面综合评价择优确定成交候选供应商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本项目采购人授权磋商小组直接确定成交供应商，评审报告提出的排序第一的供应商为成交供应商。</w:t>
      </w:r>
    </w:p>
    <w:p w14:paraId="744C4AF4">
      <w:pPr>
        <w:widowControl w:val="0"/>
        <w:spacing w:line="5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0C8FA4DE">
      <w:pPr>
        <w:pStyle w:val="8"/>
        <w:rPr>
          <w:rFonts w:hint="eastAsia" w:ascii="宋体" w:hAnsi="宋体" w:eastAsia="宋体" w:cs="宋体"/>
          <w:color w:val="auto"/>
          <w:kern w:val="2"/>
          <w:sz w:val="21"/>
          <w:szCs w:val="21"/>
          <w:highlight w:val="none"/>
          <w:lang w:val="en-US" w:eastAsia="zh-CN" w:bidi="ar-SA"/>
        </w:rPr>
      </w:pPr>
    </w:p>
    <w:p w14:paraId="6FC9E5E4">
      <w:pPr>
        <w:rPr>
          <w:rFonts w:hint="eastAsia" w:ascii="宋体" w:hAnsi="宋体" w:eastAsia="宋体" w:cs="宋体"/>
          <w:color w:val="auto"/>
          <w:highlight w:val="none"/>
        </w:rPr>
      </w:pPr>
    </w:p>
    <w:p w14:paraId="0A1F86D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bookmarkStart w:id="279" w:name="_Toc8279"/>
      <w:r>
        <w:rPr>
          <w:rFonts w:hint="eastAsia" w:ascii="宋体" w:hAnsi="宋体" w:cs="宋体"/>
          <w:b/>
          <w:bCs/>
          <w:color w:val="auto"/>
          <w:sz w:val="44"/>
          <w:szCs w:val="44"/>
          <w:highlight w:val="none"/>
          <w:lang w:val="en-US" w:eastAsia="zh-CN"/>
        </w:rPr>
        <w:t>第九章  “政采贷”政策告知函</w:t>
      </w:r>
      <w:bookmarkEnd w:id="279"/>
    </w:p>
    <w:p w14:paraId="279EFF3F">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color w:val="auto"/>
          <w:highlight w:val="none"/>
          <w:lang w:val="en-US" w:eastAsia="zh-CN"/>
        </w:rPr>
        <w:tab/>
      </w:r>
      <w:r>
        <w:rPr>
          <w:rFonts w:hint="eastAsia" w:ascii="宋体" w:hAnsi="宋体" w:eastAsia="宋体" w:cs="宋体"/>
          <w:color w:val="auto"/>
          <w:sz w:val="21"/>
          <w:szCs w:val="21"/>
          <w:highlight w:val="none"/>
        </w:rPr>
        <w:t>各供应商:</w:t>
      </w:r>
    </w:p>
    <w:p w14:paraId="1D192101">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欢迎贵公司参与贺州市平桂区政府采购活动!</w:t>
      </w:r>
    </w:p>
    <w:p w14:paraId="6FE9900E">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0AB88B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503D6986">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3D91D373">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二、承接银行联系方式</w:t>
      </w:r>
    </w:p>
    <w:p w14:paraId="3BB2A9C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1.中国建设银行贺州分行</w:t>
      </w:r>
      <w:r>
        <w:rPr>
          <w:rFonts w:hint="eastAsia" w:ascii="宋体" w:hAnsi="宋体" w:eastAsia="宋体" w:cs="宋体"/>
          <w:color w:val="auto"/>
          <w:sz w:val="21"/>
          <w:szCs w:val="21"/>
          <w:highlight w:val="none"/>
          <w:lang w:val="en-US" w:eastAsia="zh-CN"/>
        </w:rPr>
        <w:tab/>
      </w:r>
    </w:p>
    <w:tbl>
      <w:tblPr>
        <w:tblStyle w:val="2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60"/>
        <w:gridCol w:w="1172"/>
        <w:gridCol w:w="1137"/>
        <w:gridCol w:w="1520"/>
        <w:gridCol w:w="3021"/>
      </w:tblGrid>
      <w:tr w14:paraId="3279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1A2CBE9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5869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noWrap w:val="0"/>
            <w:vAlign w:val="center"/>
          </w:tcPr>
          <w:p w14:paraId="0D5E42B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60" w:type="dxa"/>
            <w:noWrap w:val="0"/>
            <w:vAlign w:val="center"/>
          </w:tcPr>
          <w:p w14:paraId="5E5E1A4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金融机构</w:t>
            </w:r>
          </w:p>
        </w:tc>
        <w:tc>
          <w:tcPr>
            <w:tcW w:w="1172" w:type="dxa"/>
            <w:noWrap w:val="0"/>
            <w:vAlign w:val="center"/>
          </w:tcPr>
          <w:p w14:paraId="148FABD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46A87613">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520" w:type="dxa"/>
            <w:noWrap w:val="0"/>
            <w:vAlign w:val="center"/>
          </w:tcPr>
          <w:p w14:paraId="166F50B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3021" w:type="dxa"/>
            <w:noWrap w:val="0"/>
            <w:vAlign w:val="center"/>
          </w:tcPr>
          <w:p w14:paraId="79E7E0C4">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788B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noWrap w:val="0"/>
            <w:vAlign w:val="center"/>
          </w:tcPr>
          <w:p w14:paraId="4EA8618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60" w:type="dxa"/>
            <w:noWrap w:val="0"/>
            <w:vAlign w:val="center"/>
          </w:tcPr>
          <w:p w14:paraId="269EA4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4B0FE7E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刘雍</w:t>
            </w:r>
          </w:p>
        </w:tc>
        <w:tc>
          <w:tcPr>
            <w:tcW w:w="1137" w:type="dxa"/>
            <w:noWrap w:val="0"/>
            <w:vAlign w:val="center"/>
          </w:tcPr>
          <w:p w14:paraId="3C097C4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31083BD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3021" w:type="dxa"/>
            <w:noWrap w:val="0"/>
            <w:vAlign w:val="center"/>
          </w:tcPr>
          <w:p w14:paraId="3B03C24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6F4A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78067F5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60" w:type="dxa"/>
            <w:noWrap w:val="0"/>
            <w:vAlign w:val="center"/>
          </w:tcPr>
          <w:p w14:paraId="334817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6DF105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5048C0C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7C9179C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3021" w:type="dxa"/>
            <w:noWrap w:val="0"/>
            <w:vAlign w:val="center"/>
          </w:tcPr>
          <w:p w14:paraId="77382B8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1524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48FE34C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60" w:type="dxa"/>
            <w:noWrap w:val="0"/>
            <w:vAlign w:val="center"/>
          </w:tcPr>
          <w:p w14:paraId="2915D4C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25D470E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7FE0CFD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64DF509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3021" w:type="dxa"/>
            <w:noWrap w:val="0"/>
            <w:vAlign w:val="center"/>
          </w:tcPr>
          <w:p w14:paraId="7220A0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528A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0D7E86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60" w:type="dxa"/>
            <w:noWrap w:val="0"/>
            <w:vAlign w:val="center"/>
          </w:tcPr>
          <w:p w14:paraId="701812F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4E564CC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邱伟</w:t>
            </w:r>
          </w:p>
        </w:tc>
        <w:tc>
          <w:tcPr>
            <w:tcW w:w="1137" w:type="dxa"/>
            <w:noWrap w:val="0"/>
            <w:vAlign w:val="center"/>
          </w:tcPr>
          <w:p w14:paraId="563686B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1714914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3021" w:type="dxa"/>
            <w:noWrap w:val="0"/>
            <w:vAlign w:val="center"/>
          </w:tcPr>
          <w:p w14:paraId="3CE8672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5206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34754A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60" w:type="dxa"/>
            <w:noWrap w:val="0"/>
            <w:vAlign w:val="center"/>
          </w:tcPr>
          <w:p w14:paraId="127155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3823DE9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219EF2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71AED3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3021" w:type="dxa"/>
            <w:noWrap w:val="0"/>
            <w:vAlign w:val="center"/>
          </w:tcPr>
          <w:p w14:paraId="7DD1812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7971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24EB654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060" w:type="dxa"/>
            <w:noWrap w:val="0"/>
            <w:vAlign w:val="center"/>
          </w:tcPr>
          <w:p w14:paraId="4063F19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5AF5868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1DD3EF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520" w:type="dxa"/>
            <w:noWrap w:val="0"/>
            <w:vAlign w:val="center"/>
          </w:tcPr>
          <w:p w14:paraId="521613F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3021" w:type="dxa"/>
            <w:noWrap w:val="0"/>
            <w:vAlign w:val="center"/>
          </w:tcPr>
          <w:p w14:paraId="17999C2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606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17AAE26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060" w:type="dxa"/>
            <w:noWrap w:val="0"/>
            <w:vAlign w:val="center"/>
          </w:tcPr>
          <w:p w14:paraId="5EEFA32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2B1765B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3100C94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4112BCF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3021" w:type="dxa"/>
            <w:noWrap w:val="0"/>
            <w:vAlign w:val="center"/>
          </w:tcPr>
          <w:p w14:paraId="54E5E93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4481CA7F">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2.广西北部湾银行</w:t>
      </w:r>
    </w:p>
    <w:tbl>
      <w:tblPr>
        <w:tblStyle w:val="2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1231"/>
        <w:gridCol w:w="1122"/>
        <w:gridCol w:w="1534"/>
        <w:gridCol w:w="2831"/>
      </w:tblGrid>
      <w:tr w14:paraId="61EA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097C4B2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2BCF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01" w:type="dxa"/>
            <w:noWrap w:val="0"/>
            <w:vAlign w:val="center"/>
          </w:tcPr>
          <w:p w14:paraId="3030582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520CF7F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1231" w:type="dxa"/>
            <w:noWrap w:val="0"/>
            <w:vAlign w:val="center"/>
          </w:tcPr>
          <w:p w14:paraId="2FA4AAB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122" w:type="dxa"/>
            <w:noWrap w:val="0"/>
            <w:vAlign w:val="center"/>
          </w:tcPr>
          <w:p w14:paraId="300408F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50409B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401E600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7D5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8A4514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1A66894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1231" w:type="dxa"/>
            <w:noWrap w:val="0"/>
            <w:vAlign w:val="center"/>
          </w:tcPr>
          <w:p w14:paraId="04A0871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122" w:type="dxa"/>
            <w:noWrap w:val="0"/>
            <w:vAlign w:val="center"/>
          </w:tcPr>
          <w:p w14:paraId="7AC48D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34" w:type="dxa"/>
            <w:noWrap w:val="0"/>
            <w:vAlign w:val="center"/>
          </w:tcPr>
          <w:p w14:paraId="61CDA09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2831" w:type="dxa"/>
            <w:noWrap w:val="0"/>
            <w:vAlign w:val="center"/>
          </w:tcPr>
          <w:p w14:paraId="44E0B72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47E7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03EC3E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1D00BB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1231" w:type="dxa"/>
            <w:noWrap w:val="0"/>
            <w:vAlign w:val="center"/>
          </w:tcPr>
          <w:p w14:paraId="00FB30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刘乐</w:t>
            </w:r>
          </w:p>
        </w:tc>
        <w:tc>
          <w:tcPr>
            <w:tcW w:w="1122" w:type="dxa"/>
            <w:noWrap w:val="0"/>
            <w:vAlign w:val="center"/>
          </w:tcPr>
          <w:p w14:paraId="084B0A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26F4D5A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2831" w:type="dxa"/>
            <w:noWrap w:val="0"/>
            <w:vAlign w:val="center"/>
          </w:tcPr>
          <w:p w14:paraId="69A601A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5F74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3052D55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179A6B3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1231" w:type="dxa"/>
            <w:noWrap w:val="0"/>
            <w:vAlign w:val="center"/>
          </w:tcPr>
          <w:p w14:paraId="782DFA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122" w:type="dxa"/>
            <w:noWrap w:val="0"/>
            <w:vAlign w:val="center"/>
          </w:tcPr>
          <w:p w14:paraId="024996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6772C52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2831" w:type="dxa"/>
            <w:noWrap w:val="0"/>
            <w:vAlign w:val="center"/>
          </w:tcPr>
          <w:p w14:paraId="69BF020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0F64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76F03B3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1419A2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1231" w:type="dxa"/>
            <w:noWrap w:val="0"/>
            <w:vAlign w:val="center"/>
          </w:tcPr>
          <w:p w14:paraId="3FCCA95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122" w:type="dxa"/>
            <w:noWrap w:val="0"/>
            <w:vAlign w:val="center"/>
          </w:tcPr>
          <w:p w14:paraId="1C07394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34" w:type="dxa"/>
            <w:noWrap w:val="0"/>
            <w:vAlign w:val="center"/>
          </w:tcPr>
          <w:p w14:paraId="486CDA4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2831" w:type="dxa"/>
            <w:noWrap w:val="0"/>
            <w:vAlign w:val="center"/>
          </w:tcPr>
          <w:p w14:paraId="4F5AA64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521E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40096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02" w:type="dxa"/>
            <w:noWrap w:val="0"/>
            <w:vAlign w:val="center"/>
          </w:tcPr>
          <w:p w14:paraId="0DB6B54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1231" w:type="dxa"/>
            <w:noWrap w:val="0"/>
            <w:vAlign w:val="center"/>
          </w:tcPr>
          <w:p w14:paraId="5E1BFD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122" w:type="dxa"/>
            <w:noWrap w:val="0"/>
            <w:vAlign w:val="center"/>
          </w:tcPr>
          <w:p w14:paraId="024167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34" w:type="dxa"/>
            <w:noWrap w:val="0"/>
            <w:vAlign w:val="center"/>
          </w:tcPr>
          <w:p w14:paraId="2FBFAAE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2831" w:type="dxa"/>
            <w:noWrap w:val="0"/>
            <w:vAlign w:val="center"/>
          </w:tcPr>
          <w:p w14:paraId="7FBC8B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4C7AAD4C">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3.广西贺州桂东农村合作银行</w:t>
      </w:r>
    </w:p>
    <w:tbl>
      <w:tblPr>
        <w:tblStyle w:val="24"/>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994"/>
        <w:gridCol w:w="1359"/>
        <w:gridCol w:w="1534"/>
        <w:gridCol w:w="2831"/>
      </w:tblGrid>
      <w:tr w14:paraId="3B67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433BC19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74A3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1" w:type="dxa"/>
            <w:noWrap w:val="0"/>
            <w:vAlign w:val="center"/>
          </w:tcPr>
          <w:p w14:paraId="0488FB77">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0A27E760">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994" w:type="dxa"/>
            <w:noWrap w:val="0"/>
            <w:vAlign w:val="center"/>
          </w:tcPr>
          <w:p w14:paraId="5FBF05C8">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359" w:type="dxa"/>
            <w:noWrap w:val="0"/>
            <w:vAlign w:val="center"/>
          </w:tcPr>
          <w:p w14:paraId="74E2A252">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71D501AB">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506E49BA">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4CF0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219AB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6839B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7468F3C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黄腾</w:t>
            </w:r>
          </w:p>
        </w:tc>
        <w:tc>
          <w:tcPr>
            <w:tcW w:w="1359" w:type="dxa"/>
            <w:noWrap w:val="0"/>
            <w:vAlign w:val="center"/>
          </w:tcPr>
          <w:p w14:paraId="690F2C8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34" w:type="dxa"/>
            <w:noWrap w:val="0"/>
            <w:vAlign w:val="center"/>
          </w:tcPr>
          <w:p w14:paraId="5064A71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831" w:type="dxa"/>
            <w:noWrap w:val="0"/>
            <w:vAlign w:val="center"/>
          </w:tcPr>
          <w:p w14:paraId="2F25527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08FD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486032F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1928AA9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518E881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刘瑜</w:t>
            </w:r>
          </w:p>
        </w:tc>
        <w:tc>
          <w:tcPr>
            <w:tcW w:w="1359" w:type="dxa"/>
            <w:noWrap w:val="0"/>
            <w:vAlign w:val="center"/>
          </w:tcPr>
          <w:p w14:paraId="6B9FFC1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34" w:type="dxa"/>
            <w:noWrap w:val="0"/>
            <w:vAlign w:val="center"/>
          </w:tcPr>
          <w:p w14:paraId="6262F38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831" w:type="dxa"/>
            <w:noWrap w:val="0"/>
            <w:vAlign w:val="center"/>
          </w:tcPr>
          <w:p w14:paraId="7148FF4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0C9F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37DB55C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0CB7A08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1B3B8B7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359" w:type="dxa"/>
            <w:noWrap w:val="0"/>
            <w:vAlign w:val="center"/>
          </w:tcPr>
          <w:p w14:paraId="0A7F575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2E45ACF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831" w:type="dxa"/>
            <w:noWrap w:val="0"/>
            <w:vAlign w:val="center"/>
          </w:tcPr>
          <w:p w14:paraId="6A18417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3FFE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0B6900B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0F75029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2FE5512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古睿</w:t>
            </w:r>
          </w:p>
        </w:tc>
        <w:tc>
          <w:tcPr>
            <w:tcW w:w="1359" w:type="dxa"/>
            <w:noWrap w:val="0"/>
            <w:vAlign w:val="center"/>
          </w:tcPr>
          <w:p w14:paraId="763004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0A9C9C9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831" w:type="dxa"/>
            <w:noWrap w:val="0"/>
            <w:vAlign w:val="center"/>
          </w:tcPr>
          <w:p w14:paraId="63D87B1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5CE1E99B">
      <w:pPr>
        <w:rPr>
          <w:rFonts w:hint="eastAsia" w:ascii="宋体" w:hAnsi="宋体" w:eastAsia="宋体" w:cs="宋体"/>
          <w:color w:val="auto"/>
          <w:sz w:val="21"/>
          <w:szCs w:val="21"/>
          <w:highlight w:val="none"/>
        </w:rPr>
      </w:pPr>
    </w:p>
    <w:p w14:paraId="433096C0">
      <w:pPr>
        <w:tabs>
          <w:tab w:val="left" w:pos="906"/>
        </w:tabs>
        <w:bidi w:val="0"/>
        <w:jc w:val="left"/>
        <w:rPr>
          <w:rFonts w:hint="eastAsia"/>
          <w:color w:val="auto"/>
          <w:highlight w:val="none"/>
          <w:lang w:val="en-US" w:eastAsia="zh-CN"/>
        </w:rPr>
      </w:pPr>
    </w:p>
    <w:p w14:paraId="7E4F2EC9">
      <w:pPr>
        <w:tabs>
          <w:tab w:val="left" w:pos="906"/>
        </w:tabs>
        <w:bidi w:val="0"/>
        <w:jc w:val="left"/>
        <w:rPr>
          <w:rFonts w:hint="eastAsia"/>
          <w:color w:val="auto"/>
          <w:highlight w:val="none"/>
          <w:lang w:val="en-US" w:eastAsia="zh-CN"/>
        </w:rPr>
      </w:pPr>
    </w:p>
    <w:bookmarkEnd w:id="280"/>
    <w:sectPr>
      <w:pgSz w:w="11850" w:h="16783"/>
      <w:pgMar w:top="1247" w:right="1247" w:bottom="1247" w:left="1247" w:header="680" w:footer="680"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E4D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CE54">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F6AF39">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w:t>
                          </w:r>
                          <w:r>
                            <w:rPr>
                              <w:rFonts w:ascii="Calibri" w:hAnsi="Calibri" w:eastAsia="宋体" w:cs="Times New Roman"/>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2F6AF39">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A755">
    <w:pPr>
      <w:pStyle w:val="16"/>
      <w:ind w:right="90"/>
      <w:jc w:val="right"/>
      <w:rPr>
        <w:rFonts w:hint="eastAsia" w:ascii="宋体" w:hAnsi="宋体" w:eastAsia="宋体" w:cs="Times New Roman"/>
        <w:sz w:val="21"/>
        <w:szCs w:val="21"/>
        <w:u w:val="single"/>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8A15E">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68A15E">
                    <w:pPr>
                      <w:pStyle w:val="16"/>
                    </w:pPr>
                    <w:r>
                      <w:fldChar w:fldCharType="begin"/>
                    </w:r>
                    <w:r>
                      <w:instrText xml:space="preserve"> PAGE  \* MERGEFORMAT </w:instrText>
                    </w:r>
                    <w:r>
                      <w:fldChar w:fldCharType="separate"/>
                    </w:r>
                    <w:r>
                      <w:t>71</w:t>
                    </w:r>
                    <w:r>
                      <w:fldChar w:fldCharType="end"/>
                    </w:r>
                  </w:p>
                </w:txbxContent>
              </v:textbox>
            </v:shape>
          </w:pict>
        </mc:Fallback>
      </mc:AlternateConten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BAC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8ED2DA02"/>
    <w:multiLevelType w:val="singleLevel"/>
    <w:tmpl w:val="8ED2DA02"/>
    <w:lvl w:ilvl="0" w:tentative="0">
      <w:start w:val="1"/>
      <w:numFmt w:val="decimal"/>
      <w:suff w:val="space"/>
      <w:lvlText w:val="%1."/>
      <w:lvlJc w:val="left"/>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2C031271"/>
    <w:multiLevelType w:val="singleLevel"/>
    <w:tmpl w:val="2C031271"/>
    <w:lvl w:ilvl="0" w:tentative="0">
      <w:start w:val="1"/>
      <w:numFmt w:val="decimal"/>
      <w:lvlText w:val="%1."/>
      <w:lvlJc w:val="left"/>
      <w:pPr>
        <w:tabs>
          <w:tab w:val="left" w:pos="312"/>
        </w:tabs>
      </w:pPr>
    </w:lvl>
  </w:abstractNum>
  <w:abstractNum w:abstractNumId="4">
    <w:nsid w:val="371AD815"/>
    <w:multiLevelType w:val="singleLevel"/>
    <w:tmpl w:val="371AD815"/>
    <w:lvl w:ilvl="0" w:tentative="0">
      <w:start w:val="2"/>
      <w:numFmt w:val="decimal"/>
      <w:suff w:val="space"/>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45ED13C"/>
    <w:multiLevelType w:val="singleLevel"/>
    <w:tmpl w:val="445ED13C"/>
    <w:lvl w:ilvl="0" w:tentative="0">
      <w:start w:val="17"/>
      <w:numFmt w:val="decimal"/>
      <w:suff w:val="space"/>
      <w:lvlText w:val="%1."/>
      <w:lvlJc w:val="left"/>
    </w:lvl>
  </w:abstractNum>
  <w:abstractNum w:abstractNumId="7">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WQwNTVjZjk5N2RhZTVjOWRhMWIyMTcxMzQ2NTEifQ=="/>
    <w:docVar w:name="KSO_WPS_MARK_KEY" w:val="9f1c207f-abab-4b6f-85c5-d39222e950f4"/>
  </w:docVars>
  <w:rsids>
    <w:rsidRoot w:val="00172A27"/>
    <w:rsid w:val="00147173"/>
    <w:rsid w:val="001C5327"/>
    <w:rsid w:val="003E6B90"/>
    <w:rsid w:val="004C11BD"/>
    <w:rsid w:val="006519BA"/>
    <w:rsid w:val="00916D2E"/>
    <w:rsid w:val="009F276B"/>
    <w:rsid w:val="00A46ECA"/>
    <w:rsid w:val="00AD6E3B"/>
    <w:rsid w:val="00B32339"/>
    <w:rsid w:val="00B66CA6"/>
    <w:rsid w:val="00BE5547"/>
    <w:rsid w:val="00C97CCC"/>
    <w:rsid w:val="01025669"/>
    <w:rsid w:val="010F43CF"/>
    <w:rsid w:val="010F5FE2"/>
    <w:rsid w:val="013C4545"/>
    <w:rsid w:val="013E6345"/>
    <w:rsid w:val="01510D91"/>
    <w:rsid w:val="015E1378"/>
    <w:rsid w:val="01712B58"/>
    <w:rsid w:val="01732FB3"/>
    <w:rsid w:val="018E7F8D"/>
    <w:rsid w:val="01AD2B7C"/>
    <w:rsid w:val="01B44877"/>
    <w:rsid w:val="01BB27D6"/>
    <w:rsid w:val="01D97EB6"/>
    <w:rsid w:val="01E15D25"/>
    <w:rsid w:val="020C3C09"/>
    <w:rsid w:val="0215240F"/>
    <w:rsid w:val="021B4271"/>
    <w:rsid w:val="021E110F"/>
    <w:rsid w:val="021F0ED1"/>
    <w:rsid w:val="0228604D"/>
    <w:rsid w:val="022A18EC"/>
    <w:rsid w:val="022A49B8"/>
    <w:rsid w:val="02450F52"/>
    <w:rsid w:val="025B30F8"/>
    <w:rsid w:val="026676EF"/>
    <w:rsid w:val="02732751"/>
    <w:rsid w:val="02901E05"/>
    <w:rsid w:val="02910441"/>
    <w:rsid w:val="02A75804"/>
    <w:rsid w:val="02AA2995"/>
    <w:rsid w:val="02B37ED6"/>
    <w:rsid w:val="02CB6880"/>
    <w:rsid w:val="02CF2660"/>
    <w:rsid w:val="02D752BA"/>
    <w:rsid w:val="02DB1135"/>
    <w:rsid w:val="02F60B92"/>
    <w:rsid w:val="030229A5"/>
    <w:rsid w:val="03073BD8"/>
    <w:rsid w:val="03186BD7"/>
    <w:rsid w:val="037B7F18"/>
    <w:rsid w:val="03835D81"/>
    <w:rsid w:val="038A0F5C"/>
    <w:rsid w:val="038F0666"/>
    <w:rsid w:val="03981870"/>
    <w:rsid w:val="03994F4E"/>
    <w:rsid w:val="039E54C6"/>
    <w:rsid w:val="03A52EF2"/>
    <w:rsid w:val="03B52281"/>
    <w:rsid w:val="03B96EA9"/>
    <w:rsid w:val="03BD679A"/>
    <w:rsid w:val="03E513A6"/>
    <w:rsid w:val="04025A79"/>
    <w:rsid w:val="04453E55"/>
    <w:rsid w:val="047948EC"/>
    <w:rsid w:val="047E311D"/>
    <w:rsid w:val="0488552C"/>
    <w:rsid w:val="04935864"/>
    <w:rsid w:val="049E3752"/>
    <w:rsid w:val="04B832BF"/>
    <w:rsid w:val="04BB62FF"/>
    <w:rsid w:val="04C23D52"/>
    <w:rsid w:val="04CE1E42"/>
    <w:rsid w:val="04DC7071"/>
    <w:rsid w:val="04ED4D45"/>
    <w:rsid w:val="05147E89"/>
    <w:rsid w:val="051518EF"/>
    <w:rsid w:val="0521531D"/>
    <w:rsid w:val="05577D8B"/>
    <w:rsid w:val="05875732"/>
    <w:rsid w:val="0596087F"/>
    <w:rsid w:val="05A3613A"/>
    <w:rsid w:val="05A960DF"/>
    <w:rsid w:val="05BD29CF"/>
    <w:rsid w:val="05ED2884"/>
    <w:rsid w:val="060C2EBB"/>
    <w:rsid w:val="06255E6A"/>
    <w:rsid w:val="06415C54"/>
    <w:rsid w:val="065457E7"/>
    <w:rsid w:val="0655149E"/>
    <w:rsid w:val="06595497"/>
    <w:rsid w:val="0671569B"/>
    <w:rsid w:val="06C47189"/>
    <w:rsid w:val="06C95EDE"/>
    <w:rsid w:val="06FD746A"/>
    <w:rsid w:val="072C591E"/>
    <w:rsid w:val="076D0ECF"/>
    <w:rsid w:val="077568E0"/>
    <w:rsid w:val="07963C8B"/>
    <w:rsid w:val="079E4724"/>
    <w:rsid w:val="07A94B5D"/>
    <w:rsid w:val="07B20E20"/>
    <w:rsid w:val="07BC46FF"/>
    <w:rsid w:val="07BC49C1"/>
    <w:rsid w:val="07C27992"/>
    <w:rsid w:val="07CB5F01"/>
    <w:rsid w:val="07D93375"/>
    <w:rsid w:val="07F8505E"/>
    <w:rsid w:val="080374BA"/>
    <w:rsid w:val="081B372F"/>
    <w:rsid w:val="08332819"/>
    <w:rsid w:val="083404D7"/>
    <w:rsid w:val="08415506"/>
    <w:rsid w:val="08553CEE"/>
    <w:rsid w:val="0860559E"/>
    <w:rsid w:val="087728B5"/>
    <w:rsid w:val="088023BD"/>
    <w:rsid w:val="08A54CD2"/>
    <w:rsid w:val="08D518AC"/>
    <w:rsid w:val="08E144CF"/>
    <w:rsid w:val="09150178"/>
    <w:rsid w:val="093056E2"/>
    <w:rsid w:val="09656872"/>
    <w:rsid w:val="09856BC3"/>
    <w:rsid w:val="098C3ADE"/>
    <w:rsid w:val="098C576A"/>
    <w:rsid w:val="09981DD6"/>
    <w:rsid w:val="09AD03A9"/>
    <w:rsid w:val="09E866E4"/>
    <w:rsid w:val="09EB2195"/>
    <w:rsid w:val="0A0D4144"/>
    <w:rsid w:val="0A203224"/>
    <w:rsid w:val="0A323A7B"/>
    <w:rsid w:val="0A346F4D"/>
    <w:rsid w:val="0A421BF4"/>
    <w:rsid w:val="0A4B25DC"/>
    <w:rsid w:val="0A610A41"/>
    <w:rsid w:val="0A6F0F34"/>
    <w:rsid w:val="0A7901DB"/>
    <w:rsid w:val="0A8C6D75"/>
    <w:rsid w:val="0A981059"/>
    <w:rsid w:val="0AA70ADC"/>
    <w:rsid w:val="0AB267B4"/>
    <w:rsid w:val="0AD57C4B"/>
    <w:rsid w:val="0ADE7A8F"/>
    <w:rsid w:val="0ADF7533"/>
    <w:rsid w:val="0B0333A3"/>
    <w:rsid w:val="0B0446F4"/>
    <w:rsid w:val="0B0A635A"/>
    <w:rsid w:val="0B0B25CD"/>
    <w:rsid w:val="0B144F2B"/>
    <w:rsid w:val="0B1536C0"/>
    <w:rsid w:val="0B1C3A38"/>
    <w:rsid w:val="0B4E39F7"/>
    <w:rsid w:val="0B643590"/>
    <w:rsid w:val="0B66416A"/>
    <w:rsid w:val="0B7314D5"/>
    <w:rsid w:val="0BB07C71"/>
    <w:rsid w:val="0BEE5A66"/>
    <w:rsid w:val="0BF9008B"/>
    <w:rsid w:val="0BFA6FD1"/>
    <w:rsid w:val="0C0F668B"/>
    <w:rsid w:val="0C2912D2"/>
    <w:rsid w:val="0C373216"/>
    <w:rsid w:val="0C3E7E08"/>
    <w:rsid w:val="0C406B21"/>
    <w:rsid w:val="0C5502A8"/>
    <w:rsid w:val="0C6915E0"/>
    <w:rsid w:val="0C9141AC"/>
    <w:rsid w:val="0CA059C4"/>
    <w:rsid w:val="0CA20839"/>
    <w:rsid w:val="0CCD2DDD"/>
    <w:rsid w:val="0CEC7E16"/>
    <w:rsid w:val="0CEE7400"/>
    <w:rsid w:val="0D005F06"/>
    <w:rsid w:val="0D125CDC"/>
    <w:rsid w:val="0D1462F4"/>
    <w:rsid w:val="0D1C2527"/>
    <w:rsid w:val="0D324D94"/>
    <w:rsid w:val="0D533DF4"/>
    <w:rsid w:val="0D8818DD"/>
    <w:rsid w:val="0DB40D43"/>
    <w:rsid w:val="0DB71BE3"/>
    <w:rsid w:val="0DB86AB6"/>
    <w:rsid w:val="0DBB5D41"/>
    <w:rsid w:val="0DBC70F1"/>
    <w:rsid w:val="0DC14EF7"/>
    <w:rsid w:val="0DEF54F6"/>
    <w:rsid w:val="0E0722AE"/>
    <w:rsid w:val="0E085F79"/>
    <w:rsid w:val="0E2450E8"/>
    <w:rsid w:val="0E2847D1"/>
    <w:rsid w:val="0E44027A"/>
    <w:rsid w:val="0E53028D"/>
    <w:rsid w:val="0E5D3349"/>
    <w:rsid w:val="0E857647"/>
    <w:rsid w:val="0E905815"/>
    <w:rsid w:val="0EA271EC"/>
    <w:rsid w:val="0EAA6D91"/>
    <w:rsid w:val="0ECD528C"/>
    <w:rsid w:val="0EE61D33"/>
    <w:rsid w:val="0EE70E8E"/>
    <w:rsid w:val="0EE81876"/>
    <w:rsid w:val="0F0A282B"/>
    <w:rsid w:val="0F0C07BF"/>
    <w:rsid w:val="0F153725"/>
    <w:rsid w:val="0F470702"/>
    <w:rsid w:val="0F515C5A"/>
    <w:rsid w:val="0F541836"/>
    <w:rsid w:val="0F64014E"/>
    <w:rsid w:val="0F6D3AD1"/>
    <w:rsid w:val="0F751969"/>
    <w:rsid w:val="0FA42666"/>
    <w:rsid w:val="0FBD7209"/>
    <w:rsid w:val="0FC706F3"/>
    <w:rsid w:val="0FD2057A"/>
    <w:rsid w:val="0FD571EC"/>
    <w:rsid w:val="0FDD09A2"/>
    <w:rsid w:val="0FF65C26"/>
    <w:rsid w:val="104B5E58"/>
    <w:rsid w:val="107653F1"/>
    <w:rsid w:val="108522C5"/>
    <w:rsid w:val="10864DE3"/>
    <w:rsid w:val="10885922"/>
    <w:rsid w:val="109C55C2"/>
    <w:rsid w:val="109F4215"/>
    <w:rsid w:val="10A36CEB"/>
    <w:rsid w:val="10D65E3A"/>
    <w:rsid w:val="11240204"/>
    <w:rsid w:val="112C36D3"/>
    <w:rsid w:val="11A23E24"/>
    <w:rsid w:val="11AF3192"/>
    <w:rsid w:val="11CD0378"/>
    <w:rsid w:val="11CF7DD1"/>
    <w:rsid w:val="11D44407"/>
    <w:rsid w:val="11F36B75"/>
    <w:rsid w:val="11F4325E"/>
    <w:rsid w:val="120E7E53"/>
    <w:rsid w:val="122B23DB"/>
    <w:rsid w:val="12432BED"/>
    <w:rsid w:val="126F6735"/>
    <w:rsid w:val="128A57C3"/>
    <w:rsid w:val="12921F42"/>
    <w:rsid w:val="129C6ECA"/>
    <w:rsid w:val="12B2792E"/>
    <w:rsid w:val="12B90BFF"/>
    <w:rsid w:val="12C33517"/>
    <w:rsid w:val="12D45BC9"/>
    <w:rsid w:val="12E5148C"/>
    <w:rsid w:val="12F95C66"/>
    <w:rsid w:val="1313272A"/>
    <w:rsid w:val="131F765C"/>
    <w:rsid w:val="13365FC1"/>
    <w:rsid w:val="13375F7C"/>
    <w:rsid w:val="133B072C"/>
    <w:rsid w:val="135B032B"/>
    <w:rsid w:val="13851927"/>
    <w:rsid w:val="139A144D"/>
    <w:rsid w:val="13CD6B47"/>
    <w:rsid w:val="13D80628"/>
    <w:rsid w:val="13E62DBC"/>
    <w:rsid w:val="13F05194"/>
    <w:rsid w:val="13FC788D"/>
    <w:rsid w:val="14137B9C"/>
    <w:rsid w:val="141C07D5"/>
    <w:rsid w:val="14237CCA"/>
    <w:rsid w:val="14505136"/>
    <w:rsid w:val="145F4995"/>
    <w:rsid w:val="146F1A40"/>
    <w:rsid w:val="14776EFE"/>
    <w:rsid w:val="147B5855"/>
    <w:rsid w:val="14904A9F"/>
    <w:rsid w:val="149557DB"/>
    <w:rsid w:val="14AA6C09"/>
    <w:rsid w:val="14AD2FB9"/>
    <w:rsid w:val="14B4689D"/>
    <w:rsid w:val="14DA11D6"/>
    <w:rsid w:val="14F874E8"/>
    <w:rsid w:val="14FA43F4"/>
    <w:rsid w:val="15023C9F"/>
    <w:rsid w:val="151421CA"/>
    <w:rsid w:val="15312467"/>
    <w:rsid w:val="15442DDA"/>
    <w:rsid w:val="15757921"/>
    <w:rsid w:val="157A4E72"/>
    <w:rsid w:val="15801337"/>
    <w:rsid w:val="15886C62"/>
    <w:rsid w:val="159C20F2"/>
    <w:rsid w:val="15A14DEA"/>
    <w:rsid w:val="15A52288"/>
    <w:rsid w:val="15B37428"/>
    <w:rsid w:val="15C16A04"/>
    <w:rsid w:val="15CA0276"/>
    <w:rsid w:val="15D17694"/>
    <w:rsid w:val="15F455B0"/>
    <w:rsid w:val="15FC2035"/>
    <w:rsid w:val="160C7B17"/>
    <w:rsid w:val="162006D2"/>
    <w:rsid w:val="162114BD"/>
    <w:rsid w:val="16337B04"/>
    <w:rsid w:val="163B35AF"/>
    <w:rsid w:val="16497123"/>
    <w:rsid w:val="166A27F4"/>
    <w:rsid w:val="16796A4F"/>
    <w:rsid w:val="168633CA"/>
    <w:rsid w:val="168F4A69"/>
    <w:rsid w:val="169541A1"/>
    <w:rsid w:val="16B03286"/>
    <w:rsid w:val="16D92F13"/>
    <w:rsid w:val="16DF0663"/>
    <w:rsid w:val="170279F1"/>
    <w:rsid w:val="170711DD"/>
    <w:rsid w:val="171321A0"/>
    <w:rsid w:val="17163A31"/>
    <w:rsid w:val="17375161"/>
    <w:rsid w:val="174357EB"/>
    <w:rsid w:val="175C5D77"/>
    <w:rsid w:val="17775C4D"/>
    <w:rsid w:val="177D1E82"/>
    <w:rsid w:val="17830C7D"/>
    <w:rsid w:val="179B2596"/>
    <w:rsid w:val="17A5550F"/>
    <w:rsid w:val="17DC4A0A"/>
    <w:rsid w:val="17EB2521"/>
    <w:rsid w:val="17FC09DB"/>
    <w:rsid w:val="18410550"/>
    <w:rsid w:val="184A630F"/>
    <w:rsid w:val="18525374"/>
    <w:rsid w:val="18902AC0"/>
    <w:rsid w:val="189B5D8E"/>
    <w:rsid w:val="18A36F04"/>
    <w:rsid w:val="18C633D3"/>
    <w:rsid w:val="18F92709"/>
    <w:rsid w:val="190711B8"/>
    <w:rsid w:val="1929549B"/>
    <w:rsid w:val="193713E3"/>
    <w:rsid w:val="19446B85"/>
    <w:rsid w:val="19593B1A"/>
    <w:rsid w:val="195C7B85"/>
    <w:rsid w:val="195F4F3A"/>
    <w:rsid w:val="1963359E"/>
    <w:rsid w:val="19C10F0A"/>
    <w:rsid w:val="19CC7E03"/>
    <w:rsid w:val="19D86A17"/>
    <w:rsid w:val="19DA3387"/>
    <w:rsid w:val="19F4305A"/>
    <w:rsid w:val="19FD64D2"/>
    <w:rsid w:val="1A1C02B0"/>
    <w:rsid w:val="1A4A7DBD"/>
    <w:rsid w:val="1A4C6BF6"/>
    <w:rsid w:val="1A53371E"/>
    <w:rsid w:val="1A580897"/>
    <w:rsid w:val="1A59708B"/>
    <w:rsid w:val="1A5C344B"/>
    <w:rsid w:val="1A5E4E7B"/>
    <w:rsid w:val="1A681F45"/>
    <w:rsid w:val="1A761580"/>
    <w:rsid w:val="1A886D43"/>
    <w:rsid w:val="1AC54D70"/>
    <w:rsid w:val="1AD61006"/>
    <w:rsid w:val="1AF63E0E"/>
    <w:rsid w:val="1AFB42ED"/>
    <w:rsid w:val="1B127790"/>
    <w:rsid w:val="1B1656CF"/>
    <w:rsid w:val="1B1A4796"/>
    <w:rsid w:val="1B1A5B25"/>
    <w:rsid w:val="1B282F95"/>
    <w:rsid w:val="1B331693"/>
    <w:rsid w:val="1B3B455E"/>
    <w:rsid w:val="1B677C92"/>
    <w:rsid w:val="1B837D67"/>
    <w:rsid w:val="1B977350"/>
    <w:rsid w:val="1BAA1CA5"/>
    <w:rsid w:val="1BCD65A0"/>
    <w:rsid w:val="1BD04F59"/>
    <w:rsid w:val="1C127C1D"/>
    <w:rsid w:val="1C2E4F86"/>
    <w:rsid w:val="1C393EA0"/>
    <w:rsid w:val="1C3B6CE8"/>
    <w:rsid w:val="1C526437"/>
    <w:rsid w:val="1C751ABE"/>
    <w:rsid w:val="1C757632"/>
    <w:rsid w:val="1C7840B1"/>
    <w:rsid w:val="1C8745E6"/>
    <w:rsid w:val="1C8E3E2E"/>
    <w:rsid w:val="1C8F7072"/>
    <w:rsid w:val="1C92728F"/>
    <w:rsid w:val="1CAB2DF4"/>
    <w:rsid w:val="1CB74342"/>
    <w:rsid w:val="1CBC5B9E"/>
    <w:rsid w:val="1CC51EE4"/>
    <w:rsid w:val="1CC70E5A"/>
    <w:rsid w:val="1CC826ED"/>
    <w:rsid w:val="1CC858AA"/>
    <w:rsid w:val="1CE4446C"/>
    <w:rsid w:val="1CEB41A0"/>
    <w:rsid w:val="1CFB6772"/>
    <w:rsid w:val="1D012DC8"/>
    <w:rsid w:val="1D473FC4"/>
    <w:rsid w:val="1D483B5E"/>
    <w:rsid w:val="1D70551D"/>
    <w:rsid w:val="1DA55ED4"/>
    <w:rsid w:val="1DAC7D7F"/>
    <w:rsid w:val="1DAF597A"/>
    <w:rsid w:val="1DBC0C53"/>
    <w:rsid w:val="1DC64F46"/>
    <w:rsid w:val="1DCD16C2"/>
    <w:rsid w:val="1DEA1AED"/>
    <w:rsid w:val="1DEC7B59"/>
    <w:rsid w:val="1E132584"/>
    <w:rsid w:val="1E1D1B02"/>
    <w:rsid w:val="1E211AF4"/>
    <w:rsid w:val="1E2D414F"/>
    <w:rsid w:val="1E3C438C"/>
    <w:rsid w:val="1E5A6AA1"/>
    <w:rsid w:val="1E682698"/>
    <w:rsid w:val="1E7C3880"/>
    <w:rsid w:val="1EA3020C"/>
    <w:rsid w:val="1EC428AC"/>
    <w:rsid w:val="1EC53A4F"/>
    <w:rsid w:val="1ED02718"/>
    <w:rsid w:val="1EEB6780"/>
    <w:rsid w:val="1EEF7FE2"/>
    <w:rsid w:val="1F0F1A50"/>
    <w:rsid w:val="1F3F4D79"/>
    <w:rsid w:val="1F836324"/>
    <w:rsid w:val="1FA7588C"/>
    <w:rsid w:val="1FA928B8"/>
    <w:rsid w:val="1FAF33D0"/>
    <w:rsid w:val="1FBC6626"/>
    <w:rsid w:val="1FE97514"/>
    <w:rsid w:val="1FF561C5"/>
    <w:rsid w:val="200A5C3C"/>
    <w:rsid w:val="200B777F"/>
    <w:rsid w:val="203370CC"/>
    <w:rsid w:val="20382C9C"/>
    <w:rsid w:val="2042635B"/>
    <w:rsid w:val="204809D3"/>
    <w:rsid w:val="204949D4"/>
    <w:rsid w:val="20567420"/>
    <w:rsid w:val="205E116D"/>
    <w:rsid w:val="2069588E"/>
    <w:rsid w:val="20786BE9"/>
    <w:rsid w:val="207A2425"/>
    <w:rsid w:val="208257CE"/>
    <w:rsid w:val="208A1D0B"/>
    <w:rsid w:val="208C4B5A"/>
    <w:rsid w:val="20931C4F"/>
    <w:rsid w:val="20A03B82"/>
    <w:rsid w:val="20B3324D"/>
    <w:rsid w:val="20B74704"/>
    <w:rsid w:val="20BF581D"/>
    <w:rsid w:val="20C76C3A"/>
    <w:rsid w:val="20D25288"/>
    <w:rsid w:val="2122049F"/>
    <w:rsid w:val="21251B33"/>
    <w:rsid w:val="21437AE8"/>
    <w:rsid w:val="21466A01"/>
    <w:rsid w:val="214D0AB3"/>
    <w:rsid w:val="217A0435"/>
    <w:rsid w:val="218775AB"/>
    <w:rsid w:val="2188729D"/>
    <w:rsid w:val="21B77545"/>
    <w:rsid w:val="21BA022A"/>
    <w:rsid w:val="21BD48B9"/>
    <w:rsid w:val="21BF0278"/>
    <w:rsid w:val="21C42C5D"/>
    <w:rsid w:val="21CE69EC"/>
    <w:rsid w:val="21D431C3"/>
    <w:rsid w:val="21D75B28"/>
    <w:rsid w:val="21E1157B"/>
    <w:rsid w:val="21E9116E"/>
    <w:rsid w:val="21F04025"/>
    <w:rsid w:val="21F33F8B"/>
    <w:rsid w:val="21FB6297"/>
    <w:rsid w:val="22047B62"/>
    <w:rsid w:val="220C503A"/>
    <w:rsid w:val="22637F74"/>
    <w:rsid w:val="227350E1"/>
    <w:rsid w:val="227A2DCD"/>
    <w:rsid w:val="227D3355"/>
    <w:rsid w:val="22811AD1"/>
    <w:rsid w:val="228150C7"/>
    <w:rsid w:val="22851D24"/>
    <w:rsid w:val="22996C92"/>
    <w:rsid w:val="22CD66D0"/>
    <w:rsid w:val="22DF6B31"/>
    <w:rsid w:val="23111068"/>
    <w:rsid w:val="23242C16"/>
    <w:rsid w:val="233B32F2"/>
    <w:rsid w:val="23417E1B"/>
    <w:rsid w:val="23503C84"/>
    <w:rsid w:val="2387551E"/>
    <w:rsid w:val="238846BF"/>
    <w:rsid w:val="23A3588C"/>
    <w:rsid w:val="23AA7239"/>
    <w:rsid w:val="23BB17AA"/>
    <w:rsid w:val="23BB3004"/>
    <w:rsid w:val="23C54623"/>
    <w:rsid w:val="23C7681E"/>
    <w:rsid w:val="23DA1943"/>
    <w:rsid w:val="24082174"/>
    <w:rsid w:val="24145594"/>
    <w:rsid w:val="241E5281"/>
    <w:rsid w:val="242922E9"/>
    <w:rsid w:val="242E0EBA"/>
    <w:rsid w:val="24381C76"/>
    <w:rsid w:val="24513B95"/>
    <w:rsid w:val="24531BE4"/>
    <w:rsid w:val="245C5413"/>
    <w:rsid w:val="245E60EA"/>
    <w:rsid w:val="24655DC8"/>
    <w:rsid w:val="24945841"/>
    <w:rsid w:val="249F3629"/>
    <w:rsid w:val="24B06566"/>
    <w:rsid w:val="24CD2554"/>
    <w:rsid w:val="24CF6BB0"/>
    <w:rsid w:val="24D64800"/>
    <w:rsid w:val="24F24792"/>
    <w:rsid w:val="25056E93"/>
    <w:rsid w:val="25060596"/>
    <w:rsid w:val="25097325"/>
    <w:rsid w:val="25292606"/>
    <w:rsid w:val="25580E26"/>
    <w:rsid w:val="25A062B3"/>
    <w:rsid w:val="25B51F79"/>
    <w:rsid w:val="25D67C79"/>
    <w:rsid w:val="25EE2FF1"/>
    <w:rsid w:val="25F05920"/>
    <w:rsid w:val="25F95738"/>
    <w:rsid w:val="25FC567F"/>
    <w:rsid w:val="261D222D"/>
    <w:rsid w:val="263C430E"/>
    <w:rsid w:val="263C5DDB"/>
    <w:rsid w:val="26584507"/>
    <w:rsid w:val="26663961"/>
    <w:rsid w:val="267007DD"/>
    <w:rsid w:val="267F1B6E"/>
    <w:rsid w:val="268E141B"/>
    <w:rsid w:val="26995AE5"/>
    <w:rsid w:val="26A61651"/>
    <w:rsid w:val="26B4291F"/>
    <w:rsid w:val="26CA20A0"/>
    <w:rsid w:val="26CC4D9A"/>
    <w:rsid w:val="26CF5C04"/>
    <w:rsid w:val="26DC7985"/>
    <w:rsid w:val="26E36D60"/>
    <w:rsid w:val="26E8451F"/>
    <w:rsid w:val="26FE033B"/>
    <w:rsid w:val="271B54EF"/>
    <w:rsid w:val="2723127F"/>
    <w:rsid w:val="27330B47"/>
    <w:rsid w:val="2735298E"/>
    <w:rsid w:val="27654176"/>
    <w:rsid w:val="276B6789"/>
    <w:rsid w:val="277841EA"/>
    <w:rsid w:val="27796A8A"/>
    <w:rsid w:val="278860CF"/>
    <w:rsid w:val="27AC2CD5"/>
    <w:rsid w:val="27B34984"/>
    <w:rsid w:val="27B93E60"/>
    <w:rsid w:val="27C873ED"/>
    <w:rsid w:val="27DB0EE6"/>
    <w:rsid w:val="27F33DF7"/>
    <w:rsid w:val="27F83A99"/>
    <w:rsid w:val="283A5429"/>
    <w:rsid w:val="28450962"/>
    <w:rsid w:val="284A1F5D"/>
    <w:rsid w:val="284B7EE7"/>
    <w:rsid w:val="28605BD0"/>
    <w:rsid w:val="28664D86"/>
    <w:rsid w:val="286E51BD"/>
    <w:rsid w:val="287A1C4C"/>
    <w:rsid w:val="28AE7740"/>
    <w:rsid w:val="28D56B7C"/>
    <w:rsid w:val="28E1506C"/>
    <w:rsid w:val="28F43698"/>
    <w:rsid w:val="28FE555C"/>
    <w:rsid w:val="292C4BDC"/>
    <w:rsid w:val="29322F10"/>
    <w:rsid w:val="295807BB"/>
    <w:rsid w:val="296D189C"/>
    <w:rsid w:val="2990340C"/>
    <w:rsid w:val="299D7047"/>
    <w:rsid w:val="29B20CE7"/>
    <w:rsid w:val="29CC7F7F"/>
    <w:rsid w:val="29CF7CBC"/>
    <w:rsid w:val="2A040E61"/>
    <w:rsid w:val="2A0B7E6D"/>
    <w:rsid w:val="2A13200D"/>
    <w:rsid w:val="2A221ED3"/>
    <w:rsid w:val="2A3B381A"/>
    <w:rsid w:val="2A3C7BFE"/>
    <w:rsid w:val="2A8736BE"/>
    <w:rsid w:val="2A8773CC"/>
    <w:rsid w:val="2A93499D"/>
    <w:rsid w:val="2AA96C9D"/>
    <w:rsid w:val="2AC603DE"/>
    <w:rsid w:val="2AE6082F"/>
    <w:rsid w:val="2B010556"/>
    <w:rsid w:val="2B026E96"/>
    <w:rsid w:val="2B1321DC"/>
    <w:rsid w:val="2B146763"/>
    <w:rsid w:val="2B30560E"/>
    <w:rsid w:val="2B400334"/>
    <w:rsid w:val="2B445780"/>
    <w:rsid w:val="2B4C758A"/>
    <w:rsid w:val="2B5B15BB"/>
    <w:rsid w:val="2B633D6E"/>
    <w:rsid w:val="2B6C4A0B"/>
    <w:rsid w:val="2B7728CB"/>
    <w:rsid w:val="2BB132C3"/>
    <w:rsid w:val="2BB86056"/>
    <w:rsid w:val="2BDB4391"/>
    <w:rsid w:val="2BE92768"/>
    <w:rsid w:val="2BED16F8"/>
    <w:rsid w:val="2C197A3A"/>
    <w:rsid w:val="2C1D027F"/>
    <w:rsid w:val="2C405F01"/>
    <w:rsid w:val="2C6740F3"/>
    <w:rsid w:val="2C6819DA"/>
    <w:rsid w:val="2C6A1788"/>
    <w:rsid w:val="2C6D4CDD"/>
    <w:rsid w:val="2C6F5E1F"/>
    <w:rsid w:val="2C7072E8"/>
    <w:rsid w:val="2C755243"/>
    <w:rsid w:val="2C7C4EE5"/>
    <w:rsid w:val="2C876C23"/>
    <w:rsid w:val="2CB21D23"/>
    <w:rsid w:val="2CE72985"/>
    <w:rsid w:val="2CF94143"/>
    <w:rsid w:val="2CFB5B68"/>
    <w:rsid w:val="2D1C4591"/>
    <w:rsid w:val="2D286ADB"/>
    <w:rsid w:val="2D4B1FC9"/>
    <w:rsid w:val="2D8B0FF1"/>
    <w:rsid w:val="2DE539EA"/>
    <w:rsid w:val="2DE971E2"/>
    <w:rsid w:val="2E0C1292"/>
    <w:rsid w:val="2E116E66"/>
    <w:rsid w:val="2E1D6EDE"/>
    <w:rsid w:val="2E2A3561"/>
    <w:rsid w:val="2E2D5F9E"/>
    <w:rsid w:val="2E3B6C3B"/>
    <w:rsid w:val="2E434E34"/>
    <w:rsid w:val="2E4F64D9"/>
    <w:rsid w:val="2E50759F"/>
    <w:rsid w:val="2E56075F"/>
    <w:rsid w:val="2E5653A4"/>
    <w:rsid w:val="2EB77450"/>
    <w:rsid w:val="2EC66A23"/>
    <w:rsid w:val="2EC6754C"/>
    <w:rsid w:val="2EC7687E"/>
    <w:rsid w:val="2ECD53F7"/>
    <w:rsid w:val="2ECE06FE"/>
    <w:rsid w:val="2F334578"/>
    <w:rsid w:val="2F5109A4"/>
    <w:rsid w:val="2F5843E6"/>
    <w:rsid w:val="2F5E6B8C"/>
    <w:rsid w:val="2F631BC5"/>
    <w:rsid w:val="2F6B042A"/>
    <w:rsid w:val="2F700DF1"/>
    <w:rsid w:val="2F916997"/>
    <w:rsid w:val="2FB601D0"/>
    <w:rsid w:val="2FBF4699"/>
    <w:rsid w:val="2FE573AB"/>
    <w:rsid w:val="301471FC"/>
    <w:rsid w:val="301B3E65"/>
    <w:rsid w:val="30245D01"/>
    <w:rsid w:val="30265D71"/>
    <w:rsid w:val="302D0E9F"/>
    <w:rsid w:val="30384C45"/>
    <w:rsid w:val="3043555D"/>
    <w:rsid w:val="304D7130"/>
    <w:rsid w:val="305111DE"/>
    <w:rsid w:val="30682984"/>
    <w:rsid w:val="30686D17"/>
    <w:rsid w:val="306D2235"/>
    <w:rsid w:val="309F2E19"/>
    <w:rsid w:val="30EF2A10"/>
    <w:rsid w:val="30F019A9"/>
    <w:rsid w:val="30FE1366"/>
    <w:rsid w:val="31132550"/>
    <w:rsid w:val="311D34B8"/>
    <w:rsid w:val="313F4D9A"/>
    <w:rsid w:val="314A36B4"/>
    <w:rsid w:val="3161595D"/>
    <w:rsid w:val="3184602D"/>
    <w:rsid w:val="319C6943"/>
    <w:rsid w:val="31AC1DEB"/>
    <w:rsid w:val="31AD66FD"/>
    <w:rsid w:val="31B21D95"/>
    <w:rsid w:val="31B96AA6"/>
    <w:rsid w:val="31D85FEC"/>
    <w:rsid w:val="31DF34F0"/>
    <w:rsid w:val="31E44BA4"/>
    <w:rsid w:val="31EE0D17"/>
    <w:rsid w:val="31EF13B0"/>
    <w:rsid w:val="31FC7ADB"/>
    <w:rsid w:val="3221596B"/>
    <w:rsid w:val="32222E7F"/>
    <w:rsid w:val="322F17B7"/>
    <w:rsid w:val="325A6FC8"/>
    <w:rsid w:val="32662BFF"/>
    <w:rsid w:val="327F0285"/>
    <w:rsid w:val="328C622B"/>
    <w:rsid w:val="32972162"/>
    <w:rsid w:val="329F0927"/>
    <w:rsid w:val="32DC56D7"/>
    <w:rsid w:val="331E14BA"/>
    <w:rsid w:val="33255513"/>
    <w:rsid w:val="33283607"/>
    <w:rsid w:val="333A6B83"/>
    <w:rsid w:val="336A17DF"/>
    <w:rsid w:val="33762B88"/>
    <w:rsid w:val="338565A5"/>
    <w:rsid w:val="33AD0AAD"/>
    <w:rsid w:val="33AD6F69"/>
    <w:rsid w:val="33FC056B"/>
    <w:rsid w:val="34133F4C"/>
    <w:rsid w:val="34176FDD"/>
    <w:rsid w:val="34186F72"/>
    <w:rsid w:val="34195674"/>
    <w:rsid w:val="34246EDC"/>
    <w:rsid w:val="345968B4"/>
    <w:rsid w:val="346C5CA1"/>
    <w:rsid w:val="34A04E07"/>
    <w:rsid w:val="34DB1E65"/>
    <w:rsid w:val="34E24C33"/>
    <w:rsid w:val="34EE63F3"/>
    <w:rsid w:val="34F3029F"/>
    <w:rsid w:val="34F74832"/>
    <w:rsid w:val="351013A8"/>
    <w:rsid w:val="351940B0"/>
    <w:rsid w:val="3531020B"/>
    <w:rsid w:val="35364074"/>
    <w:rsid w:val="355E4683"/>
    <w:rsid w:val="35A07E22"/>
    <w:rsid w:val="35E53C1A"/>
    <w:rsid w:val="35EE629E"/>
    <w:rsid w:val="360302A9"/>
    <w:rsid w:val="36170E17"/>
    <w:rsid w:val="361976C3"/>
    <w:rsid w:val="362463DF"/>
    <w:rsid w:val="3638711E"/>
    <w:rsid w:val="3651172E"/>
    <w:rsid w:val="36572F64"/>
    <w:rsid w:val="36C6691A"/>
    <w:rsid w:val="36EB5BF2"/>
    <w:rsid w:val="3707370E"/>
    <w:rsid w:val="371A1ED1"/>
    <w:rsid w:val="3729787B"/>
    <w:rsid w:val="372D4055"/>
    <w:rsid w:val="374A73ED"/>
    <w:rsid w:val="374B6C62"/>
    <w:rsid w:val="374C74AC"/>
    <w:rsid w:val="37596EB2"/>
    <w:rsid w:val="37641FEB"/>
    <w:rsid w:val="37652258"/>
    <w:rsid w:val="376E1EFB"/>
    <w:rsid w:val="37882EB1"/>
    <w:rsid w:val="379F5540"/>
    <w:rsid w:val="37CF0FD9"/>
    <w:rsid w:val="37F073C9"/>
    <w:rsid w:val="3800309A"/>
    <w:rsid w:val="380C0210"/>
    <w:rsid w:val="381559D1"/>
    <w:rsid w:val="381C1B69"/>
    <w:rsid w:val="381C6932"/>
    <w:rsid w:val="384D7B6B"/>
    <w:rsid w:val="38531A94"/>
    <w:rsid w:val="386023AC"/>
    <w:rsid w:val="38A24C43"/>
    <w:rsid w:val="38B8462D"/>
    <w:rsid w:val="38C33D5C"/>
    <w:rsid w:val="38C43921"/>
    <w:rsid w:val="38CB2C57"/>
    <w:rsid w:val="38DD1BC1"/>
    <w:rsid w:val="38F511B0"/>
    <w:rsid w:val="38F864C1"/>
    <w:rsid w:val="391336F3"/>
    <w:rsid w:val="3927473B"/>
    <w:rsid w:val="39477622"/>
    <w:rsid w:val="3951082A"/>
    <w:rsid w:val="396D4CB7"/>
    <w:rsid w:val="39AD30AD"/>
    <w:rsid w:val="39BD378B"/>
    <w:rsid w:val="39CA407F"/>
    <w:rsid w:val="39DD67E6"/>
    <w:rsid w:val="39E3512D"/>
    <w:rsid w:val="3A126618"/>
    <w:rsid w:val="3A4D15EB"/>
    <w:rsid w:val="3A722F6E"/>
    <w:rsid w:val="3A876423"/>
    <w:rsid w:val="3A877CFD"/>
    <w:rsid w:val="3AB421E7"/>
    <w:rsid w:val="3AC64035"/>
    <w:rsid w:val="3AD47F64"/>
    <w:rsid w:val="3AFC5296"/>
    <w:rsid w:val="3B060213"/>
    <w:rsid w:val="3B0931F8"/>
    <w:rsid w:val="3B097A32"/>
    <w:rsid w:val="3B30693B"/>
    <w:rsid w:val="3B4C32CD"/>
    <w:rsid w:val="3B5E1D06"/>
    <w:rsid w:val="3BAA25AB"/>
    <w:rsid w:val="3BAD44FF"/>
    <w:rsid w:val="3BB71E05"/>
    <w:rsid w:val="3BBB1E69"/>
    <w:rsid w:val="3BCC48C7"/>
    <w:rsid w:val="3BCD08D5"/>
    <w:rsid w:val="3BD97860"/>
    <w:rsid w:val="3BDD026C"/>
    <w:rsid w:val="3BF97445"/>
    <w:rsid w:val="3C030602"/>
    <w:rsid w:val="3C057493"/>
    <w:rsid w:val="3C0D6F5C"/>
    <w:rsid w:val="3C28777B"/>
    <w:rsid w:val="3C4C6976"/>
    <w:rsid w:val="3C775FC8"/>
    <w:rsid w:val="3C94187F"/>
    <w:rsid w:val="3CA87A95"/>
    <w:rsid w:val="3CAA05F4"/>
    <w:rsid w:val="3CC022CE"/>
    <w:rsid w:val="3CC6767F"/>
    <w:rsid w:val="3CC72F54"/>
    <w:rsid w:val="3CC73DD2"/>
    <w:rsid w:val="3CE225EA"/>
    <w:rsid w:val="3CE24EAA"/>
    <w:rsid w:val="3CF4761C"/>
    <w:rsid w:val="3CFC7650"/>
    <w:rsid w:val="3D004621"/>
    <w:rsid w:val="3D122352"/>
    <w:rsid w:val="3D192AA5"/>
    <w:rsid w:val="3D207937"/>
    <w:rsid w:val="3D2E2FD3"/>
    <w:rsid w:val="3D484466"/>
    <w:rsid w:val="3D4E79E6"/>
    <w:rsid w:val="3D695218"/>
    <w:rsid w:val="3D7E1270"/>
    <w:rsid w:val="3D9000D9"/>
    <w:rsid w:val="3D957D7E"/>
    <w:rsid w:val="3DAB5207"/>
    <w:rsid w:val="3DBB413B"/>
    <w:rsid w:val="3DC212DD"/>
    <w:rsid w:val="3DCE1AC2"/>
    <w:rsid w:val="3DD03B65"/>
    <w:rsid w:val="3DD37FEC"/>
    <w:rsid w:val="3DD87077"/>
    <w:rsid w:val="3DE73182"/>
    <w:rsid w:val="3DE90CA8"/>
    <w:rsid w:val="3DF5283C"/>
    <w:rsid w:val="3DFF292D"/>
    <w:rsid w:val="3E236E55"/>
    <w:rsid w:val="3E2D35F9"/>
    <w:rsid w:val="3E3C527C"/>
    <w:rsid w:val="3E4A0A14"/>
    <w:rsid w:val="3E4C14C8"/>
    <w:rsid w:val="3E5324BC"/>
    <w:rsid w:val="3E6F540C"/>
    <w:rsid w:val="3E734463"/>
    <w:rsid w:val="3E991E30"/>
    <w:rsid w:val="3EC74FD8"/>
    <w:rsid w:val="3EE6168C"/>
    <w:rsid w:val="3EFA09BA"/>
    <w:rsid w:val="3F0365C7"/>
    <w:rsid w:val="3F0C0B14"/>
    <w:rsid w:val="3F323A7E"/>
    <w:rsid w:val="3F4C2599"/>
    <w:rsid w:val="3F4C640F"/>
    <w:rsid w:val="3F626F64"/>
    <w:rsid w:val="3F762A0F"/>
    <w:rsid w:val="3F7A30D9"/>
    <w:rsid w:val="3F9B6523"/>
    <w:rsid w:val="3FA5105C"/>
    <w:rsid w:val="3FBB4E8D"/>
    <w:rsid w:val="3FCB386C"/>
    <w:rsid w:val="3FE10A2A"/>
    <w:rsid w:val="3FEB3166"/>
    <w:rsid w:val="3FFA6A2A"/>
    <w:rsid w:val="4005779A"/>
    <w:rsid w:val="40363A3A"/>
    <w:rsid w:val="403657E9"/>
    <w:rsid w:val="40410D61"/>
    <w:rsid w:val="40880BFA"/>
    <w:rsid w:val="40A815B4"/>
    <w:rsid w:val="40AA542D"/>
    <w:rsid w:val="40AC1536"/>
    <w:rsid w:val="40B07D2D"/>
    <w:rsid w:val="40B7360A"/>
    <w:rsid w:val="40D46C24"/>
    <w:rsid w:val="40D5031E"/>
    <w:rsid w:val="40DD11B1"/>
    <w:rsid w:val="40EA0F95"/>
    <w:rsid w:val="40EC23F8"/>
    <w:rsid w:val="41070804"/>
    <w:rsid w:val="411E1BAD"/>
    <w:rsid w:val="41246C1D"/>
    <w:rsid w:val="41417D67"/>
    <w:rsid w:val="41556D77"/>
    <w:rsid w:val="415F78F5"/>
    <w:rsid w:val="418A116E"/>
    <w:rsid w:val="419304EB"/>
    <w:rsid w:val="41A47355"/>
    <w:rsid w:val="41AB0C0C"/>
    <w:rsid w:val="41AC3D91"/>
    <w:rsid w:val="41C51421"/>
    <w:rsid w:val="41E23D2A"/>
    <w:rsid w:val="420B38E3"/>
    <w:rsid w:val="42287A44"/>
    <w:rsid w:val="422C0F9B"/>
    <w:rsid w:val="422E3F0C"/>
    <w:rsid w:val="423A095C"/>
    <w:rsid w:val="423F25D4"/>
    <w:rsid w:val="424E187E"/>
    <w:rsid w:val="425C6318"/>
    <w:rsid w:val="42653193"/>
    <w:rsid w:val="4286574F"/>
    <w:rsid w:val="42886027"/>
    <w:rsid w:val="42A23AC2"/>
    <w:rsid w:val="42BC71DD"/>
    <w:rsid w:val="42EB5D13"/>
    <w:rsid w:val="43094EC2"/>
    <w:rsid w:val="431B161F"/>
    <w:rsid w:val="431B3150"/>
    <w:rsid w:val="432D0F3D"/>
    <w:rsid w:val="43642916"/>
    <w:rsid w:val="43716B39"/>
    <w:rsid w:val="4389139E"/>
    <w:rsid w:val="43A62258"/>
    <w:rsid w:val="43AC2EA4"/>
    <w:rsid w:val="43C52CE9"/>
    <w:rsid w:val="43C542E7"/>
    <w:rsid w:val="43CF4883"/>
    <w:rsid w:val="44053A18"/>
    <w:rsid w:val="440C2621"/>
    <w:rsid w:val="441427F7"/>
    <w:rsid w:val="44286EF0"/>
    <w:rsid w:val="44341486"/>
    <w:rsid w:val="444A6201"/>
    <w:rsid w:val="446E3444"/>
    <w:rsid w:val="447F2700"/>
    <w:rsid w:val="44843CFD"/>
    <w:rsid w:val="44902D8A"/>
    <w:rsid w:val="44AD6A35"/>
    <w:rsid w:val="44D939C1"/>
    <w:rsid w:val="44E90281"/>
    <w:rsid w:val="44F34738"/>
    <w:rsid w:val="450C30C1"/>
    <w:rsid w:val="450F36BC"/>
    <w:rsid w:val="45182DE3"/>
    <w:rsid w:val="452C54F4"/>
    <w:rsid w:val="453440B9"/>
    <w:rsid w:val="45380EEC"/>
    <w:rsid w:val="454422E6"/>
    <w:rsid w:val="45B20E76"/>
    <w:rsid w:val="45BA1C5F"/>
    <w:rsid w:val="45DF1A0C"/>
    <w:rsid w:val="45E17142"/>
    <w:rsid w:val="45E2649C"/>
    <w:rsid w:val="45EC2CDD"/>
    <w:rsid w:val="45F624B2"/>
    <w:rsid w:val="46026227"/>
    <w:rsid w:val="460E6BC6"/>
    <w:rsid w:val="460F3276"/>
    <w:rsid w:val="462D0958"/>
    <w:rsid w:val="46331F3F"/>
    <w:rsid w:val="463C4B2E"/>
    <w:rsid w:val="465C0AF9"/>
    <w:rsid w:val="466220A0"/>
    <w:rsid w:val="46A63C77"/>
    <w:rsid w:val="46B01136"/>
    <w:rsid w:val="46B571C0"/>
    <w:rsid w:val="46E70B37"/>
    <w:rsid w:val="46E90904"/>
    <w:rsid w:val="46F701FC"/>
    <w:rsid w:val="46FB686E"/>
    <w:rsid w:val="46FD31FB"/>
    <w:rsid w:val="470B2D93"/>
    <w:rsid w:val="472D2B16"/>
    <w:rsid w:val="472F5E58"/>
    <w:rsid w:val="47340AAB"/>
    <w:rsid w:val="473B5852"/>
    <w:rsid w:val="4754407A"/>
    <w:rsid w:val="47755093"/>
    <w:rsid w:val="479A7B66"/>
    <w:rsid w:val="479A7EA7"/>
    <w:rsid w:val="47B41CA6"/>
    <w:rsid w:val="47C00C39"/>
    <w:rsid w:val="47C47222"/>
    <w:rsid w:val="47D22736"/>
    <w:rsid w:val="47E81C34"/>
    <w:rsid w:val="48027536"/>
    <w:rsid w:val="4812452D"/>
    <w:rsid w:val="4839166B"/>
    <w:rsid w:val="483B1DFE"/>
    <w:rsid w:val="4841673B"/>
    <w:rsid w:val="4869368D"/>
    <w:rsid w:val="487F3DB5"/>
    <w:rsid w:val="48894FF4"/>
    <w:rsid w:val="488C3D85"/>
    <w:rsid w:val="48B67669"/>
    <w:rsid w:val="48FE1C8E"/>
    <w:rsid w:val="490E61A1"/>
    <w:rsid w:val="491D50F4"/>
    <w:rsid w:val="492E0BA6"/>
    <w:rsid w:val="493C102C"/>
    <w:rsid w:val="494A0352"/>
    <w:rsid w:val="49644595"/>
    <w:rsid w:val="49B54134"/>
    <w:rsid w:val="49C06738"/>
    <w:rsid w:val="49C63AD3"/>
    <w:rsid w:val="49CF0180"/>
    <w:rsid w:val="49D70D45"/>
    <w:rsid w:val="49F9518C"/>
    <w:rsid w:val="4A003601"/>
    <w:rsid w:val="4A093B4F"/>
    <w:rsid w:val="4A25124C"/>
    <w:rsid w:val="4A3661D0"/>
    <w:rsid w:val="4A4857B3"/>
    <w:rsid w:val="4A506F08"/>
    <w:rsid w:val="4A54254B"/>
    <w:rsid w:val="4A5B122B"/>
    <w:rsid w:val="4A8A3813"/>
    <w:rsid w:val="4A9F5C76"/>
    <w:rsid w:val="4AAE2978"/>
    <w:rsid w:val="4AAF0D17"/>
    <w:rsid w:val="4AC7490F"/>
    <w:rsid w:val="4AEC19C9"/>
    <w:rsid w:val="4B094738"/>
    <w:rsid w:val="4B0C7BF8"/>
    <w:rsid w:val="4B191858"/>
    <w:rsid w:val="4B3913B6"/>
    <w:rsid w:val="4B642125"/>
    <w:rsid w:val="4B6F6273"/>
    <w:rsid w:val="4B7033C1"/>
    <w:rsid w:val="4B853B5B"/>
    <w:rsid w:val="4BA318E2"/>
    <w:rsid w:val="4BB113E9"/>
    <w:rsid w:val="4BB6256B"/>
    <w:rsid w:val="4BB71830"/>
    <w:rsid w:val="4BC72924"/>
    <w:rsid w:val="4BFC452E"/>
    <w:rsid w:val="4C03387D"/>
    <w:rsid w:val="4C421637"/>
    <w:rsid w:val="4C450062"/>
    <w:rsid w:val="4C5016A0"/>
    <w:rsid w:val="4C7344BE"/>
    <w:rsid w:val="4C7A5A5B"/>
    <w:rsid w:val="4C910E89"/>
    <w:rsid w:val="4C990605"/>
    <w:rsid w:val="4CA4286F"/>
    <w:rsid w:val="4CB46ABA"/>
    <w:rsid w:val="4CB86758"/>
    <w:rsid w:val="4CC97F4D"/>
    <w:rsid w:val="4CF318E9"/>
    <w:rsid w:val="4D0E60AF"/>
    <w:rsid w:val="4D197F32"/>
    <w:rsid w:val="4D2D7466"/>
    <w:rsid w:val="4D2E492A"/>
    <w:rsid w:val="4D5D426D"/>
    <w:rsid w:val="4D5E468E"/>
    <w:rsid w:val="4D801A08"/>
    <w:rsid w:val="4D890873"/>
    <w:rsid w:val="4DA8648A"/>
    <w:rsid w:val="4DBF382A"/>
    <w:rsid w:val="4DC82B8E"/>
    <w:rsid w:val="4DDF2502"/>
    <w:rsid w:val="4DFC001D"/>
    <w:rsid w:val="4E0A01D5"/>
    <w:rsid w:val="4E390CA3"/>
    <w:rsid w:val="4E3A5C09"/>
    <w:rsid w:val="4E432638"/>
    <w:rsid w:val="4E4522EF"/>
    <w:rsid w:val="4E635487"/>
    <w:rsid w:val="4E6C58CE"/>
    <w:rsid w:val="4E6E18E4"/>
    <w:rsid w:val="4E736BEF"/>
    <w:rsid w:val="4E8407C0"/>
    <w:rsid w:val="4E962786"/>
    <w:rsid w:val="4EB46D71"/>
    <w:rsid w:val="4EB90B45"/>
    <w:rsid w:val="4EC04161"/>
    <w:rsid w:val="4EE117C2"/>
    <w:rsid w:val="4EF15467"/>
    <w:rsid w:val="4EF23FB1"/>
    <w:rsid w:val="4F0B73F3"/>
    <w:rsid w:val="4F123ABD"/>
    <w:rsid w:val="4F3C67C6"/>
    <w:rsid w:val="4F5B1333"/>
    <w:rsid w:val="4F67294B"/>
    <w:rsid w:val="4F9B578A"/>
    <w:rsid w:val="4FA841F2"/>
    <w:rsid w:val="4FB25A88"/>
    <w:rsid w:val="4FD20AA0"/>
    <w:rsid w:val="4FE42133"/>
    <w:rsid w:val="4FF70F0D"/>
    <w:rsid w:val="4FFF6D19"/>
    <w:rsid w:val="50054FE6"/>
    <w:rsid w:val="5007249F"/>
    <w:rsid w:val="500E2412"/>
    <w:rsid w:val="501200D5"/>
    <w:rsid w:val="50156172"/>
    <w:rsid w:val="503304DD"/>
    <w:rsid w:val="505042CA"/>
    <w:rsid w:val="50541E93"/>
    <w:rsid w:val="505A492D"/>
    <w:rsid w:val="50717643"/>
    <w:rsid w:val="509B494D"/>
    <w:rsid w:val="50B9474C"/>
    <w:rsid w:val="50D51CA7"/>
    <w:rsid w:val="50DE7355"/>
    <w:rsid w:val="50E96E23"/>
    <w:rsid w:val="512978FE"/>
    <w:rsid w:val="51340212"/>
    <w:rsid w:val="5137445C"/>
    <w:rsid w:val="51502F0F"/>
    <w:rsid w:val="51597A9B"/>
    <w:rsid w:val="51752176"/>
    <w:rsid w:val="517B6174"/>
    <w:rsid w:val="51981E3E"/>
    <w:rsid w:val="519E0C6D"/>
    <w:rsid w:val="51B5269E"/>
    <w:rsid w:val="51B85C65"/>
    <w:rsid w:val="51BA22D2"/>
    <w:rsid w:val="51BB1571"/>
    <w:rsid w:val="51BF62F0"/>
    <w:rsid w:val="51CF7F71"/>
    <w:rsid w:val="51DC0CC0"/>
    <w:rsid w:val="51F81AE0"/>
    <w:rsid w:val="52060934"/>
    <w:rsid w:val="52071F70"/>
    <w:rsid w:val="521006CF"/>
    <w:rsid w:val="521273EF"/>
    <w:rsid w:val="522154D7"/>
    <w:rsid w:val="522F6471"/>
    <w:rsid w:val="52367E7C"/>
    <w:rsid w:val="52477846"/>
    <w:rsid w:val="524F214E"/>
    <w:rsid w:val="525E72CD"/>
    <w:rsid w:val="52830F67"/>
    <w:rsid w:val="52AC3887"/>
    <w:rsid w:val="52AE43C7"/>
    <w:rsid w:val="52B8235F"/>
    <w:rsid w:val="52C63793"/>
    <w:rsid w:val="52D96C12"/>
    <w:rsid w:val="52E00CE4"/>
    <w:rsid w:val="52E97870"/>
    <w:rsid w:val="52EC56F1"/>
    <w:rsid w:val="52FE69C4"/>
    <w:rsid w:val="53055FDE"/>
    <w:rsid w:val="534B3E00"/>
    <w:rsid w:val="53526694"/>
    <w:rsid w:val="53536E98"/>
    <w:rsid w:val="536B5C0C"/>
    <w:rsid w:val="539219AD"/>
    <w:rsid w:val="53BB42D9"/>
    <w:rsid w:val="53E977FC"/>
    <w:rsid w:val="53F9607D"/>
    <w:rsid w:val="53FC3441"/>
    <w:rsid w:val="54095716"/>
    <w:rsid w:val="5425170C"/>
    <w:rsid w:val="54333A58"/>
    <w:rsid w:val="54473660"/>
    <w:rsid w:val="54475507"/>
    <w:rsid w:val="5453362B"/>
    <w:rsid w:val="545B53B5"/>
    <w:rsid w:val="54617825"/>
    <w:rsid w:val="5463135D"/>
    <w:rsid w:val="546C70C7"/>
    <w:rsid w:val="546D3877"/>
    <w:rsid w:val="54BE7CEF"/>
    <w:rsid w:val="54D0367D"/>
    <w:rsid w:val="54F03FEA"/>
    <w:rsid w:val="54F90306"/>
    <w:rsid w:val="55027786"/>
    <w:rsid w:val="55037552"/>
    <w:rsid w:val="55165BD1"/>
    <w:rsid w:val="55345D50"/>
    <w:rsid w:val="5563538C"/>
    <w:rsid w:val="557800F9"/>
    <w:rsid w:val="55825812"/>
    <w:rsid w:val="5590336F"/>
    <w:rsid w:val="55A16277"/>
    <w:rsid w:val="55A61E58"/>
    <w:rsid w:val="55A80492"/>
    <w:rsid w:val="55AD50BB"/>
    <w:rsid w:val="55B772C4"/>
    <w:rsid w:val="55C26E2D"/>
    <w:rsid w:val="55EC58B0"/>
    <w:rsid w:val="55F45560"/>
    <w:rsid w:val="5646099D"/>
    <w:rsid w:val="564C4930"/>
    <w:rsid w:val="56617B1E"/>
    <w:rsid w:val="56663BC0"/>
    <w:rsid w:val="567C376F"/>
    <w:rsid w:val="56951840"/>
    <w:rsid w:val="569A0457"/>
    <w:rsid w:val="56A46971"/>
    <w:rsid w:val="56AD149F"/>
    <w:rsid w:val="56AD3DDC"/>
    <w:rsid w:val="56D77DE0"/>
    <w:rsid w:val="56DF222E"/>
    <w:rsid w:val="56E228AD"/>
    <w:rsid w:val="56EE77EB"/>
    <w:rsid w:val="57044CE4"/>
    <w:rsid w:val="57210593"/>
    <w:rsid w:val="5724302A"/>
    <w:rsid w:val="57476E61"/>
    <w:rsid w:val="574E16FF"/>
    <w:rsid w:val="575B456D"/>
    <w:rsid w:val="57605777"/>
    <w:rsid w:val="57635A67"/>
    <w:rsid w:val="576F7780"/>
    <w:rsid w:val="57760786"/>
    <w:rsid w:val="577C5E86"/>
    <w:rsid w:val="578645B3"/>
    <w:rsid w:val="57950D74"/>
    <w:rsid w:val="579B1213"/>
    <w:rsid w:val="579E01EB"/>
    <w:rsid w:val="57A97082"/>
    <w:rsid w:val="57CC5FD1"/>
    <w:rsid w:val="57DC0ABA"/>
    <w:rsid w:val="57F14DE1"/>
    <w:rsid w:val="57FB6567"/>
    <w:rsid w:val="582B308E"/>
    <w:rsid w:val="583078E1"/>
    <w:rsid w:val="583D4A6D"/>
    <w:rsid w:val="58482CED"/>
    <w:rsid w:val="585F108A"/>
    <w:rsid w:val="586C1BCB"/>
    <w:rsid w:val="589208FF"/>
    <w:rsid w:val="58944BD8"/>
    <w:rsid w:val="58A957AC"/>
    <w:rsid w:val="58B53004"/>
    <w:rsid w:val="58EC2414"/>
    <w:rsid w:val="58FD36ED"/>
    <w:rsid w:val="590654F0"/>
    <w:rsid w:val="59103704"/>
    <w:rsid w:val="59261B2A"/>
    <w:rsid w:val="594056E6"/>
    <w:rsid w:val="59430826"/>
    <w:rsid w:val="59814FD1"/>
    <w:rsid w:val="599C0C57"/>
    <w:rsid w:val="59B00DE5"/>
    <w:rsid w:val="59B9124C"/>
    <w:rsid w:val="59F17B06"/>
    <w:rsid w:val="5A022307"/>
    <w:rsid w:val="5A25561B"/>
    <w:rsid w:val="5A26631E"/>
    <w:rsid w:val="5A2A6B6D"/>
    <w:rsid w:val="5A336AC1"/>
    <w:rsid w:val="5A516919"/>
    <w:rsid w:val="5A543883"/>
    <w:rsid w:val="5A622F9B"/>
    <w:rsid w:val="5AAA53CF"/>
    <w:rsid w:val="5AF06F6D"/>
    <w:rsid w:val="5AF4287F"/>
    <w:rsid w:val="5B0E53A3"/>
    <w:rsid w:val="5B130E01"/>
    <w:rsid w:val="5B255C05"/>
    <w:rsid w:val="5B457607"/>
    <w:rsid w:val="5B733364"/>
    <w:rsid w:val="5B854DCC"/>
    <w:rsid w:val="5B922DF6"/>
    <w:rsid w:val="5BB11FDB"/>
    <w:rsid w:val="5BC3190F"/>
    <w:rsid w:val="5BC74027"/>
    <w:rsid w:val="5BCE70F4"/>
    <w:rsid w:val="5C13534D"/>
    <w:rsid w:val="5C1860DA"/>
    <w:rsid w:val="5C1E3402"/>
    <w:rsid w:val="5C2A5C11"/>
    <w:rsid w:val="5C371E82"/>
    <w:rsid w:val="5C6863F1"/>
    <w:rsid w:val="5C6D5BA7"/>
    <w:rsid w:val="5C8303EE"/>
    <w:rsid w:val="5C855502"/>
    <w:rsid w:val="5C927042"/>
    <w:rsid w:val="5CA6628A"/>
    <w:rsid w:val="5CB36BF9"/>
    <w:rsid w:val="5CC30ADE"/>
    <w:rsid w:val="5CC423D4"/>
    <w:rsid w:val="5CF60894"/>
    <w:rsid w:val="5D0B1745"/>
    <w:rsid w:val="5D0B433F"/>
    <w:rsid w:val="5D0F4FED"/>
    <w:rsid w:val="5D2050CC"/>
    <w:rsid w:val="5D396058"/>
    <w:rsid w:val="5D61797F"/>
    <w:rsid w:val="5D9407D9"/>
    <w:rsid w:val="5D952C65"/>
    <w:rsid w:val="5DA9165F"/>
    <w:rsid w:val="5DB4234F"/>
    <w:rsid w:val="5DC14C6C"/>
    <w:rsid w:val="5DD47731"/>
    <w:rsid w:val="5DED3F8C"/>
    <w:rsid w:val="5E0170A0"/>
    <w:rsid w:val="5E06138F"/>
    <w:rsid w:val="5E201EF0"/>
    <w:rsid w:val="5E5B12F6"/>
    <w:rsid w:val="5E724EDA"/>
    <w:rsid w:val="5E8720EC"/>
    <w:rsid w:val="5E8F4115"/>
    <w:rsid w:val="5E935F5E"/>
    <w:rsid w:val="5E9B2C46"/>
    <w:rsid w:val="5EA17159"/>
    <w:rsid w:val="5EB21AD5"/>
    <w:rsid w:val="5EC25FFA"/>
    <w:rsid w:val="5ED35614"/>
    <w:rsid w:val="5ED7545C"/>
    <w:rsid w:val="5EDF3CD6"/>
    <w:rsid w:val="5F07503B"/>
    <w:rsid w:val="5F13397F"/>
    <w:rsid w:val="5F1F713C"/>
    <w:rsid w:val="5F286E9F"/>
    <w:rsid w:val="5F2A3265"/>
    <w:rsid w:val="5F6163D2"/>
    <w:rsid w:val="5F6C7267"/>
    <w:rsid w:val="5F8A3587"/>
    <w:rsid w:val="5FA171DD"/>
    <w:rsid w:val="5FA6034F"/>
    <w:rsid w:val="5FAA393B"/>
    <w:rsid w:val="5FBA1A15"/>
    <w:rsid w:val="5FC72130"/>
    <w:rsid w:val="5FD25BA0"/>
    <w:rsid w:val="5FE0127C"/>
    <w:rsid w:val="5FE763ED"/>
    <w:rsid w:val="5FED17BB"/>
    <w:rsid w:val="600F05EB"/>
    <w:rsid w:val="60196B31"/>
    <w:rsid w:val="601F5C42"/>
    <w:rsid w:val="60256599"/>
    <w:rsid w:val="602E614B"/>
    <w:rsid w:val="603252A7"/>
    <w:rsid w:val="604422F3"/>
    <w:rsid w:val="606E51E1"/>
    <w:rsid w:val="60922C1B"/>
    <w:rsid w:val="60952B14"/>
    <w:rsid w:val="609B0963"/>
    <w:rsid w:val="609B64E7"/>
    <w:rsid w:val="60AA2973"/>
    <w:rsid w:val="60B31FF5"/>
    <w:rsid w:val="60C0309B"/>
    <w:rsid w:val="60C22BBA"/>
    <w:rsid w:val="60D619A0"/>
    <w:rsid w:val="611676B3"/>
    <w:rsid w:val="611A7247"/>
    <w:rsid w:val="61303A07"/>
    <w:rsid w:val="61A33053"/>
    <w:rsid w:val="61A70E98"/>
    <w:rsid w:val="61AE524A"/>
    <w:rsid w:val="61C80A51"/>
    <w:rsid w:val="61C95FF5"/>
    <w:rsid w:val="61D415F5"/>
    <w:rsid w:val="61D90263"/>
    <w:rsid w:val="620E6093"/>
    <w:rsid w:val="62192762"/>
    <w:rsid w:val="624A3B38"/>
    <w:rsid w:val="625306BE"/>
    <w:rsid w:val="62671915"/>
    <w:rsid w:val="627669F7"/>
    <w:rsid w:val="627955F6"/>
    <w:rsid w:val="62796FF0"/>
    <w:rsid w:val="628030DA"/>
    <w:rsid w:val="628E5E80"/>
    <w:rsid w:val="62B960CF"/>
    <w:rsid w:val="62C425BA"/>
    <w:rsid w:val="62D54C81"/>
    <w:rsid w:val="62DB47B4"/>
    <w:rsid w:val="62E17600"/>
    <w:rsid w:val="62EA2BFF"/>
    <w:rsid w:val="63084A49"/>
    <w:rsid w:val="63204ED6"/>
    <w:rsid w:val="63350368"/>
    <w:rsid w:val="6337664F"/>
    <w:rsid w:val="63383ED6"/>
    <w:rsid w:val="6338494C"/>
    <w:rsid w:val="633C7337"/>
    <w:rsid w:val="634A6E13"/>
    <w:rsid w:val="635307EE"/>
    <w:rsid w:val="636A4566"/>
    <w:rsid w:val="63775C96"/>
    <w:rsid w:val="638929FF"/>
    <w:rsid w:val="638D72DC"/>
    <w:rsid w:val="638E7A78"/>
    <w:rsid w:val="639153E7"/>
    <w:rsid w:val="63A11ED6"/>
    <w:rsid w:val="63A60F1D"/>
    <w:rsid w:val="63B06DBF"/>
    <w:rsid w:val="64011BAD"/>
    <w:rsid w:val="64061DE2"/>
    <w:rsid w:val="642E732A"/>
    <w:rsid w:val="64377694"/>
    <w:rsid w:val="64471DF2"/>
    <w:rsid w:val="645A7DDA"/>
    <w:rsid w:val="645D3BE0"/>
    <w:rsid w:val="646F3B94"/>
    <w:rsid w:val="6490034D"/>
    <w:rsid w:val="649C5180"/>
    <w:rsid w:val="649D60ED"/>
    <w:rsid w:val="64D67A48"/>
    <w:rsid w:val="64F00C65"/>
    <w:rsid w:val="64F06AB3"/>
    <w:rsid w:val="65022F99"/>
    <w:rsid w:val="65137EA5"/>
    <w:rsid w:val="65276BAC"/>
    <w:rsid w:val="656578F0"/>
    <w:rsid w:val="65845966"/>
    <w:rsid w:val="65A438ED"/>
    <w:rsid w:val="65C30656"/>
    <w:rsid w:val="65DF7E31"/>
    <w:rsid w:val="65EE47FE"/>
    <w:rsid w:val="65FE0525"/>
    <w:rsid w:val="660F6F92"/>
    <w:rsid w:val="661C2807"/>
    <w:rsid w:val="661C540A"/>
    <w:rsid w:val="66494E5D"/>
    <w:rsid w:val="664D393D"/>
    <w:rsid w:val="665C09B1"/>
    <w:rsid w:val="666B0F2C"/>
    <w:rsid w:val="668A6A2F"/>
    <w:rsid w:val="66971AF9"/>
    <w:rsid w:val="66C67C2E"/>
    <w:rsid w:val="66CB5C45"/>
    <w:rsid w:val="66F1525C"/>
    <w:rsid w:val="66F238E5"/>
    <w:rsid w:val="66F979EA"/>
    <w:rsid w:val="6729363F"/>
    <w:rsid w:val="673D21E8"/>
    <w:rsid w:val="677C44FA"/>
    <w:rsid w:val="67B607E5"/>
    <w:rsid w:val="67CE40FF"/>
    <w:rsid w:val="67D947B0"/>
    <w:rsid w:val="67DC6C2E"/>
    <w:rsid w:val="67DC7459"/>
    <w:rsid w:val="67EA67B6"/>
    <w:rsid w:val="67EE44B5"/>
    <w:rsid w:val="67FC16DF"/>
    <w:rsid w:val="68073AE4"/>
    <w:rsid w:val="68120C2B"/>
    <w:rsid w:val="6837248C"/>
    <w:rsid w:val="684F79E5"/>
    <w:rsid w:val="68545E49"/>
    <w:rsid w:val="688C1198"/>
    <w:rsid w:val="689526D7"/>
    <w:rsid w:val="68A85138"/>
    <w:rsid w:val="68B22C67"/>
    <w:rsid w:val="68B857EF"/>
    <w:rsid w:val="68C84756"/>
    <w:rsid w:val="68EC149F"/>
    <w:rsid w:val="69135EB9"/>
    <w:rsid w:val="69256781"/>
    <w:rsid w:val="694718A7"/>
    <w:rsid w:val="69775CB8"/>
    <w:rsid w:val="69A57FAE"/>
    <w:rsid w:val="69AA4EE0"/>
    <w:rsid w:val="69F64124"/>
    <w:rsid w:val="6A0D0646"/>
    <w:rsid w:val="6A21047C"/>
    <w:rsid w:val="6A224EEA"/>
    <w:rsid w:val="6A2E1E58"/>
    <w:rsid w:val="6A2E46A8"/>
    <w:rsid w:val="6A582B8E"/>
    <w:rsid w:val="6A5A799B"/>
    <w:rsid w:val="6A643167"/>
    <w:rsid w:val="6A687450"/>
    <w:rsid w:val="6A6D3B27"/>
    <w:rsid w:val="6A7E1064"/>
    <w:rsid w:val="6A81571E"/>
    <w:rsid w:val="6A922CD0"/>
    <w:rsid w:val="6AA45378"/>
    <w:rsid w:val="6AA643DB"/>
    <w:rsid w:val="6AAE32C5"/>
    <w:rsid w:val="6ABF313F"/>
    <w:rsid w:val="6ADE3ED8"/>
    <w:rsid w:val="6AF3415E"/>
    <w:rsid w:val="6B052A8D"/>
    <w:rsid w:val="6B0B0382"/>
    <w:rsid w:val="6B0C4294"/>
    <w:rsid w:val="6B240C57"/>
    <w:rsid w:val="6B256EDB"/>
    <w:rsid w:val="6B285BBF"/>
    <w:rsid w:val="6B4B4300"/>
    <w:rsid w:val="6B4D2B9D"/>
    <w:rsid w:val="6B5D7821"/>
    <w:rsid w:val="6B714353"/>
    <w:rsid w:val="6B9668DB"/>
    <w:rsid w:val="6BA07A01"/>
    <w:rsid w:val="6BC1736F"/>
    <w:rsid w:val="6BC32D7C"/>
    <w:rsid w:val="6BDD334B"/>
    <w:rsid w:val="6BE7241B"/>
    <w:rsid w:val="6BFB5EC7"/>
    <w:rsid w:val="6BFC153C"/>
    <w:rsid w:val="6C035B55"/>
    <w:rsid w:val="6C041BF9"/>
    <w:rsid w:val="6C4C7015"/>
    <w:rsid w:val="6C5E3B9C"/>
    <w:rsid w:val="6C6B45C1"/>
    <w:rsid w:val="6C6B4DFB"/>
    <w:rsid w:val="6C6E2EBB"/>
    <w:rsid w:val="6C810D9A"/>
    <w:rsid w:val="6C8B5259"/>
    <w:rsid w:val="6C923F25"/>
    <w:rsid w:val="6C954167"/>
    <w:rsid w:val="6CA47FE8"/>
    <w:rsid w:val="6CA50FD0"/>
    <w:rsid w:val="6CA755E2"/>
    <w:rsid w:val="6CB32E8D"/>
    <w:rsid w:val="6CC044DE"/>
    <w:rsid w:val="6CC16398"/>
    <w:rsid w:val="6CE02419"/>
    <w:rsid w:val="6CEA54EF"/>
    <w:rsid w:val="6D201EC6"/>
    <w:rsid w:val="6D277E96"/>
    <w:rsid w:val="6D292D2C"/>
    <w:rsid w:val="6D2E6D7C"/>
    <w:rsid w:val="6D343B19"/>
    <w:rsid w:val="6D436A1C"/>
    <w:rsid w:val="6D4F0278"/>
    <w:rsid w:val="6D520B87"/>
    <w:rsid w:val="6D8A3BFD"/>
    <w:rsid w:val="6D916F74"/>
    <w:rsid w:val="6DB4632D"/>
    <w:rsid w:val="6DCE3FFB"/>
    <w:rsid w:val="6DFA18E3"/>
    <w:rsid w:val="6E036133"/>
    <w:rsid w:val="6E0E695B"/>
    <w:rsid w:val="6E172CF1"/>
    <w:rsid w:val="6E2378A8"/>
    <w:rsid w:val="6E2C49CC"/>
    <w:rsid w:val="6E440EBF"/>
    <w:rsid w:val="6E4826E9"/>
    <w:rsid w:val="6E676263"/>
    <w:rsid w:val="6E96065E"/>
    <w:rsid w:val="6E961113"/>
    <w:rsid w:val="6E98699D"/>
    <w:rsid w:val="6E990B8D"/>
    <w:rsid w:val="6E9F16FC"/>
    <w:rsid w:val="6E9F1DC8"/>
    <w:rsid w:val="6EA90888"/>
    <w:rsid w:val="6EAB4A7E"/>
    <w:rsid w:val="6EBE77EF"/>
    <w:rsid w:val="6EC6456A"/>
    <w:rsid w:val="6ECD68F9"/>
    <w:rsid w:val="6F273508"/>
    <w:rsid w:val="6F323823"/>
    <w:rsid w:val="6F3F30A0"/>
    <w:rsid w:val="6F621109"/>
    <w:rsid w:val="6F756E95"/>
    <w:rsid w:val="6F8A056E"/>
    <w:rsid w:val="6F8E0354"/>
    <w:rsid w:val="6F992D47"/>
    <w:rsid w:val="6F9E54E7"/>
    <w:rsid w:val="6FAE4B43"/>
    <w:rsid w:val="6FE2755C"/>
    <w:rsid w:val="6FF00911"/>
    <w:rsid w:val="6FF76A39"/>
    <w:rsid w:val="70024364"/>
    <w:rsid w:val="70147F6A"/>
    <w:rsid w:val="70227EC6"/>
    <w:rsid w:val="704A60F6"/>
    <w:rsid w:val="70755073"/>
    <w:rsid w:val="70A0793D"/>
    <w:rsid w:val="70BC38E2"/>
    <w:rsid w:val="70C435F1"/>
    <w:rsid w:val="70E81B75"/>
    <w:rsid w:val="70F040E3"/>
    <w:rsid w:val="70F93A3F"/>
    <w:rsid w:val="71091CB0"/>
    <w:rsid w:val="71105D50"/>
    <w:rsid w:val="71167CDC"/>
    <w:rsid w:val="71286862"/>
    <w:rsid w:val="712F6F39"/>
    <w:rsid w:val="71475E96"/>
    <w:rsid w:val="714F52F5"/>
    <w:rsid w:val="716446EB"/>
    <w:rsid w:val="71841A31"/>
    <w:rsid w:val="719414BB"/>
    <w:rsid w:val="71BD011D"/>
    <w:rsid w:val="71E45372"/>
    <w:rsid w:val="71E60E06"/>
    <w:rsid w:val="71F42EB7"/>
    <w:rsid w:val="7208644C"/>
    <w:rsid w:val="721A5D7C"/>
    <w:rsid w:val="723E74DE"/>
    <w:rsid w:val="72490994"/>
    <w:rsid w:val="724B60E7"/>
    <w:rsid w:val="7262525F"/>
    <w:rsid w:val="7280060B"/>
    <w:rsid w:val="72AE2F15"/>
    <w:rsid w:val="72F82D65"/>
    <w:rsid w:val="73055E21"/>
    <w:rsid w:val="732153F5"/>
    <w:rsid w:val="73247F8A"/>
    <w:rsid w:val="734645FE"/>
    <w:rsid w:val="7354691F"/>
    <w:rsid w:val="736C5743"/>
    <w:rsid w:val="736E5061"/>
    <w:rsid w:val="739114E7"/>
    <w:rsid w:val="73937ABF"/>
    <w:rsid w:val="73940EC5"/>
    <w:rsid w:val="73CE337C"/>
    <w:rsid w:val="73DE2356"/>
    <w:rsid w:val="73E372CE"/>
    <w:rsid w:val="73F75328"/>
    <w:rsid w:val="73FA52FB"/>
    <w:rsid w:val="742931A7"/>
    <w:rsid w:val="74580668"/>
    <w:rsid w:val="74727EA0"/>
    <w:rsid w:val="74773543"/>
    <w:rsid w:val="74932E66"/>
    <w:rsid w:val="74946305"/>
    <w:rsid w:val="74A108F6"/>
    <w:rsid w:val="74B51248"/>
    <w:rsid w:val="74CF75D9"/>
    <w:rsid w:val="74DB38A2"/>
    <w:rsid w:val="74DE788B"/>
    <w:rsid w:val="74EA0AA2"/>
    <w:rsid w:val="74EB5CFC"/>
    <w:rsid w:val="74F7099B"/>
    <w:rsid w:val="751B3609"/>
    <w:rsid w:val="75225626"/>
    <w:rsid w:val="75355FA6"/>
    <w:rsid w:val="75476EDC"/>
    <w:rsid w:val="754C4F37"/>
    <w:rsid w:val="75516763"/>
    <w:rsid w:val="7562261A"/>
    <w:rsid w:val="756B4AEC"/>
    <w:rsid w:val="7577511D"/>
    <w:rsid w:val="75822DE6"/>
    <w:rsid w:val="759A5E6F"/>
    <w:rsid w:val="759C70AE"/>
    <w:rsid w:val="75A12DD8"/>
    <w:rsid w:val="75DD751C"/>
    <w:rsid w:val="75E3729E"/>
    <w:rsid w:val="75F65D3C"/>
    <w:rsid w:val="75F96328"/>
    <w:rsid w:val="76007311"/>
    <w:rsid w:val="7607590E"/>
    <w:rsid w:val="760E4FCA"/>
    <w:rsid w:val="7614205F"/>
    <w:rsid w:val="7615617D"/>
    <w:rsid w:val="762C165D"/>
    <w:rsid w:val="7643446D"/>
    <w:rsid w:val="76603E73"/>
    <w:rsid w:val="766D2A91"/>
    <w:rsid w:val="76782385"/>
    <w:rsid w:val="76971D67"/>
    <w:rsid w:val="76B24594"/>
    <w:rsid w:val="76E04384"/>
    <w:rsid w:val="76F048AC"/>
    <w:rsid w:val="77064A55"/>
    <w:rsid w:val="772C0D98"/>
    <w:rsid w:val="773A0C66"/>
    <w:rsid w:val="77424D1F"/>
    <w:rsid w:val="774424D0"/>
    <w:rsid w:val="774C45E8"/>
    <w:rsid w:val="77817AE3"/>
    <w:rsid w:val="77876814"/>
    <w:rsid w:val="77E45FFB"/>
    <w:rsid w:val="78022275"/>
    <w:rsid w:val="78103ADF"/>
    <w:rsid w:val="78306EF8"/>
    <w:rsid w:val="783570B9"/>
    <w:rsid w:val="78357142"/>
    <w:rsid w:val="783B4535"/>
    <w:rsid w:val="783C790D"/>
    <w:rsid w:val="785307C2"/>
    <w:rsid w:val="787E1BD1"/>
    <w:rsid w:val="78A22999"/>
    <w:rsid w:val="78B478CC"/>
    <w:rsid w:val="78B7255D"/>
    <w:rsid w:val="78BE35E8"/>
    <w:rsid w:val="78C21AFB"/>
    <w:rsid w:val="791B1BBF"/>
    <w:rsid w:val="79230630"/>
    <w:rsid w:val="79264229"/>
    <w:rsid w:val="792C5E5B"/>
    <w:rsid w:val="794848CA"/>
    <w:rsid w:val="794E71C9"/>
    <w:rsid w:val="795E6038"/>
    <w:rsid w:val="796F2C63"/>
    <w:rsid w:val="797101BF"/>
    <w:rsid w:val="79995BEF"/>
    <w:rsid w:val="79A11744"/>
    <w:rsid w:val="79C654D9"/>
    <w:rsid w:val="79CE1A10"/>
    <w:rsid w:val="79D13260"/>
    <w:rsid w:val="79EB767A"/>
    <w:rsid w:val="79ED66DD"/>
    <w:rsid w:val="79FD7F6A"/>
    <w:rsid w:val="7A2406FB"/>
    <w:rsid w:val="7A2D2E71"/>
    <w:rsid w:val="7A3251AA"/>
    <w:rsid w:val="7A7C6425"/>
    <w:rsid w:val="7A960FFF"/>
    <w:rsid w:val="7ABB5F10"/>
    <w:rsid w:val="7ABF6064"/>
    <w:rsid w:val="7ACB24DC"/>
    <w:rsid w:val="7ADD5115"/>
    <w:rsid w:val="7AE36A67"/>
    <w:rsid w:val="7B213550"/>
    <w:rsid w:val="7B343BA1"/>
    <w:rsid w:val="7B3B7ACA"/>
    <w:rsid w:val="7B4B7E21"/>
    <w:rsid w:val="7B52062B"/>
    <w:rsid w:val="7B646217"/>
    <w:rsid w:val="7B677A53"/>
    <w:rsid w:val="7B694BFB"/>
    <w:rsid w:val="7B7349BF"/>
    <w:rsid w:val="7B7375CD"/>
    <w:rsid w:val="7B740C42"/>
    <w:rsid w:val="7B861660"/>
    <w:rsid w:val="7BA62B82"/>
    <w:rsid w:val="7BA7113F"/>
    <w:rsid w:val="7BB16327"/>
    <w:rsid w:val="7BCA0CD8"/>
    <w:rsid w:val="7BE26A8B"/>
    <w:rsid w:val="7BF24BF0"/>
    <w:rsid w:val="7BF86907"/>
    <w:rsid w:val="7C0F034F"/>
    <w:rsid w:val="7C187734"/>
    <w:rsid w:val="7C324740"/>
    <w:rsid w:val="7C401F8B"/>
    <w:rsid w:val="7C5459C3"/>
    <w:rsid w:val="7C64659D"/>
    <w:rsid w:val="7C6859D2"/>
    <w:rsid w:val="7C743ED1"/>
    <w:rsid w:val="7C8A46D7"/>
    <w:rsid w:val="7C8A6BE9"/>
    <w:rsid w:val="7C8B3DE6"/>
    <w:rsid w:val="7C9D2FD9"/>
    <w:rsid w:val="7CA037AB"/>
    <w:rsid w:val="7CAC3111"/>
    <w:rsid w:val="7CE135E6"/>
    <w:rsid w:val="7CEE47C9"/>
    <w:rsid w:val="7CF93FE0"/>
    <w:rsid w:val="7CFE4DF1"/>
    <w:rsid w:val="7D0C2EEC"/>
    <w:rsid w:val="7D116942"/>
    <w:rsid w:val="7D1538EC"/>
    <w:rsid w:val="7D2037EF"/>
    <w:rsid w:val="7D3C3E1F"/>
    <w:rsid w:val="7D6E3C91"/>
    <w:rsid w:val="7D8B7059"/>
    <w:rsid w:val="7D926B23"/>
    <w:rsid w:val="7D9F2346"/>
    <w:rsid w:val="7DB565EB"/>
    <w:rsid w:val="7DD13227"/>
    <w:rsid w:val="7DF87B78"/>
    <w:rsid w:val="7DFA5352"/>
    <w:rsid w:val="7E0A4C45"/>
    <w:rsid w:val="7E2F6A34"/>
    <w:rsid w:val="7E416E12"/>
    <w:rsid w:val="7E450D31"/>
    <w:rsid w:val="7E495F64"/>
    <w:rsid w:val="7E4E03E1"/>
    <w:rsid w:val="7E512DB7"/>
    <w:rsid w:val="7E5B62D2"/>
    <w:rsid w:val="7E6009C6"/>
    <w:rsid w:val="7E734E0F"/>
    <w:rsid w:val="7EC07962"/>
    <w:rsid w:val="7ED70702"/>
    <w:rsid w:val="7EF46ED2"/>
    <w:rsid w:val="7F196B89"/>
    <w:rsid w:val="7F405101"/>
    <w:rsid w:val="7F4D3E60"/>
    <w:rsid w:val="7F555DCE"/>
    <w:rsid w:val="7F6F4BE5"/>
    <w:rsid w:val="7F8B0C20"/>
    <w:rsid w:val="7FC46DB3"/>
    <w:rsid w:val="7FDF723A"/>
    <w:rsid w:val="7FE93C57"/>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8">
    <w:name w:val="Normal Indent"/>
    <w:basedOn w:val="1"/>
    <w:next w:val="1"/>
    <w:qFormat/>
    <w:uiPriority w:val="0"/>
    <w:pPr>
      <w:widowControl/>
      <w:ind w:firstLine="420"/>
      <w:jc w:val="left"/>
    </w:pPr>
    <w:rPr>
      <w:sz w:val="20"/>
    </w:rPr>
  </w:style>
  <w:style w:type="paragraph" w:styleId="9">
    <w:name w:val="annotation text"/>
    <w:basedOn w:val="1"/>
    <w:qFormat/>
    <w:uiPriority w:val="0"/>
    <w:pPr>
      <w:jc w:val="left"/>
    </w:pPr>
  </w:style>
  <w:style w:type="paragraph" w:styleId="10">
    <w:name w:val="Body Text"/>
    <w:basedOn w:val="1"/>
    <w:next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11">
    <w:name w:val="Body Text Indent"/>
    <w:basedOn w:val="1"/>
    <w:next w:val="12"/>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envelope return"/>
    <w:basedOn w:val="1"/>
    <w:qFormat/>
    <w:uiPriority w:val="0"/>
    <w:pPr>
      <w:snapToGrid w:val="0"/>
    </w:pPr>
    <w:rPr>
      <w:rFonts w:ascii="Arial" w:hAnsi="Arial"/>
    </w:rPr>
  </w:style>
  <w:style w:type="paragraph" w:styleId="13">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630"/>
    </w:pPr>
    <w:rPr>
      <w:kern w:val="0"/>
      <w:sz w:val="32"/>
      <w:szCs w:val="20"/>
    </w:rPr>
  </w:style>
  <w:style w:type="paragraph" w:styleId="16">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8">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10"/>
    <w:next w:val="1"/>
    <w:qFormat/>
    <w:uiPriority w:val="0"/>
    <w:pPr>
      <w:spacing w:after="120" w:afterLines="0"/>
      <w:ind w:firstLine="420" w:firstLineChars="100"/>
    </w:pPr>
  </w:style>
  <w:style w:type="paragraph" w:styleId="22">
    <w:name w:val="Body Text First Indent 2"/>
    <w:basedOn w:val="11"/>
    <w:next w:val="1"/>
    <w:qFormat/>
    <w:uiPriority w:val="0"/>
    <w:pPr>
      <w:widowControl w:val="0"/>
      <w:ind w:firstLine="420" w:firstLineChars="200"/>
      <w:jc w:val="both"/>
    </w:pPr>
    <w:rPr>
      <w:rFonts w:ascii="Calibri" w:hAnsi="Calibri"/>
      <w:kern w:val="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微软雅黑" w:hAnsi="微软雅黑" w:eastAsia="微软雅黑" w:cs="微软雅黑"/>
      <w:b/>
      <w:color w:val="666666"/>
      <w:sz w:val="22"/>
      <w:szCs w:val="22"/>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rPr>
      <w:b/>
    </w:rPr>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unhideWhenUsed/>
    <w:qFormat/>
    <w:uiPriority w:val="99"/>
    <w:rPr>
      <w:color w:val="3B5998"/>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NormalIndent"/>
    <w:basedOn w:val="1"/>
    <w:qFormat/>
    <w:uiPriority w:val="0"/>
    <w:pPr>
      <w:ind w:firstLine="420"/>
    </w:pPr>
    <w:rPr>
      <w:sz w:val="20"/>
      <w:szCs w:val="20"/>
    </w:rPr>
  </w:style>
  <w:style w:type="paragraph" w:customStyle="1" w:styleId="41">
    <w:name w:val="Default"/>
    <w:next w:val="4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3">
    <w:name w:val="1"/>
    <w:next w:val="13"/>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44">
    <w:name w:val="Body Text First Indent 21"/>
    <w:basedOn w:val="45"/>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45">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0"/>
    <w:qFormat/>
    <w:uiPriority w:val="0"/>
    <w:rPr>
      <w:rFonts w:ascii="Times New Roman" w:hAnsi="Times New Roman" w:eastAsia="Times New Roman" w:cs="Times New Roman"/>
      <w:sz w:val="24"/>
      <w:szCs w:val="24"/>
    </w:rPr>
  </w:style>
  <w:style w:type="paragraph" w:customStyle="1" w:styleId="48">
    <w:name w:val="段落1"/>
    <w:basedOn w:val="1"/>
    <w:qFormat/>
    <w:uiPriority w:val="0"/>
    <w:pPr>
      <w:spacing w:line="360" w:lineRule="auto"/>
      <w:ind w:firstLine="480" w:firstLineChars="200"/>
    </w:pPr>
    <w:rPr>
      <w:sz w:val="24"/>
      <w:szCs w:val="20"/>
    </w:rPr>
  </w:style>
  <w:style w:type="paragraph" w:customStyle="1" w:styleId="49">
    <w:name w:val="Table Paragraph"/>
    <w:basedOn w:val="1"/>
    <w:qFormat/>
    <w:uiPriority w:val="0"/>
    <w:pPr>
      <w:autoSpaceDE w:val="0"/>
      <w:autoSpaceDN w:val="0"/>
      <w:adjustRightInd w:val="0"/>
      <w:jc w:val="left"/>
    </w:pPr>
    <w:rPr>
      <w:kern w:val="0"/>
      <w:sz w:val="24"/>
    </w:rPr>
  </w:style>
  <w:style w:type="paragraph" w:customStyle="1" w:styleId="50">
    <w:name w:val="List Paragraph"/>
    <w:basedOn w:val="1"/>
    <w:qFormat/>
    <w:uiPriority w:val="0"/>
    <w:pPr>
      <w:ind w:firstLine="420" w:firstLineChars="200"/>
    </w:p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layui-layer-tabnow"/>
    <w:basedOn w:val="25"/>
    <w:qFormat/>
    <w:uiPriority w:val="0"/>
    <w:rPr>
      <w:bdr w:val="single" w:color="CCCCCC" w:sz="6" w:space="0"/>
      <w:shd w:val="clear" w:fill="FFFFFF"/>
    </w:rPr>
  </w:style>
  <w:style w:type="character" w:customStyle="1" w:styleId="53">
    <w:name w:val="first-child"/>
    <w:basedOn w:val="25"/>
    <w:qFormat/>
    <w:uiPriority w:val="0"/>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55">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56">
    <w:name w:val="Body text|2"/>
    <w:basedOn w:val="1"/>
    <w:qFormat/>
    <w:uiPriority w:val="0"/>
    <w:pPr>
      <w:spacing w:after="30"/>
      <w:ind w:firstLine="420"/>
    </w:pPr>
    <w:rPr>
      <w:sz w:val="20"/>
      <w:szCs w:val="20"/>
    </w:rPr>
  </w:style>
  <w:style w:type="character" w:customStyle="1" w:styleId="57">
    <w:name w:val="正文_3 Char"/>
    <w:link w:val="58"/>
    <w:qFormat/>
    <w:uiPriority w:val="0"/>
    <w:rPr>
      <w:rFonts w:ascii="Calibri" w:hAnsi="Calibri" w:eastAsia="宋体" w:cs="Times New Roman"/>
      <w:kern w:val="2"/>
      <w:sz w:val="21"/>
      <w:szCs w:val="22"/>
      <w:lang w:val="en-US" w:eastAsia="zh-CN" w:bidi="ar-SA"/>
    </w:rPr>
  </w:style>
  <w:style w:type="paragraph" w:customStyle="1" w:styleId="58">
    <w:name w:val="正文_3"/>
    <w:basedOn w:val="59"/>
    <w:link w:val="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标题 1 Char"/>
    <w:link w:val="3"/>
    <w:qFormat/>
    <w:uiPriority w:val="0"/>
    <w:rPr>
      <w:rFonts w:ascii="Times New Roman" w:hAnsi="Times New Roman" w:eastAsia="宋体" w:cs="Times New Roman"/>
      <w:b/>
      <w:bCs/>
      <w:kern w:val="44"/>
      <w:sz w:val="44"/>
      <w:szCs w:val="44"/>
      <w:lang w:val="en-US" w:eastAsia="zh-CN" w:bidi="ar-SA"/>
    </w:rPr>
  </w:style>
  <w:style w:type="paragraph" w:customStyle="1" w:styleId="6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2"/>
    <w:basedOn w:val="58"/>
    <w:next w:val="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1"/>
    <w:basedOn w:val="62"/>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 w:type="paragraph" w:customStyle="1" w:styleId="65">
    <w:name w:val="表格文字"/>
    <w:basedOn w:val="1"/>
    <w:qFormat/>
    <w:uiPriority w:val="0"/>
    <w:pPr>
      <w:adjustRightInd w:val="0"/>
      <w:spacing w:line="420" w:lineRule="atLeast"/>
      <w:jc w:val="left"/>
      <w:textAlignment w:val="baseline"/>
    </w:pPr>
    <w:rPr>
      <w:kern w:val="0"/>
      <w:szCs w:val="20"/>
    </w:rPr>
  </w:style>
  <w:style w:type="character" w:customStyle="1" w:styleId="66">
    <w:name w:val="hover1"/>
    <w:basedOn w:val="25"/>
    <w:qFormat/>
    <w:uiPriority w:val="0"/>
    <w:rPr>
      <w:color w:val="2590EB"/>
    </w:rPr>
  </w:style>
  <w:style w:type="character" w:customStyle="1" w:styleId="67">
    <w:name w:val="hover2"/>
    <w:basedOn w:val="25"/>
    <w:qFormat/>
    <w:uiPriority w:val="0"/>
    <w:rPr>
      <w:color w:val="2590EB"/>
    </w:rPr>
  </w:style>
  <w:style w:type="character" w:customStyle="1" w:styleId="68">
    <w:name w:val="hover3"/>
    <w:basedOn w:val="25"/>
    <w:qFormat/>
    <w:uiPriority w:val="0"/>
  </w:style>
  <w:style w:type="character" w:customStyle="1" w:styleId="69">
    <w:name w:val="hover"/>
    <w:basedOn w:val="25"/>
    <w:qFormat/>
    <w:uiPriority w:val="0"/>
  </w:style>
  <w:style w:type="paragraph" w:customStyle="1" w:styleId="70">
    <w:name w:val="正文_2_0"/>
    <w:basedOn w:val="7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正文_3_0"/>
    <w:basedOn w:val="7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7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文本_1_0"/>
    <w:basedOn w:val="70"/>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7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标题 2_1"/>
    <w:basedOn w:val="70"/>
    <w:next w:val="62"/>
    <w:qFormat/>
    <w:uiPriority w:val="0"/>
    <w:pPr>
      <w:keepNext/>
      <w:keepLines/>
      <w:widowControl w:val="0"/>
      <w:suppressLineNumbers w:val="0"/>
      <w:spacing w:before="60" w:beforeAutospacing="0" w:after="60" w:afterAutospacing="0" w:line="410" w:lineRule="auto"/>
      <w:ind w:left="0" w:right="0"/>
      <w:jc w:val="both"/>
      <w:outlineLvl w:val="1"/>
    </w:pPr>
    <w:rPr>
      <w:rFonts w:hint="default" w:ascii="Arial" w:hAnsi="Arial" w:eastAsia="黑体" w:cs="Times New Roman"/>
      <w:b/>
      <w:kern w:val="2"/>
      <w:sz w:val="32"/>
      <w:szCs w:val="32"/>
      <w:lang w:val="en-US" w:eastAsia="zh-CN" w:bidi="ar"/>
    </w:rPr>
  </w:style>
  <w:style w:type="paragraph" w:customStyle="1" w:styleId="77">
    <w:name w:val="标题 3_0"/>
    <w:basedOn w:val="70"/>
    <w:next w:val="62"/>
    <w:qFormat/>
    <w:uiPriority w:val="0"/>
    <w:pPr>
      <w:keepNext/>
      <w:keepLines/>
      <w:widowControl w:val="0"/>
      <w:suppressLineNumbers w:val="0"/>
      <w:spacing w:before="260" w:beforeAutospacing="0" w:after="260" w:afterAutospacing="0" w:line="410" w:lineRule="auto"/>
      <w:ind w:left="0" w:right="0"/>
      <w:jc w:val="both"/>
      <w:outlineLvl w:val="2"/>
    </w:pPr>
    <w:rPr>
      <w:rFonts w:hint="default" w:ascii="Calibri" w:hAnsi="Calibri" w:eastAsia="宋体" w:cs="Times New Roman"/>
      <w:b/>
      <w:kern w:val="0"/>
      <w:sz w:val="32"/>
      <w:szCs w:val="32"/>
      <w:lang w:val="en-US" w:eastAsia="zh-CN" w:bidi="ar"/>
    </w:rPr>
  </w:style>
  <w:style w:type="paragraph" w:customStyle="1" w:styleId="78">
    <w:name w:val="批注文字_0"/>
    <w:basedOn w:val="79"/>
    <w:unhideWhenUsed/>
    <w:qFormat/>
    <w:uiPriority w:val="0"/>
    <w:pPr>
      <w:jc w:val="left"/>
    </w:pPr>
    <w:rPr>
      <w:rFonts w:ascii="Calibri" w:hAnsi="Calibri" w:eastAsia="宋体" w:cs="Times New Roman"/>
    </w:rPr>
  </w:style>
  <w:style w:type="paragraph" w:customStyle="1" w:styleId="7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页脚_0"/>
    <w:basedOn w:val="79"/>
    <w:next w:val="79"/>
    <w:qFormat/>
    <w:uiPriority w:val="99"/>
    <w:pPr>
      <w:tabs>
        <w:tab w:val="center" w:pos="4153"/>
        <w:tab w:val="right" w:pos="8306"/>
      </w:tabs>
      <w:snapToGrid w:val="0"/>
      <w:jc w:val="left"/>
    </w:pPr>
    <w:rPr>
      <w:sz w:val="18"/>
      <w:szCs w:val="18"/>
    </w:rPr>
  </w:style>
  <w:style w:type="paragraph" w:customStyle="1" w:styleId="81">
    <w:name w:val="正文1"/>
    <w:basedOn w:val="82"/>
    <w:qFormat/>
    <w:uiPriority w:val="0"/>
    <w:pPr>
      <w:adjustRightInd w:val="0"/>
      <w:spacing w:line="318" w:lineRule="atLeast"/>
      <w:ind w:left="369" w:firstLine="369"/>
      <w:textAlignment w:val="baseline"/>
    </w:pPr>
    <w:rPr>
      <w:rFonts w:ascii="宋体" w:eastAsia="宋体" w:cs="宋体"/>
      <w:kern w:val="0"/>
      <w:szCs w:val="20"/>
    </w:rPr>
  </w:style>
  <w:style w:type="paragraph" w:customStyle="1" w:styleId="82">
    <w:name w:val="正文_5_0"/>
    <w:next w:val="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文本_2"/>
    <w:basedOn w:val="82"/>
    <w:next w:val="82"/>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84">
    <w:name w:val="正文文本_0"/>
    <w:basedOn w:val="79"/>
    <w:next w:val="79"/>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85">
    <w:name w:val="正文_0_0"/>
    <w:basedOn w:val="62"/>
    <w:next w:val="86"/>
    <w:qFormat/>
    <w:uiPriority w:val="0"/>
    <w:pPr>
      <w:widowControl w:val="0"/>
      <w:jc w:val="both"/>
    </w:pPr>
    <w:rPr>
      <w:rFonts w:ascii="Calibri" w:hAnsi="Calibri"/>
      <w:kern w:val="2"/>
      <w:sz w:val="21"/>
      <w:szCs w:val="22"/>
      <w:lang w:val="en-US" w:eastAsia="zh-CN" w:bidi="ar-SA"/>
    </w:rPr>
  </w:style>
  <w:style w:type="paragraph" w:customStyle="1" w:styleId="86">
    <w:name w:val="正文文本_0_0"/>
    <w:basedOn w:val="85"/>
    <w:next w:val="85"/>
    <w:qFormat/>
    <w:uiPriority w:val="99"/>
    <w:pPr>
      <w:adjustRightInd w:val="0"/>
      <w:spacing w:after="60" w:line="360" w:lineRule="atLeast"/>
      <w:ind w:left="72" w:leftChars="30" w:right="30" w:rightChars="30"/>
      <w:jc w:val="center"/>
      <w:textAlignment w:val="baseline"/>
    </w:pPr>
    <w:rPr>
      <w:sz w:val="22"/>
      <w:szCs w:val="22"/>
    </w:rPr>
  </w:style>
  <w:style w:type="paragraph" w:customStyle="1" w:styleId="87">
    <w:name w:val="标题 1_0"/>
    <w:basedOn w:val="79"/>
    <w:next w:val="79"/>
    <w:qFormat/>
    <w:uiPriority w:val="99"/>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88">
    <w:name w:val="标题 5（有编号）（绿盟科技）"/>
    <w:basedOn w:val="1"/>
    <w:next w:val="89"/>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9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8306</Words>
  <Characters>9176</Characters>
  <Lines>0</Lines>
  <Paragraphs>0</Paragraphs>
  <TotalTime>7</TotalTime>
  <ScaleCrop>false</ScaleCrop>
  <LinksUpToDate>false</LinksUpToDate>
  <CharactersWithSpaces>9369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0000</cp:lastModifiedBy>
  <cp:lastPrinted>2022-09-08T04:30:00Z</cp:lastPrinted>
  <dcterms:modified xsi:type="dcterms:W3CDTF">2025-06-05T08:43:03Z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11C30FA6B7B645E3A1E2908BF192D4DB_13</vt:lpwstr>
  </property>
  <property fmtid="{D5CDD505-2E9C-101B-9397-08002B2CF9AE}" pid="4" name="KSOTemplateDocerSaveRecord">
    <vt:lpwstr>eyJoZGlkIjoiNmIzMGJkOWZlZjMyMWRhZDI0YzQzYzZiMzI1NjEwZTkiLCJ1c2VySWQiOiIyODY5NjE5ODIifQ==</vt:lpwstr>
  </property>
</Properties>
</file>